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9C5B5F" w:rsidRPr="00845FB7" w14:paraId="356CA265" w14:textId="77777777" w:rsidTr="009F2FB4">
        <w:trPr>
          <w:trHeight w:val="850"/>
        </w:trPr>
        <w:tc>
          <w:tcPr>
            <w:tcW w:w="1559" w:type="dxa"/>
          </w:tcPr>
          <w:p w14:paraId="6E9E758B" w14:textId="77777777" w:rsidR="009C5B5F" w:rsidRPr="00845FB7" w:rsidRDefault="009C5B5F" w:rsidP="009F2FB4">
            <w:pPr>
              <w:pStyle w:val="AUnitedNations"/>
              <w:rPr>
                <w:lang w:val="en-GB"/>
              </w:rPr>
            </w:pPr>
            <w:bookmarkStart w:id="0" w:name="_Toc71119481"/>
            <w:r w:rsidRPr="00845FB7">
              <w:rPr>
                <w:lang w:val="en-GB"/>
              </w:rPr>
              <w:t xml:space="preserve">UNITED </w:t>
            </w:r>
            <w:r w:rsidRPr="00845FB7">
              <w:rPr>
                <w:lang w:val="en-GB"/>
              </w:rPr>
              <w:br/>
              <w:t>NATIONS</w:t>
            </w:r>
          </w:p>
        </w:tc>
        <w:tc>
          <w:tcPr>
            <w:tcW w:w="6520" w:type="dxa"/>
          </w:tcPr>
          <w:p w14:paraId="50105639" w14:textId="77777777" w:rsidR="009C5B5F" w:rsidRPr="00845FB7" w:rsidRDefault="009C5B5F" w:rsidP="009F2FB4">
            <w:pPr>
              <w:pStyle w:val="Normal-pool"/>
              <w:rPr>
                <w:lang w:val="en-GB"/>
              </w:rPr>
            </w:pPr>
            <w:r w:rsidRPr="00845FB7">
              <w:rPr>
                <w:noProof/>
                <w:lang w:val="en-GB"/>
                <w14:ligatures w14:val="standardContextual"/>
              </w:rPr>
              <w:drawing>
                <wp:anchor distT="0" distB="0" distL="114300" distR="114300" simplePos="0" relativeHeight="251658247" behindDoc="0" locked="0" layoutInCell="1" allowOverlap="1" wp14:anchorId="0800830C" wp14:editId="16B01903">
                  <wp:simplePos x="0" y="0"/>
                  <wp:positionH relativeFrom="column">
                    <wp:posOffset>3175</wp:posOffset>
                  </wp:positionH>
                  <wp:positionV relativeFrom="paragraph">
                    <wp:posOffset>-4445</wp:posOffset>
                  </wp:positionV>
                  <wp:extent cx="1269153" cy="573559"/>
                  <wp:effectExtent l="0" t="0" r="7620" b="0"/>
                  <wp:wrapNone/>
                  <wp:docPr id="892530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3066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DC8A4F2" w14:textId="77777777" w:rsidR="009C5B5F" w:rsidRPr="00845FB7" w:rsidRDefault="009C5B5F" w:rsidP="009F2FB4">
            <w:pPr>
              <w:pStyle w:val="Normal-pool"/>
              <w:rPr>
                <w:lang w:val="en-GB"/>
              </w:rPr>
            </w:pPr>
          </w:p>
        </w:tc>
      </w:tr>
    </w:tbl>
    <w:p w14:paraId="239EC54D" w14:textId="77777777" w:rsidR="009C5B5F" w:rsidRPr="00845FB7" w:rsidRDefault="009C5B5F" w:rsidP="009C5B5F">
      <w:pPr>
        <w:pStyle w:val="ASpacer"/>
        <w:rPr>
          <w:lang w:val="en-GB"/>
        </w:rPr>
      </w:pPr>
    </w:p>
    <w:tbl>
      <w:tblPr>
        <w:tblW w:w="9495" w:type="dxa"/>
        <w:tblLook w:val="0000" w:firstRow="0" w:lastRow="0" w:firstColumn="0" w:lastColumn="0" w:noHBand="0" w:noVBand="0"/>
      </w:tblPr>
      <w:tblGrid>
        <w:gridCol w:w="6377"/>
        <w:gridCol w:w="3118"/>
      </w:tblGrid>
      <w:tr w:rsidR="009C5B5F" w:rsidRPr="00845FB7" w14:paraId="5B699D9E" w14:textId="77777777" w:rsidTr="009F2FB4">
        <w:trPr>
          <w:trHeight w:val="340"/>
        </w:trPr>
        <w:tc>
          <w:tcPr>
            <w:tcW w:w="3358" w:type="pct"/>
            <w:vAlign w:val="bottom"/>
          </w:tcPr>
          <w:p w14:paraId="1D03CED3" w14:textId="77777777" w:rsidR="009C5B5F" w:rsidRPr="00845FB7" w:rsidRDefault="009C5B5F" w:rsidP="009F2FB4">
            <w:pPr>
              <w:pStyle w:val="Normal-pool"/>
              <w:rPr>
                <w:lang w:val="en-GB"/>
              </w:rPr>
            </w:pPr>
          </w:p>
        </w:tc>
        <w:tc>
          <w:tcPr>
            <w:tcW w:w="1642" w:type="pct"/>
            <w:noWrap/>
            <w:vAlign w:val="bottom"/>
          </w:tcPr>
          <w:p w14:paraId="362242CE" w14:textId="1D42E557" w:rsidR="009C5B5F" w:rsidRPr="00845FB7" w:rsidRDefault="009C5B5F" w:rsidP="009F2FB4">
            <w:pPr>
              <w:pStyle w:val="ASymbol"/>
            </w:pPr>
            <w:r w:rsidRPr="00845FB7">
              <w:rPr>
                <w:b/>
                <w:sz w:val="28"/>
              </w:rPr>
              <w:t>UNEP</w:t>
            </w:r>
            <w:r w:rsidRPr="00845FB7">
              <w:t>/MC/COP.</w:t>
            </w:r>
            <w:bookmarkStart w:id="1" w:name="Symbol1B"/>
            <w:r w:rsidR="004972E5" w:rsidRPr="00845FB7">
              <w:t>6</w:t>
            </w:r>
            <w:r w:rsidRPr="00845FB7">
              <w:t>/INF</w:t>
            </w:r>
            <w:bookmarkStart w:id="2" w:name="Symbol1C"/>
            <w:bookmarkEnd w:id="1"/>
            <w:r w:rsidRPr="00845FB7">
              <w:t>/</w:t>
            </w:r>
            <w:bookmarkEnd w:id="2"/>
            <w:r w:rsidR="000A30A0" w:rsidRPr="00845FB7">
              <w:t>38</w:t>
            </w:r>
            <w:r w:rsidR="0092003F" w:rsidRPr="006D645B">
              <w:rPr>
                <w:rStyle w:val="FootnoteReference"/>
                <w:vertAlign w:val="baseline"/>
              </w:rPr>
              <w:footnoteReference w:customMarkFollows="1" w:id="2"/>
              <w:t>*</w:t>
            </w:r>
          </w:p>
        </w:tc>
      </w:tr>
    </w:tbl>
    <w:p w14:paraId="7DD0ACDB" w14:textId="77777777" w:rsidR="009C5B5F" w:rsidRPr="00845FB7" w:rsidRDefault="009C5B5F" w:rsidP="009C5B5F">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C5B5F" w:rsidRPr="00845FB7" w14:paraId="740B7E70" w14:textId="77777777" w:rsidTr="009F2FB4">
        <w:trPr>
          <w:trHeight w:val="2098"/>
        </w:trPr>
        <w:tc>
          <w:tcPr>
            <w:tcW w:w="3685" w:type="dxa"/>
          </w:tcPr>
          <w:p w14:paraId="4984546E" w14:textId="77777777" w:rsidR="009C5B5F" w:rsidRPr="00845FB7" w:rsidRDefault="009C5B5F" w:rsidP="009F2FB4">
            <w:pPr>
              <w:pStyle w:val="ALogo"/>
              <w:rPr>
                <w:lang w:val="en-GB"/>
              </w:rPr>
            </w:pPr>
            <w:r w:rsidRPr="00845FB7">
              <w:rPr>
                <w:noProof/>
                <w:lang w:val="en-GB"/>
                <w14:ligatures w14:val="standardContextual"/>
              </w:rPr>
              <w:drawing>
                <wp:inline distT="0" distB="0" distL="0" distR="0" wp14:anchorId="7CBC3DA9" wp14:editId="5C9677BA">
                  <wp:extent cx="2202815" cy="1028700"/>
                  <wp:effectExtent l="0" t="0" r="6985" b="0"/>
                  <wp:docPr id="1604585638" name="Picture 2"/>
                  <wp:cNvGraphicFramePr/>
                  <a:graphic xmlns:a="http://schemas.openxmlformats.org/drawingml/2006/main">
                    <a:graphicData uri="http://schemas.openxmlformats.org/drawingml/2006/picture">
                      <pic:pic xmlns:pic="http://schemas.openxmlformats.org/drawingml/2006/picture">
                        <pic:nvPicPr>
                          <pic:cNvPr id="16045856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45FB7">
              <w:rPr>
                <w:lang w:val="en-GB"/>
              </w:rPr>
              <w:t xml:space="preserve"> </w:t>
            </w:r>
          </w:p>
          <w:p w14:paraId="74A7D800" w14:textId="77777777" w:rsidR="009C5B5F" w:rsidRPr="00845FB7" w:rsidRDefault="009C5B5F" w:rsidP="009F2FB4">
            <w:pPr>
              <w:pStyle w:val="ALogo"/>
              <w:rPr>
                <w:lang w:val="en-GB"/>
              </w:rPr>
            </w:pPr>
          </w:p>
        </w:tc>
        <w:tc>
          <w:tcPr>
            <w:tcW w:w="2693" w:type="dxa"/>
          </w:tcPr>
          <w:p w14:paraId="6616623F" w14:textId="77777777" w:rsidR="009C5B5F" w:rsidRPr="00845FB7" w:rsidRDefault="009C5B5F" w:rsidP="009F2FB4">
            <w:pPr>
              <w:pStyle w:val="Normal-pool"/>
              <w:rPr>
                <w:lang w:val="en-GB"/>
              </w:rPr>
            </w:pPr>
          </w:p>
        </w:tc>
        <w:tc>
          <w:tcPr>
            <w:tcW w:w="3118" w:type="dxa"/>
          </w:tcPr>
          <w:p w14:paraId="03C3FA9C" w14:textId="77777777" w:rsidR="009C5B5F" w:rsidRPr="00845FB7" w:rsidRDefault="009C5B5F" w:rsidP="009F2FB4">
            <w:pPr>
              <w:pStyle w:val="AText"/>
              <w:rPr>
                <w:lang w:val="en-GB"/>
              </w:rPr>
            </w:pPr>
            <w:r w:rsidRPr="00845FB7">
              <w:rPr>
                <w:lang w:val="en-GB"/>
              </w:rPr>
              <w:t xml:space="preserve">Distr.: </w:t>
            </w:r>
            <w:bookmarkStart w:id="3" w:name="Distribution"/>
            <w:r w:rsidRPr="00845FB7">
              <w:rPr>
                <w:lang w:val="en-GB"/>
              </w:rPr>
              <w:t>General</w:t>
            </w:r>
            <w:bookmarkEnd w:id="3"/>
            <w:r w:rsidRPr="00845FB7">
              <w:rPr>
                <w:lang w:val="en-GB"/>
              </w:rPr>
              <w:t xml:space="preserve"> </w:t>
            </w:r>
          </w:p>
          <w:p w14:paraId="1071DF7B" w14:textId="7D21260C" w:rsidR="009C5B5F" w:rsidRPr="00845FB7" w:rsidRDefault="008B3DA4" w:rsidP="009F2FB4">
            <w:pPr>
              <w:pStyle w:val="AText0"/>
              <w:rPr>
                <w:lang w:val="en-GB"/>
              </w:rPr>
            </w:pPr>
            <w:bookmarkStart w:id="4" w:name="DistributionDate"/>
            <w:r w:rsidRPr="00845FB7">
              <w:rPr>
                <w:lang w:val="en-GB"/>
              </w:rPr>
              <w:t>5</w:t>
            </w:r>
            <w:r w:rsidR="00A23337" w:rsidRPr="00845FB7">
              <w:rPr>
                <w:lang w:val="en-GB"/>
              </w:rPr>
              <w:t xml:space="preserve"> August </w:t>
            </w:r>
            <w:r w:rsidR="009C5B5F" w:rsidRPr="00845FB7">
              <w:rPr>
                <w:lang w:val="en-GB"/>
              </w:rPr>
              <w:t>202</w:t>
            </w:r>
            <w:bookmarkEnd w:id="4"/>
            <w:r w:rsidR="00A112E2" w:rsidRPr="00845FB7">
              <w:rPr>
                <w:lang w:val="en-GB"/>
              </w:rPr>
              <w:t>5</w:t>
            </w:r>
            <w:r w:rsidR="009C5B5F" w:rsidRPr="00845FB7">
              <w:rPr>
                <w:lang w:val="en-GB"/>
              </w:rPr>
              <w:t xml:space="preserve"> </w:t>
            </w:r>
          </w:p>
          <w:p w14:paraId="7B973CFC" w14:textId="77777777" w:rsidR="009C5B5F" w:rsidRPr="00845FB7" w:rsidRDefault="009C5B5F" w:rsidP="009F2FB4">
            <w:pPr>
              <w:pStyle w:val="AText"/>
              <w:rPr>
                <w:lang w:val="en-GB"/>
              </w:rPr>
            </w:pPr>
            <w:bookmarkStart w:id="5" w:name="DistributionLang"/>
            <w:r w:rsidRPr="00845FB7">
              <w:rPr>
                <w:lang w:val="en-GB"/>
              </w:rPr>
              <w:t>English only</w:t>
            </w:r>
            <w:bookmarkEnd w:id="5"/>
          </w:p>
        </w:tc>
      </w:tr>
    </w:tbl>
    <w:p w14:paraId="77FE884B" w14:textId="77777777" w:rsidR="009C5B5F" w:rsidRPr="00845FB7" w:rsidRDefault="009C5B5F" w:rsidP="00E51041">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9C5B5F" w:rsidRPr="00845FB7" w14:paraId="32A2AB4F" w14:textId="77777777" w:rsidTr="009F2FB4">
        <w:trPr>
          <w:trHeight w:val="57"/>
        </w:trPr>
        <w:tc>
          <w:tcPr>
            <w:tcW w:w="4734" w:type="dxa"/>
          </w:tcPr>
          <w:p w14:paraId="7ABF9DF4" w14:textId="77777777" w:rsidR="009C5B5F" w:rsidRPr="00845FB7" w:rsidRDefault="009C5B5F" w:rsidP="00E51041">
            <w:pPr>
              <w:pStyle w:val="AATitle"/>
              <w:tabs>
                <w:tab w:val="clear" w:pos="1247"/>
                <w:tab w:val="clear" w:pos="1814"/>
                <w:tab w:val="clear" w:pos="2381"/>
                <w:tab w:val="clear" w:pos="2948"/>
                <w:tab w:val="clear" w:pos="3515"/>
                <w:tab w:val="clear" w:pos="4082"/>
                <w:tab w:val="left" w:pos="624"/>
                <w:tab w:val="left" w:pos="1871"/>
                <w:tab w:val="left" w:pos="2495"/>
                <w:tab w:val="right" w:pos="2920"/>
                <w:tab w:val="left" w:pos="3119"/>
                <w:tab w:val="left" w:pos="3742"/>
                <w:tab w:val="left" w:pos="4366"/>
              </w:tabs>
              <w:ind w:right="0"/>
            </w:pPr>
            <w:bookmarkStart w:id="6" w:name="CorNot1Text"/>
            <w:r w:rsidRPr="00845FB7">
              <w:t xml:space="preserve">Conference of the Parties to the </w:t>
            </w:r>
            <w:r w:rsidRPr="00845FB7">
              <w:br/>
              <w:t xml:space="preserve">Minamata Convention on </w:t>
            </w:r>
            <w:r w:rsidRPr="00845FB7">
              <w:rPr>
                <w:rFonts w:eastAsia="Times New Roman"/>
              </w:rPr>
              <w:t>Mercury</w:t>
            </w:r>
            <w:r w:rsidRPr="00845FB7">
              <w:t xml:space="preserve"> </w:t>
            </w:r>
          </w:p>
          <w:p w14:paraId="241B8B75" w14:textId="386B0F72" w:rsidR="009C5B5F" w:rsidRPr="00845FB7" w:rsidRDefault="00A112E2" w:rsidP="00163CFF">
            <w:pPr>
              <w:pStyle w:val="AATitle"/>
              <w:tabs>
                <w:tab w:val="clear" w:pos="1247"/>
                <w:tab w:val="clear" w:pos="1814"/>
                <w:tab w:val="clear" w:pos="2381"/>
                <w:tab w:val="clear" w:pos="2948"/>
                <w:tab w:val="clear" w:pos="3515"/>
                <w:tab w:val="clear" w:pos="4082"/>
                <w:tab w:val="left" w:pos="624"/>
                <w:tab w:val="left" w:pos="1871"/>
                <w:tab w:val="left" w:pos="2495"/>
                <w:tab w:val="right" w:pos="2920"/>
                <w:tab w:val="left" w:pos="3119"/>
                <w:tab w:val="left" w:pos="3742"/>
                <w:tab w:val="left" w:pos="4366"/>
              </w:tabs>
              <w:ind w:right="0"/>
            </w:pPr>
            <w:r w:rsidRPr="00845FB7">
              <w:t>Sixth</w:t>
            </w:r>
            <w:r w:rsidR="009C5B5F" w:rsidRPr="00845FB7">
              <w:t xml:space="preserve"> meeting</w:t>
            </w:r>
            <w:bookmarkEnd w:id="6"/>
            <w:r w:rsidR="009C5B5F" w:rsidRPr="00845FB7">
              <w:t xml:space="preserve"> </w:t>
            </w:r>
          </w:p>
          <w:p w14:paraId="4FC1DE0C" w14:textId="01CB852E" w:rsidR="009C5B5F" w:rsidRPr="00845FB7" w:rsidRDefault="009C5B5F" w:rsidP="00163CFF">
            <w:pPr>
              <w:pStyle w:val="AATitle1"/>
              <w:rPr>
                <w:lang w:val="en-GB"/>
              </w:rPr>
            </w:pPr>
            <w:bookmarkStart w:id="7" w:name="CorNot1VenueDate"/>
            <w:r w:rsidRPr="00845FB7">
              <w:rPr>
                <w:lang w:val="en-GB"/>
              </w:rPr>
              <w:t>Geneva, 3</w:t>
            </w:r>
            <w:r w:rsidR="00A23337" w:rsidRPr="00845FB7">
              <w:rPr>
                <w:lang w:val="en-GB"/>
              </w:rPr>
              <w:t>–</w:t>
            </w:r>
            <w:r w:rsidR="00A112E2" w:rsidRPr="00845FB7">
              <w:rPr>
                <w:lang w:val="en-GB"/>
              </w:rPr>
              <w:t>7</w:t>
            </w:r>
            <w:r w:rsidRPr="00845FB7">
              <w:rPr>
                <w:lang w:val="en-GB"/>
              </w:rPr>
              <w:t xml:space="preserve"> November 202</w:t>
            </w:r>
            <w:bookmarkEnd w:id="7"/>
            <w:r w:rsidR="00A112E2" w:rsidRPr="00845FB7">
              <w:rPr>
                <w:lang w:val="en-GB"/>
              </w:rPr>
              <w:t>5</w:t>
            </w:r>
            <w:r w:rsidRPr="00845FB7">
              <w:rPr>
                <w:lang w:val="en-GB"/>
              </w:rPr>
              <w:t xml:space="preserve"> </w:t>
            </w:r>
          </w:p>
          <w:p w14:paraId="5B704454" w14:textId="7D4B7B1A" w:rsidR="009C5B5F" w:rsidRPr="00845FB7" w:rsidRDefault="009C5B5F" w:rsidP="00163CFF">
            <w:pPr>
              <w:pStyle w:val="AATitle1"/>
              <w:rPr>
                <w:lang w:val="en-GB"/>
              </w:rPr>
            </w:pPr>
            <w:bookmarkStart w:id="8" w:name="CorNot1AgItem"/>
            <w:r w:rsidRPr="00845FB7">
              <w:rPr>
                <w:lang w:val="en-GB"/>
              </w:rPr>
              <w:t>Item 6 of the provisional agenda</w:t>
            </w:r>
            <w:bookmarkEnd w:id="8"/>
            <w:r w:rsidR="00095C67" w:rsidRPr="006D645B">
              <w:rPr>
                <w:rStyle w:val="FootnoteReference"/>
                <w:rFonts w:eastAsia="MS Mincho"/>
                <w:vertAlign w:val="baseline"/>
              </w:rPr>
              <w:footnoteReference w:customMarkFollows="1" w:id="3"/>
              <w:t>**</w:t>
            </w:r>
          </w:p>
          <w:p w14:paraId="7CFA3FC6" w14:textId="77777777" w:rsidR="009C5B5F" w:rsidRPr="00845FB7" w:rsidRDefault="009C5B5F" w:rsidP="00163CFF">
            <w:pPr>
              <w:pStyle w:val="AATitle2"/>
              <w:tabs>
                <w:tab w:val="clear" w:pos="1247"/>
                <w:tab w:val="clear" w:pos="1814"/>
                <w:tab w:val="clear" w:pos="2381"/>
                <w:tab w:val="clear" w:pos="2948"/>
                <w:tab w:val="clear" w:pos="3515"/>
                <w:tab w:val="left" w:pos="624"/>
                <w:tab w:val="left" w:pos="1871"/>
                <w:tab w:val="left" w:pos="2495"/>
                <w:tab w:val="right" w:pos="2920"/>
                <w:tab w:val="left" w:pos="3119"/>
                <w:tab w:val="left" w:pos="3742"/>
                <w:tab w:val="left" w:pos="4366"/>
              </w:tabs>
              <w:spacing w:before="120"/>
              <w:ind w:right="0"/>
            </w:pPr>
            <w:bookmarkStart w:id="9" w:name="CorNot1AgTitle"/>
            <w:r w:rsidRPr="00845FB7">
              <w:t xml:space="preserve">Programme of work and </w:t>
            </w:r>
            <w:r w:rsidRPr="00845FB7">
              <w:rPr>
                <w:rFonts w:eastAsia="Times New Roman"/>
              </w:rPr>
              <w:t>budget</w:t>
            </w:r>
            <w:r w:rsidRPr="00845FB7">
              <w:t xml:space="preserve"> </w:t>
            </w:r>
            <w:bookmarkEnd w:id="9"/>
          </w:p>
        </w:tc>
        <w:tc>
          <w:tcPr>
            <w:tcW w:w="4762" w:type="dxa"/>
          </w:tcPr>
          <w:p w14:paraId="276D9966" w14:textId="77777777" w:rsidR="009C5B5F" w:rsidRPr="00845FB7" w:rsidRDefault="009C5B5F" w:rsidP="00E51041">
            <w:pPr>
              <w:pStyle w:val="AATitle1"/>
              <w:rPr>
                <w:lang w:val="en-GB"/>
              </w:rPr>
            </w:pPr>
          </w:p>
        </w:tc>
      </w:tr>
    </w:tbl>
    <w:p w14:paraId="2592B398" w14:textId="09AEF243" w:rsidR="009C5B5F" w:rsidRPr="00845FB7" w:rsidRDefault="009C5B5F" w:rsidP="009C5B5F">
      <w:pPr>
        <w:pStyle w:val="BBTitle"/>
        <w:rPr>
          <w:rFonts w:eastAsia="SimSun"/>
        </w:rPr>
      </w:pPr>
      <w:r w:rsidRPr="00845FB7">
        <w:rPr>
          <w:rFonts w:eastAsia="SimSun"/>
        </w:rPr>
        <w:t>Programme of work and budget for the biennium 202</w:t>
      </w:r>
      <w:r w:rsidR="00E46D95" w:rsidRPr="00845FB7">
        <w:rPr>
          <w:rFonts w:eastAsia="SimSun"/>
        </w:rPr>
        <w:t>6</w:t>
      </w:r>
      <w:r w:rsidRPr="00845FB7">
        <w:rPr>
          <w:rFonts w:eastAsia="SimSun"/>
        </w:rPr>
        <w:t>–202</w:t>
      </w:r>
      <w:r w:rsidR="00E46D95" w:rsidRPr="00845FB7">
        <w:rPr>
          <w:rFonts w:eastAsia="SimSun"/>
        </w:rPr>
        <w:t>7</w:t>
      </w:r>
      <w:r w:rsidRPr="00845FB7">
        <w:rPr>
          <w:rFonts w:eastAsia="SimSun"/>
        </w:rPr>
        <w:t>: budget activity fact sheets</w:t>
      </w:r>
      <w:r w:rsidR="006C593F" w:rsidRPr="006D645B">
        <w:rPr>
          <w:rStyle w:val="FootnoteReference"/>
          <w:rFonts w:eastAsia="MS Mincho"/>
          <w:vertAlign w:val="baseline"/>
        </w:rPr>
        <w:footnoteReference w:customMarkFollows="1" w:id="4"/>
        <w:t>***</w:t>
      </w:r>
    </w:p>
    <w:p w14:paraId="6D12C0E3" w14:textId="7627D95F" w:rsidR="00162DD6" w:rsidRPr="00845FB7" w:rsidRDefault="00CD11AC" w:rsidP="00CD11AC">
      <w:pPr>
        <w:pStyle w:val="CH2"/>
      </w:pPr>
      <w:r w:rsidRPr="00845FB7">
        <w:tab/>
      </w:r>
      <w:r w:rsidRPr="00845FB7">
        <w:tab/>
      </w:r>
      <w:r w:rsidR="000D7F1B" w:rsidRPr="00845FB7">
        <w:t>Note by the secretariat</w:t>
      </w:r>
    </w:p>
    <w:p w14:paraId="02C857D6" w14:textId="414C28F4" w:rsidR="00D06D53" w:rsidRPr="00845FB7" w:rsidRDefault="00D06D53" w:rsidP="00E51041">
      <w:pPr>
        <w:pStyle w:val="Normalnumber"/>
        <w:tabs>
          <w:tab w:val="clear" w:pos="1134"/>
          <w:tab w:val="left" w:pos="624"/>
        </w:tabs>
      </w:pPr>
      <w:r w:rsidRPr="00845FB7">
        <w:t xml:space="preserve">The </w:t>
      </w:r>
      <w:r w:rsidR="00D95A80" w:rsidRPr="00845FB7">
        <w:t xml:space="preserve">proposed </w:t>
      </w:r>
      <w:r w:rsidRPr="00845FB7">
        <w:t>programme of work and budget for the biennium 202</w:t>
      </w:r>
      <w:r w:rsidR="000A30A0" w:rsidRPr="00845FB7">
        <w:t>6</w:t>
      </w:r>
      <w:r w:rsidRPr="00845FB7">
        <w:t>–202</w:t>
      </w:r>
      <w:r w:rsidR="000A30A0" w:rsidRPr="00845FB7">
        <w:t>7</w:t>
      </w:r>
      <w:r w:rsidRPr="00845FB7">
        <w:t xml:space="preserve"> is presented in document UNEP/MC/COP.</w:t>
      </w:r>
      <w:r w:rsidR="000A30A0" w:rsidRPr="00845FB7">
        <w:t>6</w:t>
      </w:r>
      <w:r w:rsidRPr="00845FB7">
        <w:t>/</w:t>
      </w:r>
      <w:r w:rsidR="00327E45" w:rsidRPr="00845FB7">
        <w:t>23</w:t>
      </w:r>
      <w:r w:rsidRPr="00845FB7">
        <w:t>. The annex to the present note complements th</w:t>
      </w:r>
      <w:r w:rsidR="00E55DD6" w:rsidRPr="00845FB7">
        <w:t>at</w:t>
      </w:r>
      <w:r w:rsidRPr="00845FB7">
        <w:t xml:space="preserve"> proposal by setting out activity fact sheets for each budget element of the programme of work</w:t>
      </w:r>
      <w:r w:rsidR="00DC5EC2" w:rsidRPr="00845FB7">
        <w:t xml:space="preserve"> of the </w:t>
      </w:r>
      <w:r w:rsidR="006D2E0E" w:rsidRPr="00845FB7">
        <w:t xml:space="preserve">Minamata </w:t>
      </w:r>
      <w:r w:rsidR="00DC5EC2" w:rsidRPr="00845FB7">
        <w:t>Convention</w:t>
      </w:r>
      <w:r w:rsidR="006D2E0E" w:rsidRPr="00845FB7">
        <w:t xml:space="preserve"> on Mercury</w:t>
      </w:r>
      <w:r w:rsidRPr="00845FB7">
        <w:t xml:space="preserve">. The fact sheets provide additional information on the work planned for </w:t>
      </w:r>
      <w:r w:rsidR="00E55DD6" w:rsidRPr="00845FB7">
        <w:t xml:space="preserve">the biennium </w:t>
      </w:r>
      <w:r w:rsidRPr="00845FB7">
        <w:t>202</w:t>
      </w:r>
      <w:r w:rsidR="002D31D5" w:rsidRPr="00845FB7">
        <w:t>6</w:t>
      </w:r>
      <w:r w:rsidRPr="00845FB7">
        <w:t>–202</w:t>
      </w:r>
      <w:r w:rsidR="002D31D5" w:rsidRPr="00845FB7">
        <w:t>7</w:t>
      </w:r>
      <w:r w:rsidRPr="00845FB7">
        <w:t xml:space="preserve">, including </w:t>
      </w:r>
      <w:r w:rsidR="00E55DD6" w:rsidRPr="00845FB7">
        <w:t>on</w:t>
      </w:r>
      <w:r w:rsidRPr="00845FB7">
        <w:t xml:space="preserve"> mandate</w:t>
      </w:r>
      <w:r w:rsidR="001300E8" w:rsidRPr="00845FB7">
        <w:t>s</w:t>
      </w:r>
      <w:r w:rsidRPr="00845FB7">
        <w:t xml:space="preserve">, background </w:t>
      </w:r>
      <w:r w:rsidR="001300E8" w:rsidRPr="00845FB7">
        <w:t xml:space="preserve">information </w:t>
      </w:r>
      <w:r w:rsidRPr="00845FB7">
        <w:t>and rationale</w:t>
      </w:r>
      <w:r w:rsidR="001300E8" w:rsidRPr="00845FB7">
        <w:t>s</w:t>
      </w:r>
      <w:r w:rsidRPr="00845FB7">
        <w:t xml:space="preserve">, activities and outputs, </w:t>
      </w:r>
      <w:r w:rsidR="00C76273" w:rsidRPr="00845FB7">
        <w:t>and</w:t>
      </w:r>
      <w:r w:rsidR="00CC6B0E" w:rsidRPr="00845FB7">
        <w:t xml:space="preserve"> </w:t>
      </w:r>
      <w:r w:rsidRPr="00845FB7">
        <w:t xml:space="preserve">costs associated with specific activities. </w:t>
      </w:r>
    </w:p>
    <w:p w14:paraId="3CA003F3" w14:textId="418E84C7" w:rsidR="00415B3C" w:rsidRPr="00845FB7" w:rsidRDefault="00EE3DB2" w:rsidP="00DE47ED">
      <w:pPr>
        <w:pStyle w:val="Normalnumber"/>
        <w:tabs>
          <w:tab w:val="clear" w:pos="1134"/>
          <w:tab w:val="left" w:pos="624"/>
        </w:tabs>
        <w:sectPr w:rsidR="00415B3C" w:rsidRPr="00845FB7" w:rsidSect="00BD36F8">
          <w:headerReference w:type="even" r:id="rId13"/>
          <w:footerReference w:type="even" r:id="rId14"/>
          <w:footerReference w:type="default" r:id="rId15"/>
          <w:headerReference w:type="first" r:id="rId16"/>
          <w:footerReference w:type="first" r:id="rId17"/>
          <w:type w:val="continuous"/>
          <w:pgSz w:w="11906" w:h="16838" w:code="9"/>
          <w:pgMar w:top="907" w:right="992" w:bottom="1418" w:left="1418" w:header="539" w:footer="975" w:gutter="0"/>
          <w:cols w:space="708"/>
          <w:docGrid w:linePitch="360"/>
        </w:sectPr>
      </w:pPr>
      <w:r w:rsidRPr="00845FB7">
        <w:t xml:space="preserve">The programmatic description of the activities is aligned with </w:t>
      </w:r>
      <w:r w:rsidR="00CC6B0E" w:rsidRPr="00845FB7">
        <w:t>document</w:t>
      </w:r>
      <w:r w:rsidR="009668E0" w:rsidRPr="00845FB7">
        <w:t xml:space="preserve"> U</w:t>
      </w:r>
      <w:r w:rsidR="00CC6B0E" w:rsidRPr="00845FB7">
        <w:t>NEP/MC/COP.</w:t>
      </w:r>
      <w:r w:rsidR="002D31D5" w:rsidRPr="00845FB7">
        <w:t>6</w:t>
      </w:r>
      <w:r w:rsidR="00CC6B0E" w:rsidRPr="00845FB7">
        <w:t>/</w:t>
      </w:r>
      <w:r w:rsidR="00327E45" w:rsidRPr="00845FB7">
        <w:t>23</w:t>
      </w:r>
      <w:r w:rsidR="00F84249" w:rsidRPr="00845FB7">
        <w:t xml:space="preserve">. Each </w:t>
      </w:r>
      <w:r w:rsidRPr="00845FB7">
        <w:t>activity</w:t>
      </w:r>
      <w:r w:rsidR="007C4ABB" w:rsidRPr="00845FB7">
        <w:t xml:space="preserve"> or </w:t>
      </w:r>
      <w:r w:rsidR="004F0D0B" w:rsidRPr="00845FB7">
        <w:t xml:space="preserve">cluster of activities </w:t>
      </w:r>
      <w:r w:rsidR="00F84249" w:rsidRPr="00845FB7">
        <w:t xml:space="preserve">is </w:t>
      </w:r>
      <w:r w:rsidR="00077596" w:rsidRPr="00845FB7">
        <w:t>indicated</w:t>
      </w:r>
      <w:r w:rsidR="00F84249" w:rsidRPr="00845FB7">
        <w:t xml:space="preserve"> as “staff cost</w:t>
      </w:r>
      <w:r w:rsidR="006F005C" w:rsidRPr="00845FB7">
        <w:t>s”</w:t>
      </w:r>
      <w:r w:rsidR="00185440" w:rsidRPr="00845FB7">
        <w:t>,</w:t>
      </w:r>
      <w:r w:rsidR="006F005C" w:rsidRPr="00845FB7">
        <w:t xml:space="preserve"> if it can be </w:t>
      </w:r>
      <w:r w:rsidR="003678E2" w:rsidRPr="00845FB7">
        <w:t xml:space="preserve">carried out </w:t>
      </w:r>
      <w:r w:rsidR="00165A63" w:rsidRPr="00845FB7">
        <w:t>with existing staffing</w:t>
      </w:r>
      <w:r w:rsidR="00793309" w:rsidRPr="00845FB7">
        <w:t>;</w:t>
      </w:r>
      <w:r w:rsidR="006F005C" w:rsidRPr="00845FB7">
        <w:t xml:space="preserve"> as “subject to the availability of </w:t>
      </w:r>
      <w:r w:rsidR="00DD7356" w:rsidRPr="00845FB7">
        <w:t>resources</w:t>
      </w:r>
      <w:r w:rsidR="006F005C" w:rsidRPr="00845FB7">
        <w:t>”</w:t>
      </w:r>
      <w:r w:rsidR="00185440" w:rsidRPr="00845FB7">
        <w:t>,</w:t>
      </w:r>
      <w:r w:rsidR="006F005C" w:rsidRPr="00845FB7">
        <w:t xml:space="preserve"> if</w:t>
      </w:r>
      <w:r w:rsidR="003678E2" w:rsidRPr="00845FB7">
        <w:t xml:space="preserve"> </w:t>
      </w:r>
      <w:r w:rsidR="00544E68" w:rsidRPr="00845FB7">
        <w:t xml:space="preserve">it </w:t>
      </w:r>
      <w:r w:rsidR="003678E2" w:rsidRPr="00845FB7">
        <w:t xml:space="preserve">is subject to </w:t>
      </w:r>
      <w:r w:rsidR="006A7B3D" w:rsidRPr="00845FB7">
        <w:t>dono</w:t>
      </w:r>
      <w:r w:rsidR="00CC250F" w:rsidRPr="00845FB7">
        <w:t>r</w:t>
      </w:r>
      <w:r w:rsidR="006A7B3D" w:rsidRPr="00845FB7">
        <w:t xml:space="preserve"> funding to </w:t>
      </w:r>
      <w:r w:rsidR="00CC250F" w:rsidRPr="00845FB7">
        <w:t xml:space="preserve">the </w:t>
      </w:r>
      <w:r w:rsidR="00015769" w:rsidRPr="00845FB7">
        <w:t>s</w:t>
      </w:r>
      <w:r w:rsidR="00CC250F" w:rsidRPr="00845FB7">
        <w:t xml:space="preserve">pecial </w:t>
      </w:r>
      <w:r w:rsidR="00015769" w:rsidRPr="00845FB7">
        <w:t>t</w:t>
      </w:r>
      <w:r w:rsidR="00CC250F" w:rsidRPr="00845FB7">
        <w:t xml:space="preserve">rust </w:t>
      </w:r>
      <w:r w:rsidR="00015769" w:rsidRPr="00845FB7">
        <w:t>f</w:t>
      </w:r>
      <w:r w:rsidR="00CC250F" w:rsidRPr="00845FB7">
        <w:t>und</w:t>
      </w:r>
      <w:r w:rsidR="00CA1E29" w:rsidRPr="00845FB7">
        <w:t xml:space="preserve"> </w:t>
      </w:r>
      <w:r w:rsidR="00185440" w:rsidRPr="00845FB7">
        <w:t xml:space="preserve">for </w:t>
      </w:r>
      <w:r w:rsidR="00CA1E29" w:rsidRPr="00845FB7">
        <w:t>the Minamata Convention</w:t>
      </w:r>
      <w:r w:rsidR="00185440" w:rsidRPr="00845FB7">
        <w:t>;</w:t>
      </w:r>
      <w:r w:rsidR="006F005C" w:rsidRPr="00845FB7">
        <w:t xml:space="preserve"> </w:t>
      </w:r>
      <w:r w:rsidR="005D5A6E" w:rsidRPr="00845FB7">
        <w:t>or</w:t>
      </w:r>
      <w:r w:rsidR="00580A7E" w:rsidRPr="00845FB7">
        <w:t xml:space="preserve"> </w:t>
      </w:r>
      <w:r w:rsidR="0034679F" w:rsidRPr="00845FB7">
        <w:t xml:space="preserve">as </w:t>
      </w:r>
      <w:r w:rsidR="00DE0E00" w:rsidRPr="00845FB7">
        <w:t>n</w:t>
      </w:r>
      <w:r w:rsidR="00C76273" w:rsidRPr="00845FB7">
        <w:t>either</w:t>
      </w:r>
      <w:r w:rsidR="0034679F" w:rsidRPr="00845FB7">
        <w:t xml:space="preserve"> of the </w:t>
      </w:r>
      <w:r w:rsidR="001300E8" w:rsidRPr="00845FB7">
        <w:t>preceding</w:t>
      </w:r>
      <w:r w:rsidR="007855B2" w:rsidRPr="00845FB7">
        <w:t>,</w:t>
      </w:r>
      <w:r w:rsidR="0034679F" w:rsidRPr="00845FB7">
        <w:t xml:space="preserve"> if </w:t>
      </w:r>
      <w:r w:rsidR="00BA3027" w:rsidRPr="00845FB7">
        <w:t xml:space="preserve">it depends on </w:t>
      </w:r>
      <w:r w:rsidR="007855B2" w:rsidRPr="00845FB7">
        <w:t xml:space="preserve">an </w:t>
      </w:r>
      <w:r w:rsidR="00BA3027" w:rsidRPr="00845FB7">
        <w:t xml:space="preserve">allocation </w:t>
      </w:r>
      <w:r w:rsidR="007855B2" w:rsidRPr="00845FB7">
        <w:t xml:space="preserve">from </w:t>
      </w:r>
      <w:r w:rsidR="009766E4" w:rsidRPr="00845FB7">
        <w:t xml:space="preserve">the budget </w:t>
      </w:r>
      <w:r w:rsidR="007855B2" w:rsidRPr="00845FB7">
        <w:t xml:space="preserve">of </w:t>
      </w:r>
      <w:r w:rsidR="0080058F" w:rsidRPr="00845FB7">
        <w:t xml:space="preserve">the </w:t>
      </w:r>
      <w:r w:rsidR="00015769" w:rsidRPr="00845FB7">
        <w:t>g</w:t>
      </w:r>
      <w:r w:rsidR="0080058F" w:rsidRPr="00845FB7">
        <w:t xml:space="preserve">eneral </w:t>
      </w:r>
      <w:r w:rsidR="00015769" w:rsidRPr="00845FB7">
        <w:t>t</w:t>
      </w:r>
      <w:r w:rsidR="0080058F" w:rsidRPr="00845FB7">
        <w:t xml:space="preserve">rust </w:t>
      </w:r>
      <w:r w:rsidR="00015769" w:rsidRPr="00845FB7">
        <w:t>f</w:t>
      </w:r>
      <w:r w:rsidR="0080058F" w:rsidRPr="00845FB7">
        <w:t>und</w:t>
      </w:r>
      <w:r w:rsidR="00CA1E29" w:rsidRPr="00845FB7">
        <w:t xml:space="preserve"> </w:t>
      </w:r>
      <w:r w:rsidR="001B653B" w:rsidRPr="00845FB7">
        <w:t xml:space="preserve">for </w:t>
      </w:r>
      <w:r w:rsidR="00CA1E29" w:rsidRPr="00845FB7">
        <w:t>the Convention</w:t>
      </w:r>
      <w:r w:rsidR="0080058F" w:rsidRPr="00845FB7">
        <w:t xml:space="preserve">. </w:t>
      </w:r>
      <w:r w:rsidR="00170514" w:rsidRPr="00845FB7">
        <w:br w:type="page"/>
      </w:r>
    </w:p>
    <w:p w14:paraId="7F02869E" w14:textId="535AAA8E" w:rsidR="00DE48EA" w:rsidRPr="00845FB7" w:rsidRDefault="00795013" w:rsidP="00795013">
      <w:pPr>
        <w:pStyle w:val="Normalnumber"/>
        <w:numPr>
          <w:ilvl w:val="0"/>
          <w:numId w:val="0"/>
        </w:numPr>
        <w:rPr>
          <w:b/>
          <w:bCs/>
          <w:sz w:val="28"/>
          <w:szCs w:val="28"/>
        </w:rPr>
      </w:pPr>
      <w:r w:rsidRPr="00845FB7">
        <w:rPr>
          <w:b/>
          <w:bCs/>
          <w:sz w:val="28"/>
          <w:szCs w:val="28"/>
        </w:rPr>
        <w:lastRenderedPageBreak/>
        <w:t>Annex</w:t>
      </w:r>
    </w:p>
    <w:p w14:paraId="167FA72E" w14:textId="15205470" w:rsidR="0098530B" w:rsidRPr="00845FB7" w:rsidRDefault="00EC2933" w:rsidP="00F67175">
      <w:pPr>
        <w:pStyle w:val="ZZAnxtitle"/>
      </w:pPr>
      <w:r w:rsidRPr="00845FB7">
        <w:t xml:space="preserve">Programme of work and budget for </w:t>
      </w:r>
      <w:r w:rsidR="00015769" w:rsidRPr="00845FB7">
        <w:t xml:space="preserve">the biennium </w:t>
      </w:r>
      <w:r w:rsidRPr="00845FB7">
        <w:t>202</w:t>
      </w:r>
      <w:r w:rsidR="102BCDBB" w:rsidRPr="00845FB7">
        <w:t>6</w:t>
      </w:r>
      <w:r w:rsidRPr="00845FB7">
        <w:t>–202</w:t>
      </w:r>
      <w:r w:rsidR="7AD4D4CF" w:rsidRPr="00845FB7">
        <w:t>7</w:t>
      </w:r>
      <w:r w:rsidRPr="00845FB7">
        <w:t>: compilation of activity fact sheets for each budget element</w:t>
      </w:r>
    </w:p>
    <w:p w14:paraId="77F0CCA9" w14:textId="58D0AC62" w:rsidR="00291351" w:rsidRPr="00845FB7" w:rsidRDefault="00F67175" w:rsidP="00F67175">
      <w:pPr>
        <w:pStyle w:val="CH2"/>
      </w:pPr>
      <w:r w:rsidRPr="00845FB7">
        <w:tab/>
      </w:r>
      <w:r w:rsidRPr="00845FB7">
        <w:tab/>
      </w:r>
      <w:r w:rsidR="00291351" w:rsidRPr="00845FB7">
        <w:t>Table of contents</w:t>
      </w:r>
    </w:p>
    <w:p w14:paraId="6BE8681A" w14:textId="33F58425" w:rsidR="00291351" w:rsidRPr="00845FB7" w:rsidRDefault="00291351" w:rsidP="00F67175">
      <w:pPr>
        <w:pStyle w:val="Normalnumber"/>
        <w:numPr>
          <w:ilvl w:val="0"/>
          <w:numId w:val="0"/>
        </w:numPr>
        <w:ind w:left="1247"/>
        <w:rPr>
          <w:b/>
          <w:bCs/>
        </w:rPr>
      </w:pPr>
      <w:r w:rsidRPr="00845FB7">
        <w:rPr>
          <w:b/>
          <w:bCs/>
        </w:rPr>
        <w:t>Fact sheet A. Conferences and meetings…………………………………………………………….3</w:t>
      </w:r>
    </w:p>
    <w:p w14:paraId="4DEE9F43" w14:textId="4FF2F29C" w:rsidR="00291351" w:rsidRPr="00845FB7" w:rsidRDefault="00291351" w:rsidP="00F67175">
      <w:pPr>
        <w:pStyle w:val="Normalnumber"/>
        <w:numPr>
          <w:ilvl w:val="0"/>
          <w:numId w:val="0"/>
        </w:numPr>
        <w:ind w:left="1247"/>
        <w:rPr>
          <w:b/>
          <w:bCs/>
        </w:rPr>
      </w:pPr>
      <w:r w:rsidRPr="00845FB7">
        <w:rPr>
          <w:b/>
          <w:bCs/>
        </w:rPr>
        <w:t>Fact sheet B. Capacity-building and technical assistance…………………………………………1</w:t>
      </w:r>
      <w:r w:rsidR="00BD36F8" w:rsidRPr="00845FB7">
        <w:rPr>
          <w:b/>
          <w:bCs/>
        </w:rPr>
        <w:t>5</w:t>
      </w:r>
    </w:p>
    <w:p w14:paraId="5660A3E2" w14:textId="1CC2563A" w:rsidR="00291351" w:rsidRPr="00845FB7" w:rsidRDefault="00291351" w:rsidP="00F67175">
      <w:pPr>
        <w:pStyle w:val="Normalnumber"/>
        <w:numPr>
          <w:ilvl w:val="0"/>
          <w:numId w:val="0"/>
        </w:numPr>
        <w:ind w:left="1247"/>
        <w:rPr>
          <w:b/>
          <w:bCs/>
        </w:rPr>
      </w:pPr>
      <w:r w:rsidRPr="00845FB7">
        <w:rPr>
          <w:b/>
          <w:bCs/>
        </w:rPr>
        <w:t>Fact sheet C. Scientific and technical activities……………………………………………………22</w:t>
      </w:r>
    </w:p>
    <w:p w14:paraId="547BE712" w14:textId="75B4E12D" w:rsidR="00291351" w:rsidRPr="00845FB7" w:rsidRDefault="00291351" w:rsidP="00F67175">
      <w:pPr>
        <w:pStyle w:val="Normalnumber"/>
        <w:numPr>
          <w:ilvl w:val="0"/>
          <w:numId w:val="0"/>
        </w:numPr>
        <w:ind w:left="1247"/>
        <w:rPr>
          <w:b/>
          <w:bCs/>
        </w:rPr>
      </w:pPr>
      <w:r w:rsidRPr="00845FB7">
        <w:rPr>
          <w:b/>
          <w:bCs/>
        </w:rPr>
        <w:t>Fact sheet D. Knowledge and information management and outreach………………………….</w:t>
      </w:r>
      <w:r w:rsidR="00DE4529" w:rsidRPr="00845FB7">
        <w:rPr>
          <w:b/>
          <w:bCs/>
        </w:rPr>
        <w:t>4</w:t>
      </w:r>
      <w:r w:rsidR="00BD36F8" w:rsidRPr="00845FB7">
        <w:rPr>
          <w:b/>
          <w:bCs/>
        </w:rPr>
        <w:t>1</w:t>
      </w:r>
    </w:p>
    <w:p w14:paraId="305C92CE" w14:textId="27ADCA47" w:rsidR="00291351" w:rsidRPr="00845FB7" w:rsidRDefault="00291351" w:rsidP="00F67175">
      <w:pPr>
        <w:pStyle w:val="Normalnumber"/>
        <w:numPr>
          <w:ilvl w:val="0"/>
          <w:numId w:val="0"/>
        </w:numPr>
        <w:ind w:left="1247"/>
        <w:rPr>
          <w:b/>
          <w:bCs/>
        </w:rPr>
      </w:pPr>
      <w:r w:rsidRPr="00845FB7">
        <w:rPr>
          <w:b/>
          <w:bCs/>
        </w:rPr>
        <w:t xml:space="preserve">Fact sheet E. Overall management………………………………………………………………... </w:t>
      </w:r>
      <w:r w:rsidR="00DE4529" w:rsidRPr="00845FB7">
        <w:rPr>
          <w:b/>
          <w:bCs/>
        </w:rPr>
        <w:t>5</w:t>
      </w:r>
      <w:r w:rsidR="00BD36F8" w:rsidRPr="00845FB7">
        <w:rPr>
          <w:b/>
          <w:bCs/>
        </w:rPr>
        <w:t>4</w:t>
      </w:r>
    </w:p>
    <w:p w14:paraId="6A78A693" w14:textId="5B3FF299" w:rsidR="00291351" w:rsidRPr="00845FB7" w:rsidRDefault="00291351" w:rsidP="00F67175">
      <w:pPr>
        <w:pStyle w:val="Normalnumber"/>
        <w:numPr>
          <w:ilvl w:val="0"/>
          <w:numId w:val="0"/>
        </w:numPr>
        <w:ind w:left="1247"/>
        <w:rPr>
          <w:b/>
          <w:bCs/>
        </w:rPr>
      </w:pPr>
      <w:r w:rsidRPr="00845FB7">
        <w:rPr>
          <w:b/>
          <w:bCs/>
        </w:rPr>
        <w:t>Fact sheet F. Legal and policy activities……………………………………………………………6</w:t>
      </w:r>
      <w:r w:rsidR="008003F2" w:rsidRPr="00845FB7">
        <w:rPr>
          <w:b/>
          <w:bCs/>
        </w:rPr>
        <w:t>9</w:t>
      </w:r>
    </w:p>
    <w:p w14:paraId="319B4905" w14:textId="48FB4D4A" w:rsidR="00291351" w:rsidRPr="00845FB7" w:rsidRDefault="00291351" w:rsidP="00F67175">
      <w:pPr>
        <w:pStyle w:val="Normalnumber"/>
        <w:numPr>
          <w:ilvl w:val="0"/>
          <w:numId w:val="0"/>
        </w:numPr>
        <w:ind w:left="1247"/>
        <w:rPr>
          <w:b/>
          <w:bCs/>
        </w:rPr>
      </w:pPr>
      <w:r w:rsidRPr="00845FB7">
        <w:rPr>
          <w:b/>
          <w:bCs/>
        </w:rPr>
        <w:t>Fact sheet G. Office maintenance and service……………………………………………………. 7</w:t>
      </w:r>
      <w:r w:rsidR="008003F2" w:rsidRPr="00845FB7">
        <w:rPr>
          <w:b/>
          <w:bCs/>
        </w:rPr>
        <w:t>6</w:t>
      </w:r>
    </w:p>
    <w:p w14:paraId="609A9F83" w14:textId="3228046D" w:rsidR="001F7284" w:rsidRPr="00845FB7" w:rsidRDefault="00D06D53" w:rsidP="00933496">
      <w:pPr>
        <w:pStyle w:val="Normal-pool"/>
        <w:rPr>
          <w:lang w:val="en-GB"/>
        </w:rPr>
      </w:pPr>
      <w:r w:rsidRPr="00845FB7">
        <w:rPr>
          <w:lang w:val="en-GB"/>
        </w:rPr>
        <w:br w:type="page"/>
      </w:r>
    </w:p>
    <w:p w14:paraId="13F3F40A" w14:textId="056F26D9" w:rsidR="002F0A39" w:rsidRPr="00845FB7" w:rsidRDefault="00FF19A8" w:rsidP="00557A67">
      <w:pPr>
        <w:pStyle w:val="Heading1"/>
        <w:tabs>
          <w:tab w:val="right" w:pos="9496"/>
        </w:tabs>
        <w:rPr>
          <w:lang w:val="en-GB"/>
        </w:rPr>
      </w:pPr>
      <w:r w:rsidRPr="00845FB7">
        <w:rPr>
          <w:b w:val="0"/>
          <w:noProof/>
          <w:lang w:val="en-GB" w:bidi="fr-FR"/>
        </w:rPr>
        <w:lastRenderedPageBreak/>
        <mc:AlternateContent>
          <mc:Choice Requires="wps">
            <w:drawing>
              <wp:anchor distT="0" distB="0" distL="114300" distR="114300" simplePos="0" relativeHeight="251658240" behindDoc="1" locked="0" layoutInCell="1" allowOverlap="1" wp14:anchorId="422CF302" wp14:editId="476DDB29">
                <wp:simplePos x="0" y="0"/>
                <wp:positionH relativeFrom="page">
                  <wp:posOffset>844550</wp:posOffset>
                </wp:positionH>
                <wp:positionV relativeFrom="paragraph">
                  <wp:posOffset>-42545</wp:posOffset>
                </wp:positionV>
                <wp:extent cx="6108700" cy="633910"/>
                <wp:effectExtent l="0" t="0" r="6350" b="0"/>
                <wp:wrapNone/>
                <wp:docPr id="2" name="Rectangle 2" descr="P41#y1"/>
                <wp:cNvGraphicFramePr/>
                <a:graphic xmlns:a="http://schemas.openxmlformats.org/drawingml/2006/main">
                  <a:graphicData uri="http://schemas.microsoft.com/office/word/2010/wordprocessingShape">
                    <wps:wsp>
                      <wps:cNvSpPr/>
                      <wps:spPr>
                        <a:xfrm>
                          <a:off x="0" y="0"/>
                          <a:ext cx="6108700" cy="633910"/>
                        </a:xfrm>
                        <a:prstGeom prst="rect">
                          <a:avLst/>
                        </a:prstGeom>
                        <a:solidFill>
                          <a:srgbClr val="E8B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97B1809">
              <v:rect id="Rectangle 2" style="position:absolute;margin-left:66.5pt;margin-top:-3.35pt;width:481pt;height:4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P41#y1" o:spid="_x0000_s1026" fillcolor="#e8bc00" stroked="f" strokeweight="1pt" w14:anchorId="79AF7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">
                <w10:wrap anchorx="page"/>
              </v:rect>
            </w:pict>
          </mc:Fallback>
        </mc:AlternateContent>
      </w:r>
      <w:r w:rsidR="00574371" w:rsidRPr="00845FB7">
        <w:rPr>
          <w:lang w:val="en-GB"/>
        </w:rPr>
        <w:t xml:space="preserve">Fact sheet </w:t>
      </w:r>
      <w:r w:rsidR="00FC3083" w:rsidRPr="00845FB7">
        <w:rPr>
          <w:lang w:val="en-GB"/>
        </w:rPr>
        <w:t>A</w:t>
      </w:r>
      <w:r w:rsidR="00574371" w:rsidRPr="00845FB7">
        <w:rPr>
          <w:lang w:val="en-GB"/>
        </w:rPr>
        <w:t xml:space="preserve">. </w:t>
      </w:r>
      <w:bookmarkEnd w:id="0"/>
      <w:r w:rsidR="00FC3083" w:rsidRPr="00845FB7">
        <w:rPr>
          <w:lang w:val="en-GB"/>
        </w:rPr>
        <w:t>Conferences and meetings</w:t>
      </w:r>
      <w:r w:rsidR="00EA3DF8" w:rsidRPr="00845FB7">
        <w:rPr>
          <w:lang w:val="en-GB"/>
        </w:rPr>
        <w:tab/>
      </w:r>
    </w:p>
    <w:p w14:paraId="1B1254E3" w14:textId="07ACAE12" w:rsidR="00574371" w:rsidRPr="00845FB7" w:rsidRDefault="00574371" w:rsidP="7EAA2ABE">
      <w:pPr>
        <w:pStyle w:val="Heading2"/>
        <w:rPr>
          <w:rFonts w:cstheme="majorBidi"/>
          <w:color w:val="E8BC00"/>
          <w:sz w:val="36"/>
          <w:szCs w:val="36"/>
          <w:lang w:val="en-GB"/>
        </w:rPr>
      </w:pPr>
      <w:bookmarkStart w:id="10" w:name="_Toc71119482"/>
      <w:r w:rsidRPr="00845FB7">
        <w:rPr>
          <w:rFonts w:cstheme="majorBidi"/>
          <w:color w:val="E8BC00"/>
          <w:sz w:val="36"/>
          <w:szCs w:val="36"/>
          <w:lang w:val="en-GB"/>
        </w:rPr>
        <w:t>Activity 1</w:t>
      </w:r>
      <w:r w:rsidR="00CD6127" w:rsidRPr="00845FB7">
        <w:rPr>
          <w:rFonts w:cstheme="majorBidi"/>
          <w:color w:val="E8BC00"/>
          <w:sz w:val="36"/>
          <w:szCs w:val="36"/>
          <w:lang w:val="en-GB"/>
        </w:rPr>
        <w:t xml:space="preserve">. </w:t>
      </w:r>
      <w:bookmarkEnd w:id="10"/>
      <w:r w:rsidR="4F2C3A85" w:rsidRPr="00845FB7">
        <w:rPr>
          <w:rFonts w:cstheme="majorBidi"/>
          <w:color w:val="E8BC00"/>
          <w:sz w:val="36"/>
          <w:szCs w:val="36"/>
          <w:lang w:val="en-GB"/>
        </w:rPr>
        <w:t>Seventh</w:t>
      </w:r>
      <w:r w:rsidR="001F6090" w:rsidRPr="00845FB7">
        <w:rPr>
          <w:rFonts w:cstheme="majorBidi"/>
          <w:color w:val="E8BC00"/>
          <w:sz w:val="36"/>
          <w:szCs w:val="36"/>
          <w:lang w:val="en-GB"/>
        </w:rPr>
        <w:t xml:space="preserve"> </w:t>
      </w:r>
      <w:r w:rsidR="00447D05" w:rsidRPr="00845FB7">
        <w:rPr>
          <w:rFonts w:cstheme="majorBidi"/>
          <w:color w:val="E8BC00"/>
          <w:sz w:val="36"/>
          <w:szCs w:val="36"/>
          <w:lang w:val="en-GB"/>
        </w:rPr>
        <w:t>meeting of the Conference of the Parties</w:t>
      </w:r>
    </w:p>
    <w:p w14:paraId="7AD8F840" w14:textId="508DC8E4" w:rsidR="00574F5E" w:rsidRPr="00845FB7" w:rsidRDefault="00474FA5" w:rsidP="00C00CEF">
      <w:pPr>
        <w:pStyle w:val="Heading3"/>
        <w:rPr>
          <w:sz w:val="24"/>
          <w:lang w:val="en-GB"/>
        </w:rPr>
      </w:pPr>
      <w:bookmarkStart w:id="11" w:name="_Toc71119483"/>
      <w:r w:rsidRPr="00845FB7">
        <w:rPr>
          <w:sz w:val="24"/>
          <w:lang w:val="en-GB"/>
        </w:rPr>
        <w:t>Budget</w:t>
      </w:r>
      <w:bookmarkEnd w:id="11"/>
    </w:p>
    <w:p w14:paraId="4791C469" w14:textId="1958C5B6" w:rsidR="00DC7AD8" w:rsidRPr="00845FB7" w:rsidRDefault="00DC7AD8" w:rsidP="00DC7AD8">
      <w:pPr>
        <w:rPr>
          <w:lang w:val="en-GB"/>
        </w:rPr>
      </w:pPr>
      <w:r w:rsidRPr="00845FB7">
        <w:rPr>
          <w:lang w:val="en-GB"/>
        </w:rPr>
        <w:fldChar w:fldCharType="begin">
          <w:ffData>
            <w:name w:val=""/>
            <w:enabled w:val="0"/>
            <w:calcOnExit w:val="0"/>
            <w:checkBox>
              <w:sizeAuto/>
              <w:default w:val="1"/>
            </w:checkBox>
          </w:ffData>
        </w:fldChar>
      </w:r>
      <w:r w:rsidRPr="00845FB7">
        <w:rPr>
          <w:lang w:val="en-GB"/>
        </w:rPr>
        <w:instrText xml:space="preserve"> FORMCHECKBOX </w:instrText>
      </w:r>
      <w:r w:rsidR="0092003F">
        <w:rPr>
          <w:lang w:val="en-GB"/>
        </w:rPr>
      </w:r>
      <w:r w:rsidR="0092003F">
        <w:rPr>
          <w:lang w:val="en-GB"/>
        </w:rPr>
        <w:fldChar w:fldCharType="separate"/>
      </w:r>
      <w:r w:rsidRPr="00845FB7">
        <w:rPr>
          <w:lang w:val="en-GB"/>
        </w:rPr>
        <w:fldChar w:fldCharType="end"/>
      </w:r>
      <w:r w:rsidRPr="00845FB7">
        <w:rPr>
          <w:lang w:val="en-GB"/>
        </w:rPr>
        <w:t xml:space="preserve"> </w:t>
      </w:r>
      <w:r w:rsidR="00EE0591" w:rsidRPr="00845FB7">
        <w:rPr>
          <w:rFonts w:cstheme="majorBidi"/>
          <w:lang w:val="en-GB"/>
        </w:rPr>
        <w:t>General Trust Fund</w:t>
      </w:r>
      <w:r w:rsidR="00EE0591" w:rsidRPr="00845FB7">
        <w:rPr>
          <w:lang w:val="en-GB"/>
        </w:rPr>
        <w:t xml:space="preserve"> </w:t>
      </w:r>
      <w:r w:rsidR="003404D2" w:rsidRPr="00845FB7">
        <w:rPr>
          <w:lang w:val="en-GB"/>
        </w:rPr>
        <w:tab/>
      </w:r>
      <w:r w:rsidR="00245B85" w:rsidRPr="00845FB7">
        <w:rPr>
          <w:lang w:val="en-GB"/>
        </w:rPr>
        <w:fldChar w:fldCharType="begin">
          <w:ffData>
            <w:name w:val=""/>
            <w:enabled w:val="0"/>
            <w:calcOnExit w:val="0"/>
            <w:checkBox>
              <w:sizeAuto/>
              <w:default w:val="1"/>
            </w:checkBox>
          </w:ffData>
        </w:fldChar>
      </w:r>
      <w:r w:rsidR="00245B85" w:rsidRPr="00845FB7">
        <w:rPr>
          <w:lang w:val="en-GB"/>
        </w:rPr>
        <w:instrText xml:space="preserve"> FORMCHECKBOX </w:instrText>
      </w:r>
      <w:r w:rsidR="0092003F">
        <w:rPr>
          <w:lang w:val="en-GB"/>
        </w:rPr>
      </w:r>
      <w:r w:rsidR="0092003F">
        <w:rPr>
          <w:lang w:val="en-GB"/>
        </w:rPr>
        <w:fldChar w:fldCharType="separate"/>
      </w:r>
      <w:r w:rsidR="00245B85" w:rsidRPr="00845FB7">
        <w:rPr>
          <w:lang w:val="en-GB"/>
        </w:rPr>
        <w:fldChar w:fldCharType="end"/>
      </w:r>
      <w:r w:rsidR="00EE0591" w:rsidRPr="00845FB7">
        <w:rPr>
          <w:rFonts w:cstheme="majorBidi"/>
          <w:lang w:val="en-GB"/>
        </w:rPr>
        <w:t xml:space="preserve"> </w:t>
      </w:r>
      <w:r w:rsidR="006E117E" w:rsidRPr="00845FB7">
        <w:rPr>
          <w:rFonts w:cstheme="majorBidi"/>
          <w:lang w:val="en-GB"/>
        </w:rPr>
        <w:t xml:space="preserve">Special </w:t>
      </w:r>
      <w:r w:rsidR="00EE0591" w:rsidRPr="00845FB7">
        <w:rPr>
          <w:rFonts w:cstheme="majorBidi"/>
          <w:lang w:val="en-GB"/>
        </w:rPr>
        <w:t xml:space="preserve">Trust Fund </w:t>
      </w:r>
    </w:p>
    <w:p w14:paraId="0DC5D910" w14:textId="30C408E4" w:rsidR="001062A0" w:rsidRPr="00845FB7" w:rsidRDefault="001062A0" w:rsidP="0060318D">
      <w:pPr>
        <w:pStyle w:val="Heading3"/>
        <w:rPr>
          <w:sz w:val="24"/>
          <w:lang w:val="en-GB"/>
        </w:rPr>
      </w:pPr>
      <w:bookmarkStart w:id="12" w:name="_Toc71119484"/>
      <w:r w:rsidRPr="00845FB7">
        <w:rPr>
          <w:sz w:val="24"/>
          <w:lang w:val="en-GB"/>
        </w:rPr>
        <w:t>Reference</w:t>
      </w:r>
      <w:bookmarkEnd w:id="12"/>
    </w:p>
    <w:p w14:paraId="04ACD0C4" w14:textId="27C1A6BE" w:rsidR="001062A0" w:rsidRPr="00845FB7" w:rsidRDefault="00887EC9" w:rsidP="7EAA2ABE">
      <w:pPr>
        <w:snapToGrid w:val="0"/>
        <w:spacing w:before="60" w:after="60"/>
        <w:ind w:left="1985" w:hanging="1985"/>
        <w:rPr>
          <w:rFonts w:cstheme="majorBidi"/>
          <w:lang w:val="en-GB"/>
        </w:rPr>
      </w:pPr>
      <w:r w:rsidRPr="00845FB7">
        <w:rPr>
          <w:rFonts w:cstheme="majorBidi"/>
          <w:b/>
          <w:bCs/>
          <w:lang w:val="en-GB"/>
        </w:rPr>
        <w:t>UNEP/</w:t>
      </w:r>
      <w:r w:rsidR="0060318D" w:rsidRPr="00845FB7">
        <w:rPr>
          <w:rFonts w:cstheme="majorBidi"/>
          <w:b/>
          <w:bCs/>
          <w:lang w:val="en-GB"/>
        </w:rPr>
        <w:t>MC/COP.</w:t>
      </w:r>
      <w:r w:rsidR="005B75EE" w:rsidRPr="00845FB7">
        <w:rPr>
          <w:rFonts w:cstheme="majorBidi"/>
          <w:b/>
          <w:bCs/>
          <w:lang w:val="en-GB"/>
        </w:rPr>
        <w:t>6</w:t>
      </w:r>
      <w:r w:rsidR="0060318D" w:rsidRPr="00845FB7">
        <w:rPr>
          <w:rFonts w:cstheme="majorBidi"/>
          <w:b/>
          <w:bCs/>
          <w:lang w:val="en-GB"/>
        </w:rPr>
        <w:t>/</w:t>
      </w:r>
      <w:r w:rsidR="00375CC7" w:rsidRPr="00845FB7">
        <w:rPr>
          <w:rFonts w:cstheme="majorBidi"/>
          <w:b/>
          <w:bCs/>
          <w:lang w:val="en-GB"/>
        </w:rPr>
        <w:t>2</w:t>
      </w:r>
      <w:r w:rsidR="00327E45" w:rsidRPr="00845FB7">
        <w:rPr>
          <w:rFonts w:cstheme="majorBidi"/>
          <w:b/>
          <w:bCs/>
          <w:lang w:val="en-GB"/>
        </w:rPr>
        <w:t>3</w:t>
      </w:r>
      <w:r w:rsidR="000402D8" w:rsidRPr="00845FB7">
        <w:rPr>
          <w:rFonts w:cstheme="majorBidi"/>
          <w:b/>
          <w:bCs/>
          <w:lang w:val="en-GB"/>
        </w:rPr>
        <w:t>:</w:t>
      </w:r>
      <w:r w:rsidR="000402D8" w:rsidRPr="00845FB7">
        <w:rPr>
          <w:rFonts w:cstheme="majorBidi"/>
          <w:lang w:val="en-GB"/>
        </w:rPr>
        <w:t xml:space="preserve"> Programme of work and budget: proposed operational budgets for the two funding scenarios for the biennium </w:t>
      </w:r>
      <w:r w:rsidR="00E2051A" w:rsidRPr="00845FB7">
        <w:rPr>
          <w:rFonts w:cstheme="majorBidi"/>
          <w:lang w:val="en-GB"/>
        </w:rPr>
        <w:t>2026–2027</w:t>
      </w:r>
    </w:p>
    <w:p w14:paraId="626F418E" w14:textId="3F0D7718" w:rsidR="009D3387" w:rsidRPr="00845FB7" w:rsidRDefault="009D3387" w:rsidP="009D3387">
      <w:pPr>
        <w:pStyle w:val="Heading3"/>
        <w:rPr>
          <w:sz w:val="24"/>
          <w:lang w:val="en-GB"/>
        </w:rPr>
      </w:pPr>
      <w:r w:rsidRPr="00845FB7">
        <w:rPr>
          <w:sz w:val="24"/>
          <w:lang w:val="en-GB"/>
        </w:rPr>
        <w:t>Mandate</w:t>
      </w:r>
    </w:p>
    <w:p w14:paraId="6132C4DE" w14:textId="1D6419F0" w:rsidR="009D3387" w:rsidRPr="00845FB7" w:rsidRDefault="001741C9" w:rsidP="00BD36F8">
      <w:pPr>
        <w:spacing w:before="60" w:after="0"/>
        <w:rPr>
          <w:rFonts w:cstheme="majorBidi"/>
          <w:b/>
          <w:bCs/>
          <w:szCs w:val="20"/>
          <w:lang w:val="en-GB"/>
        </w:rPr>
      </w:pPr>
      <w:r w:rsidRPr="00845FB7">
        <w:rPr>
          <w:rFonts w:cstheme="majorBidi"/>
          <w:b/>
          <w:bCs/>
          <w:szCs w:val="20"/>
          <w:lang w:val="en-GB"/>
        </w:rPr>
        <w:t>Convention</w:t>
      </w:r>
      <w:r w:rsidRPr="00845FB7">
        <w:rPr>
          <w:rFonts w:cstheme="majorBidi"/>
          <w:bCs/>
          <w:szCs w:val="20"/>
          <w:lang w:val="en-GB"/>
        </w:rPr>
        <w:t>:</w:t>
      </w:r>
      <w:r w:rsidR="009D3387" w:rsidRPr="00845FB7">
        <w:rPr>
          <w:rFonts w:cstheme="majorBidi"/>
          <w:bCs/>
          <w:szCs w:val="20"/>
          <w:lang w:val="en-GB"/>
        </w:rPr>
        <w:t xml:space="preserve"> </w:t>
      </w:r>
      <w:r w:rsidR="00DD1E0C" w:rsidRPr="00845FB7">
        <w:rPr>
          <w:rFonts w:cstheme="majorBidi"/>
          <w:bCs/>
          <w:szCs w:val="20"/>
          <w:lang w:val="en-GB"/>
        </w:rPr>
        <w:t>A</w:t>
      </w:r>
      <w:r w:rsidR="009D3387" w:rsidRPr="00845FB7">
        <w:rPr>
          <w:rFonts w:cstheme="majorBidi"/>
          <w:bCs/>
          <w:szCs w:val="20"/>
          <w:lang w:val="en-GB"/>
        </w:rPr>
        <w:t xml:space="preserve">rticle 23 </w:t>
      </w:r>
    </w:p>
    <w:p w14:paraId="0A7FC32D" w14:textId="0393BC89" w:rsidR="009D3387" w:rsidRPr="00845FB7" w:rsidRDefault="009D3387" w:rsidP="00BD36F8">
      <w:pPr>
        <w:spacing w:before="60" w:after="60"/>
        <w:rPr>
          <w:rFonts w:cstheme="majorBidi"/>
          <w:b/>
          <w:szCs w:val="20"/>
          <w:lang w:val="en-GB"/>
        </w:rPr>
      </w:pPr>
      <w:r w:rsidRPr="00845FB7">
        <w:rPr>
          <w:rFonts w:cstheme="majorBidi"/>
          <w:b/>
          <w:bCs/>
          <w:szCs w:val="20"/>
          <w:lang w:val="en-GB"/>
        </w:rPr>
        <w:t>COP decision</w:t>
      </w:r>
      <w:r w:rsidR="00302AC5" w:rsidRPr="00845FB7">
        <w:rPr>
          <w:rFonts w:cstheme="majorBidi"/>
          <w:b/>
          <w:bCs/>
          <w:szCs w:val="20"/>
          <w:lang w:val="en-GB"/>
        </w:rPr>
        <w:t>(</w:t>
      </w:r>
      <w:r w:rsidRPr="00845FB7">
        <w:rPr>
          <w:rFonts w:cstheme="majorBidi"/>
          <w:b/>
          <w:bCs/>
          <w:szCs w:val="20"/>
          <w:lang w:val="en-GB"/>
        </w:rPr>
        <w:t>s</w:t>
      </w:r>
      <w:r w:rsidR="00302AC5" w:rsidRPr="00845FB7">
        <w:rPr>
          <w:rFonts w:cstheme="majorBidi"/>
          <w:b/>
          <w:bCs/>
          <w:szCs w:val="20"/>
          <w:lang w:val="en-GB"/>
        </w:rPr>
        <w:t>)</w:t>
      </w:r>
      <w:r w:rsidRPr="00845FB7">
        <w:rPr>
          <w:rFonts w:cstheme="majorBidi"/>
          <w:b/>
          <w:bCs/>
          <w:szCs w:val="20"/>
          <w:lang w:val="en-GB"/>
        </w:rPr>
        <w:t xml:space="preserve">: </w:t>
      </w:r>
      <w:r w:rsidRPr="00845FB7">
        <w:rPr>
          <w:rFonts w:cstheme="majorBidi"/>
          <w:szCs w:val="20"/>
          <w:lang w:val="en-GB"/>
        </w:rPr>
        <w:t>MC-1/1</w:t>
      </w:r>
      <w:r w:rsidR="004B0C41" w:rsidRPr="00845FB7">
        <w:rPr>
          <w:rFonts w:cstheme="majorBidi"/>
          <w:szCs w:val="20"/>
          <w:lang w:val="en-GB"/>
        </w:rPr>
        <w:t>0, MC-1/15, MC-2/5</w:t>
      </w:r>
      <w:r w:rsidR="00967307" w:rsidRPr="00845FB7">
        <w:rPr>
          <w:rFonts w:cstheme="majorBidi"/>
          <w:szCs w:val="20"/>
          <w:lang w:val="en-GB"/>
        </w:rPr>
        <w:t xml:space="preserve">, </w:t>
      </w:r>
      <w:r w:rsidR="008967AA" w:rsidRPr="00845FB7">
        <w:rPr>
          <w:rFonts w:cstheme="majorBidi"/>
          <w:szCs w:val="20"/>
          <w:lang w:val="en-GB"/>
        </w:rPr>
        <w:t xml:space="preserve">and </w:t>
      </w:r>
      <w:r w:rsidR="00967307" w:rsidRPr="00845FB7">
        <w:rPr>
          <w:rFonts w:cstheme="majorBidi"/>
          <w:szCs w:val="20"/>
          <w:lang w:val="en-GB"/>
        </w:rPr>
        <w:t xml:space="preserve">paragraph 198 of the </w:t>
      </w:r>
      <w:r w:rsidR="00AE24F8" w:rsidRPr="00845FB7">
        <w:rPr>
          <w:rFonts w:cstheme="majorBidi"/>
          <w:szCs w:val="20"/>
          <w:lang w:val="en-GB"/>
        </w:rPr>
        <w:t>r</w:t>
      </w:r>
      <w:r w:rsidR="00967307" w:rsidRPr="00845FB7">
        <w:rPr>
          <w:rFonts w:cstheme="majorBidi"/>
          <w:szCs w:val="20"/>
          <w:lang w:val="en-GB"/>
        </w:rPr>
        <w:t>eport of COP-3</w:t>
      </w:r>
      <w:r w:rsidR="001A28AF" w:rsidRPr="00845FB7">
        <w:rPr>
          <w:rFonts w:cstheme="majorBidi"/>
          <w:szCs w:val="20"/>
          <w:lang w:val="en-GB"/>
        </w:rPr>
        <w:t xml:space="preserve">, </w:t>
      </w:r>
      <w:r w:rsidR="00B94045" w:rsidRPr="00845FB7">
        <w:rPr>
          <w:rFonts w:cstheme="majorBidi"/>
          <w:szCs w:val="20"/>
          <w:lang w:val="en-GB"/>
        </w:rPr>
        <w:t>MC-5/20</w:t>
      </w:r>
      <w:r w:rsidR="00967307" w:rsidRPr="00845FB7">
        <w:rPr>
          <w:rFonts w:cstheme="majorBidi"/>
          <w:szCs w:val="20"/>
          <w:lang w:val="en-GB"/>
        </w:rPr>
        <w:t>.</w:t>
      </w:r>
    </w:p>
    <w:p w14:paraId="7D374B64" w14:textId="47A8054B" w:rsidR="00141F5E" w:rsidRPr="00845FB7" w:rsidRDefault="004A7C93" w:rsidP="00141F5E">
      <w:pPr>
        <w:pStyle w:val="Heading3"/>
        <w:rPr>
          <w:sz w:val="24"/>
          <w:lang w:val="en-GB"/>
        </w:rPr>
      </w:pPr>
      <w:bookmarkStart w:id="13" w:name="_Toc71119485"/>
      <w:r w:rsidRPr="00845FB7">
        <w:rPr>
          <w:sz w:val="24"/>
          <w:lang w:val="en-GB"/>
        </w:rPr>
        <w:t>Background and rationale</w:t>
      </w:r>
      <w:bookmarkStart w:id="14" w:name="_Toc71119486"/>
      <w:bookmarkEnd w:id="13"/>
    </w:p>
    <w:p w14:paraId="208A9FFE" w14:textId="1ACACAA1" w:rsidR="00B966CE" w:rsidRPr="00845FB7" w:rsidRDefault="005477F2" w:rsidP="00BD36F8">
      <w:pPr>
        <w:snapToGrid w:val="0"/>
        <w:spacing w:after="60"/>
        <w:rPr>
          <w:lang w:val="en-GB"/>
        </w:rPr>
      </w:pPr>
      <w:r w:rsidRPr="00845FB7">
        <w:rPr>
          <w:lang w:val="en-GB"/>
        </w:rPr>
        <w:t xml:space="preserve">The Conference of the Parties (COP) is the decision-making body of the Convention. The organization of its meetings is a core activity of the </w:t>
      </w:r>
      <w:r w:rsidR="002E0996" w:rsidRPr="00845FB7">
        <w:rPr>
          <w:lang w:val="en-GB"/>
        </w:rPr>
        <w:t>S</w:t>
      </w:r>
      <w:r w:rsidRPr="00845FB7">
        <w:rPr>
          <w:lang w:val="en-GB"/>
        </w:rPr>
        <w:t>ecretariat.</w:t>
      </w:r>
      <w:r w:rsidR="00C70B93" w:rsidRPr="00845FB7">
        <w:rPr>
          <w:lang w:val="en-GB"/>
        </w:rPr>
        <w:t xml:space="preserve"> The </w:t>
      </w:r>
      <w:r w:rsidR="34C68D14" w:rsidRPr="00845FB7">
        <w:rPr>
          <w:lang w:val="en-GB"/>
        </w:rPr>
        <w:t xml:space="preserve">seventh </w:t>
      </w:r>
      <w:r w:rsidR="00C70B93" w:rsidRPr="00845FB7">
        <w:rPr>
          <w:lang w:val="en-GB"/>
        </w:rPr>
        <w:t>meeting of the Conference of the Parties i</w:t>
      </w:r>
      <w:r w:rsidR="00E32A22" w:rsidRPr="00845FB7">
        <w:rPr>
          <w:lang w:val="en-GB"/>
        </w:rPr>
        <w:t>s</w:t>
      </w:r>
      <w:r w:rsidR="00C70B93" w:rsidRPr="00845FB7">
        <w:rPr>
          <w:lang w:val="en-GB"/>
        </w:rPr>
        <w:t xml:space="preserve"> proposed to be held over a period of </w:t>
      </w:r>
      <w:r w:rsidR="00261B4E" w:rsidRPr="00845FB7">
        <w:rPr>
          <w:lang w:val="en-GB"/>
        </w:rPr>
        <w:t xml:space="preserve">five </w:t>
      </w:r>
      <w:r w:rsidR="00C70B93" w:rsidRPr="00845FB7">
        <w:rPr>
          <w:lang w:val="en-GB"/>
        </w:rPr>
        <w:t>days</w:t>
      </w:r>
      <w:r w:rsidR="006B4F7F" w:rsidRPr="00845FB7">
        <w:rPr>
          <w:lang w:val="en-GB"/>
        </w:rPr>
        <w:t xml:space="preserve"> to allow </w:t>
      </w:r>
      <w:r w:rsidR="00E32A22" w:rsidRPr="00845FB7">
        <w:rPr>
          <w:lang w:val="en-GB"/>
        </w:rPr>
        <w:t>P</w:t>
      </w:r>
      <w:r w:rsidR="006B4F7F" w:rsidRPr="00845FB7">
        <w:rPr>
          <w:lang w:val="en-GB"/>
        </w:rPr>
        <w:t xml:space="preserve">arties to </w:t>
      </w:r>
      <w:r w:rsidR="004D5C80" w:rsidRPr="00845FB7">
        <w:rPr>
          <w:lang w:val="en-GB"/>
        </w:rPr>
        <w:t>t</w:t>
      </w:r>
      <w:r w:rsidR="0062049F" w:rsidRPr="00845FB7">
        <w:rPr>
          <w:lang w:val="en-GB"/>
        </w:rPr>
        <w:t>ake relevant decisions to</w:t>
      </w:r>
      <w:r w:rsidR="007860FD" w:rsidRPr="00845FB7">
        <w:rPr>
          <w:lang w:val="en-GB"/>
        </w:rPr>
        <w:t xml:space="preserve"> </w:t>
      </w:r>
      <w:r w:rsidR="00E64D09" w:rsidRPr="00845FB7">
        <w:rPr>
          <w:lang w:val="en-GB"/>
        </w:rPr>
        <w:t>advance the implementation of the Convention</w:t>
      </w:r>
      <w:r w:rsidR="008E4F4C" w:rsidRPr="00845FB7">
        <w:rPr>
          <w:lang w:val="en-GB"/>
        </w:rPr>
        <w:t xml:space="preserve"> and to continue its review and evaluation. </w:t>
      </w:r>
      <w:r w:rsidR="00884DAC" w:rsidRPr="00845FB7">
        <w:rPr>
          <w:lang w:val="en-GB"/>
        </w:rPr>
        <w:t>The timing and duration of COP-</w:t>
      </w:r>
      <w:r w:rsidR="32C2A657" w:rsidRPr="00845FB7">
        <w:rPr>
          <w:lang w:val="en-GB"/>
        </w:rPr>
        <w:t>7</w:t>
      </w:r>
      <w:r w:rsidR="00884DAC" w:rsidRPr="00845FB7">
        <w:rPr>
          <w:lang w:val="en-GB"/>
        </w:rPr>
        <w:t xml:space="preserve"> is subject to a decision by the Conference of the Parties.</w:t>
      </w:r>
    </w:p>
    <w:p w14:paraId="6F82B291" w14:textId="4091AC34" w:rsidR="00E35386" w:rsidRPr="00845FB7" w:rsidRDefault="00B147F9" w:rsidP="002C7C84">
      <w:pPr>
        <w:pStyle w:val="Heading3"/>
        <w:rPr>
          <w:sz w:val="24"/>
          <w:lang w:val="en-GB"/>
        </w:rPr>
      </w:pPr>
      <w:r w:rsidRPr="00845FB7">
        <w:rPr>
          <w:sz w:val="24"/>
          <w:lang w:val="en-GB"/>
        </w:rPr>
        <w:t>Outcomes and activities</w:t>
      </w:r>
      <w:bookmarkEnd w:id="14"/>
    </w:p>
    <w:p w14:paraId="242BBBB8" w14:textId="76A32CB8" w:rsidR="00B147F9" w:rsidRPr="00845FB7" w:rsidRDefault="00B147F9" w:rsidP="00BD36F8">
      <w:pPr>
        <w:pStyle w:val="Heading2"/>
        <w:spacing w:before="360" w:after="120"/>
        <w:jc w:val="left"/>
        <w:rPr>
          <w:sz w:val="28"/>
          <w:szCs w:val="28"/>
          <w:lang w:val="en-GB"/>
        </w:rPr>
      </w:pPr>
      <w:r w:rsidRPr="00845FB7">
        <w:rPr>
          <w:sz w:val="28"/>
          <w:szCs w:val="28"/>
          <w:lang w:val="en-GB"/>
        </w:rPr>
        <w:t xml:space="preserve">Component 1.1. </w:t>
      </w:r>
      <w:r w:rsidR="377EF354" w:rsidRPr="00845FB7">
        <w:rPr>
          <w:sz w:val="28"/>
          <w:szCs w:val="28"/>
          <w:lang w:val="en-GB"/>
        </w:rPr>
        <w:t>Seventh</w:t>
      </w:r>
      <w:r w:rsidR="52F5B1CF" w:rsidRPr="00845FB7">
        <w:rPr>
          <w:sz w:val="28"/>
          <w:szCs w:val="28"/>
          <w:lang w:val="en-GB"/>
        </w:rPr>
        <w:t xml:space="preserve"> </w:t>
      </w:r>
      <w:r w:rsidR="007616FE" w:rsidRPr="00845FB7">
        <w:rPr>
          <w:sz w:val="28"/>
          <w:szCs w:val="28"/>
          <w:lang w:val="en-GB"/>
        </w:rPr>
        <w:t>meeting</w:t>
      </w:r>
    </w:p>
    <w:p w14:paraId="38435D01" w14:textId="45E8313D" w:rsidR="00911D7F" w:rsidRPr="00845FB7" w:rsidRDefault="00911D7F" w:rsidP="0052667E">
      <w:pPr>
        <w:spacing w:before="240"/>
        <w:rPr>
          <w:rFonts w:cstheme="majorBidi"/>
          <w:b/>
          <w:bCs/>
          <w:lang w:val="en-GB" w:eastAsia="en-GB"/>
        </w:rPr>
      </w:pPr>
      <w:r w:rsidRPr="00845FB7">
        <w:rPr>
          <w:rFonts w:cstheme="majorBidi"/>
          <w:b/>
          <w:bCs/>
          <w:lang w:val="en-GB" w:eastAsia="en-GB"/>
        </w:rPr>
        <w:t>OUTCOMES</w:t>
      </w:r>
    </w:p>
    <w:p w14:paraId="3BEAB9ED" w14:textId="76A1965C" w:rsidR="00494797" w:rsidRPr="00845FB7" w:rsidRDefault="00494797" w:rsidP="7EAA2ABE">
      <w:pPr>
        <w:snapToGrid w:val="0"/>
        <w:spacing w:after="60"/>
        <w:rPr>
          <w:rFonts w:cstheme="majorBidi"/>
          <w:lang w:val="en-GB" w:eastAsia="en-GB"/>
        </w:rPr>
      </w:pPr>
      <w:r w:rsidRPr="00845FB7">
        <w:rPr>
          <w:rFonts w:cstheme="majorBidi"/>
          <w:lang w:val="en-GB" w:eastAsia="en-GB"/>
        </w:rPr>
        <w:t xml:space="preserve">Arrangements for the </w:t>
      </w:r>
      <w:r w:rsidR="0E5E1EFA" w:rsidRPr="00845FB7">
        <w:rPr>
          <w:rFonts w:cstheme="majorBidi"/>
          <w:lang w:val="en-GB" w:eastAsia="en-GB"/>
        </w:rPr>
        <w:t xml:space="preserve">seventh </w:t>
      </w:r>
      <w:r w:rsidRPr="00845FB7">
        <w:rPr>
          <w:rFonts w:cstheme="majorBidi"/>
          <w:lang w:val="en-GB" w:eastAsia="en-GB"/>
        </w:rPr>
        <w:t>meeting of the Conference of the Parties are made and quality services provided.</w:t>
      </w:r>
    </w:p>
    <w:p w14:paraId="36EB8454" w14:textId="468D2397" w:rsidR="00494797" w:rsidRPr="00845FB7" w:rsidRDefault="00494797" w:rsidP="00BD36F8">
      <w:pPr>
        <w:snapToGrid w:val="0"/>
        <w:spacing w:after="60"/>
        <w:rPr>
          <w:rFonts w:cstheme="majorBidi"/>
          <w:i/>
          <w:szCs w:val="20"/>
          <w:lang w:val="en-GB" w:eastAsia="en-GB"/>
        </w:rPr>
      </w:pPr>
      <w:r w:rsidRPr="00845FB7">
        <w:rPr>
          <w:rFonts w:cstheme="majorBidi"/>
          <w:szCs w:val="20"/>
          <w:lang w:val="en-GB" w:eastAsia="en-GB"/>
        </w:rPr>
        <w:t>Parties from developing countries and countries with economies in transition are supported to participate in the meeting and thus contribute to the decision-making process. Meeting documents are prepared.</w:t>
      </w:r>
    </w:p>
    <w:p w14:paraId="2774ABE9" w14:textId="4C4182BF" w:rsidR="00911D7F" w:rsidRPr="00845FB7" w:rsidRDefault="00651590" w:rsidP="00BD36F8">
      <w:pPr>
        <w:spacing w:before="240"/>
        <w:rPr>
          <w:rFonts w:cstheme="majorBidi"/>
          <w:b/>
          <w:bCs/>
          <w:lang w:val="en-GB" w:eastAsia="en-GB"/>
        </w:rPr>
      </w:pPr>
      <w:r w:rsidRPr="00845FB7">
        <w:rPr>
          <w:rFonts w:cstheme="majorBidi"/>
          <w:b/>
          <w:bCs/>
          <w:lang w:val="en-GB" w:eastAsia="en-GB"/>
        </w:rPr>
        <w:t>ACTIVITIES</w:t>
      </w:r>
    </w:p>
    <w:tbl>
      <w:tblPr>
        <w:tblpPr w:leftFromText="180" w:rightFromText="180" w:vertAnchor="text" w:tblpY="1"/>
        <w:tblOverlap w:val="never"/>
        <w:tblW w:w="9923" w:type="dxa"/>
        <w:tblLayout w:type="fixed"/>
        <w:tblLook w:val="04A0" w:firstRow="1" w:lastRow="0" w:firstColumn="1" w:lastColumn="0" w:noHBand="0" w:noVBand="1"/>
      </w:tblPr>
      <w:tblGrid>
        <w:gridCol w:w="9923"/>
      </w:tblGrid>
      <w:tr w:rsidR="003753E2" w:rsidRPr="00845FB7" w14:paraId="5E723E60" w14:textId="77777777" w:rsidTr="7EAA2ABE">
        <w:trPr>
          <w:trHeight w:val="163"/>
        </w:trPr>
        <w:tc>
          <w:tcPr>
            <w:tcW w:w="9923" w:type="dxa"/>
            <w:tcBorders>
              <w:top w:val="nil"/>
              <w:left w:val="nil"/>
              <w:bottom w:val="nil"/>
              <w:right w:val="nil"/>
            </w:tcBorders>
            <w:noWrap/>
            <w:vAlign w:val="bottom"/>
            <w:hideMark/>
          </w:tcPr>
          <w:p w14:paraId="698996FC" w14:textId="77777777" w:rsidR="003753E2" w:rsidRPr="00845FB7" w:rsidRDefault="003753E2" w:rsidP="00BD36F8">
            <w:pPr>
              <w:pStyle w:val="ListParagraph"/>
              <w:numPr>
                <w:ilvl w:val="0"/>
                <w:numId w:val="19"/>
              </w:numPr>
              <w:spacing w:after="60" w:line="240" w:lineRule="auto"/>
              <w:contextualSpacing w:val="0"/>
              <w:jc w:val="left"/>
              <w:rPr>
                <w:rFonts w:eastAsia="Times New Roman" w:cstheme="majorBidi"/>
                <w:szCs w:val="20"/>
                <w:lang w:val="en-GB"/>
              </w:rPr>
            </w:pPr>
            <w:r w:rsidRPr="00845FB7">
              <w:rPr>
                <w:rFonts w:eastAsia="Times New Roman" w:cstheme="majorBidi"/>
                <w:szCs w:val="20"/>
                <w:lang w:val="en-GB"/>
              </w:rPr>
              <w:t>Prepare, edit, translate and publish meeting documents;</w:t>
            </w:r>
          </w:p>
        </w:tc>
      </w:tr>
      <w:tr w:rsidR="003753E2" w:rsidRPr="00845FB7" w14:paraId="43F44F8B" w14:textId="77777777" w:rsidTr="7EAA2ABE">
        <w:trPr>
          <w:trHeight w:val="300"/>
        </w:trPr>
        <w:tc>
          <w:tcPr>
            <w:tcW w:w="9923" w:type="dxa"/>
            <w:tcBorders>
              <w:top w:val="nil"/>
              <w:left w:val="nil"/>
              <w:bottom w:val="nil"/>
              <w:right w:val="nil"/>
            </w:tcBorders>
            <w:noWrap/>
            <w:vAlign w:val="bottom"/>
            <w:hideMark/>
          </w:tcPr>
          <w:p w14:paraId="5FCFDA3D" w14:textId="05FBA695" w:rsidR="003753E2" w:rsidRPr="00845FB7" w:rsidRDefault="003753E2" w:rsidP="00BD36F8">
            <w:pPr>
              <w:pStyle w:val="ListParagraph"/>
              <w:numPr>
                <w:ilvl w:val="0"/>
                <w:numId w:val="19"/>
              </w:numPr>
              <w:spacing w:after="60" w:line="240" w:lineRule="auto"/>
              <w:contextualSpacing w:val="0"/>
              <w:jc w:val="left"/>
              <w:rPr>
                <w:rFonts w:eastAsia="Times New Roman" w:cstheme="majorBidi"/>
                <w:szCs w:val="20"/>
                <w:lang w:val="en-GB"/>
              </w:rPr>
            </w:pPr>
            <w:r w:rsidRPr="00845FB7">
              <w:rPr>
                <w:rFonts w:eastAsia="Times New Roman" w:cstheme="majorBidi"/>
                <w:szCs w:val="20"/>
                <w:lang w:val="en-GB"/>
              </w:rPr>
              <w:t>Send invitation and confirmation letters, register participants</w:t>
            </w:r>
            <w:r w:rsidR="00AB7773" w:rsidRPr="00845FB7">
              <w:rPr>
                <w:rFonts w:eastAsia="Times New Roman" w:cstheme="majorBidi"/>
                <w:szCs w:val="20"/>
                <w:lang w:val="en-GB"/>
              </w:rPr>
              <w:t xml:space="preserve">, </w:t>
            </w:r>
            <w:r w:rsidR="36369F25" w:rsidRPr="00845FB7">
              <w:rPr>
                <w:rFonts w:eastAsia="Times New Roman" w:cstheme="majorBidi"/>
                <w:szCs w:val="20"/>
                <w:lang w:val="en-GB"/>
              </w:rPr>
              <w:t xml:space="preserve">ensure </w:t>
            </w:r>
            <w:r w:rsidR="00FB78EC" w:rsidRPr="00845FB7">
              <w:rPr>
                <w:rFonts w:eastAsia="Times New Roman" w:cstheme="majorBidi"/>
                <w:szCs w:val="20"/>
                <w:lang w:val="en-GB"/>
              </w:rPr>
              <w:t>accreditation of delegates</w:t>
            </w:r>
            <w:r w:rsidRPr="00845FB7">
              <w:rPr>
                <w:rFonts w:eastAsia="Times New Roman" w:cstheme="majorBidi"/>
                <w:szCs w:val="20"/>
                <w:lang w:val="en-GB"/>
              </w:rPr>
              <w:t xml:space="preserve"> and organize travel for funded participants</w:t>
            </w:r>
            <w:r w:rsidR="004C07F5" w:rsidRPr="00845FB7">
              <w:rPr>
                <w:rFonts w:eastAsia="Times New Roman" w:cstheme="majorBidi"/>
                <w:szCs w:val="20"/>
                <w:lang w:val="en-GB"/>
              </w:rPr>
              <w:t xml:space="preserve"> (subject to the availability of resources)</w:t>
            </w:r>
            <w:r w:rsidRPr="00845FB7">
              <w:rPr>
                <w:rFonts w:cstheme="majorBidi"/>
                <w:szCs w:val="20"/>
                <w:lang w:val="en-GB"/>
              </w:rPr>
              <w:t>;</w:t>
            </w:r>
          </w:p>
        </w:tc>
      </w:tr>
      <w:tr w:rsidR="00B24B48" w:rsidRPr="00845FB7" w14:paraId="1D56DA22" w14:textId="77777777" w:rsidTr="7EAA2ABE">
        <w:trPr>
          <w:trHeight w:val="300"/>
        </w:trPr>
        <w:tc>
          <w:tcPr>
            <w:tcW w:w="9923" w:type="dxa"/>
            <w:tcBorders>
              <w:top w:val="nil"/>
              <w:left w:val="nil"/>
              <w:bottom w:val="nil"/>
              <w:right w:val="nil"/>
            </w:tcBorders>
            <w:noWrap/>
            <w:vAlign w:val="bottom"/>
          </w:tcPr>
          <w:p w14:paraId="6C809EBE" w14:textId="3A3284EC" w:rsidR="00B24B48" w:rsidRPr="00845FB7" w:rsidRDefault="00B24B48" w:rsidP="00BD36F8">
            <w:pPr>
              <w:pStyle w:val="ListParagraph"/>
              <w:numPr>
                <w:ilvl w:val="0"/>
                <w:numId w:val="19"/>
              </w:numPr>
              <w:spacing w:after="60" w:line="240" w:lineRule="auto"/>
              <w:contextualSpacing w:val="0"/>
              <w:jc w:val="left"/>
              <w:rPr>
                <w:rFonts w:eastAsia="Times New Roman" w:cstheme="majorBidi"/>
                <w:szCs w:val="20"/>
                <w:lang w:val="en-GB"/>
              </w:rPr>
            </w:pPr>
            <w:r w:rsidRPr="00845FB7">
              <w:rPr>
                <w:rFonts w:eastAsia="Times New Roman" w:cstheme="majorBidi"/>
                <w:szCs w:val="20"/>
                <w:lang w:val="en-GB"/>
              </w:rPr>
              <w:t xml:space="preserve">Provide </w:t>
            </w:r>
            <w:r w:rsidR="00B57BBD" w:rsidRPr="00845FB7">
              <w:rPr>
                <w:rFonts w:eastAsia="Times New Roman" w:cstheme="majorBidi"/>
                <w:szCs w:val="20"/>
                <w:lang w:val="en-GB"/>
              </w:rPr>
              <w:t>support to the President</w:t>
            </w:r>
            <w:r w:rsidR="00D0621B" w:rsidRPr="00845FB7">
              <w:rPr>
                <w:rFonts w:eastAsia="Times New Roman" w:cstheme="majorBidi"/>
                <w:szCs w:val="20"/>
                <w:lang w:val="en-GB"/>
              </w:rPr>
              <w:t xml:space="preserve"> (staff costs)</w:t>
            </w:r>
            <w:r w:rsidR="00E32A22" w:rsidRPr="00845FB7">
              <w:rPr>
                <w:rFonts w:eastAsia="Times New Roman" w:cstheme="majorBidi"/>
                <w:szCs w:val="20"/>
                <w:lang w:val="en-GB"/>
              </w:rPr>
              <w:t>;</w:t>
            </w:r>
          </w:p>
        </w:tc>
      </w:tr>
      <w:tr w:rsidR="003753E2" w:rsidRPr="00845FB7" w14:paraId="21CA60D8" w14:textId="77777777" w:rsidTr="7EAA2ABE">
        <w:trPr>
          <w:trHeight w:val="80"/>
        </w:trPr>
        <w:tc>
          <w:tcPr>
            <w:tcW w:w="9923" w:type="dxa"/>
            <w:tcBorders>
              <w:top w:val="nil"/>
              <w:left w:val="nil"/>
              <w:bottom w:val="nil"/>
              <w:right w:val="nil"/>
            </w:tcBorders>
            <w:noWrap/>
            <w:vAlign w:val="bottom"/>
            <w:hideMark/>
          </w:tcPr>
          <w:p w14:paraId="0E9C6B3B" w14:textId="77777777" w:rsidR="003753E2" w:rsidRPr="00845FB7" w:rsidRDefault="003753E2" w:rsidP="00BD36F8">
            <w:pPr>
              <w:pStyle w:val="ListParagraph"/>
              <w:numPr>
                <w:ilvl w:val="0"/>
                <w:numId w:val="19"/>
              </w:numPr>
              <w:spacing w:after="60" w:line="240" w:lineRule="auto"/>
              <w:contextualSpacing w:val="0"/>
              <w:jc w:val="left"/>
              <w:rPr>
                <w:rFonts w:eastAsia="Times New Roman" w:cstheme="majorBidi"/>
                <w:szCs w:val="20"/>
                <w:lang w:val="en-GB"/>
              </w:rPr>
            </w:pPr>
            <w:r w:rsidRPr="00845FB7">
              <w:rPr>
                <w:rFonts w:eastAsia="Times New Roman" w:cstheme="majorBidi"/>
                <w:szCs w:val="20"/>
                <w:lang w:val="en-GB"/>
              </w:rPr>
              <w:t>Provide conference servicing at the meeting;</w:t>
            </w:r>
          </w:p>
        </w:tc>
      </w:tr>
      <w:tr w:rsidR="003753E2" w:rsidRPr="00845FB7" w14:paraId="4081AD0C" w14:textId="77777777" w:rsidTr="7EAA2ABE">
        <w:trPr>
          <w:trHeight w:val="191"/>
        </w:trPr>
        <w:tc>
          <w:tcPr>
            <w:tcW w:w="9923" w:type="dxa"/>
            <w:tcBorders>
              <w:top w:val="nil"/>
              <w:left w:val="nil"/>
              <w:bottom w:val="nil"/>
              <w:right w:val="nil"/>
            </w:tcBorders>
            <w:noWrap/>
            <w:vAlign w:val="bottom"/>
            <w:hideMark/>
          </w:tcPr>
          <w:p w14:paraId="6BF210F6" w14:textId="77777777" w:rsidR="003753E2" w:rsidRPr="00845FB7" w:rsidRDefault="003753E2" w:rsidP="00BD36F8">
            <w:pPr>
              <w:pStyle w:val="ListParagraph"/>
              <w:numPr>
                <w:ilvl w:val="0"/>
                <w:numId w:val="19"/>
              </w:numPr>
              <w:spacing w:after="60" w:line="240" w:lineRule="auto"/>
              <w:contextualSpacing w:val="0"/>
              <w:jc w:val="left"/>
              <w:rPr>
                <w:rFonts w:eastAsia="Times New Roman" w:cstheme="majorBidi"/>
                <w:szCs w:val="20"/>
                <w:lang w:val="en-GB"/>
              </w:rPr>
            </w:pPr>
            <w:r w:rsidRPr="00845FB7">
              <w:rPr>
                <w:rFonts w:eastAsia="Times New Roman" w:cstheme="majorBidi"/>
                <w:szCs w:val="20"/>
                <w:lang w:val="en-GB"/>
              </w:rPr>
              <w:t>Provide interpretation at the meeting in the six UN languages;</w:t>
            </w:r>
          </w:p>
        </w:tc>
      </w:tr>
      <w:tr w:rsidR="003753E2" w:rsidRPr="00845FB7" w14:paraId="0ECBB946" w14:textId="77777777" w:rsidTr="7EAA2ABE">
        <w:trPr>
          <w:trHeight w:val="239"/>
        </w:trPr>
        <w:tc>
          <w:tcPr>
            <w:tcW w:w="9923" w:type="dxa"/>
            <w:tcBorders>
              <w:top w:val="nil"/>
              <w:left w:val="nil"/>
              <w:bottom w:val="nil"/>
              <w:right w:val="nil"/>
            </w:tcBorders>
            <w:noWrap/>
            <w:vAlign w:val="bottom"/>
            <w:hideMark/>
          </w:tcPr>
          <w:p w14:paraId="21D1134D" w14:textId="50F318D1" w:rsidR="003753E2" w:rsidRPr="00845FB7" w:rsidRDefault="003753E2" w:rsidP="3C035EA9">
            <w:pPr>
              <w:pStyle w:val="ListParagraph"/>
              <w:numPr>
                <w:ilvl w:val="0"/>
                <w:numId w:val="19"/>
              </w:numPr>
              <w:spacing w:after="60" w:line="240" w:lineRule="auto"/>
              <w:jc w:val="left"/>
              <w:rPr>
                <w:rFonts w:eastAsia="Times New Roman" w:cstheme="majorBidi"/>
                <w:lang w:val="en-GB"/>
              </w:rPr>
            </w:pPr>
            <w:r w:rsidRPr="00845FB7">
              <w:rPr>
                <w:rFonts w:eastAsia="Times New Roman" w:cstheme="majorBidi"/>
                <w:szCs w:val="20"/>
                <w:lang w:val="en-GB"/>
              </w:rPr>
              <w:t>Organize logistics at the meeting (meeting venue, UN security, information technology);</w:t>
            </w:r>
          </w:p>
          <w:p w14:paraId="49D86C9E" w14:textId="678A7136" w:rsidR="003753E2" w:rsidRPr="00845FB7" w:rsidRDefault="13DF7C30" w:rsidP="7EAA2ABE">
            <w:pPr>
              <w:pStyle w:val="ListParagraph"/>
              <w:numPr>
                <w:ilvl w:val="0"/>
                <w:numId w:val="19"/>
              </w:numPr>
              <w:spacing w:after="60" w:line="240" w:lineRule="auto"/>
              <w:jc w:val="left"/>
              <w:rPr>
                <w:rFonts w:eastAsia="Times New Roman" w:cstheme="majorBidi"/>
                <w:lang w:val="en-GB"/>
              </w:rPr>
            </w:pPr>
            <w:r w:rsidRPr="00845FB7">
              <w:rPr>
                <w:rFonts w:eastAsia="Times New Roman" w:cstheme="majorBidi"/>
                <w:lang w:val="en-GB"/>
              </w:rPr>
              <w:t>Support participation of major groups</w:t>
            </w:r>
            <w:r w:rsidR="1EC8653F" w:rsidRPr="00845FB7">
              <w:rPr>
                <w:rFonts w:eastAsia="Times New Roman" w:cstheme="majorBidi"/>
                <w:lang w:val="en-GB"/>
              </w:rPr>
              <w:t>, in</w:t>
            </w:r>
            <w:r w:rsidR="00C60A30" w:rsidRPr="00845FB7">
              <w:rPr>
                <w:rFonts w:eastAsia="Times New Roman" w:cstheme="majorBidi"/>
                <w:lang w:val="en-GB"/>
              </w:rPr>
              <w:t xml:space="preserve"> particular</w:t>
            </w:r>
            <w:r w:rsidR="1EC8653F" w:rsidRPr="00845FB7">
              <w:rPr>
                <w:rFonts w:eastAsia="Times New Roman" w:cstheme="majorBidi"/>
                <w:lang w:val="en-GB"/>
              </w:rPr>
              <w:t xml:space="preserve"> </w:t>
            </w:r>
            <w:r w:rsidR="006549A8">
              <w:rPr>
                <w:rFonts w:eastAsia="Times New Roman" w:cstheme="majorBidi"/>
                <w:lang w:val="en-GB"/>
              </w:rPr>
              <w:t>I</w:t>
            </w:r>
            <w:r w:rsidR="1EC8653F" w:rsidRPr="00845FB7">
              <w:rPr>
                <w:rFonts w:eastAsia="Times New Roman" w:cstheme="majorBidi"/>
                <w:lang w:val="en-GB"/>
              </w:rPr>
              <w:t xml:space="preserve">ndigenous </w:t>
            </w:r>
            <w:r w:rsidR="006C6BA4">
              <w:rPr>
                <w:rFonts w:eastAsia="Times New Roman" w:cstheme="majorBidi"/>
                <w:lang w:val="en-GB"/>
              </w:rPr>
              <w:t>P</w:t>
            </w:r>
            <w:r w:rsidR="006C6BA4" w:rsidRPr="00845FB7">
              <w:rPr>
                <w:rFonts w:eastAsia="Times New Roman" w:cstheme="majorBidi"/>
                <w:lang w:val="en-GB"/>
              </w:rPr>
              <w:t>eople</w:t>
            </w:r>
            <w:r w:rsidR="006C6BA4">
              <w:rPr>
                <w:rFonts w:eastAsia="Times New Roman" w:cstheme="majorBidi"/>
                <w:lang w:val="en-GB"/>
              </w:rPr>
              <w:t>s</w:t>
            </w:r>
            <w:r w:rsidR="006C6BA4" w:rsidRPr="00845FB7">
              <w:rPr>
                <w:rFonts w:eastAsia="Times New Roman" w:cstheme="majorBidi"/>
                <w:lang w:val="en-GB"/>
              </w:rPr>
              <w:t>, women’s</w:t>
            </w:r>
            <w:r w:rsidR="1EC8653F" w:rsidRPr="00845FB7">
              <w:rPr>
                <w:rFonts w:eastAsia="Times New Roman" w:cstheme="majorBidi"/>
                <w:lang w:val="en-GB"/>
              </w:rPr>
              <w:t xml:space="preserve"> and youth</w:t>
            </w:r>
            <w:r w:rsidR="00C60A30" w:rsidRPr="00845FB7">
              <w:rPr>
                <w:rFonts w:eastAsia="Times New Roman" w:cstheme="majorBidi"/>
                <w:lang w:val="en-GB"/>
              </w:rPr>
              <w:t>’s groups</w:t>
            </w:r>
            <w:r w:rsidR="1EC8653F" w:rsidRPr="00845FB7">
              <w:rPr>
                <w:rFonts w:eastAsia="Times New Roman" w:cstheme="majorBidi"/>
                <w:lang w:val="en-GB"/>
              </w:rPr>
              <w:t>.</w:t>
            </w:r>
          </w:p>
        </w:tc>
      </w:tr>
      <w:tr w:rsidR="003753E2" w:rsidRPr="00845FB7" w14:paraId="73E2DD4F" w14:textId="77777777" w:rsidTr="7EAA2ABE">
        <w:trPr>
          <w:trHeight w:val="70"/>
        </w:trPr>
        <w:tc>
          <w:tcPr>
            <w:tcW w:w="9923" w:type="dxa"/>
            <w:tcBorders>
              <w:top w:val="nil"/>
              <w:left w:val="nil"/>
              <w:bottom w:val="nil"/>
              <w:right w:val="nil"/>
            </w:tcBorders>
            <w:noWrap/>
            <w:vAlign w:val="bottom"/>
          </w:tcPr>
          <w:p w14:paraId="388F7E08" w14:textId="48E9CBED" w:rsidR="003753E2" w:rsidRPr="00845FB7" w:rsidRDefault="003753E2" w:rsidP="00BD36F8">
            <w:pPr>
              <w:pStyle w:val="ListParagraph"/>
              <w:numPr>
                <w:ilvl w:val="0"/>
                <w:numId w:val="19"/>
              </w:numPr>
              <w:spacing w:after="60" w:line="240" w:lineRule="auto"/>
              <w:contextualSpacing w:val="0"/>
              <w:jc w:val="left"/>
              <w:rPr>
                <w:rFonts w:eastAsia="Times New Roman" w:cstheme="majorBidi"/>
                <w:szCs w:val="20"/>
                <w:lang w:val="en-GB"/>
              </w:rPr>
            </w:pPr>
            <w:r w:rsidRPr="00845FB7">
              <w:rPr>
                <w:rFonts w:eastAsia="Times New Roman" w:cstheme="majorBidi"/>
                <w:szCs w:val="20"/>
                <w:lang w:val="en-GB"/>
              </w:rPr>
              <w:lastRenderedPageBreak/>
              <w:t>Prepare and translate meeting report.</w:t>
            </w:r>
          </w:p>
        </w:tc>
      </w:tr>
    </w:tbl>
    <w:tbl>
      <w:tblPr>
        <w:tblStyle w:val="TableGrid"/>
        <w:tblW w:w="5000" w:type="pct"/>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748"/>
        <w:gridCol w:w="4748"/>
      </w:tblGrid>
      <w:tr w:rsidR="00526FF3" w:rsidRPr="00845FB7" w14:paraId="726A132E" w14:textId="77777777" w:rsidTr="7EAA2ABE">
        <w:tc>
          <w:tcPr>
            <w:tcW w:w="2500" w:type="pct"/>
          </w:tcPr>
          <w:p w14:paraId="3EBC7855" w14:textId="139D3ED8" w:rsidR="000D279C" w:rsidRPr="00845FB7" w:rsidRDefault="008D1E6D"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673923AE" w14:textId="77777777" w:rsidR="00327386" w:rsidRPr="00845FB7" w:rsidRDefault="00327386" w:rsidP="00BD36F8">
            <w:pPr>
              <w:numPr>
                <w:ilvl w:val="0"/>
                <w:numId w:val="5"/>
              </w:numPr>
              <w:snapToGrid w:val="0"/>
              <w:spacing w:after="60"/>
              <w:jc w:val="left"/>
              <w:rPr>
                <w:rFonts w:cstheme="majorBidi"/>
                <w:szCs w:val="20"/>
                <w:lang w:val="en-GB"/>
              </w:rPr>
            </w:pPr>
            <w:r w:rsidRPr="00845FB7">
              <w:rPr>
                <w:rFonts w:cstheme="majorBidi"/>
                <w:szCs w:val="20"/>
                <w:lang w:val="en-GB"/>
              </w:rPr>
              <w:t>Percentage of working documents made available in languages within deadlines;</w:t>
            </w:r>
          </w:p>
          <w:p w14:paraId="161ABFB4" w14:textId="77777777" w:rsidR="00327386" w:rsidRPr="00845FB7" w:rsidRDefault="00327386" w:rsidP="00BD36F8">
            <w:pPr>
              <w:numPr>
                <w:ilvl w:val="0"/>
                <w:numId w:val="5"/>
              </w:numPr>
              <w:snapToGrid w:val="0"/>
              <w:spacing w:after="60"/>
              <w:jc w:val="left"/>
              <w:rPr>
                <w:rFonts w:cstheme="majorBidi"/>
                <w:szCs w:val="20"/>
                <w:lang w:val="en-GB"/>
              </w:rPr>
            </w:pPr>
            <w:r w:rsidRPr="00845FB7">
              <w:rPr>
                <w:rFonts w:cstheme="majorBidi"/>
                <w:szCs w:val="20"/>
                <w:lang w:val="en-GB"/>
              </w:rPr>
              <w:t xml:space="preserve">Meeting facilities and services provided to ensure smooth running of the meeting; </w:t>
            </w:r>
          </w:p>
          <w:p w14:paraId="1B3908AD" w14:textId="77777777" w:rsidR="00327386" w:rsidRPr="00845FB7" w:rsidRDefault="00327386" w:rsidP="00BD36F8">
            <w:pPr>
              <w:numPr>
                <w:ilvl w:val="0"/>
                <w:numId w:val="5"/>
              </w:numPr>
              <w:snapToGrid w:val="0"/>
              <w:spacing w:after="60"/>
              <w:jc w:val="left"/>
              <w:rPr>
                <w:rFonts w:cstheme="majorBidi"/>
                <w:szCs w:val="20"/>
                <w:lang w:val="en-GB"/>
              </w:rPr>
            </w:pPr>
            <w:r w:rsidRPr="00845FB7">
              <w:rPr>
                <w:rFonts w:cstheme="majorBidi"/>
                <w:szCs w:val="20"/>
                <w:lang w:val="en-GB"/>
              </w:rPr>
              <w:t>Participation of at least one representative per Party to the Minamata Convention that is a developing country or country with economy in transition in the COP;</w:t>
            </w:r>
          </w:p>
          <w:p w14:paraId="59AF9E97" w14:textId="46374E47" w:rsidR="00327386" w:rsidRPr="00845FB7" w:rsidRDefault="19EC48F5" w:rsidP="7EAA2ABE">
            <w:pPr>
              <w:pStyle w:val="ListParagraph"/>
              <w:numPr>
                <w:ilvl w:val="0"/>
                <w:numId w:val="5"/>
              </w:numPr>
              <w:spacing w:after="60"/>
              <w:rPr>
                <w:rFonts w:cstheme="majorBidi"/>
                <w:b/>
                <w:bCs/>
                <w:lang w:val="en-GB" w:eastAsia="en-GB"/>
              </w:rPr>
            </w:pPr>
            <w:r w:rsidRPr="00845FB7">
              <w:rPr>
                <w:rFonts w:cstheme="majorBidi"/>
                <w:lang w:val="en-GB"/>
              </w:rPr>
              <w:t>Number of men/women within delegations, chairs of contact and other groups</w:t>
            </w:r>
            <w:r w:rsidR="00CD3C03" w:rsidRPr="00845FB7">
              <w:rPr>
                <w:rFonts w:cstheme="majorBidi"/>
                <w:lang w:val="en-GB"/>
              </w:rPr>
              <w:t>;</w:t>
            </w:r>
          </w:p>
          <w:p w14:paraId="35BC9439" w14:textId="5AA5BE96" w:rsidR="00327386" w:rsidRPr="00845FB7" w:rsidRDefault="79604899" w:rsidP="7EAA2ABE">
            <w:pPr>
              <w:pStyle w:val="ListParagraph"/>
              <w:numPr>
                <w:ilvl w:val="0"/>
                <w:numId w:val="5"/>
              </w:numPr>
              <w:spacing w:after="60"/>
              <w:rPr>
                <w:rFonts w:cstheme="majorBidi"/>
                <w:lang w:val="en-GB" w:eastAsia="en-GB"/>
              </w:rPr>
            </w:pPr>
            <w:r w:rsidRPr="00845FB7">
              <w:rPr>
                <w:rFonts w:cstheme="majorBidi"/>
                <w:lang w:val="en-GB" w:eastAsia="en-GB"/>
              </w:rPr>
              <w:t xml:space="preserve">Number of </w:t>
            </w:r>
            <w:r w:rsidR="6C09469C" w:rsidRPr="00845FB7">
              <w:rPr>
                <w:rFonts w:cstheme="majorBidi"/>
                <w:lang w:val="en-GB" w:eastAsia="en-GB"/>
              </w:rPr>
              <w:t>participants</w:t>
            </w:r>
            <w:r w:rsidRPr="00845FB7">
              <w:rPr>
                <w:rFonts w:cstheme="majorBidi"/>
                <w:lang w:val="en-GB" w:eastAsia="en-GB"/>
              </w:rPr>
              <w:t xml:space="preserve"> </w:t>
            </w:r>
            <w:r w:rsidR="5AC94F1E" w:rsidRPr="00845FB7">
              <w:rPr>
                <w:rFonts w:cstheme="majorBidi"/>
                <w:lang w:val="en-GB" w:eastAsia="en-GB"/>
              </w:rPr>
              <w:t>from</w:t>
            </w:r>
            <w:r w:rsidRPr="00845FB7">
              <w:rPr>
                <w:rFonts w:cstheme="majorBidi"/>
                <w:lang w:val="en-GB" w:eastAsia="en-GB"/>
              </w:rPr>
              <w:t xml:space="preserve"> </w:t>
            </w:r>
            <w:r w:rsidR="00BB5EE1" w:rsidRPr="00845FB7">
              <w:rPr>
                <w:rFonts w:cstheme="majorBidi"/>
                <w:lang w:val="en-GB" w:eastAsia="en-GB"/>
              </w:rPr>
              <w:t xml:space="preserve">the </w:t>
            </w:r>
            <w:r w:rsidRPr="00845FB7">
              <w:rPr>
                <w:rFonts w:cstheme="majorBidi"/>
                <w:lang w:val="en-GB" w:eastAsia="en-GB"/>
              </w:rPr>
              <w:t>major groups</w:t>
            </w:r>
            <w:r w:rsidR="00CD3C03" w:rsidRPr="00845FB7">
              <w:rPr>
                <w:rFonts w:cstheme="majorBidi"/>
                <w:lang w:val="en-GB" w:eastAsia="en-GB"/>
              </w:rPr>
              <w:t>.</w:t>
            </w:r>
          </w:p>
        </w:tc>
        <w:tc>
          <w:tcPr>
            <w:tcW w:w="2500" w:type="pct"/>
          </w:tcPr>
          <w:p w14:paraId="30668234" w14:textId="6999A241" w:rsidR="000D279C" w:rsidRPr="00845FB7" w:rsidRDefault="008D1E6D"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0A2A56C1" w14:textId="77777777" w:rsidR="001C0003" w:rsidRPr="00845FB7" w:rsidRDefault="001C0003" w:rsidP="00BD36F8">
            <w:pPr>
              <w:numPr>
                <w:ilvl w:val="0"/>
                <w:numId w:val="4"/>
              </w:numPr>
              <w:snapToGrid w:val="0"/>
              <w:spacing w:after="60"/>
              <w:jc w:val="left"/>
              <w:rPr>
                <w:rFonts w:cstheme="majorBidi"/>
                <w:szCs w:val="20"/>
                <w:lang w:val="en-GB"/>
              </w:rPr>
            </w:pPr>
            <w:r w:rsidRPr="00845FB7">
              <w:rPr>
                <w:rFonts w:cstheme="majorBidi"/>
                <w:szCs w:val="20"/>
                <w:lang w:val="en-GB"/>
              </w:rPr>
              <w:t xml:space="preserve">Meeting webpage for registration, documentation, and logistic info; </w:t>
            </w:r>
          </w:p>
          <w:p w14:paraId="154EE3C6" w14:textId="56250DA9" w:rsidR="001C0003" w:rsidRPr="00845FB7" w:rsidRDefault="0571D5B9" w:rsidP="7EAA2ABE">
            <w:pPr>
              <w:numPr>
                <w:ilvl w:val="0"/>
                <w:numId w:val="4"/>
              </w:numPr>
              <w:snapToGrid w:val="0"/>
              <w:spacing w:after="60"/>
              <w:jc w:val="left"/>
              <w:rPr>
                <w:rFonts w:cstheme="majorBidi"/>
                <w:lang w:val="en-GB"/>
              </w:rPr>
            </w:pPr>
            <w:r w:rsidRPr="00845FB7">
              <w:rPr>
                <w:rFonts w:cstheme="majorBidi"/>
                <w:lang w:val="en-GB"/>
              </w:rPr>
              <w:t>COP-</w:t>
            </w:r>
            <w:r w:rsidR="22FF38DF" w:rsidRPr="00845FB7">
              <w:rPr>
                <w:rFonts w:cstheme="majorBidi"/>
                <w:lang w:val="en-GB"/>
              </w:rPr>
              <w:t>7</w:t>
            </w:r>
            <w:r w:rsidRPr="00845FB7">
              <w:rPr>
                <w:rFonts w:cstheme="majorBidi"/>
                <w:lang w:val="en-GB"/>
              </w:rPr>
              <w:t xml:space="preserve"> meeting report and feedback from meeting participants;</w:t>
            </w:r>
          </w:p>
          <w:p w14:paraId="1E8F16CA" w14:textId="3185111D" w:rsidR="00526FF3" w:rsidRPr="00845FB7" w:rsidRDefault="001C0003" w:rsidP="00BD36F8">
            <w:pPr>
              <w:numPr>
                <w:ilvl w:val="0"/>
                <w:numId w:val="4"/>
              </w:numPr>
              <w:snapToGrid w:val="0"/>
              <w:spacing w:after="60"/>
              <w:jc w:val="left"/>
              <w:rPr>
                <w:rFonts w:cstheme="majorBidi"/>
                <w:szCs w:val="20"/>
                <w:lang w:val="en-GB" w:eastAsia="en-GB"/>
              </w:rPr>
            </w:pPr>
            <w:r w:rsidRPr="00845FB7">
              <w:rPr>
                <w:rFonts w:cstheme="majorBidi"/>
                <w:szCs w:val="20"/>
                <w:lang w:val="en-GB"/>
              </w:rPr>
              <w:t>List of participants of the COP.</w:t>
            </w:r>
          </w:p>
        </w:tc>
      </w:tr>
    </w:tbl>
    <w:p w14:paraId="7CC5EFDE" w14:textId="5AA2F8ED" w:rsidR="00950141" w:rsidRPr="00845FB7" w:rsidRDefault="00950141" w:rsidP="00BD36F8">
      <w:pPr>
        <w:pStyle w:val="Heading2"/>
        <w:spacing w:before="360" w:after="120"/>
        <w:jc w:val="left"/>
        <w:rPr>
          <w:sz w:val="28"/>
          <w:szCs w:val="28"/>
          <w:lang w:val="en-GB"/>
        </w:rPr>
      </w:pPr>
      <w:bookmarkStart w:id="15" w:name="_Toc71119487"/>
      <w:r w:rsidRPr="00845FB7">
        <w:rPr>
          <w:sz w:val="28"/>
          <w:szCs w:val="28"/>
          <w:lang w:val="en-GB"/>
        </w:rPr>
        <w:t>Component 1.2. Regional preparatory meetings</w:t>
      </w:r>
    </w:p>
    <w:p w14:paraId="509012FB" w14:textId="77777777" w:rsidR="00950141" w:rsidRPr="00845FB7" w:rsidRDefault="00950141" w:rsidP="00BD36F8">
      <w:pPr>
        <w:spacing w:before="240"/>
        <w:rPr>
          <w:rFonts w:cstheme="majorBidi"/>
          <w:b/>
          <w:bCs/>
          <w:szCs w:val="20"/>
          <w:lang w:val="en-GB" w:eastAsia="en-GB"/>
        </w:rPr>
      </w:pPr>
      <w:r w:rsidRPr="00845FB7">
        <w:rPr>
          <w:rFonts w:cstheme="majorBidi"/>
          <w:b/>
          <w:bCs/>
          <w:lang w:val="en-GB" w:eastAsia="en-GB"/>
        </w:rPr>
        <w:t>OUTCOMES</w:t>
      </w:r>
    </w:p>
    <w:p w14:paraId="16ABAADD" w14:textId="4F3C4D78" w:rsidR="007323D3" w:rsidRPr="00845FB7" w:rsidRDefault="00CA7FFC" w:rsidP="7EAA2ABE">
      <w:pPr>
        <w:spacing w:after="60"/>
        <w:contextualSpacing/>
        <w:rPr>
          <w:rFonts w:cstheme="majorBidi"/>
          <w:lang w:val="en-GB" w:eastAsia="en-GB"/>
        </w:rPr>
      </w:pPr>
      <w:r w:rsidRPr="00845FB7">
        <w:rPr>
          <w:rFonts w:cstheme="majorBidi"/>
          <w:lang w:val="en-GB" w:eastAsia="en-GB"/>
        </w:rPr>
        <w:t xml:space="preserve">Arrangements for regional preparatory meetings made and quality services provided. Parties to the </w:t>
      </w:r>
      <w:r w:rsidR="00E4022D" w:rsidRPr="00845FB7">
        <w:rPr>
          <w:rFonts w:cstheme="majorBidi"/>
          <w:lang w:val="en-GB" w:eastAsia="en-GB"/>
        </w:rPr>
        <w:t>C</w:t>
      </w:r>
      <w:r w:rsidRPr="00845FB7">
        <w:rPr>
          <w:rFonts w:cstheme="majorBidi"/>
          <w:lang w:val="en-GB" w:eastAsia="en-GB"/>
        </w:rPr>
        <w:t>onvention are supported to prepare for COP</w:t>
      </w:r>
      <w:r w:rsidR="008058E2" w:rsidRPr="00845FB7">
        <w:rPr>
          <w:rFonts w:cstheme="majorBidi"/>
          <w:lang w:val="en-GB" w:eastAsia="en-GB"/>
        </w:rPr>
        <w:t>-</w:t>
      </w:r>
      <w:r w:rsidR="73A7C3FE" w:rsidRPr="00845FB7">
        <w:rPr>
          <w:rFonts w:cstheme="majorBidi"/>
          <w:lang w:val="en-GB" w:eastAsia="en-GB"/>
        </w:rPr>
        <w:t>7</w:t>
      </w:r>
      <w:r w:rsidRPr="00845FB7">
        <w:rPr>
          <w:rFonts w:cstheme="majorBidi"/>
          <w:lang w:val="en-GB" w:eastAsia="en-GB"/>
        </w:rPr>
        <w:t xml:space="preserve"> in 202</w:t>
      </w:r>
      <w:r w:rsidR="4705DA0F" w:rsidRPr="00845FB7">
        <w:rPr>
          <w:rFonts w:cstheme="majorBidi"/>
          <w:lang w:val="en-GB" w:eastAsia="en-GB"/>
        </w:rPr>
        <w:t>7</w:t>
      </w:r>
      <w:r w:rsidRPr="00845FB7">
        <w:rPr>
          <w:rFonts w:cstheme="majorBidi"/>
          <w:lang w:val="en-GB" w:eastAsia="en-GB"/>
        </w:rPr>
        <w:t>. Parties become familiar with the agendas and organization of work of the meeting and to have the opportunity to discuss regional challenges and positions.</w:t>
      </w:r>
      <w:r w:rsidR="7719171A" w:rsidRPr="00845FB7">
        <w:rPr>
          <w:rFonts w:cstheme="majorBidi"/>
          <w:lang w:val="en-GB" w:eastAsia="en-GB"/>
        </w:rPr>
        <w:t xml:space="preserve"> The capacity of Parties to participate in negotiations as members of their delegations as well as in the capacity of </w:t>
      </w:r>
      <w:r w:rsidR="6811612F" w:rsidRPr="00845FB7">
        <w:rPr>
          <w:rFonts w:cstheme="majorBidi"/>
          <w:lang w:val="en-GB" w:eastAsia="en-GB"/>
        </w:rPr>
        <w:t xml:space="preserve">presiding officers and chairs </w:t>
      </w:r>
      <w:r w:rsidR="448B2442" w:rsidRPr="00845FB7">
        <w:rPr>
          <w:rFonts w:cstheme="majorBidi"/>
          <w:lang w:val="en-GB" w:eastAsia="en-GB"/>
        </w:rPr>
        <w:t xml:space="preserve">of contact groups and other groups </w:t>
      </w:r>
      <w:r w:rsidR="7719171A" w:rsidRPr="00845FB7">
        <w:rPr>
          <w:rFonts w:cstheme="majorBidi"/>
          <w:lang w:val="en-GB" w:eastAsia="en-GB"/>
        </w:rPr>
        <w:t>is enhanced.</w:t>
      </w:r>
    </w:p>
    <w:p w14:paraId="065E15E4" w14:textId="45C7A257" w:rsidR="00950141" w:rsidRPr="00845FB7" w:rsidRDefault="00950141" w:rsidP="00BD36F8">
      <w:pPr>
        <w:spacing w:before="240"/>
        <w:rPr>
          <w:rFonts w:cstheme="majorBidi"/>
          <w:b/>
          <w:bCs/>
          <w:szCs w:val="20"/>
          <w:lang w:val="en-GB" w:eastAsia="en-GB"/>
        </w:rPr>
      </w:pPr>
      <w:r w:rsidRPr="00845FB7">
        <w:rPr>
          <w:rFonts w:cstheme="majorBidi"/>
          <w:b/>
          <w:bCs/>
          <w:lang w:val="en-GB" w:eastAsia="en-GB"/>
        </w:rPr>
        <w:t>ACTIVITIES</w:t>
      </w:r>
    </w:p>
    <w:p w14:paraId="5F75E913" w14:textId="77D361D1" w:rsidR="00063A4C" w:rsidRPr="00845FB7" w:rsidRDefault="00063A4C" w:rsidP="00BD36F8">
      <w:pPr>
        <w:pStyle w:val="ListParagraph"/>
        <w:numPr>
          <w:ilvl w:val="0"/>
          <w:numId w:val="7"/>
        </w:numPr>
        <w:spacing w:after="60" w:line="240" w:lineRule="auto"/>
        <w:jc w:val="left"/>
        <w:rPr>
          <w:rFonts w:eastAsia="Times New Roman" w:cstheme="majorBidi"/>
          <w:szCs w:val="20"/>
          <w:lang w:val="en-GB"/>
        </w:rPr>
      </w:pPr>
      <w:r w:rsidRPr="00845FB7">
        <w:rPr>
          <w:rFonts w:eastAsia="Times New Roman" w:cstheme="majorBidi"/>
          <w:szCs w:val="20"/>
          <w:lang w:val="en-GB"/>
        </w:rPr>
        <w:t>Organize travel of funded participants for regional preparatory meetings</w:t>
      </w:r>
      <w:r w:rsidR="008C5DF6" w:rsidRPr="00845FB7">
        <w:rPr>
          <w:rFonts w:eastAsia="Times New Roman" w:cstheme="majorBidi"/>
          <w:szCs w:val="20"/>
          <w:lang w:val="en-GB"/>
        </w:rPr>
        <w:t xml:space="preserve"> (subject to the availability of funding)</w:t>
      </w:r>
      <w:r w:rsidRPr="00845FB7">
        <w:rPr>
          <w:rFonts w:eastAsia="Times New Roman" w:cstheme="majorBidi"/>
          <w:szCs w:val="20"/>
          <w:lang w:val="en-GB"/>
        </w:rPr>
        <w:t>;</w:t>
      </w:r>
    </w:p>
    <w:p w14:paraId="497B5E2F" w14:textId="015FEACC" w:rsidR="00063A4C" w:rsidRPr="00845FB7" w:rsidRDefault="00063A4C" w:rsidP="00BD36F8">
      <w:pPr>
        <w:pStyle w:val="ListParagraph"/>
        <w:numPr>
          <w:ilvl w:val="0"/>
          <w:numId w:val="7"/>
        </w:numPr>
        <w:spacing w:after="60" w:line="240" w:lineRule="auto"/>
        <w:jc w:val="left"/>
        <w:rPr>
          <w:rFonts w:eastAsia="Times New Roman" w:cstheme="majorBidi"/>
          <w:szCs w:val="20"/>
          <w:lang w:val="en-GB"/>
        </w:rPr>
      </w:pPr>
      <w:r w:rsidRPr="00845FB7">
        <w:rPr>
          <w:rFonts w:eastAsia="Times New Roman" w:cstheme="majorBidi"/>
          <w:szCs w:val="20"/>
          <w:lang w:val="en-GB"/>
        </w:rPr>
        <w:t>Arrange equipment, meeting venue</w:t>
      </w:r>
      <w:r w:rsidR="002962C1" w:rsidRPr="00845FB7">
        <w:rPr>
          <w:rFonts w:eastAsia="Times New Roman" w:cstheme="majorBidi"/>
          <w:szCs w:val="20"/>
          <w:lang w:val="en-GB"/>
        </w:rPr>
        <w:t>,</w:t>
      </w:r>
      <w:r w:rsidRPr="00845FB7">
        <w:rPr>
          <w:rFonts w:eastAsia="Times New Roman" w:cstheme="majorBidi"/>
          <w:szCs w:val="20"/>
          <w:lang w:val="en-GB"/>
        </w:rPr>
        <w:t xml:space="preserve"> and provide interpretation for regional preparatory meetings</w:t>
      </w:r>
      <w:r w:rsidR="002962C1" w:rsidRPr="00845FB7">
        <w:rPr>
          <w:rFonts w:eastAsia="Times New Roman" w:cstheme="majorBidi"/>
          <w:szCs w:val="20"/>
          <w:lang w:val="en-GB"/>
        </w:rPr>
        <w:t xml:space="preserve"> where this is needed (subject to the availability of funding)</w:t>
      </w:r>
      <w:r w:rsidRPr="00845FB7">
        <w:rPr>
          <w:rFonts w:eastAsia="Times New Roman" w:cstheme="majorBidi"/>
          <w:szCs w:val="20"/>
          <w:lang w:val="en-GB"/>
        </w:rPr>
        <w:t>;</w:t>
      </w:r>
    </w:p>
    <w:p w14:paraId="1CD91A93" w14:textId="76A9550A" w:rsidR="00063A4C" w:rsidRPr="00845FB7" w:rsidRDefault="00063A4C" w:rsidP="00BD36F8">
      <w:pPr>
        <w:pStyle w:val="ListParagraph"/>
        <w:numPr>
          <w:ilvl w:val="0"/>
          <w:numId w:val="7"/>
        </w:numPr>
        <w:spacing w:after="60" w:line="240" w:lineRule="auto"/>
        <w:jc w:val="left"/>
        <w:rPr>
          <w:rFonts w:eastAsia="Times New Roman" w:cstheme="majorBidi"/>
          <w:szCs w:val="20"/>
          <w:lang w:val="en-GB"/>
        </w:rPr>
      </w:pPr>
      <w:r w:rsidRPr="00845FB7">
        <w:rPr>
          <w:rFonts w:eastAsia="Times New Roman" w:cstheme="majorBidi"/>
          <w:szCs w:val="20"/>
          <w:lang w:val="en-GB"/>
        </w:rPr>
        <w:t>Staff travel to regional preparatory meetings;</w:t>
      </w:r>
    </w:p>
    <w:p w14:paraId="0F926F19" w14:textId="24CC6E99" w:rsidR="00950141" w:rsidRPr="00845FB7" w:rsidRDefault="00063A4C" w:rsidP="00BD36F8">
      <w:pPr>
        <w:pStyle w:val="ListParagraph"/>
        <w:numPr>
          <w:ilvl w:val="0"/>
          <w:numId w:val="7"/>
        </w:numPr>
        <w:spacing w:after="60" w:line="240" w:lineRule="auto"/>
        <w:jc w:val="left"/>
        <w:rPr>
          <w:rFonts w:cstheme="majorBidi"/>
          <w:lang w:val="en-GB" w:eastAsia="en-GB"/>
        </w:rPr>
      </w:pPr>
      <w:r w:rsidRPr="00845FB7">
        <w:rPr>
          <w:rFonts w:eastAsia="Times New Roman" w:cstheme="majorBidi"/>
          <w:szCs w:val="20"/>
          <w:lang w:val="en-GB"/>
        </w:rPr>
        <w:t>Staff support for organizing regional preparatory meetings</w:t>
      </w:r>
      <w:r w:rsidR="000E2173" w:rsidRPr="00845FB7">
        <w:rPr>
          <w:rFonts w:eastAsia="Times New Roman" w:cstheme="majorBidi"/>
          <w:szCs w:val="20"/>
          <w:lang w:val="en-GB"/>
        </w:rPr>
        <w:t xml:space="preserve"> (staff costs)</w:t>
      </w:r>
      <w:r w:rsidR="00A410BD" w:rsidRPr="00845FB7">
        <w:rPr>
          <w:rFonts w:eastAsia="Times New Roman" w:cstheme="majorBidi"/>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950141" w:rsidRPr="00845FB7" w14:paraId="0D904EFD" w14:textId="77777777" w:rsidTr="000C038C">
        <w:tc>
          <w:tcPr>
            <w:tcW w:w="4508" w:type="dxa"/>
          </w:tcPr>
          <w:p w14:paraId="7FBCD3A4" w14:textId="77777777" w:rsidR="00950141" w:rsidRPr="00845FB7" w:rsidRDefault="00950141"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47A2A25E" w14:textId="77777777" w:rsidR="005F243A" w:rsidRPr="00845FB7" w:rsidRDefault="005F243A" w:rsidP="00BD36F8">
            <w:pPr>
              <w:numPr>
                <w:ilvl w:val="0"/>
                <w:numId w:val="5"/>
              </w:numPr>
              <w:snapToGrid w:val="0"/>
              <w:spacing w:after="60"/>
              <w:jc w:val="left"/>
              <w:rPr>
                <w:rFonts w:cstheme="majorBidi"/>
                <w:szCs w:val="20"/>
                <w:lang w:val="en-GB"/>
              </w:rPr>
            </w:pPr>
            <w:r w:rsidRPr="00845FB7">
              <w:rPr>
                <w:rFonts w:cstheme="majorBidi"/>
                <w:szCs w:val="20"/>
                <w:lang w:val="en-GB"/>
              </w:rPr>
              <w:t>Travel of sponsored participants organized;</w:t>
            </w:r>
          </w:p>
          <w:p w14:paraId="453BC591" w14:textId="77777777" w:rsidR="005F243A" w:rsidRPr="00845FB7" w:rsidRDefault="005F243A" w:rsidP="00BD36F8">
            <w:pPr>
              <w:numPr>
                <w:ilvl w:val="0"/>
                <w:numId w:val="5"/>
              </w:numPr>
              <w:snapToGrid w:val="0"/>
              <w:spacing w:after="60"/>
              <w:jc w:val="left"/>
              <w:rPr>
                <w:rFonts w:cstheme="majorBidi"/>
                <w:i/>
                <w:szCs w:val="20"/>
                <w:lang w:val="en-GB"/>
              </w:rPr>
            </w:pPr>
            <w:r w:rsidRPr="00845FB7">
              <w:rPr>
                <w:rFonts w:cstheme="majorBidi"/>
                <w:szCs w:val="20"/>
                <w:lang w:val="en-GB"/>
              </w:rPr>
              <w:t>Meeting facilities and services provided to ensure smooth running of the meetings;</w:t>
            </w:r>
          </w:p>
          <w:p w14:paraId="2B4D00BF" w14:textId="14D4B4A7" w:rsidR="00B14E85" w:rsidRPr="00845FB7" w:rsidRDefault="005F243A" w:rsidP="00BD36F8">
            <w:pPr>
              <w:pStyle w:val="ListParagraph"/>
              <w:numPr>
                <w:ilvl w:val="0"/>
                <w:numId w:val="5"/>
              </w:numPr>
              <w:spacing w:after="60"/>
              <w:rPr>
                <w:rFonts w:cstheme="majorBidi"/>
                <w:b/>
                <w:bCs/>
                <w:szCs w:val="20"/>
                <w:lang w:val="en-GB" w:eastAsia="en-GB"/>
              </w:rPr>
            </w:pPr>
            <w:r w:rsidRPr="00845FB7">
              <w:rPr>
                <w:rFonts w:cstheme="majorBidi"/>
                <w:szCs w:val="20"/>
                <w:lang w:val="en-GB"/>
              </w:rPr>
              <w:t xml:space="preserve">Effective support is provided by the </w:t>
            </w:r>
            <w:r w:rsidR="000C2B12" w:rsidRPr="00845FB7">
              <w:rPr>
                <w:rFonts w:cstheme="majorBidi"/>
                <w:szCs w:val="20"/>
                <w:lang w:val="en-GB"/>
              </w:rPr>
              <w:t>S</w:t>
            </w:r>
            <w:r w:rsidRPr="00845FB7">
              <w:rPr>
                <w:rFonts w:cstheme="majorBidi"/>
                <w:szCs w:val="20"/>
                <w:lang w:val="en-GB"/>
              </w:rPr>
              <w:t xml:space="preserve">ecretariat to representatives of </w:t>
            </w:r>
            <w:r w:rsidR="000C2B12" w:rsidRPr="00845FB7">
              <w:rPr>
                <w:rFonts w:cstheme="majorBidi"/>
                <w:szCs w:val="20"/>
                <w:lang w:val="en-GB"/>
              </w:rPr>
              <w:t>P</w:t>
            </w:r>
            <w:r w:rsidRPr="00845FB7">
              <w:rPr>
                <w:rFonts w:cstheme="majorBidi"/>
                <w:szCs w:val="20"/>
                <w:lang w:val="en-GB"/>
              </w:rPr>
              <w:t>arties and observers, as appropriate, during the meetings</w:t>
            </w:r>
            <w:r w:rsidR="00950141" w:rsidRPr="00845FB7">
              <w:rPr>
                <w:rFonts w:cstheme="majorBidi"/>
                <w:szCs w:val="20"/>
                <w:lang w:val="en-GB" w:eastAsia="en-GB"/>
              </w:rPr>
              <w:t>.</w:t>
            </w:r>
          </w:p>
        </w:tc>
        <w:tc>
          <w:tcPr>
            <w:tcW w:w="4508" w:type="dxa"/>
          </w:tcPr>
          <w:p w14:paraId="44227541" w14:textId="77777777" w:rsidR="00950141" w:rsidRPr="00845FB7" w:rsidRDefault="00950141"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6B74859E" w14:textId="77777777" w:rsidR="00B14E85" w:rsidRPr="00845FB7" w:rsidRDefault="00B14E85" w:rsidP="00BD36F8">
            <w:pPr>
              <w:numPr>
                <w:ilvl w:val="0"/>
                <w:numId w:val="4"/>
              </w:numPr>
              <w:snapToGrid w:val="0"/>
              <w:spacing w:after="60"/>
              <w:jc w:val="left"/>
              <w:rPr>
                <w:rFonts w:cstheme="majorBidi"/>
                <w:szCs w:val="20"/>
                <w:lang w:val="en-GB"/>
              </w:rPr>
            </w:pPr>
            <w:r w:rsidRPr="00845FB7">
              <w:rPr>
                <w:rFonts w:cstheme="majorBidi"/>
                <w:szCs w:val="20"/>
                <w:lang w:val="en-GB"/>
              </w:rPr>
              <w:t xml:space="preserve">List of participants of the regional preparatory meetings; </w:t>
            </w:r>
          </w:p>
          <w:p w14:paraId="7036FFB9" w14:textId="77777777" w:rsidR="00B14E85" w:rsidRPr="00845FB7" w:rsidRDefault="00B14E85" w:rsidP="00BD36F8">
            <w:pPr>
              <w:numPr>
                <w:ilvl w:val="0"/>
                <w:numId w:val="4"/>
              </w:numPr>
              <w:snapToGrid w:val="0"/>
              <w:spacing w:after="60"/>
              <w:jc w:val="left"/>
              <w:rPr>
                <w:rFonts w:cstheme="majorBidi"/>
                <w:i/>
                <w:szCs w:val="20"/>
                <w:lang w:val="en-GB"/>
              </w:rPr>
            </w:pPr>
            <w:r w:rsidRPr="00845FB7">
              <w:rPr>
                <w:rFonts w:cstheme="majorBidi"/>
                <w:szCs w:val="20"/>
                <w:lang w:val="en-GB"/>
              </w:rPr>
              <w:t>Proceedings of regional preparatory meetings;</w:t>
            </w:r>
          </w:p>
          <w:p w14:paraId="0817A136" w14:textId="70C97F1C" w:rsidR="00950141" w:rsidRPr="00845FB7" w:rsidRDefault="00B14E85" w:rsidP="00BD36F8">
            <w:pPr>
              <w:pStyle w:val="ListParagraph"/>
              <w:numPr>
                <w:ilvl w:val="0"/>
                <w:numId w:val="4"/>
              </w:numPr>
              <w:spacing w:after="60"/>
              <w:rPr>
                <w:rFonts w:cstheme="majorBidi"/>
                <w:szCs w:val="20"/>
                <w:lang w:val="en-GB" w:eastAsia="en-GB"/>
              </w:rPr>
            </w:pPr>
            <w:r w:rsidRPr="00845FB7">
              <w:rPr>
                <w:rFonts w:cstheme="majorBidi"/>
                <w:szCs w:val="20"/>
                <w:lang w:val="en-GB"/>
              </w:rPr>
              <w:t>Feedback from meeting participants</w:t>
            </w:r>
            <w:r w:rsidR="00950141" w:rsidRPr="00845FB7">
              <w:rPr>
                <w:rFonts w:cstheme="majorBidi"/>
                <w:szCs w:val="20"/>
                <w:lang w:val="en-GB" w:eastAsia="en-GB"/>
              </w:rPr>
              <w:t>.</w:t>
            </w:r>
          </w:p>
        </w:tc>
      </w:tr>
    </w:tbl>
    <w:p w14:paraId="4AD37F01" w14:textId="3EBA9B1B" w:rsidR="00331D20" w:rsidRPr="00845FB7" w:rsidRDefault="00981317" w:rsidP="00C45CC2">
      <w:pPr>
        <w:pStyle w:val="Heading3"/>
        <w:rPr>
          <w:sz w:val="24"/>
          <w:lang w:val="en-GB"/>
        </w:rPr>
      </w:pPr>
      <w:r w:rsidRPr="00845FB7">
        <w:rPr>
          <w:sz w:val="24"/>
          <w:lang w:val="en-GB"/>
        </w:rPr>
        <w:t>Partners</w:t>
      </w:r>
      <w:bookmarkEnd w:id="15"/>
    </w:p>
    <w:p w14:paraId="3527137B" w14:textId="0A1E6AA7" w:rsidR="00F42360" w:rsidRPr="00845FB7" w:rsidRDefault="00DE72EF" w:rsidP="00BD36F8">
      <w:pPr>
        <w:spacing w:after="60" w:line="276" w:lineRule="auto"/>
        <w:rPr>
          <w:rFonts w:cstheme="majorBidi"/>
          <w:szCs w:val="20"/>
          <w:lang w:val="en-GB"/>
        </w:rPr>
      </w:pPr>
      <w:r w:rsidRPr="00845FB7">
        <w:rPr>
          <w:rFonts w:cstheme="majorBidi"/>
          <w:bCs/>
          <w:szCs w:val="20"/>
          <w:lang w:val="en-GB"/>
        </w:rPr>
        <w:t xml:space="preserve">United Nations Office in Nairobi (UNON) Conference Services, </w:t>
      </w:r>
      <w:r w:rsidR="00B1425F" w:rsidRPr="00845FB7">
        <w:rPr>
          <w:rFonts w:cstheme="majorBidi"/>
          <w:bCs/>
          <w:szCs w:val="20"/>
          <w:lang w:val="en-GB"/>
        </w:rPr>
        <w:t>United Nations Department for Security and Safety</w:t>
      </w:r>
      <w:r w:rsidR="0023336A" w:rsidRPr="00845FB7">
        <w:rPr>
          <w:rFonts w:cstheme="majorBidi"/>
          <w:bCs/>
          <w:szCs w:val="20"/>
          <w:lang w:val="en-GB"/>
        </w:rPr>
        <w:t>, Host Country.</w:t>
      </w:r>
    </w:p>
    <w:p w14:paraId="3D265E3F" w14:textId="2ADD2FA1" w:rsidR="009A6C33" w:rsidRPr="00845FB7" w:rsidRDefault="009A6C33" w:rsidP="009A6C33">
      <w:pPr>
        <w:pStyle w:val="Heading3"/>
        <w:rPr>
          <w:sz w:val="24"/>
          <w:lang w:val="en-GB"/>
        </w:rPr>
      </w:pPr>
      <w:bookmarkStart w:id="16" w:name="_Toc71119488"/>
      <w:r w:rsidRPr="00845FB7">
        <w:rPr>
          <w:sz w:val="24"/>
          <w:lang w:val="en-GB"/>
        </w:rPr>
        <w:lastRenderedPageBreak/>
        <w:t>Socio-economic aspects</w:t>
      </w:r>
      <w:bookmarkEnd w:id="16"/>
    </w:p>
    <w:p w14:paraId="0EC692B0" w14:textId="66989B55" w:rsidR="00F06619" w:rsidRPr="00845FB7" w:rsidRDefault="00001B84" w:rsidP="00BD36F8">
      <w:pPr>
        <w:snapToGrid w:val="0"/>
        <w:spacing w:after="120"/>
        <w:jc w:val="left"/>
        <w:rPr>
          <w:rFonts w:cstheme="majorBidi"/>
          <w:szCs w:val="20"/>
          <w:lang w:val="en-GB" w:eastAsia="en-GB"/>
        </w:rPr>
      </w:pPr>
      <w:bookmarkStart w:id="17" w:name="_Toc71119489"/>
      <w:r w:rsidRPr="00845FB7">
        <w:rPr>
          <w:rFonts w:cstheme="majorBidi"/>
          <w:b/>
          <w:bCs/>
          <w:szCs w:val="20"/>
          <w:lang w:val="en-GB"/>
        </w:rPr>
        <w:t>Sustainable Development Goals:</w:t>
      </w:r>
      <w:r w:rsidRPr="00845FB7">
        <w:rPr>
          <w:rFonts w:cstheme="majorBidi"/>
          <w:bCs/>
          <w:i/>
          <w:szCs w:val="20"/>
          <w:lang w:val="en-GB"/>
        </w:rPr>
        <w:t xml:space="preserve"> </w:t>
      </w:r>
      <w:r w:rsidRPr="00845FB7">
        <w:rPr>
          <w:rFonts w:cstheme="majorBidi"/>
          <w:szCs w:val="20"/>
          <w:lang w:val="en-GB"/>
        </w:rPr>
        <w:t xml:space="preserve">By ensuring informed participation of developing-country </w:t>
      </w:r>
      <w:r w:rsidR="00AE24F8" w:rsidRPr="00845FB7">
        <w:rPr>
          <w:rFonts w:cstheme="majorBidi"/>
          <w:szCs w:val="20"/>
          <w:lang w:val="en-GB"/>
        </w:rPr>
        <w:t>P</w:t>
      </w:r>
      <w:r w:rsidRPr="00845FB7">
        <w:rPr>
          <w:rFonts w:cstheme="majorBidi"/>
          <w:szCs w:val="20"/>
          <w:lang w:val="en-GB"/>
        </w:rPr>
        <w:t xml:space="preserve">arties and </w:t>
      </w:r>
      <w:r w:rsidR="00FC1CB4" w:rsidRPr="00845FB7">
        <w:rPr>
          <w:rFonts w:cstheme="majorBidi"/>
          <w:szCs w:val="20"/>
          <w:lang w:val="en-GB"/>
        </w:rPr>
        <w:t>p</w:t>
      </w:r>
      <w:r w:rsidRPr="00845FB7">
        <w:rPr>
          <w:rFonts w:cstheme="majorBidi"/>
          <w:szCs w:val="20"/>
          <w:lang w:val="en-GB"/>
        </w:rPr>
        <w:t xml:space="preserve">arties with economies in transition in the meetings of the conference of the </w:t>
      </w:r>
      <w:r w:rsidR="00AE24F8" w:rsidRPr="00845FB7">
        <w:rPr>
          <w:rFonts w:cstheme="majorBidi"/>
          <w:szCs w:val="20"/>
          <w:lang w:val="en-GB"/>
        </w:rPr>
        <w:t>P</w:t>
      </w:r>
      <w:r w:rsidRPr="00845FB7">
        <w:rPr>
          <w:rFonts w:cstheme="majorBidi"/>
          <w:szCs w:val="20"/>
          <w:lang w:val="en-GB"/>
        </w:rPr>
        <w:t xml:space="preserve">arties, this activity contributes to the 2030 </w:t>
      </w:r>
      <w:r w:rsidR="008F4DEC" w:rsidRPr="00845FB7">
        <w:rPr>
          <w:rFonts w:cstheme="majorBidi"/>
          <w:szCs w:val="20"/>
          <w:lang w:val="en-GB"/>
        </w:rPr>
        <w:t>S</w:t>
      </w:r>
      <w:r w:rsidRPr="00845FB7">
        <w:rPr>
          <w:rFonts w:cstheme="majorBidi"/>
          <w:szCs w:val="20"/>
          <w:lang w:val="en-GB"/>
        </w:rPr>
        <w:t xml:space="preserve">ustainable </w:t>
      </w:r>
      <w:r w:rsidR="008F4DEC" w:rsidRPr="00845FB7">
        <w:rPr>
          <w:rFonts w:cstheme="majorBidi"/>
          <w:szCs w:val="20"/>
          <w:lang w:val="en-GB"/>
        </w:rPr>
        <w:t>D</w:t>
      </w:r>
      <w:r w:rsidRPr="00845FB7">
        <w:rPr>
          <w:rFonts w:cstheme="majorBidi"/>
          <w:szCs w:val="20"/>
          <w:lang w:val="en-GB"/>
        </w:rPr>
        <w:t xml:space="preserve">evelopment </w:t>
      </w:r>
      <w:r w:rsidR="008F4DEC" w:rsidRPr="00845FB7">
        <w:rPr>
          <w:rFonts w:cstheme="majorBidi"/>
          <w:szCs w:val="20"/>
          <w:lang w:val="en-GB"/>
        </w:rPr>
        <w:t>A</w:t>
      </w:r>
      <w:r w:rsidRPr="00845FB7">
        <w:rPr>
          <w:rFonts w:cstheme="majorBidi"/>
          <w:szCs w:val="20"/>
          <w:lang w:val="en-GB"/>
        </w:rPr>
        <w:t xml:space="preserve">genda which reaffirmed the continued need for the participation of all countries, in particular developing countries, in global decision-making. It also </w:t>
      </w:r>
      <w:r w:rsidRPr="00845FB7">
        <w:rPr>
          <w:rFonts w:cstheme="majorBidi"/>
          <w:szCs w:val="20"/>
          <w:lang w:val="en-GB" w:eastAsia="en-GB"/>
        </w:rPr>
        <w:t xml:space="preserve">improves the legitimacy of the decisions adopted by the COP and encourages the implementation of the Convention at all levels. </w:t>
      </w:r>
    </w:p>
    <w:p w14:paraId="0C49986D" w14:textId="050AEFCC" w:rsidR="00001B84" w:rsidRPr="00845FB7" w:rsidRDefault="237E0AE4" w:rsidP="00BD36F8">
      <w:pPr>
        <w:snapToGrid w:val="0"/>
        <w:spacing w:after="120"/>
        <w:jc w:val="left"/>
        <w:rPr>
          <w:sz w:val="18"/>
          <w:szCs w:val="18"/>
          <w:lang w:val="en-GB" w:eastAsia="en-GB"/>
        </w:rPr>
      </w:pPr>
      <w:r w:rsidRPr="00845FB7">
        <w:rPr>
          <w:rFonts w:cstheme="majorBidi"/>
          <w:b/>
          <w:bCs/>
          <w:lang w:val="en-GB"/>
        </w:rPr>
        <w:t>Balanced representation of men and women</w:t>
      </w:r>
      <w:r w:rsidR="00001B84" w:rsidRPr="00845FB7">
        <w:rPr>
          <w:rFonts w:cstheme="majorBidi"/>
          <w:lang w:val="en-GB"/>
        </w:rPr>
        <w:t xml:space="preserve">: In the nomination process of participants to the meetings, the </w:t>
      </w:r>
      <w:r w:rsidR="00D85CF5" w:rsidRPr="00845FB7">
        <w:rPr>
          <w:rFonts w:cstheme="majorBidi"/>
          <w:lang w:val="en-GB"/>
        </w:rPr>
        <w:t>S</w:t>
      </w:r>
      <w:r w:rsidR="00001B84" w:rsidRPr="00845FB7">
        <w:rPr>
          <w:rFonts w:cstheme="majorBidi"/>
          <w:lang w:val="en-GB"/>
        </w:rPr>
        <w:t xml:space="preserve">ecretariat will encourage a balanced representation </w:t>
      </w:r>
      <w:r w:rsidR="35416963" w:rsidRPr="00845FB7">
        <w:rPr>
          <w:rFonts w:cstheme="majorBidi"/>
          <w:lang w:val="en-GB"/>
        </w:rPr>
        <w:t xml:space="preserve">of men and women </w:t>
      </w:r>
      <w:r w:rsidR="00001B84" w:rsidRPr="00845FB7">
        <w:rPr>
          <w:rFonts w:cstheme="majorBidi"/>
          <w:lang w:val="en-GB"/>
        </w:rPr>
        <w:t>within delegations</w:t>
      </w:r>
      <w:r w:rsidR="00001B84" w:rsidRPr="00845FB7">
        <w:rPr>
          <w:sz w:val="18"/>
          <w:szCs w:val="18"/>
          <w:lang w:val="en-GB"/>
        </w:rPr>
        <w:t>.</w:t>
      </w:r>
      <w:r w:rsidR="00001B84" w:rsidRPr="00845FB7">
        <w:rPr>
          <w:b/>
          <w:bCs/>
          <w:sz w:val="18"/>
          <w:szCs w:val="18"/>
          <w:lang w:val="en-GB"/>
        </w:rPr>
        <w:t xml:space="preserve"> </w:t>
      </w:r>
    </w:p>
    <w:bookmarkEnd w:id="17"/>
    <w:p w14:paraId="6E5A60AD" w14:textId="6E364502" w:rsidR="2178DE57" w:rsidRPr="00845FB7" w:rsidRDefault="2178DE57" w:rsidP="2178DE57">
      <w:pPr>
        <w:rPr>
          <w:lang w:val="en-GB"/>
        </w:rPr>
      </w:pPr>
    </w:p>
    <w:p w14:paraId="02138149" w14:textId="379A8E4F" w:rsidR="2178DE57" w:rsidRPr="00845FB7" w:rsidRDefault="2178DE57" w:rsidP="2178DE57">
      <w:pPr>
        <w:rPr>
          <w:lang w:val="en-GB"/>
        </w:rPr>
      </w:pPr>
    </w:p>
    <w:p w14:paraId="616F7D25" w14:textId="0BF551FE" w:rsidR="2178DE57" w:rsidRPr="00845FB7" w:rsidRDefault="2178DE57" w:rsidP="2178DE57">
      <w:pPr>
        <w:rPr>
          <w:lang w:val="en-GB"/>
        </w:rPr>
        <w:sectPr w:rsidR="2178DE57" w:rsidRPr="00845FB7" w:rsidSect="00BD36F8">
          <w:headerReference w:type="even" r:id="rId18"/>
          <w:headerReference w:type="default" r:id="rId19"/>
          <w:footerReference w:type="even" r:id="rId20"/>
          <w:footerReference w:type="default" r:id="rId21"/>
          <w:headerReference w:type="first" r:id="rId22"/>
          <w:type w:val="continuous"/>
          <w:pgSz w:w="11906" w:h="16838" w:code="9"/>
          <w:pgMar w:top="907" w:right="992" w:bottom="1418" w:left="1418" w:header="539" w:footer="975" w:gutter="0"/>
          <w:cols w:space="708"/>
          <w:titlePg/>
          <w:docGrid w:linePitch="360"/>
        </w:sectPr>
      </w:pPr>
      <w:bookmarkStart w:id="18" w:name="_Toc71119490"/>
    </w:p>
    <w:tbl>
      <w:tblPr>
        <w:tblpPr w:leftFromText="180" w:rightFromText="180" w:horzAnchor="margin" w:tblpY="5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10"/>
        <w:gridCol w:w="1136"/>
        <w:gridCol w:w="1133"/>
        <w:gridCol w:w="709"/>
        <w:gridCol w:w="1133"/>
        <w:gridCol w:w="1133"/>
        <w:gridCol w:w="807"/>
        <w:gridCol w:w="1035"/>
        <w:gridCol w:w="1136"/>
        <w:gridCol w:w="727"/>
        <w:gridCol w:w="966"/>
        <w:gridCol w:w="963"/>
      </w:tblGrid>
      <w:tr w:rsidR="00C65298" w:rsidRPr="00845FB7" w14:paraId="06BB90C9" w14:textId="77777777" w:rsidTr="0027215D">
        <w:trPr>
          <w:trHeight w:val="305"/>
        </w:trPr>
        <w:tc>
          <w:tcPr>
            <w:tcW w:w="981" w:type="pct"/>
            <w:vMerge w:val="restart"/>
            <w:noWrap/>
            <w:vAlign w:val="center"/>
            <w:hideMark/>
          </w:tcPr>
          <w:p w14:paraId="647F51EE" w14:textId="3994ED5B" w:rsidR="00761672" w:rsidRPr="00845FB7" w:rsidRDefault="00761672" w:rsidP="007B20D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lastRenderedPageBreak/>
              <w:t>Activity/Output</w:t>
            </w:r>
          </w:p>
        </w:tc>
        <w:tc>
          <w:tcPr>
            <w:tcW w:w="2065" w:type="pct"/>
            <w:gridSpan w:val="6"/>
            <w:noWrap/>
            <w:vAlign w:val="center"/>
            <w:hideMark/>
          </w:tcPr>
          <w:p w14:paraId="037708FB" w14:textId="484F4A7C" w:rsidR="00761672" w:rsidRPr="00845FB7" w:rsidRDefault="00761672"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5</w:t>
            </w:r>
            <w:r w:rsidR="00E83B48" w:rsidRPr="00845FB7">
              <w:rPr>
                <w:rFonts w:eastAsia="Times New Roman" w:cstheme="majorBidi"/>
                <w:b/>
                <w:bCs/>
                <w:color w:val="000000" w:themeColor="text1"/>
                <w:sz w:val="16"/>
                <w:szCs w:val="16"/>
                <w:lang w:val="en-GB"/>
              </w:rPr>
              <w:t xml:space="preserve"> per cent</w:t>
            </w:r>
            <w:r w:rsidRPr="00845FB7">
              <w:rPr>
                <w:rFonts w:eastAsia="Times New Roman" w:cstheme="majorBidi"/>
                <w:b/>
                <w:bCs/>
                <w:color w:val="000000" w:themeColor="text1"/>
                <w:sz w:val="16"/>
                <w:szCs w:val="16"/>
                <w:lang w:val="en-GB"/>
              </w:rPr>
              <w:t xml:space="preserve"> scenario (</w:t>
            </w:r>
            <w:r w:rsidR="00E2051A" w:rsidRPr="00845FB7">
              <w:rPr>
                <w:rFonts w:eastAsia="Times New Roman" w:cstheme="majorBidi"/>
                <w:b/>
                <w:bCs/>
                <w:color w:val="000000" w:themeColor="text1"/>
                <w:sz w:val="16"/>
                <w:szCs w:val="16"/>
                <w:lang w:val="en-GB"/>
              </w:rPr>
              <w:t>2026–2027</w:t>
            </w:r>
            <w:r w:rsidRPr="00845FB7">
              <w:rPr>
                <w:rFonts w:eastAsia="Times New Roman" w:cstheme="majorBidi"/>
                <w:b/>
                <w:bCs/>
                <w:color w:val="000000" w:themeColor="text1"/>
                <w:sz w:val="16"/>
                <w:szCs w:val="16"/>
                <w:lang w:val="en-GB"/>
              </w:rPr>
              <w:t>)</w:t>
            </w:r>
          </w:p>
        </w:tc>
        <w:tc>
          <w:tcPr>
            <w:tcW w:w="1954" w:type="pct"/>
            <w:gridSpan w:val="6"/>
            <w:noWrap/>
            <w:vAlign w:val="center"/>
            <w:hideMark/>
          </w:tcPr>
          <w:p w14:paraId="08A03FC8" w14:textId="279CD172" w:rsidR="00761672" w:rsidRPr="00845FB7" w:rsidRDefault="00761672"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Zero nominal growth scenario (</w:t>
            </w:r>
            <w:r w:rsidR="00E2051A" w:rsidRPr="00845FB7">
              <w:rPr>
                <w:rFonts w:eastAsia="Times New Roman" w:cstheme="majorBidi"/>
                <w:b/>
                <w:bCs/>
                <w:color w:val="000000" w:themeColor="text1"/>
                <w:sz w:val="16"/>
                <w:szCs w:val="16"/>
                <w:lang w:val="en-GB"/>
              </w:rPr>
              <w:t>2026–2027</w:t>
            </w:r>
            <w:r w:rsidRPr="00845FB7">
              <w:rPr>
                <w:rFonts w:eastAsia="Times New Roman" w:cstheme="majorBidi"/>
                <w:b/>
                <w:bCs/>
                <w:color w:val="000000" w:themeColor="text1"/>
                <w:sz w:val="16"/>
                <w:szCs w:val="16"/>
                <w:lang w:val="en-GB"/>
              </w:rPr>
              <w:t>)</w:t>
            </w:r>
          </w:p>
        </w:tc>
      </w:tr>
      <w:tr w:rsidR="008743C7" w:rsidRPr="00845FB7" w14:paraId="40E225F7" w14:textId="77777777" w:rsidTr="0027215D">
        <w:trPr>
          <w:trHeight w:val="305"/>
        </w:trPr>
        <w:tc>
          <w:tcPr>
            <w:tcW w:w="981" w:type="pct"/>
            <w:vMerge/>
            <w:vAlign w:val="center"/>
            <w:hideMark/>
          </w:tcPr>
          <w:p w14:paraId="64AE1A2D" w14:textId="77777777" w:rsidR="00761672" w:rsidRPr="00845FB7" w:rsidRDefault="00761672" w:rsidP="007B20D2">
            <w:pPr>
              <w:spacing w:after="0" w:line="240" w:lineRule="auto"/>
              <w:contextualSpacing/>
              <w:jc w:val="left"/>
              <w:rPr>
                <w:rFonts w:eastAsia="Times New Roman" w:cstheme="majorBidi"/>
                <w:b/>
                <w:bCs/>
                <w:color w:val="000000"/>
                <w:sz w:val="16"/>
                <w:szCs w:val="16"/>
                <w:lang w:val="en-GB"/>
              </w:rPr>
            </w:pPr>
          </w:p>
        </w:tc>
        <w:tc>
          <w:tcPr>
            <w:tcW w:w="1033" w:type="pct"/>
            <w:gridSpan w:val="3"/>
            <w:vAlign w:val="center"/>
            <w:hideMark/>
          </w:tcPr>
          <w:p w14:paraId="062F222B" w14:textId="3658FA61" w:rsidR="00761672" w:rsidRPr="00845FB7" w:rsidRDefault="00761672" w:rsidP="007B20D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General </w:t>
            </w:r>
            <w:r w:rsidR="00E83B48"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E83B48"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1032" w:type="pct"/>
            <w:gridSpan w:val="3"/>
            <w:vAlign w:val="center"/>
            <w:hideMark/>
          </w:tcPr>
          <w:p w14:paraId="593E7BB9" w14:textId="2445CC23" w:rsidR="00761672" w:rsidRPr="00845FB7" w:rsidRDefault="00761672" w:rsidP="007B20D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Special </w:t>
            </w:r>
            <w:r w:rsidR="00E83B48"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E83B48"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1033" w:type="pct"/>
            <w:gridSpan w:val="3"/>
            <w:vAlign w:val="center"/>
            <w:hideMark/>
          </w:tcPr>
          <w:p w14:paraId="4D1D5993" w14:textId="31BB6177" w:rsidR="00761672" w:rsidRPr="00845FB7" w:rsidRDefault="00761672" w:rsidP="007B20D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General </w:t>
            </w:r>
            <w:r w:rsidR="00E83B48"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rust Fund</w:t>
            </w:r>
          </w:p>
        </w:tc>
        <w:tc>
          <w:tcPr>
            <w:tcW w:w="921" w:type="pct"/>
            <w:gridSpan w:val="3"/>
            <w:vAlign w:val="center"/>
            <w:hideMark/>
          </w:tcPr>
          <w:p w14:paraId="7A022F6B" w14:textId="692D47D1" w:rsidR="00761672" w:rsidRPr="00845FB7" w:rsidRDefault="00761672" w:rsidP="007B20D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Special </w:t>
            </w:r>
            <w:r w:rsidR="00E83B48"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E83B48"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r>
      <w:tr w:rsidR="0027215D" w:rsidRPr="00845FB7" w14:paraId="5854822A" w14:textId="77777777" w:rsidTr="00F96CB7">
        <w:trPr>
          <w:trHeight w:val="549"/>
        </w:trPr>
        <w:tc>
          <w:tcPr>
            <w:tcW w:w="981" w:type="pct"/>
            <w:noWrap/>
            <w:vAlign w:val="center"/>
            <w:hideMark/>
          </w:tcPr>
          <w:p w14:paraId="3ED74594" w14:textId="77777777" w:rsidR="00761672" w:rsidRPr="00845FB7" w:rsidRDefault="00761672" w:rsidP="007B20D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246" w:type="pct"/>
            <w:vAlign w:val="center"/>
            <w:hideMark/>
          </w:tcPr>
          <w:p w14:paraId="6395183A" w14:textId="4E3491A2"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3FD45CDE" w:rsidRPr="00845FB7">
              <w:rPr>
                <w:rFonts w:eastAsia="Times New Roman" w:cstheme="majorBidi"/>
                <w:b/>
                <w:bCs/>
                <w:color w:val="000000" w:themeColor="text1"/>
                <w:sz w:val="16"/>
                <w:szCs w:val="16"/>
                <w:lang w:val="en-GB"/>
              </w:rPr>
              <w:t>6</w:t>
            </w:r>
          </w:p>
        </w:tc>
        <w:tc>
          <w:tcPr>
            <w:tcW w:w="394" w:type="pct"/>
            <w:vAlign w:val="center"/>
            <w:hideMark/>
          </w:tcPr>
          <w:p w14:paraId="69CF64A0" w14:textId="69066994"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192FE122" w:rsidRPr="00845FB7">
              <w:rPr>
                <w:rFonts w:eastAsia="Times New Roman" w:cstheme="majorBidi"/>
                <w:b/>
                <w:bCs/>
                <w:color w:val="000000" w:themeColor="text1"/>
                <w:sz w:val="16"/>
                <w:szCs w:val="16"/>
                <w:lang w:val="en-GB"/>
              </w:rPr>
              <w:t>7</w:t>
            </w:r>
          </w:p>
        </w:tc>
        <w:tc>
          <w:tcPr>
            <w:tcW w:w="393" w:type="pct"/>
            <w:vAlign w:val="center"/>
            <w:hideMark/>
          </w:tcPr>
          <w:p w14:paraId="54543C1E" w14:textId="34B8487A"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 xml:space="preserve">Total </w:t>
            </w:r>
            <w:r w:rsidRPr="00845FB7">
              <w:rPr>
                <w:sz w:val="16"/>
                <w:szCs w:val="16"/>
                <w:lang w:val="en-GB"/>
              </w:rPr>
              <w:br/>
            </w:r>
            <w:r w:rsidRPr="00845FB7">
              <w:rPr>
                <w:rFonts w:eastAsia="Times New Roman" w:cstheme="majorBidi"/>
                <w:b/>
                <w:bCs/>
                <w:color w:val="000000" w:themeColor="text1"/>
                <w:sz w:val="16"/>
                <w:szCs w:val="16"/>
                <w:lang w:val="en-GB"/>
              </w:rPr>
              <w:t>(</w:t>
            </w:r>
            <w:r w:rsidR="00E2051A" w:rsidRPr="00845FB7">
              <w:rPr>
                <w:rFonts w:eastAsia="Times New Roman" w:cstheme="majorBidi"/>
                <w:b/>
                <w:bCs/>
                <w:color w:val="000000" w:themeColor="text1"/>
                <w:sz w:val="16"/>
                <w:szCs w:val="16"/>
                <w:lang w:val="en-GB"/>
              </w:rPr>
              <w:t>2026–2027</w:t>
            </w:r>
            <w:r w:rsidRPr="00845FB7">
              <w:rPr>
                <w:rFonts w:eastAsia="Times New Roman" w:cstheme="majorBidi"/>
                <w:b/>
                <w:bCs/>
                <w:color w:val="000000" w:themeColor="text1"/>
                <w:sz w:val="16"/>
                <w:szCs w:val="16"/>
                <w:lang w:val="en-GB"/>
              </w:rPr>
              <w:t>)</w:t>
            </w:r>
          </w:p>
        </w:tc>
        <w:tc>
          <w:tcPr>
            <w:tcW w:w="246" w:type="pct"/>
            <w:vAlign w:val="center"/>
            <w:hideMark/>
          </w:tcPr>
          <w:p w14:paraId="3E933D9D" w14:textId="5D88DB1A"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2CAA5012" w:rsidRPr="00845FB7">
              <w:rPr>
                <w:rFonts w:eastAsia="Times New Roman" w:cstheme="majorBidi"/>
                <w:b/>
                <w:bCs/>
                <w:color w:val="000000" w:themeColor="text1"/>
                <w:sz w:val="16"/>
                <w:szCs w:val="16"/>
                <w:lang w:val="en-GB"/>
              </w:rPr>
              <w:t>6</w:t>
            </w:r>
          </w:p>
        </w:tc>
        <w:tc>
          <w:tcPr>
            <w:tcW w:w="393" w:type="pct"/>
            <w:vAlign w:val="center"/>
            <w:hideMark/>
          </w:tcPr>
          <w:p w14:paraId="31AF8D66" w14:textId="7ED53755"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34090D97" w:rsidRPr="00845FB7">
              <w:rPr>
                <w:rFonts w:eastAsia="Times New Roman" w:cstheme="majorBidi"/>
                <w:b/>
                <w:bCs/>
                <w:color w:val="000000" w:themeColor="text1"/>
                <w:sz w:val="16"/>
                <w:szCs w:val="16"/>
                <w:lang w:val="en-GB"/>
              </w:rPr>
              <w:t>7</w:t>
            </w:r>
          </w:p>
        </w:tc>
        <w:tc>
          <w:tcPr>
            <w:tcW w:w="393" w:type="pct"/>
            <w:vAlign w:val="center"/>
            <w:hideMark/>
          </w:tcPr>
          <w:p w14:paraId="36D041F8" w14:textId="3DF65C30"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 xml:space="preserve">Total </w:t>
            </w:r>
            <w:r w:rsidRPr="00845FB7">
              <w:rPr>
                <w:sz w:val="16"/>
                <w:szCs w:val="16"/>
                <w:lang w:val="en-GB"/>
              </w:rPr>
              <w:br/>
            </w:r>
            <w:r w:rsidRPr="00845FB7">
              <w:rPr>
                <w:rFonts w:eastAsia="Times New Roman" w:cstheme="majorBidi"/>
                <w:b/>
                <w:bCs/>
                <w:color w:val="000000" w:themeColor="text1"/>
                <w:sz w:val="16"/>
                <w:szCs w:val="16"/>
                <w:lang w:val="en-GB"/>
              </w:rPr>
              <w:t>(</w:t>
            </w:r>
            <w:r w:rsidR="00E2051A" w:rsidRPr="00845FB7">
              <w:rPr>
                <w:rFonts w:eastAsia="Times New Roman" w:cstheme="majorBidi"/>
                <w:b/>
                <w:bCs/>
                <w:color w:val="000000" w:themeColor="text1"/>
                <w:sz w:val="16"/>
                <w:szCs w:val="16"/>
                <w:lang w:val="en-GB"/>
              </w:rPr>
              <w:t>2026–2027</w:t>
            </w:r>
            <w:r w:rsidRPr="00845FB7">
              <w:rPr>
                <w:rFonts w:eastAsia="Times New Roman" w:cstheme="majorBidi"/>
                <w:b/>
                <w:bCs/>
                <w:color w:val="000000" w:themeColor="text1"/>
                <w:sz w:val="16"/>
                <w:szCs w:val="16"/>
                <w:lang w:val="en-GB"/>
              </w:rPr>
              <w:t>)</w:t>
            </w:r>
          </w:p>
        </w:tc>
        <w:tc>
          <w:tcPr>
            <w:tcW w:w="280" w:type="pct"/>
            <w:vAlign w:val="center"/>
            <w:hideMark/>
          </w:tcPr>
          <w:p w14:paraId="6E7F9E9C" w14:textId="41D01C25"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3AF32917" w:rsidRPr="00845FB7">
              <w:rPr>
                <w:rFonts w:eastAsia="Times New Roman" w:cstheme="majorBidi"/>
                <w:b/>
                <w:bCs/>
                <w:color w:val="000000" w:themeColor="text1"/>
                <w:sz w:val="16"/>
                <w:szCs w:val="16"/>
                <w:lang w:val="en-GB"/>
              </w:rPr>
              <w:t>6</w:t>
            </w:r>
          </w:p>
        </w:tc>
        <w:tc>
          <w:tcPr>
            <w:tcW w:w="359" w:type="pct"/>
            <w:vAlign w:val="center"/>
            <w:hideMark/>
          </w:tcPr>
          <w:p w14:paraId="30F4A682" w14:textId="4A864E2B" w:rsidR="00761672" w:rsidRPr="00845FB7" w:rsidRDefault="0EFCBDC7"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28B6FF94" w:rsidRPr="00845FB7">
              <w:rPr>
                <w:rFonts w:eastAsia="Times New Roman" w:cstheme="majorBidi"/>
                <w:b/>
                <w:bCs/>
                <w:color w:val="000000" w:themeColor="text1"/>
                <w:sz w:val="16"/>
                <w:szCs w:val="16"/>
                <w:lang w:val="en-GB"/>
              </w:rPr>
              <w:t>7</w:t>
            </w:r>
          </w:p>
        </w:tc>
        <w:tc>
          <w:tcPr>
            <w:tcW w:w="394" w:type="pct"/>
            <w:vAlign w:val="center"/>
            <w:hideMark/>
          </w:tcPr>
          <w:p w14:paraId="34A488FE" w14:textId="1755F0BA" w:rsidR="00761672" w:rsidRPr="00845FB7" w:rsidRDefault="00761672"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 xml:space="preserve">Total </w:t>
            </w:r>
            <w:r w:rsidRPr="00845FB7">
              <w:rPr>
                <w:sz w:val="16"/>
                <w:szCs w:val="16"/>
                <w:lang w:val="en-GB"/>
              </w:rPr>
              <w:br/>
            </w:r>
            <w:r w:rsidRPr="00845FB7">
              <w:rPr>
                <w:rFonts w:eastAsia="Times New Roman" w:cstheme="majorBidi"/>
                <w:b/>
                <w:bCs/>
                <w:color w:val="000000" w:themeColor="text1"/>
                <w:sz w:val="16"/>
                <w:szCs w:val="16"/>
                <w:lang w:val="en-GB"/>
              </w:rPr>
              <w:t>(</w:t>
            </w:r>
            <w:r w:rsidR="00E2051A" w:rsidRPr="00845FB7">
              <w:rPr>
                <w:rFonts w:eastAsia="Times New Roman" w:cstheme="majorBidi"/>
                <w:b/>
                <w:bCs/>
                <w:color w:val="000000" w:themeColor="text1"/>
                <w:sz w:val="16"/>
                <w:szCs w:val="16"/>
                <w:lang w:val="en-GB"/>
              </w:rPr>
              <w:t>2026–2027</w:t>
            </w:r>
            <w:r w:rsidRPr="00845FB7">
              <w:rPr>
                <w:rFonts w:eastAsia="Times New Roman" w:cstheme="majorBidi"/>
                <w:b/>
                <w:bCs/>
                <w:color w:val="000000" w:themeColor="text1"/>
                <w:sz w:val="16"/>
                <w:szCs w:val="16"/>
                <w:lang w:val="en-GB"/>
              </w:rPr>
              <w:t>)</w:t>
            </w:r>
          </w:p>
        </w:tc>
        <w:tc>
          <w:tcPr>
            <w:tcW w:w="252" w:type="pct"/>
            <w:vAlign w:val="center"/>
            <w:hideMark/>
          </w:tcPr>
          <w:p w14:paraId="272841DB" w14:textId="660281B5" w:rsidR="00761672" w:rsidRPr="00845FB7" w:rsidRDefault="00761672"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217472D4" w:rsidRPr="00845FB7">
              <w:rPr>
                <w:rFonts w:eastAsia="Times New Roman" w:cstheme="majorBidi"/>
                <w:b/>
                <w:bCs/>
                <w:color w:val="000000" w:themeColor="text1"/>
                <w:sz w:val="16"/>
                <w:szCs w:val="16"/>
                <w:lang w:val="en-GB"/>
              </w:rPr>
              <w:t>6</w:t>
            </w:r>
          </w:p>
        </w:tc>
        <w:tc>
          <w:tcPr>
            <w:tcW w:w="335" w:type="pct"/>
            <w:vAlign w:val="center"/>
            <w:hideMark/>
          </w:tcPr>
          <w:p w14:paraId="4E733045" w14:textId="72BE9A9E" w:rsidR="00761672" w:rsidRPr="00845FB7" w:rsidRDefault="00761672"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202</w:t>
            </w:r>
            <w:r w:rsidR="28EBA326" w:rsidRPr="00845FB7">
              <w:rPr>
                <w:rFonts w:eastAsia="Times New Roman" w:cstheme="majorBidi"/>
                <w:b/>
                <w:bCs/>
                <w:color w:val="000000" w:themeColor="text1"/>
                <w:sz w:val="16"/>
                <w:szCs w:val="16"/>
                <w:lang w:val="en-GB"/>
              </w:rPr>
              <w:t>7</w:t>
            </w:r>
          </w:p>
        </w:tc>
        <w:tc>
          <w:tcPr>
            <w:tcW w:w="334" w:type="pct"/>
            <w:vAlign w:val="center"/>
            <w:hideMark/>
          </w:tcPr>
          <w:p w14:paraId="340FAC5F" w14:textId="54726795" w:rsidR="00761672" w:rsidRPr="00845FB7" w:rsidRDefault="00761672" w:rsidP="2178DE57">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themeColor="text1"/>
                <w:sz w:val="16"/>
                <w:szCs w:val="16"/>
                <w:lang w:val="en-GB"/>
              </w:rPr>
              <w:t xml:space="preserve">Total </w:t>
            </w:r>
            <w:r w:rsidRPr="00845FB7">
              <w:rPr>
                <w:sz w:val="16"/>
                <w:szCs w:val="16"/>
                <w:lang w:val="en-GB"/>
              </w:rPr>
              <w:br/>
            </w:r>
            <w:r w:rsidRPr="00845FB7">
              <w:rPr>
                <w:rFonts w:eastAsia="Times New Roman" w:cstheme="majorBidi"/>
                <w:b/>
                <w:bCs/>
                <w:color w:val="000000" w:themeColor="text1"/>
                <w:sz w:val="16"/>
                <w:szCs w:val="16"/>
                <w:lang w:val="en-GB"/>
              </w:rPr>
              <w:t>(</w:t>
            </w:r>
            <w:r w:rsidR="00E2051A" w:rsidRPr="00845FB7">
              <w:rPr>
                <w:rFonts w:eastAsia="Times New Roman" w:cstheme="majorBidi"/>
                <w:b/>
                <w:bCs/>
                <w:color w:val="000000" w:themeColor="text1"/>
                <w:sz w:val="16"/>
                <w:szCs w:val="16"/>
                <w:lang w:val="en-GB"/>
              </w:rPr>
              <w:t>2026–2027</w:t>
            </w:r>
            <w:r w:rsidRPr="00845FB7">
              <w:rPr>
                <w:rFonts w:eastAsia="Times New Roman" w:cstheme="majorBidi"/>
                <w:b/>
                <w:bCs/>
                <w:color w:val="000000" w:themeColor="text1"/>
                <w:sz w:val="16"/>
                <w:szCs w:val="16"/>
                <w:lang w:val="en-GB"/>
              </w:rPr>
              <w:t>)</w:t>
            </w:r>
          </w:p>
        </w:tc>
      </w:tr>
      <w:tr w:rsidR="00761672" w:rsidRPr="00845FB7" w14:paraId="08048F29" w14:textId="77777777" w:rsidTr="2178DE57">
        <w:trPr>
          <w:trHeight w:val="305"/>
        </w:trPr>
        <w:tc>
          <w:tcPr>
            <w:tcW w:w="5000" w:type="pct"/>
            <w:gridSpan w:val="13"/>
            <w:noWrap/>
            <w:vAlign w:val="center"/>
            <w:hideMark/>
          </w:tcPr>
          <w:p w14:paraId="3D12744D" w14:textId="7667A813" w:rsidR="00761672" w:rsidRPr="00845FB7" w:rsidRDefault="00761672" w:rsidP="007B20D2">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1. </w:t>
            </w:r>
            <w:r w:rsidR="009D0BCA" w:rsidRPr="00845FB7">
              <w:rPr>
                <w:rFonts w:eastAsia="Times New Roman" w:cstheme="majorBidi"/>
                <w:b/>
                <w:bCs/>
                <w:color w:val="000000"/>
                <w:sz w:val="16"/>
                <w:szCs w:val="16"/>
                <w:lang w:val="en-GB"/>
              </w:rPr>
              <w:t>S</w:t>
            </w:r>
            <w:r w:rsidR="00BD6487" w:rsidRPr="00845FB7">
              <w:rPr>
                <w:rFonts w:eastAsia="Times New Roman" w:cstheme="majorBidi"/>
                <w:b/>
                <w:bCs/>
                <w:color w:val="000000"/>
                <w:sz w:val="16"/>
                <w:szCs w:val="16"/>
                <w:lang w:val="en-GB"/>
              </w:rPr>
              <w:t>eventh</w:t>
            </w:r>
            <w:r w:rsidRPr="00845FB7">
              <w:rPr>
                <w:rFonts w:eastAsia="Times New Roman" w:cstheme="majorBidi"/>
                <w:b/>
                <w:bCs/>
                <w:color w:val="000000"/>
                <w:sz w:val="16"/>
                <w:szCs w:val="16"/>
                <w:lang w:val="en-GB"/>
              </w:rPr>
              <w:t xml:space="preserve"> meeting of the Conference of the Parties</w:t>
            </w:r>
          </w:p>
        </w:tc>
      </w:tr>
      <w:tr w:rsidR="00761672" w:rsidRPr="00845FB7" w14:paraId="14CC4879" w14:textId="77777777" w:rsidTr="2178DE57">
        <w:trPr>
          <w:trHeight w:val="305"/>
        </w:trPr>
        <w:tc>
          <w:tcPr>
            <w:tcW w:w="5000" w:type="pct"/>
            <w:gridSpan w:val="13"/>
            <w:noWrap/>
            <w:vAlign w:val="center"/>
            <w:hideMark/>
          </w:tcPr>
          <w:p w14:paraId="31F4BB90" w14:textId="45991B0E" w:rsidR="00761672" w:rsidRPr="00845FB7" w:rsidRDefault="00761672" w:rsidP="007B20D2">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1.1.    </w:t>
            </w:r>
            <w:r w:rsidR="009D0BCA" w:rsidRPr="00845FB7">
              <w:rPr>
                <w:rFonts w:eastAsia="Times New Roman" w:cstheme="majorBidi"/>
                <w:b/>
                <w:bCs/>
                <w:color w:val="000000"/>
                <w:sz w:val="16"/>
                <w:szCs w:val="16"/>
                <w:lang w:val="en-GB"/>
              </w:rPr>
              <w:t>S</w:t>
            </w:r>
            <w:r w:rsidR="00BD6487" w:rsidRPr="00845FB7">
              <w:rPr>
                <w:rFonts w:eastAsia="Times New Roman" w:cstheme="majorBidi"/>
                <w:b/>
                <w:bCs/>
                <w:color w:val="000000"/>
                <w:sz w:val="16"/>
                <w:szCs w:val="16"/>
                <w:lang w:val="en-GB"/>
              </w:rPr>
              <w:t>eventh</w:t>
            </w:r>
            <w:r w:rsidRPr="00845FB7">
              <w:rPr>
                <w:rFonts w:eastAsia="Times New Roman" w:cstheme="majorBidi"/>
                <w:b/>
                <w:bCs/>
                <w:color w:val="000000"/>
                <w:sz w:val="16"/>
                <w:szCs w:val="16"/>
                <w:lang w:val="en-GB"/>
              </w:rPr>
              <w:t xml:space="preserve"> meeting of the Conference of the Parties</w:t>
            </w:r>
          </w:p>
        </w:tc>
      </w:tr>
      <w:tr w:rsidR="0027215D" w:rsidRPr="00845FB7" w14:paraId="3C25DBFB" w14:textId="77777777" w:rsidTr="00F96CB7">
        <w:trPr>
          <w:trHeight w:val="427"/>
        </w:trPr>
        <w:tc>
          <w:tcPr>
            <w:tcW w:w="981" w:type="pct"/>
            <w:vAlign w:val="center"/>
            <w:hideMark/>
          </w:tcPr>
          <w:p w14:paraId="7C051688" w14:textId="77777777"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Conference services and logistics</w:t>
            </w:r>
          </w:p>
        </w:tc>
        <w:tc>
          <w:tcPr>
            <w:tcW w:w="246" w:type="pct"/>
            <w:noWrap/>
            <w:vAlign w:val="center"/>
            <w:hideMark/>
          </w:tcPr>
          <w:p w14:paraId="6A3E51AB"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73D00D78" w14:textId="35EBCF21"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w:t>
            </w:r>
            <w:r w:rsidR="00E5582A" w:rsidRPr="00845FB7">
              <w:rPr>
                <w:rFonts w:eastAsia="Times New Roman" w:cstheme="majorBidi"/>
                <w:color w:val="000000"/>
                <w:sz w:val="16"/>
                <w:szCs w:val="16"/>
                <w:lang w:val="en-GB"/>
              </w:rPr>
              <w:t>5</w:t>
            </w:r>
            <w:r w:rsidRPr="00845FB7">
              <w:rPr>
                <w:rFonts w:eastAsia="Times New Roman" w:cstheme="majorBidi"/>
                <w:color w:val="000000"/>
                <w:sz w:val="16"/>
                <w:szCs w:val="16"/>
                <w:lang w:val="en-GB"/>
              </w:rPr>
              <w:t>0,000</w:t>
            </w:r>
          </w:p>
        </w:tc>
        <w:tc>
          <w:tcPr>
            <w:tcW w:w="393" w:type="pct"/>
            <w:noWrap/>
            <w:vAlign w:val="center"/>
            <w:hideMark/>
          </w:tcPr>
          <w:p w14:paraId="0FA1BA92" w14:textId="3275EAAC"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w:t>
            </w:r>
            <w:r w:rsidR="00E5582A" w:rsidRPr="00845FB7">
              <w:rPr>
                <w:rFonts w:eastAsia="Times New Roman" w:cstheme="majorBidi"/>
                <w:b/>
                <w:bCs/>
                <w:color w:val="000000"/>
                <w:sz w:val="16"/>
                <w:szCs w:val="16"/>
                <w:lang w:val="en-GB"/>
              </w:rPr>
              <w:t>5</w:t>
            </w:r>
            <w:r w:rsidRPr="00845FB7">
              <w:rPr>
                <w:rFonts w:eastAsia="Times New Roman" w:cstheme="majorBidi"/>
                <w:b/>
                <w:bCs/>
                <w:color w:val="000000"/>
                <w:sz w:val="16"/>
                <w:szCs w:val="16"/>
                <w:lang w:val="en-GB"/>
              </w:rPr>
              <w:t>0,000</w:t>
            </w:r>
          </w:p>
        </w:tc>
        <w:tc>
          <w:tcPr>
            <w:tcW w:w="246" w:type="pct"/>
            <w:noWrap/>
            <w:vAlign w:val="center"/>
            <w:hideMark/>
          </w:tcPr>
          <w:p w14:paraId="4A7F1DD3" w14:textId="0C18B9B0"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09A7F6A1" w14:textId="2B985155"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tcPr>
          <w:p w14:paraId="0BAD4333" w14:textId="271352DA"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280" w:type="pct"/>
            <w:noWrap/>
            <w:vAlign w:val="center"/>
            <w:hideMark/>
          </w:tcPr>
          <w:p w14:paraId="10F7C4A9"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hideMark/>
          </w:tcPr>
          <w:p w14:paraId="0C4045AA" w14:textId="70B89F79"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w:t>
            </w:r>
            <w:r w:rsidR="00E27950" w:rsidRPr="00845FB7">
              <w:rPr>
                <w:rFonts w:eastAsia="Times New Roman" w:cstheme="majorBidi"/>
                <w:color w:val="000000"/>
                <w:sz w:val="16"/>
                <w:szCs w:val="16"/>
                <w:lang w:val="en-GB"/>
              </w:rPr>
              <w:t>5</w:t>
            </w:r>
            <w:r w:rsidRPr="00845FB7">
              <w:rPr>
                <w:rFonts w:eastAsia="Times New Roman" w:cstheme="majorBidi"/>
                <w:color w:val="000000"/>
                <w:sz w:val="16"/>
                <w:szCs w:val="16"/>
                <w:lang w:val="en-GB"/>
              </w:rPr>
              <w:t>0,000</w:t>
            </w:r>
          </w:p>
        </w:tc>
        <w:tc>
          <w:tcPr>
            <w:tcW w:w="394" w:type="pct"/>
            <w:noWrap/>
            <w:vAlign w:val="center"/>
            <w:hideMark/>
          </w:tcPr>
          <w:p w14:paraId="18BD3C10" w14:textId="75CAE0BC"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w:t>
            </w:r>
            <w:r w:rsidR="00E27950" w:rsidRPr="00845FB7">
              <w:rPr>
                <w:rFonts w:eastAsia="Times New Roman" w:cstheme="majorBidi"/>
                <w:b/>
                <w:bCs/>
                <w:color w:val="000000"/>
                <w:sz w:val="16"/>
                <w:szCs w:val="16"/>
                <w:lang w:val="en-GB"/>
              </w:rPr>
              <w:t>5</w:t>
            </w:r>
            <w:r w:rsidRPr="00845FB7">
              <w:rPr>
                <w:rFonts w:eastAsia="Times New Roman" w:cstheme="majorBidi"/>
                <w:b/>
                <w:bCs/>
                <w:color w:val="000000"/>
                <w:sz w:val="16"/>
                <w:szCs w:val="16"/>
                <w:lang w:val="en-GB"/>
              </w:rPr>
              <w:t>0,000</w:t>
            </w:r>
          </w:p>
        </w:tc>
        <w:tc>
          <w:tcPr>
            <w:tcW w:w="252" w:type="pct"/>
            <w:noWrap/>
            <w:vAlign w:val="center"/>
            <w:hideMark/>
          </w:tcPr>
          <w:p w14:paraId="2EB5F938" w14:textId="77439E57"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1626B728" w14:textId="781E7533"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4" w:type="pct"/>
            <w:noWrap/>
            <w:vAlign w:val="center"/>
          </w:tcPr>
          <w:p w14:paraId="664D3CE4" w14:textId="19ADB7FA"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r>
      <w:tr w:rsidR="0027215D" w:rsidRPr="00845FB7" w14:paraId="29414E6E" w14:textId="77777777" w:rsidTr="00F96CB7">
        <w:trPr>
          <w:trHeight w:val="305"/>
        </w:trPr>
        <w:tc>
          <w:tcPr>
            <w:tcW w:w="981" w:type="pct"/>
            <w:noWrap/>
            <w:vAlign w:val="center"/>
          </w:tcPr>
          <w:p w14:paraId="1E66FE3C" w14:textId="3EC93E37" w:rsidR="002F7E14" w:rsidRPr="00845FB7" w:rsidRDefault="002F7E14"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High-level segment</w:t>
            </w:r>
          </w:p>
        </w:tc>
        <w:tc>
          <w:tcPr>
            <w:tcW w:w="246" w:type="pct"/>
            <w:noWrap/>
            <w:vAlign w:val="center"/>
          </w:tcPr>
          <w:p w14:paraId="70340BBA" w14:textId="77777777" w:rsidR="002F7E14" w:rsidRPr="00845FB7" w:rsidRDefault="002F7E14" w:rsidP="007B20D2">
            <w:pPr>
              <w:spacing w:after="0" w:line="240" w:lineRule="auto"/>
              <w:contextualSpacing/>
              <w:jc w:val="right"/>
              <w:rPr>
                <w:rFonts w:eastAsia="Times New Roman" w:cstheme="majorBidi"/>
                <w:color w:val="000000"/>
                <w:sz w:val="16"/>
                <w:szCs w:val="16"/>
                <w:lang w:val="en-GB"/>
              </w:rPr>
            </w:pPr>
          </w:p>
        </w:tc>
        <w:tc>
          <w:tcPr>
            <w:tcW w:w="394" w:type="pct"/>
            <w:noWrap/>
            <w:vAlign w:val="center"/>
          </w:tcPr>
          <w:p w14:paraId="17B2C6CC" w14:textId="3667C676" w:rsidR="002F7E14" w:rsidRPr="00845FB7" w:rsidRDefault="002F7E14"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40,000</w:t>
            </w:r>
          </w:p>
        </w:tc>
        <w:tc>
          <w:tcPr>
            <w:tcW w:w="393" w:type="pct"/>
            <w:noWrap/>
            <w:vAlign w:val="center"/>
          </w:tcPr>
          <w:p w14:paraId="40814D10" w14:textId="5F6790E9" w:rsidR="002F7E14" w:rsidRPr="00845FB7" w:rsidRDefault="002F7E14"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w:t>
            </w:r>
            <w:r w:rsidR="00AD0AA6" w:rsidRPr="00845FB7">
              <w:rPr>
                <w:rFonts w:eastAsia="Times New Roman" w:cstheme="majorBidi"/>
                <w:b/>
                <w:bCs/>
                <w:color w:val="000000"/>
                <w:sz w:val="16"/>
                <w:szCs w:val="16"/>
                <w:lang w:val="en-GB"/>
              </w:rPr>
              <w:t>0,000</w:t>
            </w:r>
          </w:p>
        </w:tc>
        <w:tc>
          <w:tcPr>
            <w:tcW w:w="246" w:type="pct"/>
            <w:noWrap/>
            <w:vAlign w:val="center"/>
          </w:tcPr>
          <w:p w14:paraId="3B762732" w14:textId="77777777" w:rsidR="002F7E14" w:rsidRPr="00845FB7" w:rsidRDefault="002F7E14"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tcPr>
          <w:p w14:paraId="3ECA6E79" w14:textId="75F3F444" w:rsidR="002F7E14" w:rsidRPr="00845FB7" w:rsidRDefault="00AA26A8"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300,000</w:t>
            </w:r>
          </w:p>
        </w:tc>
        <w:tc>
          <w:tcPr>
            <w:tcW w:w="393" w:type="pct"/>
            <w:noWrap/>
            <w:vAlign w:val="center"/>
          </w:tcPr>
          <w:p w14:paraId="76FCF278" w14:textId="6AC97097" w:rsidR="002F7E14" w:rsidRPr="00845FB7" w:rsidRDefault="00AA26A8"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300,000</w:t>
            </w:r>
          </w:p>
        </w:tc>
        <w:tc>
          <w:tcPr>
            <w:tcW w:w="280" w:type="pct"/>
            <w:noWrap/>
            <w:vAlign w:val="center"/>
          </w:tcPr>
          <w:p w14:paraId="60EECF9E" w14:textId="77777777" w:rsidR="002F7E14" w:rsidRPr="00845FB7" w:rsidRDefault="002F7E14" w:rsidP="007B20D2">
            <w:pPr>
              <w:spacing w:after="0" w:line="240" w:lineRule="auto"/>
              <w:contextualSpacing/>
              <w:jc w:val="right"/>
              <w:rPr>
                <w:rFonts w:eastAsia="Times New Roman" w:cstheme="majorBidi"/>
                <w:color w:val="000000"/>
                <w:sz w:val="16"/>
                <w:szCs w:val="16"/>
                <w:lang w:val="en-GB"/>
              </w:rPr>
            </w:pPr>
          </w:p>
        </w:tc>
        <w:tc>
          <w:tcPr>
            <w:tcW w:w="359" w:type="pct"/>
            <w:noWrap/>
            <w:vAlign w:val="center"/>
          </w:tcPr>
          <w:p w14:paraId="449FBB23" w14:textId="77777777" w:rsidR="002F7E14" w:rsidRPr="00845FB7" w:rsidRDefault="002F7E14" w:rsidP="007B20D2">
            <w:pPr>
              <w:spacing w:after="0" w:line="240" w:lineRule="auto"/>
              <w:contextualSpacing/>
              <w:jc w:val="right"/>
              <w:rPr>
                <w:rFonts w:eastAsia="Times New Roman" w:cstheme="majorBidi"/>
                <w:color w:val="000000"/>
                <w:sz w:val="16"/>
                <w:szCs w:val="16"/>
                <w:lang w:val="en-GB"/>
              </w:rPr>
            </w:pPr>
          </w:p>
        </w:tc>
        <w:tc>
          <w:tcPr>
            <w:tcW w:w="394" w:type="pct"/>
            <w:noWrap/>
            <w:vAlign w:val="center"/>
          </w:tcPr>
          <w:p w14:paraId="3EDB0648" w14:textId="77777777" w:rsidR="002F7E14" w:rsidRPr="00845FB7" w:rsidRDefault="002F7E14" w:rsidP="007B20D2">
            <w:pPr>
              <w:spacing w:after="0" w:line="240" w:lineRule="auto"/>
              <w:contextualSpacing/>
              <w:jc w:val="right"/>
              <w:rPr>
                <w:rFonts w:eastAsia="Times New Roman" w:cstheme="majorBidi"/>
                <w:b/>
                <w:bCs/>
                <w:color w:val="000000"/>
                <w:sz w:val="16"/>
                <w:szCs w:val="16"/>
                <w:lang w:val="en-GB"/>
              </w:rPr>
            </w:pPr>
          </w:p>
        </w:tc>
        <w:tc>
          <w:tcPr>
            <w:tcW w:w="252" w:type="pct"/>
            <w:noWrap/>
            <w:vAlign w:val="center"/>
          </w:tcPr>
          <w:p w14:paraId="738CC674" w14:textId="77777777" w:rsidR="002F7E14" w:rsidRPr="00845FB7" w:rsidRDefault="002F7E14"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tcPr>
          <w:p w14:paraId="7AA64939" w14:textId="77777777" w:rsidR="002F7E14" w:rsidRPr="00845FB7" w:rsidRDefault="002F7E14" w:rsidP="007B20D2">
            <w:pPr>
              <w:spacing w:after="0" w:line="240" w:lineRule="auto"/>
              <w:contextualSpacing/>
              <w:jc w:val="right"/>
              <w:rPr>
                <w:rFonts w:eastAsia="Times New Roman" w:cstheme="majorBidi"/>
                <w:color w:val="000000"/>
                <w:sz w:val="16"/>
                <w:szCs w:val="16"/>
                <w:lang w:val="en-GB"/>
              </w:rPr>
            </w:pPr>
          </w:p>
        </w:tc>
        <w:tc>
          <w:tcPr>
            <w:tcW w:w="334" w:type="pct"/>
            <w:noWrap/>
            <w:vAlign w:val="center"/>
          </w:tcPr>
          <w:p w14:paraId="5853FDED" w14:textId="77777777" w:rsidR="002F7E14" w:rsidRPr="00845FB7" w:rsidRDefault="002F7E14" w:rsidP="007B20D2">
            <w:pPr>
              <w:spacing w:after="0" w:line="240" w:lineRule="auto"/>
              <w:contextualSpacing/>
              <w:jc w:val="right"/>
              <w:rPr>
                <w:rFonts w:eastAsia="Times New Roman" w:cstheme="majorBidi"/>
                <w:color w:val="000000"/>
                <w:sz w:val="16"/>
                <w:szCs w:val="16"/>
                <w:lang w:val="en-GB"/>
              </w:rPr>
            </w:pPr>
          </w:p>
        </w:tc>
      </w:tr>
      <w:tr w:rsidR="0027215D" w:rsidRPr="00845FB7" w14:paraId="22D60FF2" w14:textId="77777777" w:rsidTr="00F96CB7">
        <w:trPr>
          <w:trHeight w:val="305"/>
        </w:trPr>
        <w:tc>
          <w:tcPr>
            <w:tcW w:w="981" w:type="pct"/>
            <w:noWrap/>
            <w:vAlign w:val="center"/>
            <w:hideMark/>
          </w:tcPr>
          <w:p w14:paraId="13750E45" w14:textId="77777777"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Interpretation</w:t>
            </w:r>
          </w:p>
        </w:tc>
        <w:tc>
          <w:tcPr>
            <w:tcW w:w="246" w:type="pct"/>
            <w:noWrap/>
            <w:vAlign w:val="center"/>
            <w:hideMark/>
          </w:tcPr>
          <w:p w14:paraId="0CB117A1"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00E43590" w14:textId="43CE3026"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115,000</w:t>
            </w:r>
          </w:p>
        </w:tc>
        <w:tc>
          <w:tcPr>
            <w:tcW w:w="393" w:type="pct"/>
            <w:noWrap/>
            <w:vAlign w:val="center"/>
            <w:hideMark/>
          </w:tcPr>
          <w:p w14:paraId="4DE78005" w14:textId="77777777"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115,000</w:t>
            </w:r>
          </w:p>
        </w:tc>
        <w:tc>
          <w:tcPr>
            <w:tcW w:w="246" w:type="pct"/>
            <w:noWrap/>
            <w:vAlign w:val="center"/>
            <w:hideMark/>
          </w:tcPr>
          <w:p w14:paraId="45272E30" w14:textId="5819F101"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0B23BBBC" w14:textId="763F8CF9"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tcPr>
          <w:p w14:paraId="74E5DC08" w14:textId="2B5E2BF8"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280" w:type="pct"/>
            <w:noWrap/>
            <w:vAlign w:val="center"/>
            <w:hideMark/>
          </w:tcPr>
          <w:p w14:paraId="31371CB6"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hideMark/>
          </w:tcPr>
          <w:p w14:paraId="2A554B0F"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115,000</w:t>
            </w:r>
          </w:p>
        </w:tc>
        <w:tc>
          <w:tcPr>
            <w:tcW w:w="394" w:type="pct"/>
            <w:noWrap/>
            <w:vAlign w:val="center"/>
            <w:hideMark/>
          </w:tcPr>
          <w:p w14:paraId="252D493B" w14:textId="77777777"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115,000</w:t>
            </w:r>
          </w:p>
        </w:tc>
        <w:tc>
          <w:tcPr>
            <w:tcW w:w="252" w:type="pct"/>
            <w:noWrap/>
            <w:vAlign w:val="center"/>
            <w:hideMark/>
          </w:tcPr>
          <w:p w14:paraId="555F1A8C" w14:textId="2D7BFB01"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3C8A5CF4" w14:textId="08592C5C"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4" w:type="pct"/>
            <w:noWrap/>
            <w:vAlign w:val="center"/>
          </w:tcPr>
          <w:p w14:paraId="231CCC4B" w14:textId="3877A60C"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r>
      <w:tr w:rsidR="0027215D" w:rsidRPr="00845FB7" w14:paraId="5A700E86" w14:textId="77777777" w:rsidTr="00F96CB7">
        <w:trPr>
          <w:trHeight w:val="305"/>
        </w:trPr>
        <w:tc>
          <w:tcPr>
            <w:tcW w:w="981" w:type="pct"/>
            <w:noWrap/>
            <w:vAlign w:val="center"/>
            <w:hideMark/>
          </w:tcPr>
          <w:p w14:paraId="092E8152" w14:textId="77777777"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Meeting documents</w:t>
            </w:r>
          </w:p>
        </w:tc>
        <w:tc>
          <w:tcPr>
            <w:tcW w:w="246" w:type="pct"/>
            <w:noWrap/>
            <w:vAlign w:val="center"/>
            <w:hideMark/>
          </w:tcPr>
          <w:p w14:paraId="5823E86D"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74987BEE" w14:textId="29729D0C"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w:t>
            </w:r>
            <w:r w:rsidR="00AD0AA6" w:rsidRPr="00845FB7">
              <w:rPr>
                <w:rFonts w:eastAsia="Times New Roman" w:cstheme="majorBidi"/>
                <w:color w:val="000000"/>
                <w:sz w:val="16"/>
                <w:szCs w:val="16"/>
                <w:lang w:val="en-GB"/>
              </w:rPr>
              <w:t>0</w:t>
            </w:r>
            <w:r w:rsidRPr="00845FB7">
              <w:rPr>
                <w:rFonts w:eastAsia="Times New Roman" w:cstheme="majorBidi"/>
                <w:color w:val="000000"/>
                <w:sz w:val="16"/>
                <w:szCs w:val="16"/>
                <w:lang w:val="en-GB"/>
              </w:rPr>
              <w:t>0,000</w:t>
            </w:r>
          </w:p>
        </w:tc>
        <w:tc>
          <w:tcPr>
            <w:tcW w:w="393" w:type="pct"/>
            <w:noWrap/>
            <w:vAlign w:val="center"/>
            <w:hideMark/>
          </w:tcPr>
          <w:p w14:paraId="18D74D9A" w14:textId="6D3A0FEB"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w:t>
            </w:r>
            <w:r w:rsidR="00AD0AA6" w:rsidRPr="00845FB7">
              <w:rPr>
                <w:rFonts w:eastAsia="Times New Roman" w:cstheme="majorBidi"/>
                <w:b/>
                <w:bCs/>
                <w:color w:val="000000"/>
                <w:sz w:val="16"/>
                <w:szCs w:val="16"/>
                <w:lang w:val="en-GB"/>
              </w:rPr>
              <w:t>0</w:t>
            </w:r>
            <w:r w:rsidRPr="00845FB7">
              <w:rPr>
                <w:rFonts w:eastAsia="Times New Roman" w:cstheme="majorBidi"/>
                <w:b/>
                <w:bCs/>
                <w:color w:val="000000"/>
                <w:sz w:val="16"/>
                <w:szCs w:val="16"/>
                <w:lang w:val="en-GB"/>
              </w:rPr>
              <w:t>0,000</w:t>
            </w:r>
          </w:p>
        </w:tc>
        <w:tc>
          <w:tcPr>
            <w:tcW w:w="246" w:type="pct"/>
            <w:noWrap/>
            <w:vAlign w:val="center"/>
            <w:hideMark/>
          </w:tcPr>
          <w:p w14:paraId="16C8D567" w14:textId="479BCF85"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31AF9CB2" w14:textId="3F74F96F"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tcPr>
          <w:p w14:paraId="391B2F0F" w14:textId="56C99A77"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280" w:type="pct"/>
            <w:noWrap/>
            <w:vAlign w:val="center"/>
            <w:hideMark/>
          </w:tcPr>
          <w:p w14:paraId="62E9167B"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hideMark/>
          </w:tcPr>
          <w:p w14:paraId="23106A31" w14:textId="7192A291"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w:t>
            </w:r>
            <w:r w:rsidR="00CF6D01" w:rsidRPr="00845FB7">
              <w:rPr>
                <w:rFonts w:eastAsia="Times New Roman" w:cstheme="majorBidi"/>
                <w:color w:val="000000"/>
                <w:sz w:val="16"/>
                <w:szCs w:val="16"/>
                <w:lang w:val="en-GB"/>
              </w:rPr>
              <w:t>00</w:t>
            </w:r>
            <w:r w:rsidRPr="00845FB7">
              <w:rPr>
                <w:rFonts w:eastAsia="Times New Roman" w:cstheme="majorBidi"/>
                <w:color w:val="000000"/>
                <w:sz w:val="16"/>
                <w:szCs w:val="16"/>
                <w:lang w:val="en-GB"/>
              </w:rPr>
              <w:t>,000</w:t>
            </w:r>
          </w:p>
        </w:tc>
        <w:tc>
          <w:tcPr>
            <w:tcW w:w="394" w:type="pct"/>
            <w:noWrap/>
            <w:vAlign w:val="center"/>
            <w:hideMark/>
          </w:tcPr>
          <w:p w14:paraId="47C696CB" w14:textId="5D63EA66"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w:t>
            </w:r>
            <w:r w:rsidR="00CF6D01" w:rsidRPr="00845FB7">
              <w:rPr>
                <w:rFonts w:eastAsia="Times New Roman" w:cstheme="majorBidi"/>
                <w:b/>
                <w:bCs/>
                <w:color w:val="000000"/>
                <w:sz w:val="16"/>
                <w:szCs w:val="16"/>
                <w:lang w:val="en-GB"/>
              </w:rPr>
              <w:t>0</w:t>
            </w:r>
            <w:r w:rsidRPr="00845FB7">
              <w:rPr>
                <w:rFonts w:eastAsia="Times New Roman" w:cstheme="majorBidi"/>
                <w:b/>
                <w:bCs/>
                <w:color w:val="000000"/>
                <w:sz w:val="16"/>
                <w:szCs w:val="16"/>
                <w:lang w:val="en-GB"/>
              </w:rPr>
              <w:t>0,000</w:t>
            </w:r>
          </w:p>
        </w:tc>
        <w:tc>
          <w:tcPr>
            <w:tcW w:w="252" w:type="pct"/>
            <w:noWrap/>
            <w:vAlign w:val="center"/>
            <w:hideMark/>
          </w:tcPr>
          <w:p w14:paraId="2893BE0B" w14:textId="0753DFEA"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46EE6CBC" w14:textId="37C1CC21"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4" w:type="pct"/>
            <w:noWrap/>
            <w:vAlign w:val="center"/>
          </w:tcPr>
          <w:p w14:paraId="43CE3FBD" w14:textId="6129E4FC"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r>
      <w:tr w:rsidR="0027215D" w:rsidRPr="00845FB7" w14:paraId="26D459DF" w14:textId="77777777" w:rsidTr="00F96CB7">
        <w:trPr>
          <w:trHeight w:val="305"/>
        </w:trPr>
        <w:tc>
          <w:tcPr>
            <w:tcW w:w="981" w:type="pct"/>
            <w:noWrap/>
            <w:vAlign w:val="center"/>
            <w:hideMark/>
          </w:tcPr>
          <w:p w14:paraId="17EA14DB" w14:textId="77777777"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Meeting report</w:t>
            </w:r>
          </w:p>
        </w:tc>
        <w:tc>
          <w:tcPr>
            <w:tcW w:w="246" w:type="pct"/>
            <w:noWrap/>
            <w:vAlign w:val="center"/>
            <w:hideMark/>
          </w:tcPr>
          <w:p w14:paraId="0A2ED7CC"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42197677" w14:textId="19DB3BA7" w:rsidR="00761672" w:rsidRPr="00845FB7" w:rsidRDefault="00AD0AA6"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40</w:t>
            </w:r>
            <w:r w:rsidR="00761672" w:rsidRPr="00845FB7">
              <w:rPr>
                <w:rFonts w:eastAsia="Times New Roman" w:cstheme="majorBidi"/>
                <w:color w:val="000000"/>
                <w:sz w:val="16"/>
                <w:szCs w:val="16"/>
                <w:lang w:val="en-GB"/>
              </w:rPr>
              <w:t>,000</w:t>
            </w:r>
          </w:p>
        </w:tc>
        <w:tc>
          <w:tcPr>
            <w:tcW w:w="393" w:type="pct"/>
            <w:noWrap/>
            <w:vAlign w:val="center"/>
            <w:hideMark/>
          </w:tcPr>
          <w:p w14:paraId="65E28666" w14:textId="7B86E338" w:rsidR="00761672" w:rsidRPr="00845FB7" w:rsidRDefault="00AD0AA6"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40</w:t>
            </w:r>
            <w:r w:rsidR="00761672" w:rsidRPr="00845FB7">
              <w:rPr>
                <w:rFonts w:eastAsia="Times New Roman" w:cstheme="majorBidi"/>
                <w:b/>
                <w:bCs/>
                <w:color w:val="000000"/>
                <w:sz w:val="16"/>
                <w:szCs w:val="16"/>
                <w:lang w:val="en-GB"/>
              </w:rPr>
              <w:t>,000</w:t>
            </w:r>
          </w:p>
        </w:tc>
        <w:tc>
          <w:tcPr>
            <w:tcW w:w="246" w:type="pct"/>
            <w:noWrap/>
            <w:vAlign w:val="center"/>
            <w:hideMark/>
          </w:tcPr>
          <w:p w14:paraId="3E4AE8B9" w14:textId="6119D630"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5ACEC9BC" w14:textId="373ACB9A"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tcPr>
          <w:p w14:paraId="4A1E2AE8" w14:textId="0F37AB1D"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280" w:type="pct"/>
            <w:noWrap/>
            <w:vAlign w:val="center"/>
            <w:hideMark/>
          </w:tcPr>
          <w:p w14:paraId="0260D88E"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hideMark/>
          </w:tcPr>
          <w:p w14:paraId="586083FF" w14:textId="4DEF0481" w:rsidR="00761672" w:rsidRPr="00845FB7" w:rsidRDefault="007F683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40</w:t>
            </w:r>
            <w:r w:rsidR="00761672" w:rsidRPr="00845FB7">
              <w:rPr>
                <w:rFonts w:eastAsia="Times New Roman" w:cstheme="majorBidi"/>
                <w:color w:val="000000"/>
                <w:sz w:val="16"/>
                <w:szCs w:val="16"/>
                <w:lang w:val="en-GB"/>
              </w:rPr>
              <w:t>,000</w:t>
            </w:r>
          </w:p>
        </w:tc>
        <w:tc>
          <w:tcPr>
            <w:tcW w:w="394" w:type="pct"/>
            <w:noWrap/>
            <w:vAlign w:val="center"/>
            <w:hideMark/>
          </w:tcPr>
          <w:p w14:paraId="09B4A143" w14:textId="1F16D6A8" w:rsidR="00761672" w:rsidRPr="00845FB7" w:rsidRDefault="007F683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40</w:t>
            </w:r>
            <w:r w:rsidR="00761672" w:rsidRPr="00845FB7">
              <w:rPr>
                <w:rFonts w:eastAsia="Times New Roman" w:cstheme="majorBidi"/>
                <w:b/>
                <w:bCs/>
                <w:color w:val="000000"/>
                <w:sz w:val="16"/>
                <w:szCs w:val="16"/>
                <w:lang w:val="en-GB"/>
              </w:rPr>
              <w:t>,000</w:t>
            </w:r>
          </w:p>
        </w:tc>
        <w:tc>
          <w:tcPr>
            <w:tcW w:w="252" w:type="pct"/>
            <w:noWrap/>
            <w:vAlign w:val="center"/>
            <w:hideMark/>
          </w:tcPr>
          <w:p w14:paraId="719B46BA" w14:textId="587E6D98"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6CF54108" w14:textId="053F37D0"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4" w:type="pct"/>
            <w:noWrap/>
            <w:vAlign w:val="center"/>
          </w:tcPr>
          <w:p w14:paraId="17CCCCAA" w14:textId="1F429474"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r>
      <w:tr w:rsidR="0027215D" w:rsidRPr="00845FB7" w14:paraId="3157C7F0" w14:textId="77777777" w:rsidTr="00F96CB7">
        <w:trPr>
          <w:trHeight w:val="305"/>
        </w:trPr>
        <w:tc>
          <w:tcPr>
            <w:tcW w:w="981" w:type="pct"/>
            <w:noWrap/>
            <w:vAlign w:val="center"/>
            <w:hideMark/>
          </w:tcPr>
          <w:p w14:paraId="3B8877C2" w14:textId="6D4CC670" w:rsidR="00761672" w:rsidRPr="00845FB7" w:rsidRDefault="733F8C7D" w:rsidP="0A47282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themeColor="text1"/>
                <w:sz w:val="16"/>
                <w:szCs w:val="16"/>
                <w:lang w:val="en-GB"/>
              </w:rPr>
              <w:t>Delegates</w:t>
            </w:r>
            <w:r w:rsidR="00761672" w:rsidRPr="00845FB7">
              <w:rPr>
                <w:rFonts w:eastAsia="Times New Roman" w:cstheme="majorBidi"/>
                <w:color w:val="000000" w:themeColor="text1"/>
                <w:sz w:val="16"/>
                <w:szCs w:val="16"/>
                <w:lang w:val="en-GB"/>
              </w:rPr>
              <w:t>' travel</w:t>
            </w:r>
          </w:p>
        </w:tc>
        <w:tc>
          <w:tcPr>
            <w:tcW w:w="246" w:type="pct"/>
            <w:noWrap/>
            <w:vAlign w:val="center"/>
            <w:hideMark/>
          </w:tcPr>
          <w:p w14:paraId="7D672CB5" w14:textId="77777777"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7A2B16C8" w14:textId="77555845"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621600BF" w14:textId="1E9AA341"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p>
        </w:tc>
        <w:tc>
          <w:tcPr>
            <w:tcW w:w="246" w:type="pct"/>
            <w:noWrap/>
            <w:vAlign w:val="center"/>
            <w:hideMark/>
          </w:tcPr>
          <w:p w14:paraId="0127969A" w14:textId="64F5FD22"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66C9450B" w14:textId="41969443"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425,000</w:t>
            </w:r>
          </w:p>
        </w:tc>
        <w:tc>
          <w:tcPr>
            <w:tcW w:w="393" w:type="pct"/>
            <w:noWrap/>
            <w:vAlign w:val="center"/>
            <w:hideMark/>
          </w:tcPr>
          <w:p w14:paraId="526AB28E" w14:textId="6E368454"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425,000</w:t>
            </w:r>
          </w:p>
        </w:tc>
        <w:tc>
          <w:tcPr>
            <w:tcW w:w="280" w:type="pct"/>
            <w:noWrap/>
            <w:vAlign w:val="center"/>
            <w:hideMark/>
          </w:tcPr>
          <w:p w14:paraId="6250C4AE" w14:textId="77777777"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hideMark/>
          </w:tcPr>
          <w:p w14:paraId="4F9631E8" w14:textId="0130AFD0"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4" w:type="pct"/>
            <w:noWrap/>
            <w:vAlign w:val="center"/>
            <w:hideMark/>
          </w:tcPr>
          <w:p w14:paraId="5005844C" w14:textId="0753E58A"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p>
        </w:tc>
        <w:tc>
          <w:tcPr>
            <w:tcW w:w="252" w:type="pct"/>
            <w:noWrap/>
            <w:vAlign w:val="center"/>
            <w:hideMark/>
          </w:tcPr>
          <w:p w14:paraId="7EB12A7A" w14:textId="3F886A8B"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6DB78679"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425,000</w:t>
            </w:r>
          </w:p>
        </w:tc>
        <w:tc>
          <w:tcPr>
            <w:tcW w:w="334" w:type="pct"/>
            <w:noWrap/>
            <w:vAlign w:val="center"/>
            <w:hideMark/>
          </w:tcPr>
          <w:p w14:paraId="34AECF69" w14:textId="77777777"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425,000</w:t>
            </w:r>
          </w:p>
        </w:tc>
      </w:tr>
      <w:tr w:rsidR="0027215D" w:rsidRPr="00845FB7" w14:paraId="0C47BE39" w14:textId="77777777" w:rsidTr="0027215D">
        <w:trPr>
          <w:trHeight w:val="457"/>
        </w:trPr>
        <w:tc>
          <w:tcPr>
            <w:tcW w:w="981" w:type="pct"/>
            <w:tcBorders>
              <w:top w:val="single" w:sz="4" w:space="0" w:color="auto"/>
              <w:left w:val="single" w:sz="4" w:space="0" w:color="auto"/>
              <w:bottom w:val="single" w:sz="4" w:space="0" w:color="auto"/>
              <w:right w:val="single" w:sz="4" w:space="0" w:color="auto"/>
            </w:tcBorders>
            <w:vAlign w:val="center"/>
            <w:hideMark/>
          </w:tcPr>
          <w:p w14:paraId="212D2083" w14:textId="7212A4DE" w:rsidR="452E7894" w:rsidRPr="00845FB7" w:rsidRDefault="452E7894" w:rsidP="7EAA2ABE">
            <w:pPr>
              <w:spacing w:line="240" w:lineRule="auto"/>
              <w:jc w:val="left"/>
              <w:rPr>
                <w:rFonts w:eastAsia="Times New Roman" w:cstheme="majorBidi"/>
                <w:color w:val="000000" w:themeColor="text1"/>
                <w:sz w:val="16"/>
                <w:szCs w:val="16"/>
                <w:lang w:val="en-GB"/>
              </w:rPr>
            </w:pPr>
            <w:r w:rsidRPr="00845FB7">
              <w:rPr>
                <w:rFonts w:eastAsia="Times New Roman" w:cstheme="majorBidi"/>
                <w:color w:val="000000" w:themeColor="text1"/>
                <w:sz w:val="16"/>
                <w:szCs w:val="16"/>
                <w:lang w:val="en-GB"/>
              </w:rPr>
              <w:t>Major groups participation</w:t>
            </w:r>
          </w:p>
        </w:tc>
        <w:tc>
          <w:tcPr>
            <w:tcW w:w="246" w:type="pct"/>
            <w:tcBorders>
              <w:top w:val="single" w:sz="4" w:space="0" w:color="auto"/>
              <w:left w:val="single" w:sz="4" w:space="0" w:color="auto"/>
              <w:bottom w:val="single" w:sz="4" w:space="0" w:color="auto"/>
              <w:right w:val="single" w:sz="4" w:space="0" w:color="auto"/>
            </w:tcBorders>
            <w:noWrap/>
            <w:vAlign w:val="center"/>
            <w:hideMark/>
          </w:tcPr>
          <w:p w14:paraId="3461DE5E" w14:textId="35DA5F15" w:rsidR="7EAA2ABE" w:rsidRPr="00845FB7" w:rsidRDefault="7EAA2ABE" w:rsidP="7EAA2ABE">
            <w:pPr>
              <w:spacing w:line="240" w:lineRule="auto"/>
              <w:jc w:val="right"/>
              <w:rPr>
                <w:rFonts w:eastAsia="Times New Roman" w:cstheme="majorBidi"/>
                <w:color w:val="000000" w:themeColor="text1"/>
                <w:sz w:val="16"/>
                <w:szCs w:val="16"/>
                <w:lang w:val="en-GB"/>
              </w:rPr>
            </w:pPr>
          </w:p>
        </w:tc>
        <w:tc>
          <w:tcPr>
            <w:tcW w:w="394" w:type="pct"/>
            <w:tcBorders>
              <w:top w:val="single" w:sz="4" w:space="0" w:color="auto"/>
              <w:left w:val="single" w:sz="4" w:space="0" w:color="auto"/>
              <w:bottom w:val="single" w:sz="4" w:space="0" w:color="auto"/>
              <w:right w:val="single" w:sz="4" w:space="0" w:color="auto"/>
            </w:tcBorders>
            <w:noWrap/>
            <w:vAlign w:val="center"/>
            <w:hideMark/>
          </w:tcPr>
          <w:p w14:paraId="6CB08A59" w14:textId="54FC9DFC" w:rsidR="7EAA2ABE" w:rsidRPr="00845FB7" w:rsidRDefault="7EAA2ABE" w:rsidP="7EAA2ABE">
            <w:pPr>
              <w:spacing w:line="240" w:lineRule="auto"/>
              <w:jc w:val="right"/>
              <w:rPr>
                <w:rFonts w:eastAsia="Times New Roman" w:cstheme="majorBidi"/>
                <w:color w:val="000000" w:themeColor="text1"/>
                <w:sz w:val="16"/>
                <w:szCs w:val="16"/>
                <w:lang w:val="en-GB"/>
              </w:rPr>
            </w:pPr>
          </w:p>
        </w:tc>
        <w:tc>
          <w:tcPr>
            <w:tcW w:w="393" w:type="pct"/>
            <w:tcBorders>
              <w:top w:val="single" w:sz="4" w:space="0" w:color="auto"/>
              <w:left w:val="single" w:sz="4" w:space="0" w:color="auto"/>
              <w:bottom w:val="single" w:sz="4" w:space="0" w:color="auto"/>
              <w:right w:val="single" w:sz="4" w:space="0" w:color="auto"/>
            </w:tcBorders>
            <w:noWrap/>
            <w:vAlign w:val="center"/>
            <w:hideMark/>
          </w:tcPr>
          <w:p w14:paraId="4E1F6E8E" w14:textId="5EFA41BB" w:rsidR="7EAA2ABE" w:rsidRPr="00845FB7" w:rsidRDefault="7EAA2ABE" w:rsidP="7EAA2ABE">
            <w:pPr>
              <w:spacing w:line="240" w:lineRule="auto"/>
              <w:jc w:val="right"/>
              <w:rPr>
                <w:rFonts w:eastAsia="Times New Roman" w:cstheme="majorBidi"/>
                <w:b/>
                <w:bCs/>
                <w:color w:val="000000" w:themeColor="text1"/>
                <w:sz w:val="16"/>
                <w:szCs w:val="16"/>
                <w:lang w:val="en-GB"/>
              </w:rPr>
            </w:pPr>
          </w:p>
        </w:tc>
        <w:tc>
          <w:tcPr>
            <w:tcW w:w="246" w:type="pct"/>
            <w:tcBorders>
              <w:top w:val="single" w:sz="4" w:space="0" w:color="auto"/>
              <w:left w:val="single" w:sz="4" w:space="0" w:color="auto"/>
              <w:bottom w:val="single" w:sz="4" w:space="0" w:color="auto"/>
              <w:right w:val="single" w:sz="4" w:space="0" w:color="auto"/>
            </w:tcBorders>
            <w:noWrap/>
            <w:vAlign w:val="center"/>
            <w:hideMark/>
          </w:tcPr>
          <w:p w14:paraId="3F6608AE" w14:textId="566A41DF" w:rsidR="7EAA2ABE" w:rsidRPr="00845FB7" w:rsidRDefault="7EAA2ABE" w:rsidP="7EAA2ABE">
            <w:pPr>
              <w:spacing w:line="240" w:lineRule="auto"/>
              <w:jc w:val="right"/>
              <w:rPr>
                <w:rFonts w:eastAsia="Times New Roman" w:cstheme="majorBidi"/>
                <w:color w:val="000000" w:themeColor="text1"/>
                <w:sz w:val="16"/>
                <w:szCs w:val="16"/>
                <w:lang w:val="en-GB"/>
              </w:rPr>
            </w:pPr>
          </w:p>
        </w:tc>
        <w:tc>
          <w:tcPr>
            <w:tcW w:w="393" w:type="pct"/>
            <w:tcBorders>
              <w:top w:val="single" w:sz="4" w:space="0" w:color="auto"/>
              <w:left w:val="single" w:sz="4" w:space="0" w:color="auto"/>
              <w:bottom w:val="single" w:sz="4" w:space="0" w:color="auto"/>
              <w:right w:val="single" w:sz="4" w:space="0" w:color="auto"/>
            </w:tcBorders>
            <w:noWrap/>
            <w:vAlign w:val="center"/>
            <w:hideMark/>
          </w:tcPr>
          <w:p w14:paraId="2129A395" w14:textId="1F9CADC1" w:rsidR="22DA7DB0" w:rsidRPr="00845FB7" w:rsidRDefault="003741DD" w:rsidP="2E36235F">
            <w:pPr>
              <w:spacing w:line="240" w:lineRule="auto"/>
              <w:jc w:val="right"/>
              <w:rPr>
                <w:rFonts w:eastAsia="Times New Roman" w:cstheme="majorBidi"/>
                <w:color w:val="000000" w:themeColor="text1"/>
                <w:sz w:val="16"/>
                <w:szCs w:val="16"/>
                <w:lang w:val="en-GB"/>
              </w:rPr>
            </w:pPr>
            <w:r w:rsidRPr="00845FB7">
              <w:rPr>
                <w:rFonts w:eastAsia="Times New Roman" w:cstheme="majorBidi"/>
                <w:color w:val="000000" w:themeColor="text1"/>
                <w:sz w:val="16"/>
                <w:szCs w:val="16"/>
                <w:lang w:val="en-GB"/>
              </w:rPr>
              <w:t>50,000</w:t>
            </w:r>
          </w:p>
          <w:p w14:paraId="29E4CB2C" w14:textId="564C5A95" w:rsidR="7EAA2ABE" w:rsidRPr="00845FB7" w:rsidRDefault="7EAA2ABE" w:rsidP="7EAA2ABE">
            <w:pPr>
              <w:spacing w:line="240" w:lineRule="auto"/>
              <w:jc w:val="right"/>
              <w:rPr>
                <w:rFonts w:eastAsia="Times New Roman" w:cstheme="majorBidi"/>
                <w:color w:val="000000" w:themeColor="text1"/>
                <w:sz w:val="16"/>
                <w:szCs w:val="16"/>
                <w:lang w:val="en-GB"/>
              </w:rPr>
            </w:pPr>
          </w:p>
        </w:tc>
        <w:tc>
          <w:tcPr>
            <w:tcW w:w="393" w:type="pct"/>
            <w:tcBorders>
              <w:top w:val="single" w:sz="4" w:space="0" w:color="auto"/>
              <w:left w:val="single" w:sz="4" w:space="0" w:color="auto"/>
              <w:bottom w:val="single" w:sz="4" w:space="0" w:color="auto"/>
              <w:right w:val="single" w:sz="4" w:space="0" w:color="auto"/>
            </w:tcBorders>
            <w:noWrap/>
            <w:vAlign w:val="center"/>
            <w:hideMark/>
          </w:tcPr>
          <w:p w14:paraId="40D1ADB6" w14:textId="12412DBA" w:rsidR="7EAA2ABE" w:rsidRPr="00845FB7" w:rsidRDefault="003741DD" w:rsidP="7EAA2ABE">
            <w:pPr>
              <w:spacing w:line="240" w:lineRule="auto"/>
              <w:jc w:val="right"/>
              <w:rPr>
                <w:rFonts w:eastAsia="Times New Roman" w:cstheme="majorBidi"/>
                <w:b/>
                <w:bCs/>
                <w:color w:val="000000" w:themeColor="text1"/>
                <w:sz w:val="16"/>
                <w:szCs w:val="16"/>
                <w:lang w:val="en-GB"/>
              </w:rPr>
            </w:pPr>
            <w:r w:rsidRPr="00845FB7">
              <w:rPr>
                <w:rFonts w:eastAsia="Times New Roman" w:cstheme="majorBidi"/>
                <w:b/>
                <w:bCs/>
                <w:color w:val="000000" w:themeColor="text1"/>
                <w:sz w:val="16"/>
                <w:szCs w:val="16"/>
                <w:lang w:val="en-GB"/>
              </w:rPr>
              <w:t>50,000</w:t>
            </w:r>
          </w:p>
        </w:tc>
        <w:tc>
          <w:tcPr>
            <w:tcW w:w="280" w:type="pct"/>
            <w:tcBorders>
              <w:top w:val="single" w:sz="4" w:space="0" w:color="auto"/>
              <w:left w:val="single" w:sz="4" w:space="0" w:color="auto"/>
              <w:bottom w:val="single" w:sz="4" w:space="0" w:color="auto"/>
              <w:right w:val="single" w:sz="4" w:space="0" w:color="auto"/>
            </w:tcBorders>
            <w:noWrap/>
            <w:vAlign w:val="center"/>
            <w:hideMark/>
          </w:tcPr>
          <w:p w14:paraId="3232E1BF" w14:textId="108A923C" w:rsidR="7EAA2ABE" w:rsidRPr="00845FB7" w:rsidRDefault="7EAA2ABE" w:rsidP="7EAA2ABE">
            <w:pPr>
              <w:spacing w:line="240" w:lineRule="auto"/>
              <w:jc w:val="right"/>
              <w:rPr>
                <w:rFonts w:eastAsia="Times New Roman" w:cstheme="majorBidi"/>
                <w:color w:val="000000" w:themeColor="text1"/>
                <w:sz w:val="16"/>
                <w:szCs w:val="16"/>
                <w:lang w:val="en-GB"/>
              </w:rPr>
            </w:pPr>
          </w:p>
        </w:tc>
        <w:tc>
          <w:tcPr>
            <w:tcW w:w="359" w:type="pct"/>
            <w:tcBorders>
              <w:top w:val="single" w:sz="4" w:space="0" w:color="auto"/>
              <w:left w:val="single" w:sz="4" w:space="0" w:color="auto"/>
              <w:bottom w:val="single" w:sz="4" w:space="0" w:color="auto"/>
              <w:right w:val="single" w:sz="4" w:space="0" w:color="auto"/>
            </w:tcBorders>
            <w:noWrap/>
            <w:vAlign w:val="center"/>
          </w:tcPr>
          <w:p w14:paraId="4EF3CACD" w14:textId="307AB154" w:rsidR="7D2B4617" w:rsidRPr="00845FB7" w:rsidRDefault="7D2B4617" w:rsidP="2E36235F">
            <w:pPr>
              <w:spacing w:line="240" w:lineRule="auto"/>
              <w:jc w:val="right"/>
              <w:rPr>
                <w:rFonts w:eastAsia="Times New Roman" w:cstheme="majorBidi"/>
                <w:color w:val="000000" w:themeColor="text1"/>
                <w:sz w:val="16"/>
                <w:szCs w:val="16"/>
                <w:lang w:val="en-GB"/>
              </w:rPr>
            </w:pPr>
          </w:p>
        </w:tc>
        <w:tc>
          <w:tcPr>
            <w:tcW w:w="394" w:type="pct"/>
            <w:tcBorders>
              <w:top w:val="single" w:sz="4" w:space="0" w:color="auto"/>
              <w:left w:val="single" w:sz="4" w:space="0" w:color="auto"/>
              <w:bottom w:val="single" w:sz="4" w:space="0" w:color="auto"/>
              <w:right w:val="single" w:sz="4" w:space="0" w:color="auto"/>
            </w:tcBorders>
            <w:noWrap/>
            <w:vAlign w:val="center"/>
            <w:hideMark/>
          </w:tcPr>
          <w:p w14:paraId="23A8297E" w14:textId="527D4C4E" w:rsidR="7EAA2ABE" w:rsidRPr="00845FB7" w:rsidRDefault="7EAA2ABE" w:rsidP="7EAA2ABE">
            <w:pPr>
              <w:spacing w:line="240" w:lineRule="auto"/>
              <w:jc w:val="right"/>
              <w:rPr>
                <w:rFonts w:eastAsia="Times New Roman" w:cstheme="majorBidi"/>
                <w:b/>
                <w:bCs/>
                <w:color w:val="000000" w:themeColor="text1"/>
                <w:sz w:val="16"/>
                <w:szCs w:val="16"/>
                <w:lang w:val="en-GB"/>
              </w:rPr>
            </w:pPr>
          </w:p>
        </w:tc>
        <w:tc>
          <w:tcPr>
            <w:tcW w:w="252" w:type="pct"/>
            <w:tcBorders>
              <w:top w:val="single" w:sz="4" w:space="0" w:color="auto"/>
              <w:left w:val="single" w:sz="4" w:space="0" w:color="auto"/>
              <w:bottom w:val="single" w:sz="4" w:space="0" w:color="auto"/>
              <w:right w:val="single" w:sz="4" w:space="0" w:color="auto"/>
            </w:tcBorders>
            <w:noWrap/>
            <w:vAlign w:val="center"/>
            <w:hideMark/>
          </w:tcPr>
          <w:p w14:paraId="5A5B0745" w14:textId="1F979B52" w:rsidR="7EAA2ABE" w:rsidRPr="00845FB7" w:rsidRDefault="7EAA2ABE" w:rsidP="7EAA2ABE">
            <w:pPr>
              <w:spacing w:line="240" w:lineRule="auto"/>
              <w:jc w:val="right"/>
              <w:rPr>
                <w:rFonts w:eastAsia="Times New Roman" w:cstheme="majorBidi"/>
                <w:color w:val="000000" w:themeColor="text1"/>
                <w:sz w:val="16"/>
                <w:szCs w:val="16"/>
                <w:lang w:val="en-GB"/>
              </w:rPr>
            </w:pPr>
          </w:p>
        </w:tc>
        <w:tc>
          <w:tcPr>
            <w:tcW w:w="335" w:type="pct"/>
            <w:tcBorders>
              <w:top w:val="single" w:sz="4" w:space="0" w:color="auto"/>
              <w:left w:val="single" w:sz="4" w:space="0" w:color="auto"/>
              <w:bottom w:val="single" w:sz="4" w:space="0" w:color="auto"/>
              <w:right w:val="single" w:sz="4" w:space="0" w:color="auto"/>
            </w:tcBorders>
            <w:noWrap/>
            <w:vAlign w:val="center"/>
            <w:hideMark/>
          </w:tcPr>
          <w:p w14:paraId="70F03F38" w14:textId="658AD5C8" w:rsidR="7EAA2ABE" w:rsidRPr="00845FB7" w:rsidRDefault="00AB545F" w:rsidP="7EAA2ABE">
            <w:pPr>
              <w:spacing w:line="240" w:lineRule="auto"/>
              <w:jc w:val="right"/>
              <w:rPr>
                <w:rFonts w:eastAsia="Times New Roman" w:cstheme="majorBidi"/>
                <w:color w:val="000000" w:themeColor="text1"/>
                <w:sz w:val="16"/>
                <w:szCs w:val="16"/>
                <w:lang w:val="en-GB"/>
              </w:rPr>
            </w:pPr>
            <w:r w:rsidRPr="00845FB7">
              <w:rPr>
                <w:rFonts w:eastAsia="Times New Roman" w:cstheme="majorBidi"/>
                <w:color w:val="000000" w:themeColor="text1"/>
                <w:sz w:val="16"/>
                <w:szCs w:val="16"/>
                <w:lang w:val="en-GB"/>
              </w:rPr>
              <w:t>50,000</w:t>
            </w:r>
          </w:p>
        </w:tc>
        <w:tc>
          <w:tcPr>
            <w:tcW w:w="334" w:type="pct"/>
            <w:tcBorders>
              <w:top w:val="single" w:sz="4" w:space="0" w:color="auto"/>
              <w:left w:val="single" w:sz="4" w:space="0" w:color="auto"/>
              <w:bottom w:val="single" w:sz="4" w:space="0" w:color="auto"/>
              <w:right w:val="single" w:sz="4" w:space="0" w:color="auto"/>
            </w:tcBorders>
            <w:noWrap/>
            <w:vAlign w:val="center"/>
            <w:hideMark/>
          </w:tcPr>
          <w:p w14:paraId="7D66A600" w14:textId="7911CA43" w:rsidR="7EAA2ABE" w:rsidRPr="00845FB7" w:rsidRDefault="00AB545F" w:rsidP="7EAA2ABE">
            <w:pPr>
              <w:spacing w:line="240" w:lineRule="auto"/>
              <w:jc w:val="right"/>
              <w:rPr>
                <w:rFonts w:eastAsia="Times New Roman" w:cstheme="majorBidi"/>
                <w:color w:val="000000" w:themeColor="text1"/>
                <w:sz w:val="16"/>
                <w:szCs w:val="16"/>
                <w:lang w:val="en-GB"/>
              </w:rPr>
            </w:pPr>
            <w:r w:rsidRPr="00845FB7">
              <w:rPr>
                <w:rFonts w:eastAsia="Times New Roman" w:cstheme="majorBidi"/>
                <w:color w:val="000000" w:themeColor="text1"/>
                <w:sz w:val="16"/>
                <w:szCs w:val="16"/>
                <w:lang w:val="en-GB"/>
              </w:rPr>
              <w:t>50,000</w:t>
            </w:r>
          </w:p>
        </w:tc>
      </w:tr>
      <w:tr w:rsidR="0027215D" w:rsidRPr="00845FB7" w14:paraId="4C1E6E55" w14:textId="77777777" w:rsidTr="00F96CB7">
        <w:trPr>
          <w:trHeight w:val="488"/>
        </w:trPr>
        <w:tc>
          <w:tcPr>
            <w:tcW w:w="981" w:type="pct"/>
            <w:vAlign w:val="center"/>
            <w:hideMark/>
          </w:tcPr>
          <w:p w14:paraId="0F9DFF08" w14:textId="77777777"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Surge capacity requirements for COP (logistics, participants, documents management)</w:t>
            </w:r>
          </w:p>
        </w:tc>
        <w:tc>
          <w:tcPr>
            <w:tcW w:w="246" w:type="pct"/>
            <w:noWrap/>
            <w:vAlign w:val="center"/>
            <w:hideMark/>
          </w:tcPr>
          <w:p w14:paraId="3B4D9C44"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2B70A5AF" w14:textId="03920B40"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270,000</w:t>
            </w:r>
          </w:p>
        </w:tc>
        <w:tc>
          <w:tcPr>
            <w:tcW w:w="393" w:type="pct"/>
            <w:noWrap/>
            <w:vAlign w:val="center"/>
            <w:hideMark/>
          </w:tcPr>
          <w:p w14:paraId="1B910145" w14:textId="77777777"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270,000</w:t>
            </w:r>
          </w:p>
        </w:tc>
        <w:tc>
          <w:tcPr>
            <w:tcW w:w="246" w:type="pct"/>
            <w:noWrap/>
            <w:vAlign w:val="center"/>
            <w:hideMark/>
          </w:tcPr>
          <w:p w14:paraId="24EA6D9D" w14:textId="14C64B27"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507BE6B1" w14:textId="163DD3CA"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3C4DF928" w14:textId="5845F81C"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p>
        </w:tc>
        <w:tc>
          <w:tcPr>
            <w:tcW w:w="280" w:type="pct"/>
            <w:noWrap/>
            <w:vAlign w:val="center"/>
            <w:hideMark/>
          </w:tcPr>
          <w:p w14:paraId="165C39BE" w14:textId="77777777"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hideMark/>
          </w:tcPr>
          <w:p w14:paraId="6B1FE911" w14:textId="3AE27D0B" w:rsidR="00761672" w:rsidRPr="00845FB7" w:rsidRDefault="00761672" w:rsidP="007B20D2">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2</w:t>
            </w:r>
            <w:r w:rsidR="007F6832" w:rsidRPr="00845FB7">
              <w:rPr>
                <w:rFonts w:eastAsia="Times New Roman" w:cstheme="majorBidi"/>
                <w:color w:val="000000"/>
                <w:sz w:val="16"/>
                <w:szCs w:val="16"/>
                <w:lang w:val="en-GB"/>
              </w:rPr>
              <w:t>4</w:t>
            </w:r>
            <w:r w:rsidRPr="00845FB7">
              <w:rPr>
                <w:rFonts w:eastAsia="Times New Roman" w:cstheme="majorBidi"/>
                <w:color w:val="000000"/>
                <w:sz w:val="16"/>
                <w:szCs w:val="16"/>
                <w:lang w:val="en-GB"/>
              </w:rPr>
              <w:t>0,000</w:t>
            </w:r>
          </w:p>
        </w:tc>
        <w:tc>
          <w:tcPr>
            <w:tcW w:w="394" w:type="pct"/>
            <w:noWrap/>
            <w:vAlign w:val="center"/>
            <w:hideMark/>
          </w:tcPr>
          <w:p w14:paraId="423D101C" w14:textId="57E3AB79"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w:t>
            </w:r>
            <w:r w:rsidR="007F6832" w:rsidRPr="00845FB7">
              <w:rPr>
                <w:rFonts w:eastAsia="Times New Roman" w:cstheme="majorBidi"/>
                <w:b/>
                <w:bCs/>
                <w:color w:val="000000"/>
                <w:sz w:val="16"/>
                <w:szCs w:val="16"/>
                <w:lang w:val="en-GB"/>
              </w:rPr>
              <w:t>4</w:t>
            </w:r>
            <w:r w:rsidRPr="00845FB7">
              <w:rPr>
                <w:rFonts w:eastAsia="Times New Roman" w:cstheme="majorBidi"/>
                <w:b/>
                <w:bCs/>
                <w:color w:val="000000"/>
                <w:sz w:val="16"/>
                <w:szCs w:val="16"/>
                <w:lang w:val="en-GB"/>
              </w:rPr>
              <w:t>0,000</w:t>
            </w:r>
          </w:p>
        </w:tc>
        <w:tc>
          <w:tcPr>
            <w:tcW w:w="252" w:type="pct"/>
            <w:noWrap/>
            <w:vAlign w:val="center"/>
            <w:hideMark/>
          </w:tcPr>
          <w:p w14:paraId="3B9FE168" w14:textId="6F6C1A27"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7F972772" w14:textId="21344B32"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4" w:type="pct"/>
            <w:noWrap/>
            <w:vAlign w:val="center"/>
            <w:hideMark/>
          </w:tcPr>
          <w:p w14:paraId="64D14A5B" w14:textId="1F6001E0"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r>
      <w:tr w:rsidR="0027215D" w:rsidRPr="00845FB7" w14:paraId="31507C17" w14:textId="77777777" w:rsidTr="00F96CB7">
        <w:trPr>
          <w:trHeight w:val="387"/>
        </w:trPr>
        <w:tc>
          <w:tcPr>
            <w:tcW w:w="981" w:type="pct"/>
            <w:noWrap/>
            <w:vAlign w:val="center"/>
            <w:hideMark/>
          </w:tcPr>
          <w:p w14:paraId="467B9496" w14:textId="77777777"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Component total</w:t>
            </w:r>
          </w:p>
        </w:tc>
        <w:tc>
          <w:tcPr>
            <w:tcW w:w="246" w:type="pct"/>
            <w:noWrap/>
            <w:vAlign w:val="center"/>
            <w:hideMark/>
          </w:tcPr>
          <w:p w14:paraId="0E0012F1" w14:textId="77777777"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4" w:type="pct"/>
            <w:noWrap/>
            <w:vAlign w:val="center"/>
            <w:hideMark/>
          </w:tcPr>
          <w:p w14:paraId="33E34FDD" w14:textId="035948B9"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531C24" w:rsidRPr="00845FB7">
              <w:rPr>
                <w:rFonts w:eastAsia="Times New Roman" w:cstheme="majorBidi"/>
                <w:b/>
                <w:bCs/>
                <w:color w:val="000000"/>
                <w:sz w:val="16"/>
                <w:szCs w:val="16"/>
                <w:lang w:val="en-GB"/>
              </w:rPr>
              <w:t>1</w:t>
            </w:r>
            <w:r w:rsidR="007F6832" w:rsidRPr="00845FB7">
              <w:rPr>
                <w:rFonts w:eastAsia="Times New Roman" w:cstheme="majorBidi"/>
                <w:b/>
                <w:bCs/>
                <w:color w:val="000000"/>
                <w:sz w:val="16"/>
                <w:szCs w:val="16"/>
                <w:lang w:val="en-GB"/>
              </w:rPr>
              <w:t>15</w:t>
            </w:r>
            <w:r w:rsidRPr="00845FB7">
              <w:rPr>
                <w:rFonts w:eastAsia="Times New Roman" w:cstheme="majorBidi"/>
                <w:b/>
                <w:bCs/>
                <w:color w:val="000000"/>
                <w:sz w:val="16"/>
                <w:szCs w:val="16"/>
                <w:lang w:val="en-GB"/>
              </w:rPr>
              <w:t>,000</w:t>
            </w:r>
          </w:p>
        </w:tc>
        <w:tc>
          <w:tcPr>
            <w:tcW w:w="393" w:type="pct"/>
            <w:noWrap/>
            <w:vAlign w:val="center"/>
            <w:hideMark/>
          </w:tcPr>
          <w:p w14:paraId="327BA07C" w14:textId="41F38694"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531C24" w:rsidRPr="00845FB7">
              <w:rPr>
                <w:rFonts w:eastAsia="Times New Roman" w:cstheme="majorBidi"/>
                <w:b/>
                <w:bCs/>
                <w:color w:val="000000"/>
                <w:sz w:val="16"/>
                <w:szCs w:val="16"/>
                <w:lang w:val="en-GB"/>
              </w:rPr>
              <w:t>1</w:t>
            </w:r>
            <w:r w:rsidR="007F6832" w:rsidRPr="00845FB7">
              <w:rPr>
                <w:rFonts w:eastAsia="Times New Roman" w:cstheme="majorBidi"/>
                <w:b/>
                <w:bCs/>
                <w:color w:val="000000"/>
                <w:sz w:val="16"/>
                <w:szCs w:val="16"/>
                <w:lang w:val="en-GB"/>
              </w:rPr>
              <w:t>15</w:t>
            </w:r>
            <w:r w:rsidRPr="00845FB7">
              <w:rPr>
                <w:rFonts w:eastAsia="Times New Roman" w:cstheme="majorBidi"/>
                <w:b/>
                <w:bCs/>
                <w:color w:val="000000"/>
                <w:sz w:val="16"/>
                <w:szCs w:val="16"/>
                <w:lang w:val="en-GB"/>
              </w:rPr>
              <w:t>,000</w:t>
            </w:r>
          </w:p>
        </w:tc>
        <w:tc>
          <w:tcPr>
            <w:tcW w:w="246" w:type="pct"/>
            <w:noWrap/>
            <w:vAlign w:val="center"/>
            <w:hideMark/>
          </w:tcPr>
          <w:p w14:paraId="4BC88EA9" w14:textId="4F47CB0D"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6815CC86" w14:textId="3B1B0100" w:rsidR="00761672" w:rsidRPr="00845FB7" w:rsidRDefault="00304CF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77</w:t>
            </w:r>
            <w:r w:rsidR="00761672" w:rsidRPr="00845FB7">
              <w:rPr>
                <w:rFonts w:eastAsia="Times New Roman" w:cstheme="majorBidi"/>
                <w:b/>
                <w:bCs/>
                <w:color w:val="000000"/>
                <w:sz w:val="16"/>
                <w:szCs w:val="16"/>
                <w:lang w:val="en-GB"/>
              </w:rPr>
              <w:t>5,000</w:t>
            </w:r>
          </w:p>
        </w:tc>
        <w:tc>
          <w:tcPr>
            <w:tcW w:w="393" w:type="pct"/>
            <w:noWrap/>
            <w:vAlign w:val="center"/>
            <w:hideMark/>
          </w:tcPr>
          <w:p w14:paraId="2754166F" w14:textId="3E4314F6" w:rsidR="00761672" w:rsidRPr="00845FB7" w:rsidRDefault="00304CF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77</w:t>
            </w:r>
            <w:r w:rsidR="00761672" w:rsidRPr="00845FB7">
              <w:rPr>
                <w:rFonts w:eastAsia="Times New Roman" w:cstheme="majorBidi"/>
                <w:b/>
                <w:bCs/>
                <w:color w:val="000000"/>
                <w:sz w:val="16"/>
                <w:szCs w:val="16"/>
                <w:lang w:val="en-GB"/>
              </w:rPr>
              <w:t>5,000</w:t>
            </w:r>
          </w:p>
        </w:tc>
        <w:tc>
          <w:tcPr>
            <w:tcW w:w="280" w:type="pct"/>
            <w:noWrap/>
            <w:vAlign w:val="center"/>
            <w:hideMark/>
          </w:tcPr>
          <w:p w14:paraId="5FED6D6C" w14:textId="518DFDA0" w:rsidR="00761672" w:rsidRPr="00845FB7" w:rsidRDefault="00761672" w:rsidP="007B20D2">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xml:space="preserve">              </w:t>
            </w:r>
          </w:p>
        </w:tc>
        <w:tc>
          <w:tcPr>
            <w:tcW w:w="359" w:type="pct"/>
            <w:noWrap/>
            <w:vAlign w:val="center"/>
            <w:hideMark/>
          </w:tcPr>
          <w:p w14:paraId="328BC4EB" w14:textId="5621C183"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1943C3" w:rsidRPr="00845FB7">
              <w:rPr>
                <w:rFonts w:eastAsia="Times New Roman" w:cstheme="majorBidi"/>
                <w:b/>
                <w:bCs/>
                <w:color w:val="000000"/>
                <w:sz w:val="16"/>
                <w:szCs w:val="16"/>
                <w:lang w:val="en-GB"/>
              </w:rPr>
              <w:t>045</w:t>
            </w:r>
            <w:r w:rsidRPr="00845FB7">
              <w:rPr>
                <w:rFonts w:eastAsia="Times New Roman" w:cstheme="majorBidi"/>
                <w:b/>
                <w:bCs/>
                <w:color w:val="000000"/>
                <w:sz w:val="16"/>
                <w:szCs w:val="16"/>
                <w:lang w:val="en-GB"/>
              </w:rPr>
              <w:t>,000</w:t>
            </w:r>
          </w:p>
        </w:tc>
        <w:tc>
          <w:tcPr>
            <w:tcW w:w="394" w:type="pct"/>
            <w:noWrap/>
            <w:vAlign w:val="center"/>
            <w:hideMark/>
          </w:tcPr>
          <w:p w14:paraId="370E2870" w14:textId="321702CB"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1943C3" w:rsidRPr="00845FB7">
              <w:rPr>
                <w:rFonts w:eastAsia="Times New Roman" w:cstheme="majorBidi"/>
                <w:b/>
                <w:bCs/>
                <w:color w:val="000000"/>
                <w:sz w:val="16"/>
                <w:szCs w:val="16"/>
                <w:lang w:val="en-GB"/>
              </w:rPr>
              <w:t>045</w:t>
            </w:r>
            <w:r w:rsidRPr="00845FB7">
              <w:rPr>
                <w:rFonts w:eastAsia="Times New Roman" w:cstheme="majorBidi"/>
                <w:b/>
                <w:bCs/>
                <w:color w:val="000000"/>
                <w:sz w:val="16"/>
                <w:szCs w:val="16"/>
                <w:lang w:val="en-GB"/>
              </w:rPr>
              <w:t>,000</w:t>
            </w:r>
          </w:p>
        </w:tc>
        <w:tc>
          <w:tcPr>
            <w:tcW w:w="252" w:type="pct"/>
            <w:noWrap/>
            <w:vAlign w:val="center"/>
            <w:hideMark/>
          </w:tcPr>
          <w:p w14:paraId="35322BF3" w14:textId="10458918" w:rsidR="00761672" w:rsidRPr="00845FB7" w:rsidRDefault="00761672" w:rsidP="007B20D2">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60CCEC42" w14:textId="5B87F308"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w:t>
            </w:r>
            <w:r w:rsidR="00BB3D15" w:rsidRPr="00845FB7">
              <w:rPr>
                <w:rFonts w:eastAsia="Times New Roman" w:cstheme="majorBidi"/>
                <w:b/>
                <w:bCs/>
                <w:color w:val="000000"/>
                <w:sz w:val="16"/>
                <w:szCs w:val="16"/>
                <w:lang w:val="en-GB"/>
              </w:rPr>
              <w:t>7</w:t>
            </w:r>
            <w:r w:rsidRPr="00845FB7">
              <w:rPr>
                <w:rFonts w:eastAsia="Times New Roman" w:cstheme="majorBidi"/>
                <w:b/>
                <w:bCs/>
                <w:color w:val="000000"/>
                <w:sz w:val="16"/>
                <w:szCs w:val="16"/>
                <w:lang w:val="en-GB"/>
              </w:rPr>
              <w:t>5,000</w:t>
            </w:r>
          </w:p>
        </w:tc>
        <w:tc>
          <w:tcPr>
            <w:tcW w:w="334" w:type="pct"/>
            <w:noWrap/>
            <w:vAlign w:val="center"/>
            <w:hideMark/>
          </w:tcPr>
          <w:p w14:paraId="309077CB" w14:textId="766DD0BD" w:rsidR="00761672" w:rsidRPr="00845FB7" w:rsidRDefault="00761672" w:rsidP="007B20D2">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w:t>
            </w:r>
            <w:r w:rsidR="00BB3D15" w:rsidRPr="00845FB7">
              <w:rPr>
                <w:rFonts w:eastAsia="Times New Roman" w:cstheme="majorBidi"/>
                <w:b/>
                <w:bCs/>
                <w:color w:val="000000"/>
                <w:sz w:val="16"/>
                <w:szCs w:val="16"/>
                <w:lang w:val="en-GB"/>
              </w:rPr>
              <w:t>7</w:t>
            </w:r>
            <w:r w:rsidRPr="00845FB7">
              <w:rPr>
                <w:rFonts w:eastAsia="Times New Roman" w:cstheme="majorBidi"/>
                <w:b/>
                <w:bCs/>
                <w:color w:val="000000"/>
                <w:sz w:val="16"/>
                <w:szCs w:val="16"/>
                <w:lang w:val="en-GB"/>
              </w:rPr>
              <w:t>5,000</w:t>
            </w:r>
          </w:p>
        </w:tc>
      </w:tr>
      <w:tr w:rsidR="00761672" w:rsidRPr="00845FB7" w14:paraId="02616F36" w14:textId="77777777" w:rsidTr="2178DE57">
        <w:trPr>
          <w:trHeight w:val="305"/>
        </w:trPr>
        <w:tc>
          <w:tcPr>
            <w:tcW w:w="5000" w:type="pct"/>
            <w:gridSpan w:val="13"/>
            <w:noWrap/>
            <w:vAlign w:val="center"/>
            <w:hideMark/>
          </w:tcPr>
          <w:p w14:paraId="77B553EC" w14:textId="77777777" w:rsidR="00761672" w:rsidRPr="00845FB7" w:rsidRDefault="00761672" w:rsidP="007B20D2">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1.2.    Regional preparatory meetings</w:t>
            </w:r>
          </w:p>
        </w:tc>
      </w:tr>
      <w:tr w:rsidR="0027215D" w:rsidRPr="00845FB7" w14:paraId="48DB6B25" w14:textId="77777777" w:rsidTr="00F96CB7">
        <w:trPr>
          <w:trHeight w:val="305"/>
        </w:trPr>
        <w:tc>
          <w:tcPr>
            <w:tcW w:w="981" w:type="pct"/>
            <w:noWrap/>
            <w:vAlign w:val="center"/>
            <w:hideMark/>
          </w:tcPr>
          <w:p w14:paraId="6EF42270"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Meeting and travel costs</w:t>
            </w:r>
          </w:p>
        </w:tc>
        <w:tc>
          <w:tcPr>
            <w:tcW w:w="246" w:type="pct"/>
            <w:noWrap/>
            <w:vAlign w:val="center"/>
            <w:hideMark/>
          </w:tcPr>
          <w:p w14:paraId="26DA08E5"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1593FA75"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68FC15FF"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46" w:type="pct"/>
            <w:noWrap/>
            <w:vAlign w:val="center"/>
            <w:hideMark/>
          </w:tcPr>
          <w:p w14:paraId="29E4BA05"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46C11840" w14:textId="51BB53BD" w:rsidR="00C06D94" w:rsidRPr="00845FB7" w:rsidRDefault="5674AF68" w:rsidP="7EAA2ABE">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themeColor="text1"/>
                <w:sz w:val="16"/>
                <w:szCs w:val="16"/>
                <w:lang w:val="en-GB"/>
              </w:rPr>
              <w:t>420,000</w:t>
            </w:r>
          </w:p>
        </w:tc>
        <w:tc>
          <w:tcPr>
            <w:tcW w:w="393" w:type="pct"/>
            <w:noWrap/>
            <w:vAlign w:val="center"/>
            <w:hideMark/>
          </w:tcPr>
          <w:p w14:paraId="78CC1F32"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420,000</w:t>
            </w:r>
          </w:p>
        </w:tc>
        <w:tc>
          <w:tcPr>
            <w:tcW w:w="280" w:type="pct"/>
            <w:noWrap/>
            <w:vAlign w:val="center"/>
            <w:hideMark/>
          </w:tcPr>
          <w:p w14:paraId="49D5BA19"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tcPr>
          <w:p w14:paraId="27513184" w14:textId="1A0D7794" w:rsidR="00C06D94" w:rsidRPr="00845FB7" w:rsidRDefault="00C06D94" w:rsidP="00C06D94">
            <w:pPr>
              <w:spacing w:after="0" w:line="240" w:lineRule="auto"/>
              <w:contextualSpacing/>
              <w:jc w:val="left"/>
              <w:rPr>
                <w:rFonts w:eastAsia="Times New Roman" w:cstheme="majorBidi"/>
                <w:color w:val="000000"/>
                <w:sz w:val="16"/>
                <w:szCs w:val="16"/>
                <w:lang w:val="en-GB"/>
              </w:rPr>
            </w:pPr>
          </w:p>
        </w:tc>
        <w:tc>
          <w:tcPr>
            <w:tcW w:w="394" w:type="pct"/>
            <w:noWrap/>
            <w:vAlign w:val="center"/>
          </w:tcPr>
          <w:p w14:paraId="70E56606" w14:textId="33A9F44A" w:rsidR="00C06D94" w:rsidRPr="00845FB7" w:rsidRDefault="00C06D94" w:rsidP="00C06D94">
            <w:pPr>
              <w:spacing w:after="0" w:line="240" w:lineRule="auto"/>
              <w:contextualSpacing/>
              <w:jc w:val="left"/>
              <w:rPr>
                <w:rFonts w:eastAsia="Times New Roman" w:cstheme="majorBidi"/>
                <w:color w:val="000000"/>
                <w:sz w:val="16"/>
                <w:szCs w:val="16"/>
                <w:lang w:val="en-GB"/>
              </w:rPr>
            </w:pPr>
          </w:p>
        </w:tc>
        <w:tc>
          <w:tcPr>
            <w:tcW w:w="252" w:type="pct"/>
            <w:noWrap/>
            <w:vAlign w:val="center"/>
            <w:hideMark/>
          </w:tcPr>
          <w:p w14:paraId="2B87E28D"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35" w:type="pct"/>
            <w:noWrap/>
            <w:vAlign w:val="center"/>
            <w:hideMark/>
          </w:tcPr>
          <w:p w14:paraId="170B0421" w14:textId="1EC0C86B"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cstheme="majorBidi"/>
                <w:color w:val="000000"/>
                <w:sz w:val="16"/>
                <w:szCs w:val="16"/>
                <w:lang w:val="en-GB"/>
              </w:rPr>
              <w:t>420,000</w:t>
            </w:r>
          </w:p>
        </w:tc>
        <w:tc>
          <w:tcPr>
            <w:tcW w:w="334" w:type="pct"/>
            <w:noWrap/>
            <w:vAlign w:val="center"/>
            <w:hideMark/>
          </w:tcPr>
          <w:p w14:paraId="1CAA35B7" w14:textId="6E7F4210"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cstheme="majorBidi"/>
                <w:b/>
                <w:bCs/>
                <w:color w:val="000000"/>
                <w:sz w:val="16"/>
                <w:szCs w:val="16"/>
                <w:lang w:val="en-GB"/>
              </w:rPr>
              <w:t>420,000</w:t>
            </w:r>
          </w:p>
        </w:tc>
      </w:tr>
      <w:tr w:rsidR="0027215D" w:rsidRPr="00845FB7" w14:paraId="7727B28F" w14:textId="77777777" w:rsidTr="00F96CB7">
        <w:trPr>
          <w:trHeight w:val="305"/>
        </w:trPr>
        <w:tc>
          <w:tcPr>
            <w:tcW w:w="981" w:type="pct"/>
            <w:noWrap/>
            <w:vAlign w:val="center"/>
            <w:hideMark/>
          </w:tcPr>
          <w:p w14:paraId="24AA5717"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Component total</w:t>
            </w:r>
          </w:p>
        </w:tc>
        <w:tc>
          <w:tcPr>
            <w:tcW w:w="246" w:type="pct"/>
            <w:noWrap/>
            <w:vAlign w:val="center"/>
            <w:hideMark/>
          </w:tcPr>
          <w:p w14:paraId="35DBCF5E"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4CAF23F6"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760373E6"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46" w:type="pct"/>
            <w:noWrap/>
            <w:vAlign w:val="center"/>
            <w:hideMark/>
          </w:tcPr>
          <w:p w14:paraId="7D822F18"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3" w:type="pct"/>
            <w:noWrap/>
            <w:vAlign w:val="center"/>
            <w:hideMark/>
          </w:tcPr>
          <w:p w14:paraId="0655A555"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420,000</w:t>
            </w:r>
          </w:p>
        </w:tc>
        <w:tc>
          <w:tcPr>
            <w:tcW w:w="393" w:type="pct"/>
            <w:noWrap/>
            <w:vAlign w:val="center"/>
            <w:hideMark/>
          </w:tcPr>
          <w:p w14:paraId="1EB459DD"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420,000</w:t>
            </w:r>
          </w:p>
        </w:tc>
        <w:tc>
          <w:tcPr>
            <w:tcW w:w="280" w:type="pct"/>
            <w:noWrap/>
            <w:vAlign w:val="center"/>
            <w:hideMark/>
          </w:tcPr>
          <w:p w14:paraId="07E83EAB"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tcPr>
          <w:p w14:paraId="73B8CF41" w14:textId="5352FFA9" w:rsidR="00C06D94" w:rsidRPr="00845FB7" w:rsidRDefault="00C06D94" w:rsidP="00C06D94">
            <w:pPr>
              <w:spacing w:after="0" w:line="240" w:lineRule="auto"/>
              <w:contextualSpacing/>
              <w:jc w:val="left"/>
              <w:rPr>
                <w:rFonts w:eastAsia="Times New Roman" w:cstheme="majorBidi"/>
                <w:color w:val="000000"/>
                <w:sz w:val="16"/>
                <w:szCs w:val="16"/>
                <w:lang w:val="en-GB"/>
              </w:rPr>
            </w:pPr>
          </w:p>
        </w:tc>
        <w:tc>
          <w:tcPr>
            <w:tcW w:w="394" w:type="pct"/>
            <w:noWrap/>
            <w:vAlign w:val="center"/>
          </w:tcPr>
          <w:p w14:paraId="13F3E61B" w14:textId="11B12131" w:rsidR="00C06D94" w:rsidRPr="00845FB7" w:rsidRDefault="00C06D94" w:rsidP="00C06D94">
            <w:pPr>
              <w:spacing w:after="0" w:line="240" w:lineRule="auto"/>
              <w:contextualSpacing/>
              <w:jc w:val="left"/>
              <w:rPr>
                <w:rFonts w:eastAsia="Times New Roman" w:cstheme="majorBidi"/>
                <w:color w:val="000000"/>
                <w:sz w:val="16"/>
                <w:szCs w:val="16"/>
                <w:lang w:val="en-GB"/>
              </w:rPr>
            </w:pPr>
          </w:p>
        </w:tc>
        <w:tc>
          <w:tcPr>
            <w:tcW w:w="252" w:type="pct"/>
            <w:noWrap/>
            <w:vAlign w:val="center"/>
            <w:hideMark/>
          </w:tcPr>
          <w:p w14:paraId="0ECF4618"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35" w:type="pct"/>
            <w:noWrap/>
            <w:vAlign w:val="center"/>
            <w:hideMark/>
          </w:tcPr>
          <w:p w14:paraId="40C0C79B" w14:textId="2BA51441"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cstheme="majorBidi"/>
                <w:b/>
                <w:bCs/>
                <w:color w:val="000000"/>
                <w:sz w:val="16"/>
                <w:szCs w:val="16"/>
                <w:lang w:val="en-GB"/>
              </w:rPr>
              <w:t>420,000</w:t>
            </w:r>
          </w:p>
        </w:tc>
        <w:tc>
          <w:tcPr>
            <w:tcW w:w="334" w:type="pct"/>
            <w:noWrap/>
            <w:vAlign w:val="center"/>
            <w:hideMark/>
          </w:tcPr>
          <w:p w14:paraId="3EB66AB0" w14:textId="5B54B760"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cstheme="majorBidi"/>
                <w:b/>
                <w:bCs/>
                <w:color w:val="000000"/>
                <w:sz w:val="16"/>
                <w:szCs w:val="16"/>
                <w:lang w:val="en-GB"/>
              </w:rPr>
              <w:t>420,000</w:t>
            </w:r>
          </w:p>
        </w:tc>
      </w:tr>
      <w:tr w:rsidR="00C06D94" w:rsidRPr="00845FB7" w14:paraId="3A4D06A5" w14:textId="77777777" w:rsidTr="2178DE57">
        <w:trPr>
          <w:trHeight w:val="305"/>
        </w:trPr>
        <w:tc>
          <w:tcPr>
            <w:tcW w:w="5000" w:type="pct"/>
            <w:gridSpan w:val="13"/>
            <w:noWrap/>
            <w:vAlign w:val="center"/>
            <w:hideMark/>
          </w:tcPr>
          <w:p w14:paraId="48FA02DF" w14:textId="77777777" w:rsidR="00C06D94" w:rsidRPr="00845FB7" w:rsidRDefault="00C06D94" w:rsidP="00C06D94">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1.3.    Intersessional time-based expert groups mandated by the Conference of the Parties</w:t>
            </w:r>
          </w:p>
        </w:tc>
      </w:tr>
      <w:tr w:rsidR="0027215D" w:rsidRPr="00845FB7" w14:paraId="46C542C9" w14:textId="77777777" w:rsidTr="00F96CB7">
        <w:trPr>
          <w:trHeight w:val="305"/>
        </w:trPr>
        <w:tc>
          <w:tcPr>
            <w:tcW w:w="981" w:type="pct"/>
            <w:vAlign w:val="center"/>
            <w:hideMark/>
          </w:tcPr>
          <w:p w14:paraId="3804B56B" w14:textId="39B038E8"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Technical expert group</w:t>
            </w:r>
            <w:r w:rsidR="009C219D" w:rsidRPr="00845FB7">
              <w:rPr>
                <w:rFonts w:eastAsia="Times New Roman" w:cstheme="majorBidi"/>
                <w:color w:val="000000"/>
                <w:sz w:val="16"/>
                <w:szCs w:val="16"/>
                <w:lang w:val="en-GB"/>
              </w:rPr>
              <w:t>s</w:t>
            </w:r>
            <w:r w:rsidRPr="00845FB7">
              <w:rPr>
                <w:rFonts w:eastAsia="Times New Roman" w:cstheme="majorBidi"/>
                <w:color w:val="000000"/>
                <w:sz w:val="16"/>
                <w:szCs w:val="16"/>
                <w:lang w:val="en-GB"/>
              </w:rPr>
              <w:t xml:space="preserve"> </w:t>
            </w:r>
          </w:p>
        </w:tc>
        <w:tc>
          <w:tcPr>
            <w:tcW w:w="246" w:type="pct"/>
            <w:noWrap/>
            <w:vAlign w:val="center"/>
            <w:hideMark/>
          </w:tcPr>
          <w:p w14:paraId="27B09CAB"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3D771AF2"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1D51930D"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46" w:type="pct"/>
            <w:noWrap/>
            <w:vAlign w:val="center"/>
            <w:hideMark/>
          </w:tcPr>
          <w:p w14:paraId="5D832B18"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0C191B9A"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3A449B4B"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80" w:type="pct"/>
            <w:noWrap/>
            <w:vAlign w:val="center"/>
            <w:hideMark/>
          </w:tcPr>
          <w:p w14:paraId="7506567F"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59" w:type="pct"/>
            <w:noWrap/>
            <w:vAlign w:val="center"/>
            <w:hideMark/>
          </w:tcPr>
          <w:p w14:paraId="0F314691"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4" w:type="pct"/>
            <w:noWrap/>
            <w:vAlign w:val="center"/>
            <w:hideMark/>
          </w:tcPr>
          <w:p w14:paraId="706CE909" w14:textId="77777777" w:rsidR="00C06D94" w:rsidRPr="00845FB7" w:rsidRDefault="00C06D94" w:rsidP="00C06D94">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52" w:type="pct"/>
            <w:noWrap/>
            <w:vAlign w:val="center"/>
            <w:hideMark/>
          </w:tcPr>
          <w:p w14:paraId="1D34FF99"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35" w:type="pct"/>
            <w:noWrap/>
            <w:vAlign w:val="center"/>
            <w:hideMark/>
          </w:tcPr>
          <w:p w14:paraId="153E57D7"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34" w:type="pct"/>
            <w:noWrap/>
            <w:vAlign w:val="center"/>
            <w:hideMark/>
          </w:tcPr>
          <w:p w14:paraId="13BCA2FB"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r>
      <w:tr w:rsidR="0027215D" w:rsidRPr="00845FB7" w14:paraId="0976381E" w14:textId="77777777" w:rsidTr="00F96CB7">
        <w:trPr>
          <w:trHeight w:val="305"/>
        </w:trPr>
        <w:tc>
          <w:tcPr>
            <w:tcW w:w="981" w:type="pct"/>
            <w:noWrap/>
            <w:vAlign w:val="center"/>
            <w:hideMark/>
          </w:tcPr>
          <w:p w14:paraId="189FFD6D"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Component total</w:t>
            </w:r>
          </w:p>
        </w:tc>
        <w:tc>
          <w:tcPr>
            <w:tcW w:w="246" w:type="pct"/>
            <w:noWrap/>
            <w:vAlign w:val="center"/>
            <w:hideMark/>
          </w:tcPr>
          <w:p w14:paraId="4CCA015C"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4" w:type="pct"/>
            <w:noWrap/>
            <w:vAlign w:val="center"/>
            <w:hideMark/>
          </w:tcPr>
          <w:p w14:paraId="7CA2FA30"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3" w:type="pct"/>
            <w:noWrap/>
            <w:vAlign w:val="center"/>
            <w:hideMark/>
          </w:tcPr>
          <w:p w14:paraId="1365067D"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246" w:type="pct"/>
            <w:noWrap/>
            <w:vAlign w:val="center"/>
            <w:hideMark/>
          </w:tcPr>
          <w:p w14:paraId="25B6B76A"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6DA7145A"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3" w:type="pct"/>
            <w:noWrap/>
            <w:vAlign w:val="center"/>
            <w:hideMark/>
          </w:tcPr>
          <w:p w14:paraId="3DC4BF66"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80" w:type="pct"/>
            <w:noWrap/>
            <w:vAlign w:val="center"/>
            <w:hideMark/>
          </w:tcPr>
          <w:p w14:paraId="3FEF8BE3"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59" w:type="pct"/>
            <w:noWrap/>
            <w:vAlign w:val="center"/>
            <w:hideMark/>
          </w:tcPr>
          <w:p w14:paraId="63D66984"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4" w:type="pct"/>
            <w:noWrap/>
            <w:vAlign w:val="center"/>
            <w:hideMark/>
          </w:tcPr>
          <w:p w14:paraId="339AD5EE" w14:textId="77777777" w:rsidR="00C06D94" w:rsidRPr="00845FB7" w:rsidRDefault="00C06D94" w:rsidP="00C06D9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252" w:type="pct"/>
            <w:noWrap/>
            <w:vAlign w:val="center"/>
            <w:hideMark/>
          </w:tcPr>
          <w:p w14:paraId="560DD14B"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35" w:type="pct"/>
            <w:noWrap/>
            <w:vAlign w:val="center"/>
            <w:hideMark/>
          </w:tcPr>
          <w:p w14:paraId="6B230F2C"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34" w:type="pct"/>
            <w:noWrap/>
            <w:vAlign w:val="center"/>
            <w:hideMark/>
          </w:tcPr>
          <w:p w14:paraId="3B09FE86" w14:textId="77777777" w:rsidR="00C06D94" w:rsidRPr="00845FB7" w:rsidRDefault="00C06D94" w:rsidP="00C06D94">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r>
      <w:tr w:rsidR="0027215D" w:rsidRPr="00845FB7" w14:paraId="06AB13BA" w14:textId="77777777" w:rsidTr="00F96CB7">
        <w:trPr>
          <w:trHeight w:val="305"/>
        </w:trPr>
        <w:tc>
          <w:tcPr>
            <w:tcW w:w="981" w:type="pct"/>
            <w:noWrap/>
            <w:vAlign w:val="center"/>
            <w:hideMark/>
          </w:tcPr>
          <w:p w14:paraId="17539DC9" w14:textId="77777777" w:rsidR="00B23234" w:rsidRPr="00845FB7" w:rsidRDefault="00B23234" w:rsidP="00B23234">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Grand Total </w:t>
            </w:r>
          </w:p>
        </w:tc>
        <w:tc>
          <w:tcPr>
            <w:tcW w:w="246" w:type="pct"/>
            <w:noWrap/>
            <w:vAlign w:val="center"/>
            <w:hideMark/>
          </w:tcPr>
          <w:p w14:paraId="7DD8D50C" w14:textId="77777777" w:rsidR="00B23234" w:rsidRPr="00845FB7" w:rsidRDefault="00B23234" w:rsidP="00B2323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4" w:type="pct"/>
            <w:noWrap/>
            <w:vAlign w:val="center"/>
            <w:hideMark/>
          </w:tcPr>
          <w:p w14:paraId="027233EF" w14:textId="12B8D389" w:rsidR="00B23234" w:rsidRPr="00845FB7" w:rsidRDefault="00B23234" w:rsidP="00B2323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BC54FE" w:rsidRPr="00845FB7">
              <w:rPr>
                <w:rFonts w:eastAsia="Times New Roman" w:cstheme="majorBidi"/>
                <w:b/>
                <w:bCs/>
                <w:color w:val="000000"/>
                <w:sz w:val="16"/>
                <w:szCs w:val="16"/>
                <w:lang w:val="en-GB"/>
              </w:rPr>
              <w:t>115</w:t>
            </w:r>
            <w:r w:rsidRPr="00845FB7">
              <w:rPr>
                <w:rFonts w:eastAsia="Times New Roman" w:cstheme="majorBidi"/>
                <w:b/>
                <w:bCs/>
                <w:color w:val="000000"/>
                <w:sz w:val="16"/>
                <w:szCs w:val="16"/>
                <w:lang w:val="en-GB"/>
              </w:rPr>
              <w:t>,000</w:t>
            </w:r>
          </w:p>
        </w:tc>
        <w:tc>
          <w:tcPr>
            <w:tcW w:w="393" w:type="pct"/>
            <w:noWrap/>
            <w:vAlign w:val="center"/>
            <w:hideMark/>
          </w:tcPr>
          <w:p w14:paraId="723F13FD" w14:textId="2A4FD2AD" w:rsidR="00B23234" w:rsidRPr="00845FB7" w:rsidRDefault="00B23234" w:rsidP="00B2323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BC54FE" w:rsidRPr="00845FB7">
              <w:rPr>
                <w:rFonts w:eastAsia="Times New Roman" w:cstheme="majorBidi"/>
                <w:b/>
                <w:bCs/>
                <w:color w:val="000000"/>
                <w:sz w:val="16"/>
                <w:szCs w:val="16"/>
                <w:lang w:val="en-GB"/>
              </w:rPr>
              <w:t>115</w:t>
            </w:r>
            <w:r w:rsidRPr="00845FB7">
              <w:rPr>
                <w:rFonts w:eastAsia="Times New Roman" w:cstheme="majorBidi"/>
                <w:b/>
                <w:bCs/>
                <w:color w:val="000000"/>
                <w:sz w:val="16"/>
                <w:szCs w:val="16"/>
                <w:lang w:val="en-GB"/>
              </w:rPr>
              <w:t>,000</w:t>
            </w:r>
          </w:p>
        </w:tc>
        <w:tc>
          <w:tcPr>
            <w:tcW w:w="246" w:type="pct"/>
            <w:noWrap/>
            <w:vAlign w:val="center"/>
            <w:hideMark/>
          </w:tcPr>
          <w:p w14:paraId="78EECBA4" w14:textId="17B85481" w:rsidR="00B23234" w:rsidRPr="00845FB7" w:rsidRDefault="00B23234" w:rsidP="00B23234">
            <w:pPr>
              <w:spacing w:after="0" w:line="240" w:lineRule="auto"/>
              <w:contextualSpacing/>
              <w:jc w:val="right"/>
              <w:rPr>
                <w:rFonts w:eastAsia="Times New Roman" w:cstheme="majorBidi"/>
                <w:color w:val="000000"/>
                <w:sz w:val="16"/>
                <w:szCs w:val="16"/>
                <w:lang w:val="en-GB"/>
              </w:rPr>
            </w:pPr>
          </w:p>
        </w:tc>
        <w:tc>
          <w:tcPr>
            <w:tcW w:w="393" w:type="pct"/>
            <w:noWrap/>
            <w:vAlign w:val="center"/>
            <w:hideMark/>
          </w:tcPr>
          <w:p w14:paraId="7C0757B9" w14:textId="33FF5DFD" w:rsidR="00B23234" w:rsidRPr="00845FB7" w:rsidRDefault="00A74678" w:rsidP="00B2323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B3161F" w:rsidRPr="00845FB7">
              <w:rPr>
                <w:rFonts w:eastAsia="Times New Roman" w:cstheme="majorBidi"/>
                <w:b/>
                <w:bCs/>
                <w:color w:val="000000"/>
                <w:sz w:val="16"/>
                <w:szCs w:val="16"/>
                <w:lang w:val="en-GB"/>
              </w:rPr>
              <w:t>195,000</w:t>
            </w:r>
          </w:p>
        </w:tc>
        <w:tc>
          <w:tcPr>
            <w:tcW w:w="393" w:type="pct"/>
            <w:noWrap/>
            <w:vAlign w:val="center"/>
            <w:hideMark/>
          </w:tcPr>
          <w:p w14:paraId="40BD4BDE" w14:textId="3C6A8137" w:rsidR="00B23234" w:rsidRPr="00845FB7" w:rsidRDefault="00B3161F" w:rsidP="00B2323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1,195,000</w:t>
            </w:r>
          </w:p>
        </w:tc>
        <w:tc>
          <w:tcPr>
            <w:tcW w:w="280" w:type="pct"/>
            <w:noWrap/>
            <w:vAlign w:val="center"/>
            <w:hideMark/>
          </w:tcPr>
          <w:p w14:paraId="391460A3" w14:textId="158E89CB" w:rsidR="00B23234" w:rsidRPr="00845FB7" w:rsidRDefault="00B23234" w:rsidP="00B23234">
            <w:pPr>
              <w:spacing w:after="0" w:line="240" w:lineRule="auto"/>
              <w:contextualSpacing/>
              <w:jc w:val="right"/>
              <w:rPr>
                <w:rFonts w:eastAsia="Times New Roman" w:cstheme="majorBidi"/>
                <w:color w:val="000000"/>
                <w:sz w:val="16"/>
                <w:szCs w:val="16"/>
                <w:lang w:val="en-GB"/>
              </w:rPr>
            </w:pPr>
          </w:p>
        </w:tc>
        <w:tc>
          <w:tcPr>
            <w:tcW w:w="359" w:type="pct"/>
            <w:noWrap/>
            <w:vAlign w:val="center"/>
            <w:hideMark/>
          </w:tcPr>
          <w:p w14:paraId="5DCC10A6" w14:textId="6F649777" w:rsidR="00B23234" w:rsidRPr="00845FB7" w:rsidRDefault="00B23234" w:rsidP="00B2323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FE3AA2" w:rsidRPr="00845FB7">
              <w:rPr>
                <w:rFonts w:eastAsia="Times New Roman" w:cstheme="majorBidi"/>
                <w:b/>
                <w:bCs/>
                <w:color w:val="000000"/>
                <w:sz w:val="16"/>
                <w:szCs w:val="16"/>
                <w:lang w:val="en-GB"/>
              </w:rPr>
              <w:t>045</w:t>
            </w:r>
            <w:r w:rsidRPr="00845FB7">
              <w:rPr>
                <w:rFonts w:eastAsia="Times New Roman" w:cstheme="majorBidi"/>
                <w:b/>
                <w:bCs/>
                <w:color w:val="000000"/>
                <w:sz w:val="16"/>
                <w:szCs w:val="16"/>
                <w:lang w:val="en-GB"/>
              </w:rPr>
              <w:t>,000</w:t>
            </w:r>
          </w:p>
        </w:tc>
        <w:tc>
          <w:tcPr>
            <w:tcW w:w="394" w:type="pct"/>
            <w:noWrap/>
            <w:vAlign w:val="center"/>
            <w:hideMark/>
          </w:tcPr>
          <w:p w14:paraId="78A79C6C" w14:textId="728B3B96" w:rsidR="00B23234" w:rsidRPr="00845FB7" w:rsidRDefault="00B23234" w:rsidP="00B23234">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w:t>
            </w:r>
            <w:r w:rsidR="00FE3AA2" w:rsidRPr="00845FB7">
              <w:rPr>
                <w:rFonts w:eastAsia="Times New Roman" w:cstheme="majorBidi"/>
                <w:b/>
                <w:bCs/>
                <w:color w:val="000000"/>
                <w:sz w:val="16"/>
                <w:szCs w:val="16"/>
                <w:lang w:val="en-GB"/>
              </w:rPr>
              <w:t>045</w:t>
            </w:r>
            <w:r w:rsidRPr="00845FB7">
              <w:rPr>
                <w:rFonts w:eastAsia="Times New Roman" w:cstheme="majorBidi"/>
                <w:b/>
                <w:bCs/>
                <w:color w:val="000000"/>
                <w:sz w:val="16"/>
                <w:szCs w:val="16"/>
                <w:lang w:val="en-GB"/>
              </w:rPr>
              <w:t>,000</w:t>
            </w:r>
          </w:p>
        </w:tc>
        <w:tc>
          <w:tcPr>
            <w:tcW w:w="252" w:type="pct"/>
            <w:noWrap/>
            <w:vAlign w:val="center"/>
          </w:tcPr>
          <w:p w14:paraId="5128DF8F" w14:textId="1848FBAD" w:rsidR="00B23234" w:rsidRPr="00845FB7" w:rsidRDefault="00B23234" w:rsidP="00B23234">
            <w:pPr>
              <w:spacing w:after="0" w:line="240" w:lineRule="auto"/>
              <w:contextualSpacing/>
              <w:jc w:val="right"/>
              <w:rPr>
                <w:rFonts w:eastAsia="Times New Roman" w:cstheme="majorBidi"/>
                <w:color w:val="000000"/>
                <w:sz w:val="16"/>
                <w:szCs w:val="16"/>
                <w:lang w:val="en-GB"/>
              </w:rPr>
            </w:pPr>
          </w:p>
        </w:tc>
        <w:tc>
          <w:tcPr>
            <w:tcW w:w="335" w:type="pct"/>
            <w:noWrap/>
            <w:vAlign w:val="center"/>
            <w:hideMark/>
          </w:tcPr>
          <w:p w14:paraId="28154266" w14:textId="28D1638A" w:rsidR="00B23234" w:rsidRPr="00845FB7" w:rsidRDefault="00B23234" w:rsidP="00B23234">
            <w:pPr>
              <w:spacing w:after="0" w:line="240" w:lineRule="auto"/>
              <w:contextualSpacing/>
              <w:jc w:val="right"/>
              <w:rPr>
                <w:rFonts w:eastAsia="Times New Roman" w:cstheme="majorBidi"/>
                <w:b/>
                <w:bCs/>
                <w:color w:val="000000"/>
                <w:sz w:val="16"/>
                <w:szCs w:val="16"/>
                <w:lang w:val="en-GB"/>
              </w:rPr>
            </w:pPr>
            <w:r w:rsidRPr="00845FB7">
              <w:rPr>
                <w:rFonts w:cstheme="majorBidi"/>
                <w:b/>
                <w:bCs/>
                <w:color w:val="000000"/>
                <w:sz w:val="16"/>
                <w:szCs w:val="16"/>
                <w:lang w:val="en-GB"/>
              </w:rPr>
              <w:t>8</w:t>
            </w:r>
            <w:r w:rsidR="00572622" w:rsidRPr="00845FB7">
              <w:rPr>
                <w:rFonts w:cstheme="majorBidi"/>
                <w:b/>
                <w:bCs/>
                <w:color w:val="000000"/>
                <w:sz w:val="16"/>
                <w:szCs w:val="16"/>
                <w:lang w:val="en-GB"/>
              </w:rPr>
              <w:t>9</w:t>
            </w:r>
            <w:r w:rsidRPr="00845FB7">
              <w:rPr>
                <w:rFonts w:cstheme="majorBidi"/>
                <w:b/>
                <w:bCs/>
                <w:color w:val="000000"/>
                <w:sz w:val="16"/>
                <w:szCs w:val="16"/>
                <w:lang w:val="en-GB"/>
              </w:rPr>
              <w:t>5,000</w:t>
            </w:r>
          </w:p>
        </w:tc>
        <w:tc>
          <w:tcPr>
            <w:tcW w:w="334" w:type="pct"/>
            <w:noWrap/>
            <w:vAlign w:val="center"/>
            <w:hideMark/>
          </w:tcPr>
          <w:p w14:paraId="52A1078A" w14:textId="25075567" w:rsidR="00B23234" w:rsidRPr="00845FB7" w:rsidRDefault="00B23234" w:rsidP="00B23234">
            <w:pPr>
              <w:spacing w:after="0" w:line="240" w:lineRule="auto"/>
              <w:contextualSpacing/>
              <w:jc w:val="right"/>
              <w:rPr>
                <w:rFonts w:eastAsia="Times New Roman" w:cstheme="majorBidi"/>
                <w:b/>
                <w:bCs/>
                <w:color w:val="000000"/>
                <w:sz w:val="16"/>
                <w:szCs w:val="16"/>
                <w:lang w:val="en-GB"/>
              </w:rPr>
            </w:pPr>
            <w:r w:rsidRPr="00845FB7">
              <w:rPr>
                <w:rFonts w:cstheme="majorBidi"/>
                <w:b/>
                <w:bCs/>
                <w:color w:val="000000"/>
                <w:sz w:val="16"/>
                <w:szCs w:val="16"/>
                <w:lang w:val="en-GB"/>
              </w:rPr>
              <w:t>8</w:t>
            </w:r>
            <w:r w:rsidR="00572622" w:rsidRPr="00845FB7">
              <w:rPr>
                <w:rFonts w:cstheme="majorBidi"/>
                <w:b/>
                <w:bCs/>
                <w:color w:val="000000"/>
                <w:sz w:val="16"/>
                <w:szCs w:val="16"/>
                <w:lang w:val="en-GB"/>
              </w:rPr>
              <w:t>9</w:t>
            </w:r>
            <w:r w:rsidRPr="00845FB7">
              <w:rPr>
                <w:rFonts w:cstheme="majorBidi"/>
                <w:b/>
                <w:bCs/>
                <w:color w:val="000000"/>
                <w:sz w:val="16"/>
                <w:szCs w:val="16"/>
                <w:lang w:val="en-GB"/>
              </w:rPr>
              <w:t>5,000</w:t>
            </w:r>
          </w:p>
        </w:tc>
      </w:tr>
    </w:tbl>
    <w:p w14:paraId="0B138AA4" w14:textId="36DE8E35" w:rsidR="00AC3774" w:rsidRPr="00845FB7" w:rsidRDefault="00A90295" w:rsidP="00BD36F8">
      <w:pPr>
        <w:pStyle w:val="Heading3"/>
        <w:rPr>
          <w:bCs/>
          <w:sz w:val="24"/>
          <w:lang w:val="en-GB"/>
        </w:rPr>
      </w:pPr>
      <w:r w:rsidRPr="00845FB7">
        <w:rPr>
          <w:bCs/>
          <w:sz w:val="24"/>
          <w:lang w:val="en-GB"/>
        </w:rPr>
        <w:t>Resour</w:t>
      </w:r>
      <w:r w:rsidR="0042555E" w:rsidRPr="00845FB7">
        <w:rPr>
          <w:bCs/>
          <w:sz w:val="24"/>
          <w:lang w:val="en-GB"/>
        </w:rPr>
        <w:t xml:space="preserve">ces </w:t>
      </w:r>
      <w:r w:rsidR="00826417">
        <w:rPr>
          <w:sz w:val="24"/>
          <w:lang w:val="en-GB"/>
        </w:rPr>
        <w:t>r</w:t>
      </w:r>
      <w:r w:rsidR="0042555E" w:rsidRPr="00845FB7">
        <w:rPr>
          <w:sz w:val="24"/>
          <w:lang w:val="en-GB"/>
        </w:rPr>
        <w:t>equirement</w:t>
      </w:r>
      <w:r w:rsidR="000A5D1F" w:rsidRPr="00845FB7">
        <w:rPr>
          <w:sz w:val="24"/>
          <w:lang w:val="en-GB"/>
        </w:rPr>
        <w:t>s</w:t>
      </w:r>
    </w:p>
    <w:p w14:paraId="7FF8E860" w14:textId="66B1DF91" w:rsidR="007853FE" w:rsidRPr="00845FB7" w:rsidRDefault="007853FE">
      <w:pPr>
        <w:jc w:val="left"/>
        <w:rPr>
          <w:rFonts w:eastAsiaTheme="majorEastAsia" w:cstheme="majorBidi"/>
          <w:bCs/>
          <w:sz w:val="22"/>
          <w:szCs w:val="24"/>
          <w:lang w:val="en-GB"/>
          <w14:textOutline w14:w="9525" w14:cap="rnd" w14:cmpd="sng" w14:algn="ctr">
            <w14:noFill/>
            <w14:prstDash w14:val="solid"/>
            <w14:bevel/>
          </w14:textOutline>
        </w:rPr>
      </w:pPr>
      <w:r w:rsidRPr="00845FB7">
        <w:rPr>
          <w:b/>
          <w:bCs/>
          <w:sz w:val="22"/>
          <w:lang w:val="en-GB"/>
        </w:rPr>
        <w:br w:type="page"/>
      </w:r>
    </w:p>
    <w:p w14:paraId="5BA12E7F" w14:textId="7FC692C1" w:rsidR="003D44DB" w:rsidRPr="00845FB7" w:rsidRDefault="003D44DB" w:rsidP="00BD36F8">
      <w:pPr>
        <w:pStyle w:val="Heading3"/>
        <w:rPr>
          <w:bCs/>
          <w:sz w:val="24"/>
          <w:lang w:val="en-GB"/>
        </w:rPr>
      </w:pPr>
      <w:r w:rsidRPr="00845FB7">
        <w:rPr>
          <w:bCs/>
          <w:sz w:val="24"/>
          <w:lang w:val="en-GB"/>
        </w:rPr>
        <w:lastRenderedPageBreak/>
        <w:t xml:space="preserve">Overview of </w:t>
      </w:r>
      <w:r w:rsidRPr="00845FB7">
        <w:rPr>
          <w:sz w:val="24"/>
          <w:lang w:val="en-GB"/>
        </w:rPr>
        <w:t>resources</w:t>
      </w:r>
    </w:p>
    <w:tbl>
      <w:tblPr>
        <w:tblStyle w:val="TableGridLight"/>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5"/>
        <w:gridCol w:w="1985"/>
        <w:gridCol w:w="1985"/>
      </w:tblGrid>
      <w:tr w:rsidR="00E656DD" w:rsidRPr="00845FB7" w14:paraId="19437DA5" w14:textId="77777777" w:rsidTr="00BD36F8">
        <w:trPr>
          <w:trHeight w:val="340"/>
        </w:trPr>
        <w:tc>
          <w:tcPr>
            <w:tcW w:w="4531" w:type="dxa"/>
            <w:noWrap/>
            <w:hideMark/>
          </w:tcPr>
          <w:p w14:paraId="4D9EE8C0" w14:textId="77777777" w:rsidR="00091665" w:rsidRPr="00845FB7" w:rsidRDefault="00091665" w:rsidP="003F6754">
            <w:pPr>
              <w:contextualSpacing/>
              <w:rPr>
                <w:rFonts w:cstheme="majorBidi"/>
                <w:b/>
                <w:bCs/>
                <w:sz w:val="18"/>
                <w:szCs w:val="18"/>
                <w:lang w:val="en-GB"/>
              </w:rPr>
            </w:pPr>
            <w:r w:rsidRPr="00845FB7">
              <w:rPr>
                <w:rFonts w:cstheme="majorBidi"/>
                <w:b/>
                <w:bCs/>
                <w:sz w:val="18"/>
                <w:szCs w:val="18"/>
                <w:lang w:val="en-GB"/>
              </w:rPr>
              <w:t>Budget</w:t>
            </w:r>
          </w:p>
        </w:tc>
        <w:tc>
          <w:tcPr>
            <w:tcW w:w="1985" w:type="dxa"/>
            <w:hideMark/>
          </w:tcPr>
          <w:p w14:paraId="6453F4ED" w14:textId="4650A351" w:rsidR="00091665" w:rsidRPr="00845FB7" w:rsidRDefault="00091665" w:rsidP="00E656DD">
            <w:pPr>
              <w:contextualSpacing/>
              <w:jc w:val="center"/>
              <w:rPr>
                <w:rFonts w:cstheme="majorBidi"/>
                <w:b/>
                <w:bCs/>
                <w:sz w:val="18"/>
                <w:szCs w:val="18"/>
                <w:lang w:val="en-GB"/>
              </w:rPr>
            </w:pPr>
            <w:r w:rsidRPr="00845FB7">
              <w:rPr>
                <w:rFonts w:cstheme="majorBidi"/>
                <w:b/>
                <w:bCs/>
                <w:sz w:val="18"/>
                <w:szCs w:val="18"/>
                <w:lang w:val="en-GB"/>
              </w:rPr>
              <w:t xml:space="preserve">General </w:t>
            </w:r>
            <w:r w:rsidR="006E4D2A" w:rsidRPr="00845FB7">
              <w:rPr>
                <w:rFonts w:cstheme="majorBidi"/>
                <w:b/>
                <w:bCs/>
                <w:sz w:val="18"/>
                <w:szCs w:val="18"/>
                <w:lang w:val="en-GB"/>
              </w:rPr>
              <w:t>t</w:t>
            </w:r>
            <w:r w:rsidRPr="00845FB7">
              <w:rPr>
                <w:rFonts w:cstheme="majorBidi"/>
                <w:b/>
                <w:bCs/>
                <w:sz w:val="18"/>
                <w:szCs w:val="18"/>
                <w:lang w:val="en-GB"/>
              </w:rPr>
              <w:t xml:space="preserve">rust </w:t>
            </w:r>
            <w:r w:rsidR="006E4D2A" w:rsidRPr="00845FB7">
              <w:rPr>
                <w:rFonts w:cstheme="majorBidi"/>
                <w:b/>
                <w:bCs/>
                <w:sz w:val="18"/>
                <w:szCs w:val="18"/>
                <w:lang w:val="en-GB"/>
              </w:rPr>
              <w:t>f</w:t>
            </w:r>
            <w:r w:rsidRPr="00845FB7">
              <w:rPr>
                <w:rFonts w:cstheme="majorBidi"/>
                <w:b/>
                <w:bCs/>
                <w:sz w:val="18"/>
                <w:szCs w:val="18"/>
                <w:lang w:val="en-GB"/>
              </w:rPr>
              <w:t>und</w:t>
            </w:r>
          </w:p>
        </w:tc>
        <w:tc>
          <w:tcPr>
            <w:tcW w:w="1985" w:type="dxa"/>
            <w:hideMark/>
          </w:tcPr>
          <w:p w14:paraId="03E80683" w14:textId="0EF606C6" w:rsidR="00091665" w:rsidRPr="00845FB7" w:rsidRDefault="00091665" w:rsidP="00E656DD">
            <w:pPr>
              <w:contextualSpacing/>
              <w:jc w:val="center"/>
              <w:rPr>
                <w:rFonts w:cstheme="majorBidi"/>
                <w:b/>
                <w:bCs/>
                <w:sz w:val="18"/>
                <w:szCs w:val="18"/>
                <w:lang w:val="en-GB"/>
              </w:rPr>
            </w:pPr>
            <w:r w:rsidRPr="00845FB7">
              <w:rPr>
                <w:rFonts w:cstheme="majorBidi"/>
                <w:b/>
                <w:bCs/>
                <w:sz w:val="18"/>
                <w:szCs w:val="18"/>
                <w:lang w:val="en-GB"/>
              </w:rPr>
              <w:t xml:space="preserve">Special </w:t>
            </w:r>
            <w:r w:rsidR="006E4D2A" w:rsidRPr="00845FB7">
              <w:rPr>
                <w:rFonts w:cstheme="majorBidi"/>
                <w:b/>
                <w:bCs/>
                <w:sz w:val="18"/>
                <w:szCs w:val="18"/>
                <w:lang w:val="en-GB"/>
              </w:rPr>
              <w:t>t</w:t>
            </w:r>
            <w:r w:rsidRPr="00845FB7">
              <w:rPr>
                <w:rFonts w:cstheme="majorBidi"/>
                <w:b/>
                <w:bCs/>
                <w:sz w:val="18"/>
                <w:szCs w:val="18"/>
                <w:lang w:val="en-GB"/>
              </w:rPr>
              <w:t xml:space="preserve">rust </w:t>
            </w:r>
            <w:r w:rsidR="006E4D2A" w:rsidRPr="00845FB7">
              <w:rPr>
                <w:rFonts w:cstheme="majorBidi"/>
                <w:b/>
                <w:bCs/>
                <w:sz w:val="18"/>
                <w:szCs w:val="18"/>
                <w:lang w:val="en-GB"/>
              </w:rPr>
              <w:t>f</w:t>
            </w:r>
            <w:r w:rsidRPr="00845FB7">
              <w:rPr>
                <w:rFonts w:cstheme="majorBidi"/>
                <w:b/>
                <w:bCs/>
                <w:sz w:val="18"/>
                <w:szCs w:val="18"/>
                <w:lang w:val="en-GB"/>
              </w:rPr>
              <w:t>und</w:t>
            </w:r>
          </w:p>
        </w:tc>
        <w:tc>
          <w:tcPr>
            <w:tcW w:w="1985" w:type="dxa"/>
            <w:hideMark/>
          </w:tcPr>
          <w:p w14:paraId="774E7DF8" w14:textId="48273161" w:rsidR="00091665" w:rsidRPr="00845FB7" w:rsidRDefault="00091665" w:rsidP="00E656DD">
            <w:pPr>
              <w:contextualSpacing/>
              <w:jc w:val="center"/>
              <w:rPr>
                <w:rFonts w:cstheme="majorBidi"/>
                <w:b/>
                <w:bCs/>
                <w:sz w:val="18"/>
                <w:szCs w:val="18"/>
                <w:lang w:val="en-GB"/>
              </w:rPr>
            </w:pPr>
            <w:r w:rsidRPr="00845FB7">
              <w:rPr>
                <w:rFonts w:cstheme="majorBidi"/>
                <w:b/>
                <w:bCs/>
                <w:sz w:val="18"/>
                <w:szCs w:val="18"/>
                <w:lang w:val="en-GB"/>
              </w:rPr>
              <w:t xml:space="preserve">Total </w:t>
            </w:r>
            <w:r w:rsidR="00245B85" w:rsidRPr="00845FB7">
              <w:rPr>
                <w:rFonts w:cstheme="majorBidi"/>
                <w:b/>
                <w:bCs/>
                <w:sz w:val="18"/>
                <w:szCs w:val="18"/>
                <w:lang w:val="en-GB"/>
              </w:rPr>
              <w:t>c</w:t>
            </w:r>
            <w:r w:rsidRPr="00845FB7">
              <w:rPr>
                <w:rFonts w:cstheme="majorBidi"/>
                <w:b/>
                <w:bCs/>
                <w:sz w:val="18"/>
                <w:szCs w:val="18"/>
                <w:lang w:val="en-GB"/>
              </w:rPr>
              <w:t>ontribution</w:t>
            </w:r>
          </w:p>
        </w:tc>
      </w:tr>
      <w:tr w:rsidR="00D54364" w:rsidRPr="00845FB7" w14:paraId="1C922904" w14:textId="77777777" w:rsidTr="00BD36F8">
        <w:trPr>
          <w:trHeight w:val="340"/>
        </w:trPr>
        <w:tc>
          <w:tcPr>
            <w:tcW w:w="4531" w:type="dxa"/>
            <w:noWrap/>
            <w:hideMark/>
          </w:tcPr>
          <w:p w14:paraId="4D37E1CE" w14:textId="589A13C9" w:rsidR="00091665" w:rsidRPr="00845FB7" w:rsidRDefault="00091665" w:rsidP="00970072">
            <w:pPr>
              <w:jc w:val="left"/>
              <w:rPr>
                <w:rFonts w:cstheme="majorBidi"/>
                <w:sz w:val="18"/>
                <w:szCs w:val="18"/>
                <w:lang w:val="en-GB"/>
              </w:rPr>
            </w:pPr>
            <w:r w:rsidRPr="00845FB7">
              <w:rPr>
                <w:rFonts w:cstheme="majorBidi"/>
                <w:sz w:val="18"/>
                <w:szCs w:val="18"/>
                <w:lang w:val="en-GB"/>
              </w:rPr>
              <w:t>202</w:t>
            </w:r>
            <w:r w:rsidR="00572622" w:rsidRPr="00845FB7">
              <w:rPr>
                <w:rFonts w:cstheme="majorBidi"/>
                <w:sz w:val="18"/>
                <w:szCs w:val="18"/>
                <w:lang w:val="en-GB"/>
              </w:rPr>
              <w:t>4</w:t>
            </w:r>
            <w:r w:rsidRPr="00845FB7">
              <w:rPr>
                <w:rFonts w:cstheme="majorBidi"/>
                <w:sz w:val="18"/>
                <w:szCs w:val="18"/>
                <w:lang w:val="en-GB"/>
              </w:rPr>
              <w:t>-202</w:t>
            </w:r>
            <w:r w:rsidR="00572622" w:rsidRPr="00845FB7">
              <w:rPr>
                <w:rFonts w:cstheme="majorBidi"/>
                <w:sz w:val="18"/>
                <w:szCs w:val="18"/>
                <w:lang w:val="en-GB"/>
              </w:rPr>
              <w:t>5</w:t>
            </w:r>
            <w:r w:rsidRPr="00845FB7">
              <w:rPr>
                <w:rFonts w:cstheme="majorBidi"/>
                <w:sz w:val="18"/>
                <w:szCs w:val="18"/>
                <w:lang w:val="en-GB"/>
              </w:rPr>
              <w:t xml:space="preserve"> approved</w:t>
            </w:r>
          </w:p>
        </w:tc>
        <w:tc>
          <w:tcPr>
            <w:tcW w:w="1985" w:type="dxa"/>
            <w:noWrap/>
          </w:tcPr>
          <w:p w14:paraId="73DE84E2" w14:textId="075D2E6B" w:rsidR="00091665" w:rsidRPr="00845FB7" w:rsidRDefault="00091665" w:rsidP="00970072">
            <w:pPr>
              <w:jc w:val="right"/>
              <w:rPr>
                <w:rFonts w:cstheme="majorBidi"/>
                <w:b/>
                <w:bCs/>
                <w:sz w:val="18"/>
                <w:szCs w:val="18"/>
                <w:lang w:val="en-GB"/>
              </w:rPr>
            </w:pPr>
            <w:r w:rsidRPr="00845FB7">
              <w:rPr>
                <w:rFonts w:cstheme="majorBidi"/>
                <w:b/>
                <w:bCs/>
                <w:sz w:val="18"/>
                <w:szCs w:val="18"/>
                <w:lang w:val="en-GB"/>
              </w:rPr>
              <w:t>1,</w:t>
            </w:r>
            <w:r w:rsidR="00196DEF" w:rsidRPr="00845FB7">
              <w:rPr>
                <w:rFonts w:cstheme="majorBidi"/>
                <w:b/>
                <w:bCs/>
                <w:sz w:val="18"/>
                <w:szCs w:val="18"/>
                <w:lang w:val="en-GB"/>
              </w:rPr>
              <w:t>1</w:t>
            </w:r>
            <w:r w:rsidR="008D40A4" w:rsidRPr="00845FB7">
              <w:rPr>
                <w:rFonts w:cstheme="majorBidi"/>
                <w:b/>
                <w:bCs/>
                <w:sz w:val="18"/>
                <w:szCs w:val="18"/>
                <w:lang w:val="en-GB"/>
              </w:rPr>
              <w:t>42</w:t>
            </w:r>
            <w:r w:rsidR="00677EAF" w:rsidRPr="00845FB7">
              <w:rPr>
                <w:rFonts w:cstheme="majorBidi"/>
                <w:b/>
                <w:bCs/>
                <w:sz w:val="18"/>
                <w:szCs w:val="18"/>
                <w:lang w:val="en-GB"/>
              </w:rPr>
              <w:t>,</w:t>
            </w:r>
            <w:r w:rsidR="008D40A4" w:rsidRPr="00845FB7">
              <w:rPr>
                <w:rFonts w:cstheme="majorBidi"/>
                <w:b/>
                <w:bCs/>
                <w:sz w:val="18"/>
                <w:szCs w:val="18"/>
                <w:lang w:val="en-GB"/>
              </w:rPr>
              <w:t>0</w:t>
            </w:r>
            <w:r w:rsidR="00677EAF" w:rsidRPr="00845FB7">
              <w:rPr>
                <w:rFonts w:cstheme="majorBidi"/>
                <w:b/>
                <w:bCs/>
                <w:sz w:val="18"/>
                <w:szCs w:val="18"/>
                <w:lang w:val="en-GB"/>
              </w:rPr>
              <w:t>00</w:t>
            </w:r>
          </w:p>
        </w:tc>
        <w:tc>
          <w:tcPr>
            <w:tcW w:w="1985" w:type="dxa"/>
            <w:noWrap/>
          </w:tcPr>
          <w:p w14:paraId="3A9CC544" w14:textId="6D63E518" w:rsidR="00091665" w:rsidRPr="00845FB7" w:rsidRDefault="008D40A4" w:rsidP="00970072">
            <w:pPr>
              <w:jc w:val="right"/>
              <w:rPr>
                <w:rFonts w:cstheme="majorBidi"/>
                <w:b/>
                <w:bCs/>
                <w:sz w:val="18"/>
                <w:szCs w:val="18"/>
                <w:lang w:val="en-GB"/>
              </w:rPr>
            </w:pPr>
            <w:r w:rsidRPr="00845FB7">
              <w:rPr>
                <w:rFonts w:cstheme="majorBidi"/>
                <w:b/>
                <w:bCs/>
                <w:sz w:val="18"/>
                <w:szCs w:val="18"/>
                <w:lang w:val="en-GB"/>
              </w:rPr>
              <w:t>845</w:t>
            </w:r>
            <w:r w:rsidR="00FA3A3A" w:rsidRPr="00845FB7">
              <w:rPr>
                <w:rFonts w:cstheme="majorBidi"/>
                <w:b/>
                <w:bCs/>
                <w:sz w:val="18"/>
                <w:szCs w:val="18"/>
                <w:lang w:val="en-GB"/>
              </w:rPr>
              <w:t>,000</w:t>
            </w:r>
          </w:p>
        </w:tc>
        <w:tc>
          <w:tcPr>
            <w:tcW w:w="1985" w:type="dxa"/>
            <w:noWrap/>
          </w:tcPr>
          <w:p w14:paraId="2B48A296" w14:textId="0E086F36" w:rsidR="00091665" w:rsidRPr="00845FB7" w:rsidRDefault="00B652D8" w:rsidP="00970072">
            <w:pPr>
              <w:jc w:val="right"/>
              <w:rPr>
                <w:rFonts w:cstheme="majorBidi"/>
                <w:b/>
                <w:bCs/>
                <w:sz w:val="18"/>
                <w:szCs w:val="18"/>
                <w:lang w:val="en-GB"/>
              </w:rPr>
            </w:pPr>
            <w:r w:rsidRPr="00845FB7">
              <w:rPr>
                <w:rFonts w:cstheme="majorBidi"/>
                <w:b/>
                <w:bCs/>
                <w:sz w:val="18"/>
                <w:szCs w:val="18"/>
                <w:lang w:val="en-GB"/>
              </w:rPr>
              <w:t>1,987,000</w:t>
            </w:r>
          </w:p>
        </w:tc>
      </w:tr>
      <w:tr w:rsidR="00D54364" w:rsidRPr="00845FB7" w14:paraId="2920B757" w14:textId="77777777" w:rsidTr="00BD36F8">
        <w:trPr>
          <w:trHeight w:val="340"/>
        </w:trPr>
        <w:tc>
          <w:tcPr>
            <w:tcW w:w="4531" w:type="dxa"/>
            <w:hideMark/>
          </w:tcPr>
          <w:p w14:paraId="2E3C2DBC" w14:textId="4B76FFEC" w:rsidR="00091665" w:rsidRPr="00845FB7" w:rsidRDefault="00E2051A" w:rsidP="00970072">
            <w:pPr>
              <w:jc w:val="left"/>
              <w:rPr>
                <w:rFonts w:cstheme="majorBidi"/>
                <w:sz w:val="18"/>
                <w:szCs w:val="18"/>
                <w:lang w:val="en-GB"/>
              </w:rPr>
            </w:pPr>
            <w:r w:rsidRPr="00845FB7">
              <w:rPr>
                <w:rFonts w:cstheme="majorBidi"/>
                <w:sz w:val="18"/>
                <w:szCs w:val="18"/>
                <w:lang w:val="en-GB"/>
              </w:rPr>
              <w:t>2026–2027</w:t>
            </w:r>
            <w:r w:rsidR="00091665" w:rsidRPr="00845FB7">
              <w:rPr>
                <w:rFonts w:cstheme="majorBidi"/>
                <w:sz w:val="18"/>
                <w:szCs w:val="18"/>
                <w:lang w:val="en-GB"/>
              </w:rPr>
              <w:t xml:space="preserve"> requested in </w:t>
            </w:r>
            <w:r w:rsidR="0030744E" w:rsidRPr="00845FB7">
              <w:rPr>
                <w:rFonts w:cstheme="majorBidi"/>
                <w:sz w:val="18"/>
                <w:szCs w:val="18"/>
                <w:lang w:val="en-GB"/>
              </w:rPr>
              <w:t xml:space="preserve">the </w:t>
            </w:r>
            <w:r w:rsidR="00091665" w:rsidRPr="00845FB7">
              <w:rPr>
                <w:rFonts w:cstheme="majorBidi"/>
                <w:sz w:val="18"/>
                <w:szCs w:val="18"/>
                <w:lang w:val="en-GB"/>
              </w:rPr>
              <w:t>5</w:t>
            </w:r>
            <w:r w:rsidR="00D71417" w:rsidRPr="00845FB7">
              <w:rPr>
                <w:rFonts w:cstheme="majorBidi"/>
                <w:sz w:val="18"/>
                <w:szCs w:val="18"/>
                <w:lang w:val="en-GB"/>
              </w:rPr>
              <w:t xml:space="preserve"> per cent</w:t>
            </w:r>
            <w:r w:rsidR="00091665" w:rsidRPr="00845FB7">
              <w:rPr>
                <w:rFonts w:cstheme="majorBidi"/>
                <w:sz w:val="18"/>
                <w:szCs w:val="18"/>
                <w:lang w:val="en-GB"/>
              </w:rPr>
              <w:t xml:space="preserve"> scenario</w:t>
            </w:r>
          </w:p>
        </w:tc>
        <w:tc>
          <w:tcPr>
            <w:tcW w:w="1985" w:type="dxa"/>
            <w:noWrap/>
          </w:tcPr>
          <w:p w14:paraId="55B35060" w14:textId="3E088260" w:rsidR="00091665" w:rsidRPr="00845FB7" w:rsidRDefault="00091665" w:rsidP="00970072">
            <w:pPr>
              <w:jc w:val="right"/>
              <w:rPr>
                <w:rFonts w:cstheme="majorBidi"/>
                <w:b/>
                <w:bCs/>
                <w:sz w:val="18"/>
                <w:szCs w:val="18"/>
                <w:lang w:val="en-GB"/>
              </w:rPr>
            </w:pPr>
            <w:r w:rsidRPr="00845FB7">
              <w:rPr>
                <w:rFonts w:cstheme="majorBidi"/>
                <w:b/>
                <w:bCs/>
                <w:sz w:val="18"/>
                <w:szCs w:val="18"/>
                <w:lang w:val="en-GB"/>
              </w:rPr>
              <w:t>1,</w:t>
            </w:r>
            <w:r w:rsidR="00827D67" w:rsidRPr="00845FB7">
              <w:rPr>
                <w:rFonts w:cstheme="majorBidi"/>
                <w:b/>
                <w:bCs/>
                <w:sz w:val="18"/>
                <w:szCs w:val="18"/>
                <w:lang w:val="en-GB"/>
              </w:rPr>
              <w:t>1</w:t>
            </w:r>
            <w:r w:rsidR="00606C9C" w:rsidRPr="00845FB7">
              <w:rPr>
                <w:rFonts w:cstheme="majorBidi"/>
                <w:b/>
                <w:bCs/>
                <w:sz w:val="18"/>
                <w:szCs w:val="18"/>
                <w:lang w:val="en-GB"/>
              </w:rPr>
              <w:t>15</w:t>
            </w:r>
            <w:r w:rsidRPr="00845FB7">
              <w:rPr>
                <w:rFonts w:cstheme="majorBidi"/>
                <w:b/>
                <w:bCs/>
                <w:sz w:val="18"/>
                <w:szCs w:val="18"/>
                <w:lang w:val="en-GB"/>
              </w:rPr>
              <w:t>,000</w:t>
            </w:r>
          </w:p>
        </w:tc>
        <w:tc>
          <w:tcPr>
            <w:tcW w:w="1985" w:type="dxa"/>
            <w:noWrap/>
          </w:tcPr>
          <w:p w14:paraId="5B1F4CDD" w14:textId="001A76C4" w:rsidR="00091665" w:rsidRPr="00845FB7" w:rsidRDefault="003B4822" w:rsidP="00970072">
            <w:pPr>
              <w:jc w:val="right"/>
              <w:rPr>
                <w:rFonts w:cstheme="majorBidi"/>
                <w:b/>
                <w:bCs/>
                <w:sz w:val="18"/>
                <w:szCs w:val="18"/>
                <w:lang w:val="en-GB"/>
              </w:rPr>
            </w:pPr>
            <w:r w:rsidRPr="00845FB7">
              <w:rPr>
                <w:rFonts w:cstheme="majorBidi"/>
                <w:b/>
                <w:bCs/>
                <w:sz w:val="18"/>
                <w:szCs w:val="18"/>
                <w:lang w:val="en-GB"/>
              </w:rPr>
              <w:t>1,195,</w:t>
            </w:r>
            <w:r w:rsidR="00091665" w:rsidRPr="00845FB7">
              <w:rPr>
                <w:rFonts w:cstheme="majorBidi"/>
                <w:b/>
                <w:bCs/>
                <w:sz w:val="18"/>
                <w:szCs w:val="18"/>
                <w:lang w:val="en-GB"/>
              </w:rPr>
              <w:t>000</w:t>
            </w:r>
          </w:p>
        </w:tc>
        <w:tc>
          <w:tcPr>
            <w:tcW w:w="1985" w:type="dxa"/>
            <w:noWrap/>
          </w:tcPr>
          <w:p w14:paraId="5AD499E4" w14:textId="74EF4D38" w:rsidR="00091665" w:rsidRPr="00845FB7" w:rsidRDefault="00AC5590" w:rsidP="00970072">
            <w:pPr>
              <w:jc w:val="right"/>
              <w:rPr>
                <w:rFonts w:cstheme="majorBidi"/>
                <w:b/>
                <w:bCs/>
                <w:sz w:val="18"/>
                <w:szCs w:val="18"/>
                <w:lang w:val="en-GB"/>
              </w:rPr>
            </w:pPr>
            <w:r w:rsidRPr="00845FB7">
              <w:rPr>
                <w:rFonts w:cstheme="majorBidi"/>
                <w:b/>
                <w:bCs/>
                <w:sz w:val="18"/>
                <w:szCs w:val="18"/>
                <w:lang w:val="en-GB"/>
              </w:rPr>
              <w:t>2,310,000</w:t>
            </w:r>
          </w:p>
        </w:tc>
      </w:tr>
      <w:tr w:rsidR="00D54364" w:rsidRPr="00845FB7" w14:paraId="3CCD4B44" w14:textId="77777777" w:rsidTr="00BD36F8">
        <w:trPr>
          <w:trHeight w:val="340"/>
        </w:trPr>
        <w:tc>
          <w:tcPr>
            <w:tcW w:w="4531" w:type="dxa"/>
            <w:hideMark/>
          </w:tcPr>
          <w:p w14:paraId="67265394" w14:textId="00008563" w:rsidR="00091665" w:rsidRPr="00845FB7" w:rsidRDefault="00E2051A" w:rsidP="00970072">
            <w:pPr>
              <w:jc w:val="left"/>
              <w:rPr>
                <w:rFonts w:cstheme="majorBidi"/>
                <w:sz w:val="18"/>
                <w:szCs w:val="18"/>
                <w:lang w:val="en-GB"/>
              </w:rPr>
            </w:pPr>
            <w:r w:rsidRPr="00845FB7">
              <w:rPr>
                <w:rFonts w:cstheme="majorBidi"/>
                <w:sz w:val="18"/>
                <w:szCs w:val="18"/>
                <w:lang w:val="en-GB"/>
              </w:rPr>
              <w:t>2026–2027</w:t>
            </w:r>
            <w:r w:rsidR="00091665" w:rsidRPr="00845FB7">
              <w:rPr>
                <w:rFonts w:cstheme="majorBidi"/>
                <w:sz w:val="18"/>
                <w:szCs w:val="18"/>
                <w:lang w:val="en-GB"/>
              </w:rPr>
              <w:t xml:space="preserve"> requested in </w:t>
            </w:r>
            <w:r w:rsidR="00D71417" w:rsidRPr="00845FB7">
              <w:rPr>
                <w:rFonts w:cstheme="majorBidi"/>
                <w:sz w:val="18"/>
                <w:szCs w:val="18"/>
                <w:lang w:val="en-GB"/>
              </w:rPr>
              <w:t>the z</w:t>
            </w:r>
            <w:r w:rsidR="00091665" w:rsidRPr="00845FB7">
              <w:rPr>
                <w:rFonts w:cstheme="majorBidi"/>
                <w:sz w:val="18"/>
                <w:szCs w:val="18"/>
                <w:lang w:val="en-GB"/>
              </w:rPr>
              <w:t>ero nominal growth scenario</w:t>
            </w:r>
          </w:p>
        </w:tc>
        <w:tc>
          <w:tcPr>
            <w:tcW w:w="1985" w:type="dxa"/>
            <w:noWrap/>
          </w:tcPr>
          <w:p w14:paraId="44613FD7" w14:textId="3E2F8C29" w:rsidR="00091665" w:rsidRPr="00845FB7" w:rsidRDefault="00091665" w:rsidP="00970072">
            <w:pPr>
              <w:jc w:val="right"/>
              <w:rPr>
                <w:rFonts w:cstheme="majorBidi"/>
                <w:b/>
                <w:bCs/>
                <w:sz w:val="18"/>
                <w:szCs w:val="18"/>
                <w:lang w:val="en-GB"/>
              </w:rPr>
            </w:pPr>
            <w:r w:rsidRPr="00845FB7">
              <w:rPr>
                <w:rFonts w:cstheme="majorBidi"/>
                <w:b/>
                <w:bCs/>
                <w:sz w:val="18"/>
                <w:szCs w:val="18"/>
                <w:lang w:val="en-GB"/>
              </w:rPr>
              <w:t>1,</w:t>
            </w:r>
            <w:r w:rsidR="00303A40" w:rsidRPr="00845FB7">
              <w:rPr>
                <w:rFonts w:cstheme="majorBidi"/>
                <w:b/>
                <w:bCs/>
                <w:sz w:val="18"/>
                <w:szCs w:val="18"/>
                <w:lang w:val="en-GB"/>
              </w:rPr>
              <w:t>045</w:t>
            </w:r>
            <w:r w:rsidRPr="00845FB7">
              <w:rPr>
                <w:rFonts w:cstheme="majorBidi"/>
                <w:b/>
                <w:bCs/>
                <w:sz w:val="18"/>
                <w:szCs w:val="18"/>
                <w:lang w:val="en-GB"/>
              </w:rPr>
              <w:t>,000</w:t>
            </w:r>
          </w:p>
        </w:tc>
        <w:tc>
          <w:tcPr>
            <w:tcW w:w="1985" w:type="dxa"/>
            <w:noWrap/>
          </w:tcPr>
          <w:p w14:paraId="61DAE43C" w14:textId="28547C89" w:rsidR="00091665" w:rsidRPr="00845FB7" w:rsidRDefault="00091665" w:rsidP="00970072">
            <w:pPr>
              <w:jc w:val="right"/>
              <w:rPr>
                <w:rFonts w:cstheme="majorBidi"/>
                <w:b/>
                <w:bCs/>
                <w:sz w:val="18"/>
                <w:szCs w:val="18"/>
                <w:lang w:val="en-GB"/>
              </w:rPr>
            </w:pPr>
            <w:r w:rsidRPr="00845FB7">
              <w:rPr>
                <w:rFonts w:cstheme="majorBidi"/>
                <w:b/>
                <w:bCs/>
                <w:sz w:val="18"/>
                <w:szCs w:val="18"/>
                <w:lang w:val="en-GB"/>
              </w:rPr>
              <w:t>8</w:t>
            </w:r>
            <w:r w:rsidR="00290C5E" w:rsidRPr="00845FB7">
              <w:rPr>
                <w:rFonts w:cstheme="majorBidi"/>
                <w:b/>
                <w:bCs/>
                <w:sz w:val="18"/>
                <w:szCs w:val="18"/>
                <w:lang w:val="en-GB"/>
              </w:rPr>
              <w:t>9</w:t>
            </w:r>
            <w:r w:rsidRPr="00845FB7">
              <w:rPr>
                <w:rFonts w:cstheme="majorBidi"/>
                <w:b/>
                <w:bCs/>
                <w:sz w:val="18"/>
                <w:szCs w:val="18"/>
                <w:lang w:val="en-GB"/>
              </w:rPr>
              <w:t>5,000</w:t>
            </w:r>
          </w:p>
        </w:tc>
        <w:tc>
          <w:tcPr>
            <w:tcW w:w="1985" w:type="dxa"/>
            <w:noWrap/>
          </w:tcPr>
          <w:p w14:paraId="2572B66D" w14:textId="0A0CB1DA" w:rsidR="00091665" w:rsidRPr="00845FB7" w:rsidRDefault="00091665" w:rsidP="00970072">
            <w:pPr>
              <w:jc w:val="right"/>
              <w:rPr>
                <w:rFonts w:cstheme="majorBidi"/>
                <w:b/>
                <w:bCs/>
                <w:sz w:val="18"/>
                <w:szCs w:val="18"/>
                <w:lang w:val="en-GB"/>
              </w:rPr>
            </w:pPr>
            <w:r w:rsidRPr="00845FB7">
              <w:rPr>
                <w:rFonts w:cstheme="majorBidi"/>
                <w:b/>
                <w:bCs/>
                <w:sz w:val="18"/>
                <w:szCs w:val="18"/>
                <w:lang w:val="en-GB"/>
              </w:rPr>
              <w:t>1,</w:t>
            </w:r>
            <w:r w:rsidR="00DC5A3B" w:rsidRPr="00845FB7">
              <w:rPr>
                <w:rFonts w:cstheme="majorBidi"/>
                <w:b/>
                <w:bCs/>
                <w:sz w:val="18"/>
                <w:szCs w:val="18"/>
                <w:lang w:val="en-GB"/>
              </w:rPr>
              <w:t>9</w:t>
            </w:r>
            <w:r w:rsidR="00354ECB" w:rsidRPr="00845FB7">
              <w:rPr>
                <w:rFonts w:cstheme="majorBidi"/>
                <w:b/>
                <w:bCs/>
                <w:sz w:val="18"/>
                <w:szCs w:val="18"/>
                <w:lang w:val="en-GB"/>
              </w:rPr>
              <w:t>40</w:t>
            </w:r>
            <w:r w:rsidRPr="00845FB7">
              <w:rPr>
                <w:rFonts w:cstheme="majorBidi"/>
                <w:b/>
                <w:bCs/>
                <w:sz w:val="18"/>
                <w:szCs w:val="18"/>
                <w:lang w:val="en-GB"/>
              </w:rPr>
              <w:t>,000</w:t>
            </w:r>
          </w:p>
        </w:tc>
      </w:tr>
      <w:bookmarkEnd w:id="18"/>
    </w:tbl>
    <w:p w14:paraId="350C4EC2" w14:textId="2067316E" w:rsidR="006503D6" w:rsidRPr="00845FB7" w:rsidRDefault="006503D6" w:rsidP="00447D05">
      <w:pPr>
        <w:pStyle w:val="Heading2"/>
        <w:rPr>
          <w:color w:val="E8BC00"/>
          <w:lang w:val="en-GB"/>
        </w:rPr>
        <w:sectPr w:rsidR="006503D6" w:rsidRPr="00845FB7" w:rsidSect="00BD36F8">
          <w:headerReference w:type="default" r:id="rId23"/>
          <w:headerReference w:type="first" r:id="rId24"/>
          <w:type w:val="continuous"/>
          <w:pgSz w:w="16838" w:h="11906" w:orient="landscape" w:code="9"/>
          <w:pgMar w:top="907" w:right="992" w:bottom="1418" w:left="1418" w:header="539" w:footer="975" w:gutter="0"/>
          <w:cols w:space="708"/>
          <w:titlePg/>
          <w:docGrid w:linePitch="360"/>
        </w:sectPr>
      </w:pPr>
    </w:p>
    <w:p w14:paraId="5D8D98BC" w14:textId="29AB666B" w:rsidR="00E7714B" w:rsidRPr="00845FB7" w:rsidRDefault="00E7714B" w:rsidP="00BD36F8">
      <w:pPr>
        <w:pStyle w:val="Heading2"/>
        <w:spacing w:before="100" w:beforeAutospacing="1" w:line="240" w:lineRule="auto"/>
        <w:contextualSpacing/>
        <w:rPr>
          <w:rFonts w:cstheme="majorBidi"/>
          <w:color w:val="E8BC00"/>
          <w:sz w:val="36"/>
          <w:szCs w:val="36"/>
          <w:lang w:val="en-GB"/>
        </w:rPr>
      </w:pPr>
      <w:r w:rsidRPr="00845FB7">
        <w:rPr>
          <w:rFonts w:cstheme="majorBidi"/>
          <w:color w:val="E8BC00"/>
          <w:sz w:val="36"/>
          <w:szCs w:val="36"/>
          <w:lang w:val="en-GB"/>
        </w:rPr>
        <w:lastRenderedPageBreak/>
        <w:t xml:space="preserve">Activity </w:t>
      </w:r>
      <w:r w:rsidR="00D62E59" w:rsidRPr="00845FB7">
        <w:rPr>
          <w:rFonts w:cstheme="majorBidi"/>
          <w:color w:val="E8BC00"/>
          <w:sz w:val="36"/>
          <w:szCs w:val="36"/>
          <w:lang w:val="en-GB"/>
        </w:rPr>
        <w:t>2</w:t>
      </w:r>
      <w:r w:rsidRPr="00845FB7">
        <w:rPr>
          <w:rFonts w:cstheme="majorBidi"/>
          <w:color w:val="E8BC00"/>
          <w:sz w:val="36"/>
          <w:szCs w:val="36"/>
          <w:lang w:val="en-GB"/>
        </w:rPr>
        <w:t xml:space="preserve">. </w:t>
      </w:r>
      <w:r w:rsidR="00D62E59" w:rsidRPr="00845FB7">
        <w:rPr>
          <w:rFonts w:cstheme="majorBidi"/>
          <w:color w:val="E8BC00"/>
          <w:sz w:val="36"/>
          <w:szCs w:val="36"/>
          <w:lang w:val="en-GB"/>
        </w:rPr>
        <w:t>Bureau of the Conference of the Parties</w:t>
      </w:r>
    </w:p>
    <w:p w14:paraId="1B63AD77" w14:textId="04D711DF" w:rsidR="00447D05" w:rsidRPr="00845FB7" w:rsidRDefault="00447D05" w:rsidP="00447D05">
      <w:pPr>
        <w:pStyle w:val="Heading3"/>
        <w:rPr>
          <w:sz w:val="24"/>
          <w:lang w:val="en-GB"/>
        </w:rPr>
      </w:pPr>
      <w:r w:rsidRPr="00845FB7">
        <w:rPr>
          <w:sz w:val="24"/>
          <w:lang w:val="en-GB"/>
        </w:rPr>
        <w:t>Budget</w:t>
      </w:r>
    </w:p>
    <w:p w14:paraId="5A026620" w14:textId="74463984" w:rsidR="00447D05" w:rsidRPr="00845FB7" w:rsidRDefault="00447D05" w:rsidP="00BD36F8">
      <w:pPr>
        <w:spacing w:before="60" w:after="60"/>
        <w:rPr>
          <w:rFonts w:cstheme="majorBidi"/>
          <w:lang w:val="en-GB"/>
        </w:rPr>
      </w:pPr>
      <w:r w:rsidRPr="00845FB7">
        <w:rPr>
          <w:rFonts w:cstheme="majorBidi"/>
          <w:lang w:val="en-GB"/>
        </w:rPr>
        <w:fldChar w:fldCharType="begin">
          <w:ffData>
            <w:name w:val=""/>
            <w:enabled w:val="0"/>
            <w:calcOnExit w:val="0"/>
            <w:checkBox>
              <w:sizeAuto/>
              <w:default w:val="1"/>
            </w:checkBox>
          </w:ffData>
        </w:fldChar>
      </w:r>
      <w:r w:rsidRPr="00845FB7">
        <w:rPr>
          <w:rFonts w:cstheme="majorBidi"/>
          <w:lang w:val="en-GB"/>
        </w:rPr>
        <w:instrText xml:space="preserve"> FORMCHECKBOX </w:instrText>
      </w:r>
      <w:r w:rsidR="0092003F">
        <w:rPr>
          <w:rFonts w:cstheme="majorBidi"/>
          <w:lang w:val="en-GB"/>
        </w:rPr>
      </w:r>
      <w:r w:rsidR="0092003F">
        <w:rPr>
          <w:rFonts w:cstheme="majorBidi"/>
          <w:lang w:val="en-GB"/>
        </w:rPr>
        <w:fldChar w:fldCharType="separate"/>
      </w:r>
      <w:r w:rsidRPr="00845FB7">
        <w:rPr>
          <w:rFonts w:cstheme="majorBidi"/>
          <w:lang w:val="en-GB"/>
        </w:rPr>
        <w:fldChar w:fldCharType="end"/>
      </w:r>
      <w:r w:rsidRPr="00845FB7">
        <w:rPr>
          <w:rFonts w:cstheme="majorBidi"/>
          <w:lang w:val="en-GB"/>
        </w:rPr>
        <w:t xml:space="preserve"> </w:t>
      </w:r>
      <w:r w:rsidR="00455EBA" w:rsidRPr="00845FB7">
        <w:rPr>
          <w:rFonts w:cstheme="majorBidi"/>
          <w:lang w:val="en-GB"/>
        </w:rPr>
        <w:t xml:space="preserve">General Trust Fund </w:t>
      </w:r>
      <w:r w:rsidR="003404D2" w:rsidRPr="00845FB7">
        <w:rPr>
          <w:rFonts w:cstheme="majorBidi"/>
          <w:lang w:val="en-GB"/>
        </w:rPr>
        <w:tab/>
      </w:r>
      <w:r w:rsidR="003404D2" w:rsidRPr="00845FB7">
        <w:rPr>
          <w:rFonts w:cstheme="majorBidi"/>
          <w:lang w:val="en-GB"/>
        </w:rPr>
        <w:tab/>
      </w:r>
      <w:r w:rsidRPr="00845FB7">
        <w:rPr>
          <w:rFonts w:cstheme="majorBidi"/>
          <w:lang w:val="en-GB"/>
        </w:rPr>
        <w:fldChar w:fldCharType="begin">
          <w:ffData>
            <w:name w:val=""/>
            <w:enabled/>
            <w:calcOnExit w:val="0"/>
            <w:checkBox>
              <w:sizeAuto/>
              <w:default w:val="0"/>
            </w:checkBox>
          </w:ffData>
        </w:fldChar>
      </w:r>
      <w:r w:rsidRPr="00845FB7">
        <w:rPr>
          <w:rFonts w:cstheme="majorBidi"/>
          <w:lang w:val="en-GB"/>
        </w:rPr>
        <w:instrText xml:space="preserve"> FORMCHECKBOX </w:instrText>
      </w:r>
      <w:r w:rsidR="0092003F">
        <w:rPr>
          <w:rFonts w:cstheme="majorBidi"/>
          <w:lang w:val="en-GB"/>
        </w:rPr>
      </w:r>
      <w:r w:rsidR="0092003F">
        <w:rPr>
          <w:rFonts w:cstheme="majorBidi"/>
          <w:lang w:val="en-GB"/>
        </w:rPr>
        <w:fldChar w:fldCharType="separate"/>
      </w:r>
      <w:r w:rsidRPr="00845FB7">
        <w:rPr>
          <w:rFonts w:cstheme="majorBidi"/>
          <w:lang w:val="en-GB"/>
        </w:rPr>
        <w:fldChar w:fldCharType="end"/>
      </w:r>
      <w:r w:rsidRPr="00845FB7">
        <w:rPr>
          <w:rFonts w:cstheme="majorBidi"/>
          <w:lang w:val="en-GB"/>
        </w:rPr>
        <w:t xml:space="preserve"> </w:t>
      </w:r>
      <w:r w:rsidR="00455EBA" w:rsidRPr="00845FB7">
        <w:rPr>
          <w:rFonts w:cstheme="majorBidi"/>
          <w:lang w:val="en-GB"/>
        </w:rPr>
        <w:t xml:space="preserve">Special Trust Fund </w:t>
      </w:r>
    </w:p>
    <w:p w14:paraId="2914C6CC" w14:textId="49E80B0F" w:rsidR="00447D05" w:rsidRPr="00845FB7" w:rsidRDefault="00447D05" w:rsidP="00447D05">
      <w:pPr>
        <w:pStyle w:val="Heading3"/>
        <w:rPr>
          <w:sz w:val="24"/>
          <w:lang w:val="en-GB"/>
        </w:rPr>
      </w:pPr>
      <w:r w:rsidRPr="00845FB7">
        <w:rPr>
          <w:sz w:val="24"/>
          <w:lang w:val="en-GB"/>
        </w:rPr>
        <w:t>Reference</w:t>
      </w:r>
    </w:p>
    <w:p w14:paraId="1D1B4C8A" w14:textId="141A9622" w:rsidR="00447D05" w:rsidRPr="00845FB7" w:rsidRDefault="00572FE9" w:rsidP="00BD36F8">
      <w:pPr>
        <w:snapToGrid w:val="0"/>
        <w:spacing w:after="60"/>
        <w:ind w:left="1985" w:hanging="1985"/>
        <w:rPr>
          <w:rFonts w:cstheme="majorBidi"/>
          <w:lang w:val="en-GB"/>
        </w:rPr>
      </w:pPr>
      <w:r w:rsidRPr="00845FB7">
        <w:rPr>
          <w:rFonts w:cstheme="majorBidi"/>
          <w:b/>
          <w:bCs/>
          <w:lang w:val="en-GB"/>
        </w:rPr>
        <w:t>UNEP/</w:t>
      </w:r>
      <w:r w:rsidR="00447D05" w:rsidRPr="00845FB7">
        <w:rPr>
          <w:rFonts w:cstheme="majorBidi"/>
          <w:b/>
          <w:bCs/>
          <w:lang w:val="en-GB"/>
        </w:rPr>
        <w:t>MC/COP.</w:t>
      </w:r>
      <w:r w:rsidR="005B75EE" w:rsidRPr="00845FB7">
        <w:rPr>
          <w:rFonts w:cstheme="majorBidi"/>
          <w:b/>
          <w:bCs/>
          <w:lang w:val="en-GB"/>
        </w:rPr>
        <w:t>6</w:t>
      </w:r>
      <w:r w:rsidR="00447D05" w:rsidRPr="00845FB7">
        <w:rPr>
          <w:rFonts w:cstheme="majorBidi"/>
          <w:b/>
          <w:bCs/>
          <w:lang w:val="en-GB"/>
        </w:rPr>
        <w:t>/</w:t>
      </w:r>
      <w:r w:rsidR="00476EC3" w:rsidRPr="00845FB7">
        <w:rPr>
          <w:rFonts w:cstheme="majorBidi"/>
          <w:b/>
          <w:bCs/>
          <w:lang w:val="en-GB"/>
        </w:rPr>
        <w:t>2</w:t>
      </w:r>
      <w:r w:rsidR="000402D8" w:rsidRPr="00845FB7">
        <w:rPr>
          <w:rFonts w:cstheme="majorBidi"/>
          <w:b/>
          <w:bCs/>
          <w:lang w:val="en-GB"/>
        </w:rPr>
        <w:t>3:</w:t>
      </w:r>
      <w:r w:rsidR="000402D8" w:rsidRPr="00845FB7">
        <w:rPr>
          <w:rFonts w:cstheme="majorBidi"/>
          <w:lang w:val="en-GB"/>
        </w:rPr>
        <w:t xml:space="preserve"> </w:t>
      </w:r>
      <w:r w:rsidR="000402D8" w:rsidRPr="00845FB7">
        <w:rPr>
          <w:lang w:val="en-GB"/>
        </w:rPr>
        <w:t xml:space="preserve">Programme of work and budget: proposed operational budgets for the two funding scenarios for the </w:t>
      </w:r>
      <w:r w:rsidR="000402D8" w:rsidRPr="00845FB7">
        <w:rPr>
          <w:rFonts w:cstheme="majorBidi"/>
          <w:lang w:val="en-GB"/>
        </w:rPr>
        <w:t>biennium</w:t>
      </w:r>
      <w:r w:rsidR="000402D8" w:rsidRPr="00845FB7">
        <w:rPr>
          <w:lang w:val="en-GB"/>
        </w:rPr>
        <w:t xml:space="preserve"> </w:t>
      </w:r>
      <w:r w:rsidR="00E2051A" w:rsidRPr="00845FB7">
        <w:rPr>
          <w:lang w:val="en-GB"/>
        </w:rPr>
        <w:t>2026–2027</w:t>
      </w:r>
    </w:p>
    <w:p w14:paraId="0F4B7736" w14:textId="15BE2ACB" w:rsidR="7743EA20" w:rsidRPr="00845FB7" w:rsidRDefault="7743EA20" w:rsidP="00CD765B">
      <w:pPr>
        <w:pStyle w:val="Heading3"/>
        <w:rPr>
          <w:lang w:val="en-GB"/>
        </w:rPr>
      </w:pPr>
      <w:r w:rsidRPr="00845FB7">
        <w:rPr>
          <w:sz w:val="24"/>
          <w:lang w:val="en-GB"/>
        </w:rPr>
        <w:t>Mandate</w:t>
      </w:r>
    </w:p>
    <w:p w14:paraId="2A6B4B8F" w14:textId="55B70AC2" w:rsidR="7743EA20" w:rsidRPr="00845FB7" w:rsidRDefault="7743EA20">
      <w:pPr>
        <w:rPr>
          <w:rFonts w:eastAsia="DengXian" w:cstheme="majorBidi"/>
          <w:szCs w:val="20"/>
          <w:lang w:val="en-GB"/>
        </w:rPr>
      </w:pPr>
      <w:r w:rsidRPr="00845FB7">
        <w:rPr>
          <w:rFonts w:eastAsia="Roboto" w:cstheme="majorBidi"/>
          <w:b/>
          <w:bCs/>
          <w:szCs w:val="20"/>
          <w:lang w:val="en-GB"/>
        </w:rPr>
        <w:t>COP decision</w:t>
      </w:r>
      <w:r w:rsidR="008967AA" w:rsidRPr="00845FB7">
        <w:rPr>
          <w:rFonts w:eastAsia="Roboto" w:cstheme="majorBidi"/>
          <w:b/>
          <w:bCs/>
          <w:szCs w:val="20"/>
          <w:lang w:val="en-GB"/>
        </w:rPr>
        <w:t>(</w:t>
      </w:r>
      <w:r w:rsidRPr="00845FB7">
        <w:rPr>
          <w:rFonts w:eastAsia="Roboto" w:cstheme="majorBidi"/>
          <w:b/>
          <w:bCs/>
          <w:szCs w:val="20"/>
          <w:lang w:val="en-GB"/>
        </w:rPr>
        <w:t>s</w:t>
      </w:r>
      <w:r w:rsidR="008967AA" w:rsidRPr="00845FB7">
        <w:rPr>
          <w:rFonts w:eastAsia="Roboto" w:cstheme="majorBidi"/>
          <w:b/>
          <w:bCs/>
          <w:szCs w:val="20"/>
          <w:lang w:val="en-GB"/>
        </w:rPr>
        <w:t>)</w:t>
      </w:r>
      <w:r w:rsidRPr="00845FB7">
        <w:rPr>
          <w:rFonts w:eastAsia="Roboto" w:cstheme="majorBidi"/>
          <w:szCs w:val="20"/>
          <w:lang w:val="en-GB"/>
        </w:rPr>
        <w:t>: MC-1/1, MC-1/10, MC-2/5, MC-3/12</w:t>
      </w:r>
      <w:r w:rsidR="00C44F7C" w:rsidRPr="00845FB7">
        <w:rPr>
          <w:rFonts w:eastAsia="Roboto" w:cstheme="majorBidi"/>
          <w:szCs w:val="20"/>
          <w:lang w:val="en-GB"/>
        </w:rPr>
        <w:t>, MC-4/13</w:t>
      </w:r>
      <w:r w:rsidR="00007239" w:rsidRPr="00845FB7">
        <w:rPr>
          <w:rFonts w:eastAsia="Roboto" w:cstheme="majorBidi"/>
          <w:szCs w:val="20"/>
          <w:lang w:val="en-GB"/>
        </w:rPr>
        <w:t>, MC-5/20</w:t>
      </w:r>
    </w:p>
    <w:p w14:paraId="3B540819" w14:textId="4E8B810D" w:rsidR="00447D05" w:rsidRPr="00845FB7" w:rsidRDefault="00447D05" w:rsidP="00447D05">
      <w:pPr>
        <w:pStyle w:val="Heading3"/>
        <w:rPr>
          <w:sz w:val="24"/>
          <w:lang w:val="en-GB"/>
        </w:rPr>
      </w:pPr>
      <w:r w:rsidRPr="00845FB7">
        <w:rPr>
          <w:sz w:val="24"/>
          <w:lang w:val="en-GB"/>
        </w:rPr>
        <w:t>Background and rationale</w:t>
      </w:r>
    </w:p>
    <w:p w14:paraId="0D91BCAB" w14:textId="6D3E00FE" w:rsidR="002F3D76" w:rsidRPr="00845FB7" w:rsidRDefault="5AE18301" w:rsidP="00BD36F8">
      <w:pPr>
        <w:suppressAutoHyphens/>
        <w:snapToGrid w:val="0"/>
        <w:spacing w:after="120" w:line="257" w:lineRule="auto"/>
        <w:rPr>
          <w:rFonts w:eastAsia="DengXian" w:cstheme="majorBidi"/>
          <w:szCs w:val="20"/>
          <w:lang w:val="en-GB"/>
        </w:rPr>
      </w:pPr>
      <w:r w:rsidRPr="00845FB7">
        <w:rPr>
          <w:rFonts w:eastAsia="Roboto" w:cstheme="majorBidi"/>
          <w:szCs w:val="20"/>
          <w:lang w:val="en-GB"/>
        </w:rPr>
        <w:t>The Bureau performs several functions during the COP as well as in the intersessional period.</w:t>
      </w:r>
      <w:r w:rsidR="1D43F2A7" w:rsidRPr="00845FB7">
        <w:rPr>
          <w:rFonts w:eastAsia="Roboto" w:cstheme="majorBidi"/>
          <w:szCs w:val="20"/>
          <w:lang w:val="en-GB"/>
        </w:rPr>
        <w:t xml:space="preserve"> A specified task of the COP Bureau in the </w:t>
      </w:r>
      <w:r w:rsidR="00807285" w:rsidRPr="00845FB7">
        <w:rPr>
          <w:rFonts w:eastAsia="Roboto" w:cstheme="majorBidi"/>
          <w:szCs w:val="20"/>
          <w:lang w:val="en-GB"/>
        </w:rPr>
        <w:t>r</w:t>
      </w:r>
      <w:r w:rsidR="1D43F2A7" w:rsidRPr="00845FB7">
        <w:rPr>
          <w:rFonts w:eastAsia="Roboto" w:cstheme="majorBidi"/>
          <w:szCs w:val="20"/>
          <w:lang w:val="en-GB"/>
        </w:rPr>
        <w:t xml:space="preserve">ules of </w:t>
      </w:r>
      <w:r w:rsidR="00807285" w:rsidRPr="00845FB7">
        <w:rPr>
          <w:rFonts w:eastAsia="Roboto" w:cstheme="majorBidi"/>
          <w:szCs w:val="20"/>
          <w:lang w:val="en-GB"/>
        </w:rPr>
        <w:t>p</w:t>
      </w:r>
      <w:r w:rsidR="1D43F2A7" w:rsidRPr="00845FB7">
        <w:rPr>
          <w:rFonts w:eastAsia="Roboto" w:cstheme="majorBidi"/>
          <w:szCs w:val="20"/>
          <w:lang w:val="en-GB"/>
        </w:rPr>
        <w:t xml:space="preserve">rocedures </w:t>
      </w:r>
      <w:r w:rsidR="00085652" w:rsidRPr="00845FB7">
        <w:rPr>
          <w:rFonts w:eastAsia="Roboto" w:cstheme="majorBidi"/>
          <w:szCs w:val="20"/>
          <w:lang w:val="en-GB"/>
        </w:rPr>
        <w:t xml:space="preserve">of </w:t>
      </w:r>
      <w:r w:rsidR="0027583F" w:rsidRPr="00845FB7">
        <w:rPr>
          <w:rFonts w:eastAsia="Roboto" w:cstheme="majorBidi"/>
          <w:szCs w:val="20"/>
          <w:lang w:val="en-GB"/>
        </w:rPr>
        <w:t>COP</w:t>
      </w:r>
      <w:r w:rsidR="00085652" w:rsidRPr="00845FB7">
        <w:rPr>
          <w:rFonts w:eastAsia="Roboto" w:cstheme="majorBidi"/>
          <w:szCs w:val="20"/>
          <w:lang w:val="en-GB"/>
        </w:rPr>
        <w:t xml:space="preserve"> </w:t>
      </w:r>
      <w:r w:rsidR="1D43F2A7" w:rsidRPr="00845FB7">
        <w:rPr>
          <w:rFonts w:eastAsia="Roboto" w:cstheme="majorBidi"/>
          <w:szCs w:val="20"/>
          <w:lang w:val="en-GB"/>
        </w:rPr>
        <w:t>is to examine the credentials of the representatives to the negotiating session and submit a report on these to the COP (</w:t>
      </w:r>
      <w:r w:rsidR="00A115F1" w:rsidRPr="00845FB7">
        <w:rPr>
          <w:rFonts w:eastAsia="Roboto" w:cstheme="majorBidi"/>
          <w:szCs w:val="20"/>
          <w:lang w:val="en-GB"/>
        </w:rPr>
        <w:t>r</w:t>
      </w:r>
      <w:r w:rsidR="1D43F2A7" w:rsidRPr="00845FB7">
        <w:rPr>
          <w:rFonts w:eastAsia="Roboto" w:cstheme="majorBidi"/>
          <w:szCs w:val="20"/>
          <w:lang w:val="en-GB"/>
        </w:rPr>
        <w:t xml:space="preserve">ule 20). The Bureau is also responsible for advising the President </w:t>
      </w:r>
      <w:proofErr w:type="gramStart"/>
      <w:r w:rsidR="1D43F2A7" w:rsidRPr="00845FB7">
        <w:rPr>
          <w:rFonts w:eastAsia="Roboto" w:cstheme="majorBidi"/>
          <w:szCs w:val="20"/>
          <w:lang w:val="en-GB"/>
        </w:rPr>
        <w:t>with regard to</w:t>
      </w:r>
      <w:proofErr w:type="gramEnd"/>
      <w:r w:rsidR="1D43F2A7" w:rsidRPr="00845FB7">
        <w:rPr>
          <w:rFonts w:eastAsia="Roboto" w:cstheme="majorBidi"/>
          <w:szCs w:val="20"/>
          <w:lang w:val="en-GB"/>
        </w:rPr>
        <w:t xml:space="preserve"> the overall management of the intergovernmental process. It assists the President in the performance of his or her duties by providing advice and by helping with various tasks.</w:t>
      </w:r>
    </w:p>
    <w:p w14:paraId="61E05E2B" w14:textId="477C9D88" w:rsidR="002F3D76" w:rsidRPr="00845FB7" w:rsidRDefault="07ABE976" w:rsidP="00BD36F8">
      <w:pPr>
        <w:suppressAutoHyphens/>
        <w:snapToGrid w:val="0"/>
        <w:spacing w:after="120" w:line="257" w:lineRule="auto"/>
        <w:rPr>
          <w:rFonts w:eastAsia="Roboto" w:cstheme="majorBidi"/>
          <w:szCs w:val="20"/>
          <w:lang w:val="en-GB"/>
        </w:rPr>
      </w:pPr>
      <w:r w:rsidRPr="00845FB7">
        <w:rPr>
          <w:rFonts w:eastAsia="Roboto" w:cstheme="majorBidi"/>
          <w:szCs w:val="20"/>
          <w:lang w:val="en-GB"/>
        </w:rPr>
        <w:t>Rule 9</w:t>
      </w:r>
      <w:r w:rsidR="1E51BE86" w:rsidRPr="00845FB7">
        <w:rPr>
          <w:rFonts w:eastAsia="Roboto" w:cstheme="majorBidi"/>
          <w:szCs w:val="20"/>
          <w:lang w:val="en-GB"/>
        </w:rPr>
        <w:t xml:space="preserve"> of the COP rules of procedure</w:t>
      </w:r>
      <w:r w:rsidRPr="00845FB7">
        <w:rPr>
          <w:rFonts w:eastAsia="Roboto" w:cstheme="majorBidi"/>
          <w:szCs w:val="20"/>
          <w:lang w:val="en-GB"/>
        </w:rPr>
        <w:t xml:space="preserve"> requires the </w:t>
      </w:r>
      <w:r w:rsidR="00BE1C00" w:rsidRPr="00845FB7">
        <w:rPr>
          <w:rFonts w:eastAsia="Roboto" w:cstheme="majorBidi"/>
          <w:szCs w:val="20"/>
          <w:lang w:val="en-GB"/>
        </w:rPr>
        <w:t>S</w:t>
      </w:r>
      <w:r w:rsidRPr="00845FB7">
        <w:rPr>
          <w:rFonts w:eastAsia="Roboto" w:cstheme="majorBidi"/>
          <w:szCs w:val="20"/>
          <w:lang w:val="en-GB"/>
        </w:rPr>
        <w:t xml:space="preserve">ecretariat to prepare the provisional agenda of COP meetings in agreement with the President. Rule 12 requires the </w:t>
      </w:r>
      <w:r w:rsidR="00BE1C00" w:rsidRPr="00845FB7">
        <w:rPr>
          <w:rFonts w:eastAsia="Roboto" w:cstheme="majorBidi"/>
          <w:szCs w:val="20"/>
          <w:lang w:val="en-GB"/>
        </w:rPr>
        <w:t>S</w:t>
      </w:r>
      <w:r w:rsidRPr="00845FB7">
        <w:rPr>
          <w:rFonts w:eastAsia="Roboto" w:cstheme="majorBidi"/>
          <w:szCs w:val="20"/>
          <w:lang w:val="en-GB"/>
        </w:rPr>
        <w:t>ecretariat to include any item that is proposed by a Party in agreement with the President. The President, in cooperation with vice-presidents, is to guide the preparation of the provisional agenda and the overall COP process management, including the chairing and formation of smaller groups.</w:t>
      </w:r>
    </w:p>
    <w:p w14:paraId="11CE7076" w14:textId="15167988" w:rsidR="002F3D76" w:rsidRPr="00845FB7" w:rsidRDefault="07ABE976" w:rsidP="00BD36F8">
      <w:pPr>
        <w:suppressAutoHyphens/>
        <w:snapToGrid w:val="0"/>
        <w:spacing w:after="120" w:line="257" w:lineRule="auto"/>
        <w:rPr>
          <w:rFonts w:eastAsia="Roboto" w:cstheme="majorBidi"/>
          <w:szCs w:val="20"/>
          <w:lang w:val="en-GB"/>
        </w:rPr>
      </w:pPr>
      <w:r w:rsidRPr="00845FB7">
        <w:rPr>
          <w:rFonts w:eastAsia="Roboto" w:cstheme="majorBidi"/>
          <w:szCs w:val="20"/>
          <w:lang w:val="en-GB"/>
        </w:rPr>
        <w:t xml:space="preserve">The Bureau </w:t>
      </w:r>
      <w:r w:rsidR="398BB055" w:rsidRPr="00845FB7">
        <w:rPr>
          <w:rFonts w:eastAsia="Roboto" w:cstheme="majorBidi"/>
          <w:szCs w:val="20"/>
          <w:lang w:val="en-GB"/>
        </w:rPr>
        <w:t>meets</w:t>
      </w:r>
      <w:r w:rsidRPr="00845FB7">
        <w:rPr>
          <w:rFonts w:eastAsia="Roboto" w:cstheme="majorBidi"/>
          <w:szCs w:val="20"/>
          <w:lang w:val="en-GB"/>
        </w:rPr>
        <w:t>, in person and/or electronically, during this intersessional period, as well as during the COP meeting. The President is to chair the meetings of the Bureau.</w:t>
      </w:r>
    </w:p>
    <w:p w14:paraId="21C7893E" w14:textId="31F67A7C" w:rsidR="00447D05" w:rsidRPr="00845FB7" w:rsidRDefault="002F3D76" w:rsidP="7EAA2ABE">
      <w:pPr>
        <w:tabs>
          <w:tab w:val="left" w:pos="1157"/>
        </w:tabs>
        <w:suppressAutoHyphens/>
        <w:snapToGrid w:val="0"/>
        <w:spacing w:after="120"/>
        <w:rPr>
          <w:rFonts w:cstheme="majorBidi"/>
          <w:lang w:val="en-GB"/>
        </w:rPr>
      </w:pPr>
      <w:r w:rsidRPr="00845FB7">
        <w:rPr>
          <w:rFonts w:cstheme="majorBidi"/>
          <w:lang w:val="en-GB" w:eastAsia="en-GB"/>
        </w:rPr>
        <w:t xml:space="preserve">The </w:t>
      </w:r>
      <w:r w:rsidR="006A2C3A" w:rsidRPr="00845FB7">
        <w:rPr>
          <w:rFonts w:cstheme="majorBidi"/>
          <w:lang w:val="en-GB" w:eastAsia="en-GB"/>
        </w:rPr>
        <w:t>B</w:t>
      </w:r>
      <w:r w:rsidRPr="00845FB7">
        <w:rPr>
          <w:rFonts w:cstheme="majorBidi"/>
          <w:lang w:val="en-GB" w:eastAsia="en-GB"/>
        </w:rPr>
        <w:t>ureau of the Conference of the Parties is composed of a President, and nine Vice-Presidents, with two members representing each UN region. The Chair of the I</w:t>
      </w:r>
      <w:r w:rsidR="002263A3" w:rsidRPr="00845FB7">
        <w:rPr>
          <w:rFonts w:cstheme="majorBidi"/>
          <w:lang w:val="en-GB" w:eastAsia="en-GB"/>
        </w:rPr>
        <w:t xml:space="preserve">mplementation and </w:t>
      </w:r>
      <w:r w:rsidRPr="00845FB7">
        <w:rPr>
          <w:rFonts w:cstheme="majorBidi"/>
          <w:lang w:val="en-GB" w:eastAsia="en-GB"/>
        </w:rPr>
        <w:t>C</w:t>
      </w:r>
      <w:r w:rsidR="002263A3" w:rsidRPr="00845FB7">
        <w:rPr>
          <w:rFonts w:cstheme="majorBidi"/>
          <w:lang w:val="en-GB" w:eastAsia="en-GB"/>
        </w:rPr>
        <w:t xml:space="preserve">ompliance </w:t>
      </w:r>
      <w:r w:rsidRPr="00845FB7">
        <w:rPr>
          <w:rFonts w:cstheme="majorBidi"/>
          <w:lang w:val="en-GB" w:eastAsia="en-GB"/>
        </w:rPr>
        <w:t>C</w:t>
      </w:r>
      <w:r w:rsidR="002263A3" w:rsidRPr="00845FB7">
        <w:rPr>
          <w:rFonts w:cstheme="majorBidi"/>
          <w:lang w:val="en-GB" w:eastAsia="en-GB"/>
        </w:rPr>
        <w:t>ommittee</w:t>
      </w:r>
      <w:r w:rsidRPr="00845FB7">
        <w:rPr>
          <w:rFonts w:cstheme="majorBidi"/>
          <w:lang w:val="en-GB" w:eastAsia="en-GB"/>
        </w:rPr>
        <w:t xml:space="preserve"> is an ex-officio member of the Bureau.</w:t>
      </w:r>
      <w:r w:rsidR="000C3017" w:rsidRPr="00845FB7">
        <w:rPr>
          <w:rFonts w:cstheme="majorBidi"/>
          <w:lang w:val="en-GB" w:eastAsia="en-GB"/>
        </w:rPr>
        <w:t xml:space="preserve"> </w:t>
      </w:r>
      <w:r w:rsidRPr="00845FB7">
        <w:rPr>
          <w:rFonts w:cstheme="majorBidi"/>
          <w:lang w:val="en-GB" w:eastAsia="en-GB"/>
        </w:rPr>
        <w:t xml:space="preserve">The </w:t>
      </w:r>
      <w:r w:rsidR="00B47020" w:rsidRPr="00845FB7">
        <w:rPr>
          <w:rFonts w:cstheme="majorBidi"/>
          <w:lang w:val="en-GB" w:eastAsia="en-GB"/>
        </w:rPr>
        <w:t>B</w:t>
      </w:r>
      <w:r w:rsidRPr="00845FB7">
        <w:rPr>
          <w:rFonts w:cstheme="majorBidi"/>
          <w:lang w:val="en-GB" w:eastAsia="en-GB"/>
        </w:rPr>
        <w:t xml:space="preserve">ureau will hold one </w:t>
      </w:r>
      <w:r w:rsidR="00465D29" w:rsidRPr="00845FB7">
        <w:rPr>
          <w:rFonts w:cstheme="majorBidi"/>
          <w:lang w:val="en-GB" w:eastAsia="en-GB"/>
        </w:rPr>
        <w:t xml:space="preserve">in-person </w:t>
      </w:r>
      <w:r w:rsidR="00461634" w:rsidRPr="00845FB7">
        <w:rPr>
          <w:rFonts w:cstheme="majorBidi"/>
          <w:lang w:val="en-GB" w:eastAsia="en-GB"/>
        </w:rPr>
        <w:t>meeting,</w:t>
      </w:r>
      <w:r w:rsidR="00BD1436" w:rsidRPr="00845FB7">
        <w:rPr>
          <w:rFonts w:cstheme="majorBidi"/>
          <w:lang w:val="en-GB" w:eastAsia="en-GB"/>
        </w:rPr>
        <w:t xml:space="preserve"> </w:t>
      </w:r>
      <w:r w:rsidR="006A2C3A" w:rsidRPr="00845FB7">
        <w:rPr>
          <w:rFonts w:cstheme="majorBidi"/>
          <w:lang w:val="en-GB" w:eastAsia="en-GB"/>
        </w:rPr>
        <w:t xml:space="preserve">tentatively </w:t>
      </w:r>
      <w:r w:rsidR="00E76A22" w:rsidRPr="00845FB7">
        <w:rPr>
          <w:rFonts w:cstheme="majorBidi"/>
          <w:lang w:val="en-GB" w:eastAsia="en-GB"/>
        </w:rPr>
        <w:t xml:space="preserve">planned to be </w:t>
      </w:r>
      <w:r w:rsidR="00BD1436" w:rsidRPr="00845FB7">
        <w:rPr>
          <w:rFonts w:cstheme="majorBidi"/>
          <w:lang w:val="en-GB" w:eastAsia="en-GB"/>
        </w:rPr>
        <w:t>in Geneva, Switzerland,</w:t>
      </w:r>
      <w:r w:rsidR="000869FD" w:rsidRPr="00845FB7">
        <w:rPr>
          <w:rFonts w:cstheme="majorBidi"/>
          <w:lang w:val="en-GB" w:eastAsia="en-GB"/>
        </w:rPr>
        <w:t xml:space="preserve"> in the run-up to COP-</w:t>
      </w:r>
      <w:r w:rsidR="71C04B21" w:rsidRPr="00845FB7">
        <w:rPr>
          <w:rFonts w:cstheme="majorBidi"/>
          <w:lang w:val="en-GB" w:eastAsia="en-GB"/>
        </w:rPr>
        <w:t>7</w:t>
      </w:r>
      <w:r w:rsidR="000869FD" w:rsidRPr="00845FB7">
        <w:rPr>
          <w:rFonts w:cstheme="majorBidi"/>
          <w:lang w:val="en-GB" w:eastAsia="en-GB"/>
        </w:rPr>
        <w:t xml:space="preserve">. The </w:t>
      </w:r>
      <w:r w:rsidR="00163DAC" w:rsidRPr="00845FB7">
        <w:rPr>
          <w:rFonts w:cstheme="majorBidi"/>
          <w:lang w:val="en-GB" w:eastAsia="en-GB"/>
        </w:rPr>
        <w:t xml:space="preserve">Bureau will also hold </w:t>
      </w:r>
      <w:r w:rsidR="0078685A" w:rsidRPr="00845FB7">
        <w:rPr>
          <w:rFonts w:cstheme="majorBidi"/>
          <w:lang w:val="en-GB" w:eastAsia="en-GB"/>
        </w:rPr>
        <w:t>regular online meetings as needed and decided by the Bureau</w:t>
      </w:r>
      <w:r w:rsidR="00447D05" w:rsidRPr="00845FB7">
        <w:rPr>
          <w:rFonts w:cstheme="majorBidi"/>
          <w:lang w:val="en-GB"/>
        </w:rPr>
        <w:t>.</w:t>
      </w:r>
    </w:p>
    <w:p w14:paraId="7EE8C10C" w14:textId="2F896EC2" w:rsidR="00447D05" w:rsidRPr="00845FB7" w:rsidRDefault="00447D05" w:rsidP="00447D05">
      <w:pPr>
        <w:pStyle w:val="Heading3"/>
        <w:rPr>
          <w:sz w:val="24"/>
          <w:lang w:val="en-GB"/>
        </w:rPr>
      </w:pPr>
      <w:r w:rsidRPr="00845FB7">
        <w:rPr>
          <w:sz w:val="24"/>
          <w:lang w:val="en-GB"/>
        </w:rPr>
        <w:t>Outcomes and activities</w:t>
      </w:r>
    </w:p>
    <w:p w14:paraId="4242EC09" w14:textId="5DF9EAE2" w:rsidR="00447D05" w:rsidRPr="00845FB7" w:rsidRDefault="00447D05" w:rsidP="00BD36F8">
      <w:pPr>
        <w:pStyle w:val="Heading2"/>
        <w:spacing w:before="360" w:after="120"/>
        <w:jc w:val="left"/>
        <w:rPr>
          <w:sz w:val="28"/>
          <w:szCs w:val="28"/>
          <w:lang w:val="en-GB"/>
        </w:rPr>
      </w:pPr>
      <w:r w:rsidRPr="00845FB7">
        <w:rPr>
          <w:sz w:val="28"/>
          <w:szCs w:val="28"/>
          <w:lang w:val="en-GB"/>
        </w:rPr>
        <w:t xml:space="preserve">Component </w:t>
      </w:r>
      <w:r w:rsidR="00C65B9E" w:rsidRPr="00845FB7">
        <w:rPr>
          <w:sz w:val="28"/>
          <w:szCs w:val="28"/>
          <w:lang w:val="en-GB"/>
        </w:rPr>
        <w:t xml:space="preserve">Meetings of the Bureau </w:t>
      </w:r>
      <w:r w:rsidR="00A5608D" w:rsidRPr="00845FB7">
        <w:rPr>
          <w:sz w:val="28"/>
          <w:szCs w:val="28"/>
          <w:lang w:val="en-GB"/>
        </w:rPr>
        <w:t>2</w:t>
      </w:r>
      <w:r w:rsidRPr="00845FB7">
        <w:rPr>
          <w:sz w:val="28"/>
          <w:szCs w:val="28"/>
          <w:lang w:val="en-GB"/>
        </w:rPr>
        <w:t xml:space="preserve">.1. </w:t>
      </w:r>
    </w:p>
    <w:p w14:paraId="1C65E6B8" w14:textId="77777777" w:rsidR="00447D05" w:rsidRPr="00845FB7" w:rsidRDefault="00447D05" w:rsidP="00BD36F8">
      <w:pPr>
        <w:spacing w:before="240"/>
        <w:rPr>
          <w:rFonts w:cstheme="majorBidi"/>
          <w:b/>
          <w:bCs/>
          <w:lang w:val="en-GB" w:eastAsia="en-GB"/>
        </w:rPr>
      </w:pPr>
      <w:r w:rsidRPr="00845FB7">
        <w:rPr>
          <w:rFonts w:cstheme="majorBidi"/>
          <w:b/>
          <w:bCs/>
          <w:lang w:val="en-GB" w:eastAsia="en-GB"/>
        </w:rPr>
        <w:t>OUTCOMES</w:t>
      </w:r>
    </w:p>
    <w:p w14:paraId="080490B2" w14:textId="5696CDB8" w:rsidR="00D006CD" w:rsidRPr="00845FB7" w:rsidRDefault="00D006CD" w:rsidP="00BD36F8">
      <w:pPr>
        <w:snapToGrid w:val="0"/>
        <w:spacing w:after="60"/>
        <w:rPr>
          <w:rFonts w:cstheme="majorBidi"/>
          <w:b/>
          <w:bCs/>
          <w:szCs w:val="20"/>
          <w:lang w:val="en-GB" w:eastAsia="en-GB"/>
        </w:rPr>
      </w:pPr>
      <w:r w:rsidRPr="00845FB7">
        <w:rPr>
          <w:rFonts w:cstheme="majorBidi"/>
          <w:szCs w:val="20"/>
          <w:lang w:val="en-GB" w:eastAsia="en-GB"/>
        </w:rPr>
        <w:t xml:space="preserve">Arrangements for the meetings of the </w:t>
      </w:r>
      <w:r w:rsidR="00387430" w:rsidRPr="00845FB7">
        <w:rPr>
          <w:rFonts w:cstheme="majorBidi"/>
          <w:szCs w:val="20"/>
          <w:lang w:val="en-GB" w:eastAsia="en-GB"/>
        </w:rPr>
        <w:t>B</w:t>
      </w:r>
      <w:r w:rsidRPr="00845FB7">
        <w:rPr>
          <w:rFonts w:cstheme="majorBidi"/>
          <w:szCs w:val="20"/>
          <w:lang w:val="en-GB" w:eastAsia="en-GB"/>
        </w:rPr>
        <w:t xml:space="preserve">ureau of the Conference of the Parties to the Minamata Convention are made and quality services provided. Members of the </w:t>
      </w:r>
      <w:r w:rsidR="00B47020" w:rsidRPr="00845FB7">
        <w:rPr>
          <w:rFonts w:cstheme="majorBidi"/>
          <w:szCs w:val="20"/>
          <w:lang w:val="en-GB" w:eastAsia="en-GB"/>
        </w:rPr>
        <w:t>B</w:t>
      </w:r>
      <w:r w:rsidRPr="00845FB7">
        <w:rPr>
          <w:rFonts w:cstheme="majorBidi"/>
          <w:szCs w:val="20"/>
          <w:lang w:val="en-GB" w:eastAsia="en-GB"/>
        </w:rPr>
        <w:t xml:space="preserve">ureau </w:t>
      </w:r>
      <w:r w:rsidR="00511EFB" w:rsidRPr="00845FB7">
        <w:rPr>
          <w:rFonts w:cstheme="majorBidi"/>
          <w:szCs w:val="20"/>
          <w:lang w:val="en-GB" w:eastAsia="en-GB"/>
        </w:rPr>
        <w:t>can</w:t>
      </w:r>
      <w:r w:rsidR="4557A937" w:rsidRPr="00845FB7">
        <w:rPr>
          <w:rFonts w:cstheme="majorBidi"/>
          <w:szCs w:val="20"/>
          <w:lang w:val="en-GB" w:eastAsia="en-GB"/>
        </w:rPr>
        <w:t xml:space="preserve"> advise </w:t>
      </w:r>
      <w:r w:rsidR="4557A937" w:rsidRPr="00845FB7">
        <w:rPr>
          <w:rFonts w:eastAsia="Roboto" w:cstheme="majorBidi"/>
          <w:szCs w:val="20"/>
          <w:lang w:val="en-GB"/>
        </w:rPr>
        <w:t xml:space="preserve">the President </w:t>
      </w:r>
      <w:proofErr w:type="gramStart"/>
      <w:r w:rsidR="4557A937" w:rsidRPr="00845FB7">
        <w:rPr>
          <w:rFonts w:eastAsia="Roboto" w:cstheme="majorBidi"/>
          <w:szCs w:val="20"/>
          <w:lang w:val="en-GB"/>
        </w:rPr>
        <w:t>with regard to</w:t>
      </w:r>
      <w:proofErr w:type="gramEnd"/>
      <w:r w:rsidR="4557A937" w:rsidRPr="00845FB7">
        <w:rPr>
          <w:rFonts w:eastAsia="Roboto" w:cstheme="majorBidi"/>
          <w:szCs w:val="20"/>
          <w:lang w:val="en-GB"/>
        </w:rPr>
        <w:t xml:space="preserve"> the overall management of the intergovernmental process.</w:t>
      </w:r>
      <w:r w:rsidRPr="00845FB7">
        <w:rPr>
          <w:rFonts w:cstheme="majorBidi"/>
          <w:szCs w:val="20"/>
          <w:lang w:val="en-GB" w:eastAsia="en-GB"/>
        </w:rPr>
        <w:t xml:space="preserve"> Meeting documents are prepared.</w:t>
      </w:r>
    </w:p>
    <w:p w14:paraId="167AA21B" w14:textId="62739AC0" w:rsidR="00447D05" w:rsidRPr="00845FB7" w:rsidRDefault="00447D05" w:rsidP="00461634">
      <w:pPr>
        <w:keepNext/>
        <w:spacing w:before="240"/>
        <w:rPr>
          <w:rFonts w:cstheme="majorBidi"/>
          <w:b/>
          <w:bCs/>
          <w:lang w:val="en-GB" w:eastAsia="en-GB"/>
        </w:rPr>
      </w:pPr>
      <w:r w:rsidRPr="00845FB7">
        <w:rPr>
          <w:rFonts w:cstheme="majorBidi"/>
          <w:b/>
          <w:bCs/>
          <w:lang w:val="en-GB" w:eastAsia="en-GB"/>
        </w:rPr>
        <w:lastRenderedPageBreak/>
        <w:t>ACTIVITIES</w:t>
      </w:r>
    </w:p>
    <w:p w14:paraId="4BB38E3D" w14:textId="4949F91F" w:rsidR="00082C4C" w:rsidRPr="00845FB7" w:rsidRDefault="00082C4C" w:rsidP="00461634">
      <w:pPr>
        <w:pStyle w:val="ListParagraph"/>
        <w:keepNext/>
        <w:numPr>
          <w:ilvl w:val="0"/>
          <w:numId w:val="3"/>
        </w:numPr>
        <w:spacing w:after="60" w:line="240" w:lineRule="auto"/>
        <w:jc w:val="left"/>
        <w:rPr>
          <w:rFonts w:eastAsia="Times New Roman" w:cstheme="majorBidi"/>
          <w:szCs w:val="20"/>
          <w:lang w:val="en-GB"/>
        </w:rPr>
      </w:pPr>
      <w:r w:rsidRPr="00845FB7">
        <w:rPr>
          <w:rFonts w:eastAsia="Times New Roman" w:cstheme="majorBidi"/>
          <w:szCs w:val="20"/>
          <w:lang w:val="en-GB"/>
        </w:rPr>
        <w:t xml:space="preserve">Prepare and </w:t>
      </w:r>
      <w:r w:rsidR="00AF5225" w:rsidRPr="00845FB7">
        <w:rPr>
          <w:rFonts w:eastAsia="Times New Roman" w:cstheme="majorBidi"/>
          <w:szCs w:val="20"/>
          <w:lang w:val="en-GB"/>
        </w:rPr>
        <w:t xml:space="preserve">circulate </w:t>
      </w:r>
      <w:r w:rsidRPr="00845FB7">
        <w:rPr>
          <w:rFonts w:eastAsia="Times New Roman" w:cstheme="majorBidi"/>
          <w:szCs w:val="20"/>
          <w:lang w:val="en-GB"/>
        </w:rPr>
        <w:t>documentation for the meetings</w:t>
      </w:r>
      <w:r w:rsidR="00B47020" w:rsidRPr="00845FB7">
        <w:rPr>
          <w:rFonts w:eastAsia="Times New Roman" w:cstheme="majorBidi"/>
          <w:szCs w:val="20"/>
          <w:lang w:val="en-GB"/>
        </w:rPr>
        <w:t xml:space="preserve"> (staff costs)</w:t>
      </w:r>
      <w:r w:rsidRPr="00845FB7">
        <w:rPr>
          <w:rFonts w:eastAsia="Times New Roman" w:cstheme="majorBidi"/>
          <w:szCs w:val="20"/>
          <w:lang w:val="en-GB"/>
        </w:rPr>
        <w:t>;</w:t>
      </w:r>
    </w:p>
    <w:p w14:paraId="42649B1E" w14:textId="09893754" w:rsidR="00082C4C" w:rsidRPr="00845FB7" w:rsidRDefault="00082C4C" w:rsidP="00BD36F8">
      <w:pPr>
        <w:pStyle w:val="ListParagraph"/>
        <w:numPr>
          <w:ilvl w:val="0"/>
          <w:numId w:val="3"/>
        </w:numPr>
        <w:spacing w:after="60" w:line="240" w:lineRule="auto"/>
        <w:jc w:val="left"/>
        <w:rPr>
          <w:rFonts w:eastAsia="Times New Roman" w:cstheme="majorBidi"/>
          <w:szCs w:val="20"/>
          <w:lang w:val="en-GB"/>
        </w:rPr>
      </w:pPr>
      <w:r w:rsidRPr="00845FB7">
        <w:rPr>
          <w:rFonts w:eastAsia="Times New Roman" w:cstheme="majorBidi"/>
          <w:szCs w:val="20"/>
          <w:lang w:val="en-GB"/>
        </w:rPr>
        <w:t>Prepare and dispatch invitations</w:t>
      </w:r>
      <w:r w:rsidR="00B47020" w:rsidRPr="00845FB7">
        <w:rPr>
          <w:rFonts w:eastAsia="Times New Roman" w:cstheme="majorBidi"/>
          <w:szCs w:val="20"/>
          <w:lang w:val="en-GB"/>
        </w:rPr>
        <w:t xml:space="preserve"> (staff costs)</w:t>
      </w:r>
      <w:r w:rsidRPr="00845FB7">
        <w:rPr>
          <w:rFonts w:eastAsia="Times New Roman" w:cstheme="majorBidi"/>
          <w:szCs w:val="20"/>
          <w:lang w:val="en-GB"/>
        </w:rPr>
        <w:t>;</w:t>
      </w:r>
    </w:p>
    <w:p w14:paraId="62152BA9" w14:textId="41644E05" w:rsidR="0084440D" w:rsidRPr="00845FB7" w:rsidRDefault="00082C4C" w:rsidP="00BD36F8">
      <w:pPr>
        <w:pStyle w:val="ListParagraph"/>
        <w:numPr>
          <w:ilvl w:val="0"/>
          <w:numId w:val="3"/>
        </w:numPr>
        <w:spacing w:after="60" w:line="240" w:lineRule="auto"/>
        <w:jc w:val="left"/>
        <w:rPr>
          <w:rFonts w:eastAsia="Times New Roman" w:cstheme="majorBidi"/>
          <w:szCs w:val="20"/>
          <w:lang w:val="en-GB"/>
        </w:rPr>
      </w:pPr>
      <w:r w:rsidRPr="00845FB7">
        <w:rPr>
          <w:rFonts w:eastAsia="Times New Roman" w:cstheme="majorBidi"/>
          <w:szCs w:val="20"/>
          <w:lang w:val="en-GB"/>
        </w:rPr>
        <w:t xml:space="preserve">Organize travel of sponsored </w:t>
      </w:r>
      <w:r w:rsidR="00512DAD" w:rsidRPr="00845FB7">
        <w:rPr>
          <w:rFonts w:eastAsia="Times New Roman" w:cstheme="majorBidi"/>
          <w:szCs w:val="20"/>
          <w:lang w:val="en-GB"/>
        </w:rPr>
        <w:t>B</w:t>
      </w:r>
      <w:r w:rsidRPr="00845FB7">
        <w:rPr>
          <w:rFonts w:eastAsia="Times New Roman" w:cstheme="majorBidi"/>
          <w:szCs w:val="20"/>
          <w:lang w:val="en-GB"/>
        </w:rPr>
        <w:t>ureau members, including ex-officio members, as appropriate</w:t>
      </w:r>
      <w:r w:rsidR="00B47020" w:rsidRPr="00845FB7">
        <w:rPr>
          <w:rFonts w:eastAsia="Times New Roman" w:cstheme="majorBidi"/>
          <w:szCs w:val="20"/>
          <w:lang w:val="en-GB"/>
        </w:rPr>
        <w:t>;</w:t>
      </w:r>
    </w:p>
    <w:p w14:paraId="289FA963" w14:textId="74F94A9C" w:rsidR="00082C4C" w:rsidRPr="00845FB7" w:rsidRDefault="0084440D" w:rsidP="00BD36F8">
      <w:pPr>
        <w:pStyle w:val="ListParagraph"/>
        <w:numPr>
          <w:ilvl w:val="0"/>
          <w:numId w:val="3"/>
        </w:numPr>
        <w:spacing w:after="60" w:line="240" w:lineRule="auto"/>
        <w:jc w:val="left"/>
        <w:rPr>
          <w:rFonts w:eastAsia="Times New Roman" w:cstheme="majorBidi"/>
          <w:szCs w:val="20"/>
          <w:lang w:val="en-GB"/>
        </w:rPr>
      </w:pPr>
      <w:r w:rsidRPr="00845FB7">
        <w:rPr>
          <w:rFonts w:eastAsia="Times New Roman" w:cstheme="majorBidi"/>
          <w:szCs w:val="20"/>
          <w:lang w:val="en-GB"/>
        </w:rPr>
        <w:t>O</w:t>
      </w:r>
      <w:r w:rsidR="001F669D" w:rsidRPr="00845FB7">
        <w:rPr>
          <w:rFonts w:eastAsia="Times New Roman" w:cstheme="majorBidi"/>
          <w:szCs w:val="20"/>
          <w:lang w:val="en-GB"/>
        </w:rPr>
        <w:t>rganize virtual meetings</w:t>
      </w:r>
      <w:r w:rsidR="00367500" w:rsidRPr="00845FB7">
        <w:rPr>
          <w:rFonts w:eastAsia="Times New Roman" w:cstheme="majorBidi"/>
          <w:szCs w:val="20"/>
          <w:lang w:val="en-GB"/>
        </w:rPr>
        <w:t xml:space="preserve"> (staff costs)</w:t>
      </w:r>
      <w:r w:rsidR="00082C4C" w:rsidRPr="00845FB7">
        <w:rPr>
          <w:rFonts w:eastAsia="Times New Roman" w:cstheme="majorBidi"/>
          <w:szCs w:val="20"/>
          <w:lang w:val="en-GB"/>
        </w:rPr>
        <w:t>;</w:t>
      </w:r>
    </w:p>
    <w:p w14:paraId="10320C7D" w14:textId="58529447" w:rsidR="00082C4C" w:rsidRPr="00845FB7" w:rsidRDefault="00082C4C" w:rsidP="00BD36F8">
      <w:pPr>
        <w:pStyle w:val="ListParagraph"/>
        <w:numPr>
          <w:ilvl w:val="0"/>
          <w:numId w:val="3"/>
        </w:numPr>
        <w:spacing w:after="60" w:line="240" w:lineRule="auto"/>
        <w:jc w:val="left"/>
        <w:rPr>
          <w:rFonts w:eastAsia="Times New Roman" w:cstheme="majorBidi"/>
          <w:szCs w:val="20"/>
          <w:lang w:val="en-GB"/>
        </w:rPr>
      </w:pPr>
      <w:r w:rsidRPr="00845FB7">
        <w:rPr>
          <w:rFonts w:eastAsia="Times New Roman" w:cstheme="majorBidi"/>
          <w:szCs w:val="20"/>
          <w:lang w:val="en-GB"/>
        </w:rPr>
        <w:t>Provide logistical support;</w:t>
      </w:r>
    </w:p>
    <w:p w14:paraId="7885A132" w14:textId="2BD34E80" w:rsidR="00C45CC2" w:rsidRPr="00845FB7" w:rsidRDefault="00082C4C" w:rsidP="00BD36F8">
      <w:pPr>
        <w:pStyle w:val="ListParagraph"/>
        <w:numPr>
          <w:ilvl w:val="0"/>
          <w:numId w:val="3"/>
        </w:numPr>
        <w:spacing w:after="60"/>
        <w:rPr>
          <w:lang w:val="en-GB"/>
        </w:rPr>
      </w:pPr>
      <w:r w:rsidRPr="00845FB7">
        <w:rPr>
          <w:rFonts w:eastAsia="Times New Roman" w:cstheme="majorBidi"/>
          <w:szCs w:val="20"/>
          <w:lang w:val="en-GB"/>
        </w:rPr>
        <w:t xml:space="preserve">Support the </w:t>
      </w:r>
      <w:r w:rsidR="00B47020" w:rsidRPr="00845FB7">
        <w:rPr>
          <w:rFonts w:eastAsia="Times New Roman" w:cstheme="majorBidi"/>
          <w:szCs w:val="20"/>
          <w:lang w:val="en-GB"/>
        </w:rPr>
        <w:t>B</w:t>
      </w:r>
      <w:r w:rsidRPr="00845FB7">
        <w:rPr>
          <w:rFonts w:eastAsia="Times New Roman" w:cstheme="majorBidi"/>
          <w:szCs w:val="20"/>
          <w:lang w:val="en-GB"/>
        </w:rPr>
        <w:t>ureau and the Presidents during and between meetings</w:t>
      </w:r>
      <w:r w:rsidR="00B47020" w:rsidRPr="00845FB7">
        <w:rPr>
          <w:rFonts w:eastAsia="Times New Roman" w:cstheme="majorBidi"/>
          <w:szCs w:val="20"/>
          <w:lang w:val="en-GB"/>
        </w:rPr>
        <w:t xml:space="preserve"> (staff costs)</w:t>
      </w:r>
      <w:r w:rsidRPr="00845FB7">
        <w:rPr>
          <w:rFonts w:eastAsia="Times New Roman" w:cstheme="majorBidi"/>
          <w:szCs w:val="20"/>
          <w:lang w:val="en-GB"/>
        </w:rPr>
        <w:t>;</w:t>
      </w:r>
    </w:p>
    <w:p w14:paraId="779D9C7A" w14:textId="099B0D2A" w:rsidR="00447D05" w:rsidRPr="00845FB7" w:rsidRDefault="00082C4C" w:rsidP="00BD36F8">
      <w:pPr>
        <w:pStyle w:val="ListParagraph"/>
        <w:numPr>
          <w:ilvl w:val="0"/>
          <w:numId w:val="3"/>
        </w:numPr>
        <w:spacing w:after="60"/>
        <w:rPr>
          <w:b/>
          <w:bCs/>
          <w:lang w:val="en-GB" w:eastAsia="en-GB"/>
        </w:rPr>
      </w:pPr>
      <w:r w:rsidRPr="00845FB7">
        <w:rPr>
          <w:rFonts w:eastAsia="Times New Roman" w:cstheme="majorBidi"/>
          <w:szCs w:val="20"/>
          <w:lang w:val="en-GB"/>
        </w:rPr>
        <w:t>Prepare the reports of the meetings and follow up on guidance provided at the meetings</w:t>
      </w:r>
      <w:r w:rsidR="00D9252B" w:rsidRPr="00845FB7">
        <w:rPr>
          <w:rFonts w:eastAsia="Times New Roman" w:cstheme="majorBidi"/>
          <w:szCs w:val="20"/>
          <w:lang w:val="en-GB"/>
        </w:rPr>
        <w:t xml:space="preserve"> (staff costs).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447D05" w:rsidRPr="00845FB7" w14:paraId="61F44D7F" w14:textId="77777777" w:rsidTr="000C038C">
        <w:tc>
          <w:tcPr>
            <w:tcW w:w="4508" w:type="dxa"/>
          </w:tcPr>
          <w:p w14:paraId="5BE06619" w14:textId="64F14681" w:rsidR="00C45CC2" w:rsidRPr="00845FB7" w:rsidRDefault="00C45CC2" w:rsidP="00BD36F8">
            <w:pPr>
              <w:spacing w:before="240" w:after="120"/>
              <w:ind w:left="363"/>
              <w:rPr>
                <w:rFonts w:cstheme="majorBidi"/>
                <w:b/>
                <w:bCs/>
                <w:szCs w:val="20"/>
                <w:lang w:val="en-GB" w:eastAsia="en-GB"/>
              </w:rPr>
            </w:pPr>
            <w:r w:rsidRPr="00845FB7">
              <w:rPr>
                <w:b/>
                <w:bCs/>
                <w:lang w:val="en-GB" w:eastAsia="en-GB"/>
              </w:rPr>
              <w:t xml:space="preserve">INDICATORS OF </w:t>
            </w:r>
            <w:r w:rsidRPr="00845FB7">
              <w:rPr>
                <w:rFonts w:cstheme="majorBidi"/>
                <w:b/>
                <w:bCs/>
                <w:szCs w:val="20"/>
                <w:lang w:val="en-GB" w:eastAsia="en-GB"/>
              </w:rPr>
              <w:t>ACHIEVEMENT</w:t>
            </w:r>
          </w:p>
          <w:p w14:paraId="45E24314" w14:textId="13C05AED" w:rsidR="00220419" w:rsidRPr="00845FB7" w:rsidRDefault="00220419" w:rsidP="00BD36F8">
            <w:pPr>
              <w:pStyle w:val="ListParagraph"/>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 xml:space="preserve">Meetings of the </w:t>
            </w:r>
            <w:r w:rsidR="00367500" w:rsidRPr="00845FB7">
              <w:rPr>
                <w:rFonts w:cstheme="majorBidi"/>
                <w:szCs w:val="20"/>
                <w:lang w:val="en-GB" w:eastAsia="en-GB"/>
              </w:rPr>
              <w:t>B</w:t>
            </w:r>
            <w:r w:rsidRPr="00845FB7">
              <w:rPr>
                <w:rFonts w:cstheme="majorBidi"/>
                <w:szCs w:val="20"/>
                <w:lang w:val="en-GB" w:eastAsia="en-GB"/>
              </w:rPr>
              <w:t>ureau organized;</w:t>
            </w:r>
          </w:p>
          <w:p w14:paraId="14342CF6" w14:textId="77777777" w:rsidR="00220419" w:rsidRPr="00845FB7" w:rsidRDefault="00220419" w:rsidP="00BD36F8">
            <w:pPr>
              <w:pStyle w:val="ListParagraph"/>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Documentation for the meetings, including meetings reports, available;</w:t>
            </w:r>
          </w:p>
          <w:p w14:paraId="30AD92EA" w14:textId="4011E05F" w:rsidR="00220419" w:rsidRPr="00845FB7" w:rsidRDefault="00220419" w:rsidP="00BD36F8">
            <w:pPr>
              <w:pStyle w:val="ListParagraph"/>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 xml:space="preserve">Effective support is provided by the </w:t>
            </w:r>
            <w:r w:rsidR="00E5099D" w:rsidRPr="00845FB7">
              <w:rPr>
                <w:rFonts w:cstheme="majorBidi"/>
                <w:szCs w:val="20"/>
                <w:lang w:val="en-GB" w:eastAsia="en-GB"/>
              </w:rPr>
              <w:t>S</w:t>
            </w:r>
            <w:r w:rsidRPr="00845FB7">
              <w:rPr>
                <w:rFonts w:cstheme="majorBidi"/>
                <w:szCs w:val="20"/>
                <w:lang w:val="en-GB" w:eastAsia="en-GB"/>
              </w:rPr>
              <w:t xml:space="preserve">ecretariat to </w:t>
            </w:r>
            <w:r w:rsidR="00367500" w:rsidRPr="00845FB7">
              <w:rPr>
                <w:rFonts w:cstheme="majorBidi"/>
                <w:szCs w:val="20"/>
                <w:lang w:val="en-GB" w:eastAsia="en-GB"/>
              </w:rPr>
              <w:t>B</w:t>
            </w:r>
            <w:r w:rsidRPr="00845FB7">
              <w:rPr>
                <w:rFonts w:cstheme="majorBidi"/>
                <w:szCs w:val="20"/>
                <w:lang w:val="en-GB" w:eastAsia="en-GB"/>
              </w:rPr>
              <w:t>ureau members during the meetings;</w:t>
            </w:r>
          </w:p>
          <w:p w14:paraId="44841127" w14:textId="63A3B5A0" w:rsidR="00447D05" w:rsidRPr="00845FB7" w:rsidRDefault="00220419" w:rsidP="00BD36F8">
            <w:pPr>
              <w:pStyle w:val="ListParagraph"/>
              <w:numPr>
                <w:ilvl w:val="0"/>
                <w:numId w:val="4"/>
              </w:numPr>
              <w:spacing w:after="60"/>
              <w:ind w:left="714" w:hanging="357"/>
              <w:contextualSpacing w:val="0"/>
              <w:rPr>
                <w:rFonts w:cstheme="majorBidi"/>
                <w:b/>
                <w:bCs/>
                <w:szCs w:val="20"/>
                <w:lang w:val="en-GB" w:eastAsia="en-GB"/>
              </w:rPr>
            </w:pPr>
            <w:r w:rsidRPr="00845FB7">
              <w:rPr>
                <w:rFonts w:cstheme="majorBidi"/>
                <w:szCs w:val="20"/>
                <w:lang w:val="en-GB" w:eastAsia="en-GB"/>
              </w:rPr>
              <w:t xml:space="preserve">Number of men/women elected as </w:t>
            </w:r>
            <w:r w:rsidR="00A20B5B" w:rsidRPr="00845FB7">
              <w:rPr>
                <w:rFonts w:cstheme="majorBidi"/>
                <w:szCs w:val="20"/>
                <w:lang w:val="en-GB" w:eastAsia="en-GB"/>
              </w:rPr>
              <w:t>B</w:t>
            </w:r>
            <w:r w:rsidRPr="00845FB7">
              <w:rPr>
                <w:rFonts w:cstheme="majorBidi"/>
                <w:szCs w:val="20"/>
                <w:lang w:val="en-GB" w:eastAsia="en-GB"/>
              </w:rPr>
              <w:t>ureau members.</w:t>
            </w:r>
          </w:p>
        </w:tc>
        <w:tc>
          <w:tcPr>
            <w:tcW w:w="4508" w:type="dxa"/>
          </w:tcPr>
          <w:p w14:paraId="1992D5B8" w14:textId="77777777" w:rsidR="00447D05" w:rsidRPr="00845FB7" w:rsidRDefault="00447D05"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3499CFC8" w14:textId="40084BB1" w:rsidR="006F5629" w:rsidRPr="00845FB7" w:rsidRDefault="006F5629" w:rsidP="00BD36F8">
            <w:pPr>
              <w:keepNext/>
              <w:numPr>
                <w:ilvl w:val="0"/>
                <w:numId w:val="4"/>
              </w:numPr>
              <w:snapToGrid w:val="0"/>
              <w:spacing w:after="60"/>
              <w:ind w:left="714" w:hanging="357"/>
              <w:jc w:val="left"/>
              <w:rPr>
                <w:rFonts w:cstheme="majorBidi"/>
                <w:szCs w:val="20"/>
                <w:lang w:val="en-GB"/>
              </w:rPr>
            </w:pPr>
            <w:r w:rsidRPr="00845FB7">
              <w:rPr>
                <w:rFonts w:cstheme="majorBidi"/>
                <w:szCs w:val="20"/>
                <w:lang w:val="en-GB"/>
              </w:rPr>
              <w:t xml:space="preserve">Reports and lists of participants of the meetings of the </w:t>
            </w:r>
            <w:r w:rsidR="00A20B5B" w:rsidRPr="00845FB7">
              <w:rPr>
                <w:rFonts w:cstheme="majorBidi"/>
                <w:szCs w:val="20"/>
                <w:lang w:val="en-GB"/>
              </w:rPr>
              <w:t>B</w:t>
            </w:r>
            <w:r w:rsidRPr="00845FB7">
              <w:rPr>
                <w:rFonts w:cstheme="majorBidi"/>
                <w:szCs w:val="20"/>
                <w:lang w:val="en-GB"/>
              </w:rPr>
              <w:t>ureau;</w:t>
            </w:r>
          </w:p>
          <w:p w14:paraId="0BC4FDC8" w14:textId="77777777" w:rsidR="006F5629" w:rsidRPr="00845FB7" w:rsidRDefault="006F5629" w:rsidP="00BD36F8">
            <w:pPr>
              <w:keepNext/>
              <w:numPr>
                <w:ilvl w:val="0"/>
                <w:numId w:val="4"/>
              </w:numPr>
              <w:snapToGrid w:val="0"/>
              <w:spacing w:after="60"/>
              <w:ind w:left="714" w:hanging="357"/>
              <w:jc w:val="left"/>
              <w:rPr>
                <w:rFonts w:cstheme="majorBidi"/>
                <w:szCs w:val="20"/>
                <w:lang w:val="en-GB"/>
              </w:rPr>
            </w:pPr>
            <w:r w:rsidRPr="00845FB7">
              <w:rPr>
                <w:rFonts w:cstheme="majorBidi"/>
                <w:szCs w:val="20"/>
                <w:lang w:val="en-GB"/>
              </w:rPr>
              <w:t>Meetings webpages;</w:t>
            </w:r>
          </w:p>
          <w:p w14:paraId="1F489822" w14:textId="2B982138" w:rsidR="006F5629" w:rsidRPr="00845FB7" w:rsidRDefault="006F5629" w:rsidP="00BD36F8">
            <w:pPr>
              <w:keepNext/>
              <w:numPr>
                <w:ilvl w:val="0"/>
                <w:numId w:val="4"/>
              </w:numPr>
              <w:snapToGrid w:val="0"/>
              <w:spacing w:after="60"/>
              <w:ind w:left="714" w:hanging="357"/>
              <w:jc w:val="left"/>
              <w:rPr>
                <w:rFonts w:cstheme="majorBidi"/>
                <w:szCs w:val="20"/>
                <w:lang w:val="en-GB"/>
              </w:rPr>
            </w:pPr>
            <w:r w:rsidRPr="00845FB7">
              <w:rPr>
                <w:rFonts w:cstheme="majorBidi"/>
                <w:szCs w:val="20"/>
                <w:lang w:val="en-GB"/>
              </w:rPr>
              <w:t xml:space="preserve">Feedback from </w:t>
            </w:r>
            <w:r w:rsidR="00A20B5B" w:rsidRPr="00845FB7">
              <w:rPr>
                <w:rFonts w:cstheme="majorBidi"/>
                <w:szCs w:val="20"/>
                <w:lang w:val="en-GB"/>
              </w:rPr>
              <w:t>B</w:t>
            </w:r>
            <w:r w:rsidRPr="00845FB7">
              <w:rPr>
                <w:rFonts w:cstheme="majorBidi"/>
                <w:szCs w:val="20"/>
                <w:lang w:val="en-GB"/>
              </w:rPr>
              <w:t>ureau members;</w:t>
            </w:r>
          </w:p>
          <w:p w14:paraId="5B2CD500" w14:textId="28C1B970" w:rsidR="00447D05" w:rsidRPr="00845FB7" w:rsidRDefault="006F5629" w:rsidP="00BD36F8">
            <w:pPr>
              <w:pStyle w:val="ListParagraph"/>
              <w:numPr>
                <w:ilvl w:val="0"/>
                <w:numId w:val="4"/>
              </w:numPr>
              <w:spacing w:after="60"/>
              <w:ind w:left="714" w:hanging="357"/>
              <w:contextualSpacing w:val="0"/>
              <w:rPr>
                <w:rFonts w:cstheme="majorBidi"/>
                <w:szCs w:val="20"/>
                <w:lang w:val="en-GB" w:eastAsia="en-GB"/>
              </w:rPr>
            </w:pPr>
            <w:r w:rsidRPr="00845FB7">
              <w:rPr>
                <w:rFonts w:cstheme="majorBidi"/>
                <w:szCs w:val="20"/>
                <w:lang w:val="en-GB"/>
              </w:rPr>
              <w:t xml:space="preserve">Lists of participants of the </w:t>
            </w:r>
            <w:r w:rsidR="00A20B5B" w:rsidRPr="00845FB7">
              <w:rPr>
                <w:rFonts w:cstheme="majorBidi"/>
                <w:szCs w:val="20"/>
                <w:lang w:val="en-GB"/>
              </w:rPr>
              <w:t>B</w:t>
            </w:r>
            <w:r w:rsidRPr="00845FB7">
              <w:rPr>
                <w:rFonts w:cstheme="majorBidi"/>
                <w:szCs w:val="20"/>
                <w:lang w:val="en-GB"/>
              </w:rPr>
              <w:t>ureau meetings.</w:t>
            </w:r>
          </w:p>
        </w:tc>
      </w:tr>
    </w:tbl>
    <w:p w14:paraId="0562117E" w14:textId="179D4F0E" w:rsidR="00447D05" w:rsidRPr="00845FB7" w:rsidRDefault="00447D05" w:rsidP="00447D05">
      <w:pPr>
        <w:pStyle w:val="Heading3"/>
        <w:rPr>
          <w:sz w:val="24"/>
          <w:lang w:val="en-GB"/>
        </w:rPr>
      </w:pPr>
      <w:r w:rsidRPr="00845FB7">
        <w:rPr>
          <w:sz w:val="24"/>
          <w:lang w:val="en-GB"/>
        </w:rPr>
        <w:t>Partners</w:t>
      </w:r>
    </w:p>
    <w:p w14:paraId="1E45B01E" w14:textId="08B11BFB" w:rsidR="00447D05" w:rsidRPr="00845FB7" w:rsidRDefault="006F5629" w:rsidP="00BD36F8">
      <w:pPr>
        <w:spacing w:after="60" w:line="276" w:lineRule="auto"/>
        <w:rPr>
          <w:rFonts w:cstheme="majorBidi"/>
          <w:lang w:val="en-GB"/>
        </w:rPr>
      </w:pPr>
      <w:r w:rsidRPr="00845FB7">
        <w:rPr>
          <w:rFonts w:cstheme="majorBidi"/>
          <w:lang w:val="en-GB"/>
        </w:rPr>
        <w:t>N/A</w:t>
      </w:r>
      <w:r w:rsidR="00447D05" w:rsidRPr="00845FB7">
        <w:rPr>
          <w:rFonts w:cstheme="majorBidi"/>
          <w:lang w:val="en-GB"/>
        </w:rPr>
        <w:t>.</w:t>
      </w:r>
    </w:p>
    <w:p w14:paraId="72824237" w14:textId="733CFA85" w:rsidR="00447D05" w:rsidRPr="00845FB7" w:rsidRDefault="00447D05" w:rsidP="00447D05">
      <w:pPr>
        <w:pStyle w:val="Heading3"/>
        <w:rPr>
          <w:sz w:val="24"/>
          <w:lang w:val="en-GB"/>
        </w:rPr>
      </w:pPr>
      <w:r w:rsidRPr="00845FB7">
        <w:rPr>
          <w:sz w:val="24"/>
          <w:lang w:val="en-GB"/>
        </w:rPr>
        <w:t>Socio-economic aspects</w:t>
      </w:r>
    </w:p>
    <w:p w14:paraId="67B04AC8" w14:textId="77777777" w:rsidR="00AE79F7" w:rsidRPr="00845FB7" w:rsidRDefault="00424AD0" w:rsidP="00BD36F8">
      <w:pPr>
        <w:snapToGrid w:val="0"/>
        <w:spacing w:after="120"/>
        <w:rPr>
          <w:rFonts w:cstheme="majorBidi"/>
          <w:szCs w:val="20"/>
          <w:lang w:val="en-GB"/>
        </w:rPr>
      </w:pPr>
      <w:r w:rsidRPr="00845FB7">
        <w:rPr>
          <w:rFonts w:cstheme="majorBidi"/>
          <w:b/>
          <w:bCs/>
          <w:szCs w:val="20"/>
          <w:lang w:val="en-GB"/>
        </w:rPr>
        <w:t>Sustainable Development Goals:</w:t>
      </w:r>
      <w:r w:rsidRPr="00845FB7">
        <w:rPr>
          <w:rFonts w:cstheme="majorBidi"/>
          <w:i/>
          <w:iCs/>
          <w:szCs w:val="20"/>
          <w:lang w:val="en-GB"/>
        </w:rPr>
        <w:t xml:space="preserve"> </w:t>
      </w:r>
      <w:r w:rsidRPr="00845FB7">
        <w:rPr>
          <w:rFonts w:cstheme="majorBidi"/>
          <w:szCs w:val="20"/>
          <w:lang w:val="en-GB" w:eastAsia="en-GB"/>
        </w:rPr>
        <w:t xml:space="preserve">In between sessions, the </w:t>
      </w:r>
      <w:r w:rsidR="00A20B5B" w:rsidRPr="00845FB7">
        <w:rPr>
          <w:rFonts w:cstheme="majorBidi"/>
          <w:szCs w:val="20"/>
          <w:lang w:val="en-GB" w:eastAsia="en-GB"/>
        </w:rPr>
        <w:t>B</w:t>
      </w:r>
      <w:r w:rsidRPr="00845FB7">
        <w:rPr>
          <w:rFonts w:cstheme="majorBidi"/>
          <w:szCs w:val="20"/>
          <w:lang w:val="en-GB" w:eastAsia="en-GB"/>
        </w:rPr>
        <w:t xml:space="preserve">ureau supports the </w:t>
      </w:r>
      <w:r w:rsidR="004B4BD0" w:rsidRPr="00845FB7">
        <w:rPr>
          <w:rFonts w:cstheme="majorBidi"/>
          <w:szCs w:val="20"/>
          <w:lang w:val="en-GB" w:eastAsia="en-GB"/>
        </w:rPr>
        <w:t>C</w:t>
      </w:r>
      <w:r w:rsidRPr="00845FB7">
        <w:rPr>
          <w:rFonts w:cstheme="majorBidi"/>
          <w:szCs w:val="20"/>
          <w:lang w:val="en-GB"/>
        </w:rPr>
        <w:t xml:space="preserve">onference of the Parties </w:t>
      </w:r>
      <w:r w:rsidRPr="00845FB7">
        <w:rPr>
          <w:rFonts w:cstheme="majorBidi"/>
          <w:szCs w:val="20"/>
          <w:lang w:val="en-GB" w:eastAsia="en-GB"/>
        </w:rPr>
        <w:t xml:space="preserve">through the provision of advice to the </w:t>
      </w:r>
      <w:r w:rsidR="593F3A34" w:rsidRPr="00845FB7">
        <w:rPr>
          <w:rFonts w:cstheme="majorBidi"/>
          <w:szCs w:val="20"/>
          <w:lang w:val="en-GB" w:eastAsia="en-GB"/>
        </w:rPr>
        <w:t xml:space="preserve">President </w:t>
      </w:r>
      <w:proofErr w:type="gramStart"/>
      <w:r w:rsidR="593F3A34" w:rsidRPr="00845FB7">
        <w:rPr>
          <w:rFonts w:cstheme="majorBidi"/>
          <w:szCs w:val="20"/>
          <w:lang w:val="en-GB" w:eastAsia="en-GB"/>
        </w:rPr>
        <w:t>with regard to</w:t>
      </w:r>
      <w:proofErr w:type="gramEnd"/>
      <w:r w:rsidR="593F3A34" w:rsidRPr="00845FB7">
        <w:rPr>
          <w:rFonts w:cstheme="majorBidi"/>
          <w:szCs w:val="20"/>
          <w:lang w:val="en-GB" w:eastAsia="en-GB"/>
        </w:rPr>
        <w:t xml:space="preserve"> the overall management of the intergovernmental process.</w:t>
      </w:r>
      <w:r w:rsidRPr="00845FB7">
        <w:rPr>
          <w:rFonts w:cstheme="majorBidi"/>
          <w:szCs w:val="20"/>
          <w:lang w:val="en-GB" w:eastAsia="en-GB"/>
        </w:rPr>
        <w:t xml:space="preserve"> Bureau members represent their respective region and, as such, are pivotal to ensure good communication within regions and reporting the concerns that are specific to their regions. </w:t>
      </w:r>
      <w:r w:rsidRPr="00845FB7">
        <w:rPr>
          <w:rFonts w:cstheme="majorBidi"/>
          <w:szCs w:val="20"/>
          <w:lang w:val="en-GB"/>
        </w:rPr>
        <w:t xml:space="preserve">This </w:t>
      </w:r>
      <w:r w:rsidR="21851D89" w:rsidRPr="00845FB7">
        <w:rPr>
          <w:rFonts w:cstheme="majorBidi"/>
          <w:szCs w:val="20"/>
          <w:lang w:val="en-GB"/>
        </w:rPr>
        <w:t xml:space="preserve">will </w:t>
      </w:r>
      <w:r w:rsidRPr="00845FB7">
        <w:rPr>
          <w:rFonts w:cstheme="majorBidi"/>
          <w:szCs w:val="20"/>
          <w:lang w:val="en-GB"/>
        </w:rPr>
        <w:t xml:space="preserve">contribute to ensuring informed participation of developing-country </w:t>
      </w:r>
      <w:r w:rsidR="0014388E" w:rsidRPr="00845FB7">
        <w:rPr>
          <w:rFonts w:cstheme="majorBidi"/>
          <w:szCs w:val="20"/>
          <w:lang w:val="en-GB"/>
        </w:rPr>
        <w:t>P</w:t>
      </w:r>
      <w:r w:rsidRPr="00845FB7">
        <w:rPr>
          <w:rFonts w:cstheme="majorBidi"/>
          <w:szCs w:val="20"/>
          <w:lang w:val="en-GB"/>
        </w:rPr>
        <w:t xml:space="preserve">arties and </w:t>
      </w:r>
      <w:r w:rsidR="0014388E" w:rsidRPr="00845FB7">
        <w:rPr>
          <w:rFonts w:cstheme="majorBidi"/>
          <w:szCs w:val="20"/>
          <w:lang w:val="en-GB"/>
        </w:rPr>
        <w:t>P</w:t>
      </w:r>
      <w:r w:rsidRPr="00845FB7">
        <w:rPr>
          <w:rFonts w:cstheme="majorBidi"/>
          <w:szCs w:val="20"/>
          <w:lang w:val="en-GB"/>
        </w:rPr>
        <w:t xml:space="preserve">arties with economies in transition in the meeting of the </w:t>
      </w:r>
      <w:r w:rsidR="00484C49" w:rsidRPr="00845FB7">
        <w:rPr>
          <w:rFonts w:cstheme="majorBidi"/>
          <w:szCs w:val="20"/>
          <w:lang w:val="en-GB"/>
        </w:rPr>
        <w:t>C</w:t>
      </w:r>
      <w:r w:rsidRPr="00845FB7">
        <w:rPr>
          <w:rFonts w:cstheme="majorBidi"/>
          <w:szCs w:val="20"/>
          <w:lang w:val="en-GB"/>
        </w:rPr>
        <w:t>onference of the Parties in 20</w:t>
      </w:r>
      <w:r w:rsidR="008C303E" w:rsidRPr="00845FB7">
        <w:rPr>
          <w:rFonts w:cstheme="majorBidi"/>
          <w:szCs w:val="20"/>
          <w:lang w:val="en-GB"/>
        </w:rPr>
        <w:t>25</w:t>
      </w:r>
      <w:r w:rsidRPr="00845FB7">
        <w:rPr>
          <w:rFonts w:cstheme="majorBidi"/>
          <w:szCs w:val="20"/>
          <w:lang w:val="en-GB"/>
        </w:rPr>
        <w:t>. As such, this activity contributes to the 2030 sustainable development agenda which reaffirmed the continued need for the participation of all countries, in particular developing countries, in global decision-making.</w:t>
      </w:r>
    </w:p>
    <w:p w14:paraId="4059A3D7" w14:textId="3F595428" w:rsidR="00424AD0" w:rsidRPr="00845FB7" w:rsidRDefault="26B4FB4B" w:rsidP="00BD36F8">
      <w:pPr>
        <w:snapToGrid w:val="0"/>
        <w:spacing w:after="120"/>
        <w:rPr>
          <w:lang w:val="en-GB"/>
        </w:rPr>
      </w:pPr>
      <w:r w:rsidRPr="00845FB7">
        <w:rPr>
          <w:rFonts w:cstheme="majorBidi"/>
          <w:b/>
          <w:bCs/>
          <w:lang w:val="en-GB"/>
        </w:rPr>
        <w:t>Balanced representation of men and women</w:t>
      </w:r>
      <w:r w:rsidR="00424AD0" w:rsidRPr="00845FB7">
        <w:rPr>
          <w:rFonts w:cstheme="majorBidi"/>
          <w:b/>
          <w:bCs/>
          <w:lang w:val="en-GB"/>
        </w:rPr>
        <w:t>:</w:t>
      </w:r>
      <w:r w:rsidR="00424AD0" w:rsidRPr="00845FB7">
        <w:rPr>
          <w:i/>
          <w:iCs/>
          <w:lang w:val="en-GB"/>
        </w:rPr>
        <w:t xml:space="preserve"> </w:t>
      </w:r>
      <w:r w:rsidR="00424AD0" w:rsidRPr="00845FB7">
        <w:rPr>
          <w:lang w:val="en-GB"/>
        </w:rPr>
        <w:t xml:space="preserve">The </w:t>
      </w:r>
      <w:r w:rsidR="0014388E" w:rsidRPr="00845FB7">
        <w:rPr>
          <w:lang w:val="en-GB"/>
        </w:rPr>
        <w:t>S</w:t>
      </w:r>
      <w:r w:rsidR="00424AD0" w:rsidRPr="00845FB7">
        <w:rPr>
          <w:lang w:val="en-GB"/>
        </w:rPr>
        <w:t xml:space="preserve">ecretariat will encourage a balanced representation </w:t>
      </w:r>
      <w:r w:rsidR="2C3679DC" w:rsidRPr="00845FB7">
        <w:rPr>
          <w:lang w:val="en-GB"/>
        </w:rPr>
        <w:t xml:space="preserve">of men and women </w:t>
      </w:r>
      <w:r w:rsidR="00424AD0" w:rsidRPr="00845FB7">
        <w:rPr>
          <w:lang w:val="en-GB"/>
        </w:rPr>
        <w:t xml:space="preserve">during the elections of officers. </w:t>
      </w:r>
      <w:r w:rsidR="00E61C3C" w:rsidRPr="00845FB7">
        <w:rPr>
          <w:lang w:val="en-GB"/>
        </w:rPr>
        <w:t>Among the current 1</w:t>
      </w:r>
      <w:r w:rsidR="00C6039E" w:rsidRPr="00845FB7">
        <w:rPr>
          <w:lang w:val="en-GB"/>
        </w:rPr>
        <w:t>0</w:t>
      </w:r>
      <w:r w:rsidR="00E61C3C" w:rsidRPr="00845FB7">
        <w:rPr>
          <w:lang w:val="en-GB"/>
        </w:rPr>
        <w:t xml:space="preserve"> </w:t>
      </w:r>
      <w:r w:rsidR="00C6039E" w:rsidRPr="00845FB7">
        <w:rPr>
          <w:lang w:val="en-GB"/>
        </w:rPr>
        <w:t>Bureau</w:t>
      </w:r>
      <w:r w:rsidR="00704B62" w:rsidRPr="00845FB7">
        <w:rPr>
          <w:lang w:val="en-GB"/>
        </w:rPr>
        <w:t xml:space="preserve"> members, </w:t>
      </w:r>
      <w:r w:rsidR="58BEDD05" w:rsidRPr="00845FB7">
        <w:rPr>
          <w:lang w:val="en-GB"/>
        </w:rPr>
        <w:t xml:space="preserve">there are 5 men and 5 women. </w:t>
      </w:r>
      <w:r w:rsidR="00E61C3C" w:rsidRPr="00845FB7">
        <w:rPr>
          <w:lang w:val="en-GB"/>
        </w:rPr>
        <w:t xml:space="preserve"> In the upcoming election of </w:t>
      </w:r>
      <w:r w:rsidR="00A93B28" w:rsidRPr="00845FB7">
        <w:rPr>
          <w:lang w:val="en-GB"/>
        </w:rPr>
        <w:t>B</w:t>
      </w:r>
      <w:r w:rsidR="00704B62" w:rsidRPr="00845FB7">
        <w:rPr>
          <w:lang w:val="en-GB"/>
        </w:rPr>
        <w:t>ureau</w:t>
      </w:r>
      <w:r w:rsidR="00E61C3C" w:rsidRPr="00845FB7">
        <w:rPr>
          <w:lang w:val="en-GB"/>
        </w:rPr>
        <w:t xml:space="preserve"> members, the </w:t>
      </w:r>
      <w:r w:rsidR="00C4681B" w:rsidRPr="00845FB7">
        <w:rPr>
          <w:lang w:val="en-GB"/>
        </w:rPr>
        <w:t>S</w:t>
      </w:r>
      <w:r w:rsidR="00E61C3C" w:rsidRPr="00845FB7">
        <w:rPr>
          <w:lang w:val="en-GB"/>
        </w:rPr>
        <w:t>ecretariat w</w:t>
      </w:r>
      <w:r w:rsidR="00B350A5" w:rsidRPr="00845FB7">
        <w:rPr>
          <w:lang w:val="en-GB"/>
        </w:rPr>
        <w:t>ill</w:t>
      </w:r>
      <w:r w:rsidR="00E61C3C" w:rsidRPr="00845FB7">
        <w:rPr>
          <w:lang w:val="en-GB"/>
        </w:rPr>
        <w:t xml:space="preserve"> encourage to </w:t>
      </w:r>
      <w:r w:rsidR="00B350A5" w:rsidRPr="00845FB7">
        <w:rPr>
          <w:lang w:val="en-GB"/>
        </w:rPr>
        <w:t>strive for</w:t>
      </w:r>
      <w:r w:rsidR="00E61C3C" w:rsidRPr="00845FB7">
        <w:rPr>
          <w:lang w:val="en-GB"/>
        </w:rPr>
        <w:t xml:space="preserve"> a balanced representation.</w:t>
      </w:r>
    </w:p>
    <w:p w14:paraId="5C675346" w14:textId="77777777" w:rsidR="00690E12" w:rsidRPr="00845FB7" w:rsidRDefault="00690E12" w:rsidP="00690E12">
      <w:pPr>
        <w:rPr>
          <w:rFonts w:cstheme="majorBidi"/>
          <w:lang w:val="en-GB"/>
        </w:rPr>
      </w:pPr>
    </w:p>
    <w:p w14:paraId="05485744" w14:textId="77777777" w:rsidR="00690E12" w:rsidRPr="00845FB7" w:rsidRDefault="00690E12" w:rsidP="00690E12">
      <w:pPr>
        <w:rPr>
          <w:lang w:val="en-GB"/>
        </w:rPr>
      </w:pPr>
    </w:p>
    <w:p w14:paraId="64C817F8" w14:textId="73F97FDA" w:rsidR="5035BBE0" w:rsidRPr="00845FB7" w:rsidRDefault="5035BBE0">
      <w:pPr>
        <w:rPr>
          <w:lang w:val="en-GB"/>
        </w:rPr>
      </w:pPr>
    </w:p>
    <w:p w14:paraId="67C74B2D" w14:textId="1013F177" w:rsidR="5035BBE0" w:rsidRPr="00845FB7" w:rsidRDefault="5035BBE0">
      <w:pPr>
        <w:rPr>
          <w:lang w:val="en-GB"/>
        </w:rPr>
      </w:pPr>
    </w:p>
    <w:p w14:paraId="0E743882" w14:textId="1B3D7191" w:rsidR="5035BBE0" w:rsidRPr="00845FB7" w:rsidRDefault="5035BBE0">
      <w:pPr>
        <w:rPr>
          <w:lang w:val="en-GB"/>
        </w:rPr>
      </w:pPr>
    </w:p>
    <w:p w14:paraId="21C89CA3" w14:textId="5A387C3B" w:rsidR="5035BBE0" w:rsidRPr="00845FB7" w:rsidRDefault="5035BBE0">
      <w:pPr>
        <w:rPr>
          <w:lang w:val="en-GB"/>
        </w:rPr>
      </w:pPr>
    </w:p>
    <w:p w14:paraId="3E8562C3" w14:textId="6E6D569F" w:rsidR="00925102" w:rsidRPr="00845FB7" w:rsidRDefault="00925102" w:rsidP="00925102">
      <w:pPr>
        <w:spacing w:after="0" w:line="240" w:lineRule="auto"/>
        <w:rPr>
          <w:rFonts w:eastAsia="Times New Roman" w:cs="Times New Roman"/>
          <w:b/>
          <w:bCs/>
          <w:color w:val="000000"/>
          <w:sz w:val="18"/>
          <w:szCs w:val="18"/>
          <w:lang w:val="en-GB"/>
        </w:rPr>
        <w:sectPr w:rsidR="00925102" w:rsidRPr="00845FB7" w:rsidSect="00BD36F8">
          <w:headerReference w:type="even" r:id="rId25"/>
          <w:headerReference w:type="first" r:id="rId26"/>
          <w:footerReference w:type="first" r:id="rId27"/>
          <w:type w:val="continuous"/>
          <w:pgSz w:w="11906" w:h="16838" w:code="9"/>
          <w:pgMar w:top="907" w:right="992" w:bottom="1418" w:left="1418" w:header="539" w:footer="975" w:gutter="0"/>
          <w:cols w:space="708"/>
          <w:titlePg/>
          <w:docGrid w:linePitch="360"/>
        </w:sectPr>
      </w:pPr>
    </w:p>
    <w:tbl>
      <w:tblPr>
        <w:tblpPr w:leftFromText="180" w:rightFromText="180" w:vertAnchor="page" w:horzAnchor="margin" w:tblpY="1831"/>
        <w:tblW w:w="4963" w:type="pct"/>
        <w:tblLayout w:type="fixed"/>
        <w:tblLook w:val="04A0" w:firstRow="1" w:lastRow="0" w:firstColumn="1" w:lastColumn="0" w:noHBand="0" w:noVBand="1"/>
      </w:tblPr>
      <w:tblGrid>
        <w:gridCol w:w="3376"/>
        <w:gridCol w:w="916"/>
        <w:gridCol w:w="916"/>
        <w:gridCol w:w="919"/>
        <w:gridCol w:w="916"/>
        <w:gridCol w:w="916"/>
        <w:gridCol w:w="919"/>
        <w:gridCol w:w="916"/>
        <w:gridCol w:w="916"/>
        <w:gridCol w:w="919"/>
        <w:gridCol w:w="839"/>
        <w:gridCol w:w="710"/>
        <w:gridCol w:w="1133"/>
      </w:tblGrid>
      <w:tr w:rsidR="005E3F12" w:rsidRPr="00845FB7" w14:paraId="1E6010B3" w14:textId="77777777" w:rsidTr="009166CA">
        <w:trPr>
          <w:trHeight w:val="340"/>
        </w:trPr>
        <w:tc>
          <w:tcPr>
            <w:tcW w:w="1180" w:type="pct"/>
            <w:vMerge w:val="restart"/>
            <w:tcBorders>
              <w:top w:val="single" w:sz="4" w:space="0" w:color="auto"/>
              <w:left w:val="single" w:sz="4" w:space="0" w:color="auto"/>
              <w:bottom w:val="single" w:sz="4" w:space="0" w:color="auto"/>
              <w:right w:val="single" w:sz="4" w:space="0" w:color="auto"/>
            </w:tcBorders>
            <w:noWrap/>
            <w:vAlign w:val="center"/>
            <w:hideMark/>
          </w:tcPr>
          <w:p w14:paraId="19E8741F" w14:textId="77777777"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lastRenderedPageBreak/>
              <w:t>Activity/Output</w:t>
            </w:r>
          </w:p>
        </w:tc>
        <w:tc>
          <w:tcPr>
            <w:tcW w:w="1922" w:type="pct"/>
            <w:gridSpan w:val="6"/>
            <w:tcBorders>
              <w:top w:val="single" w:sz="4" w:space="0" w:color="auto"/>
              <w:left w:val="nil"/>
              <w:bottom w:val="single" w:sz="4" w:space="0" w:color="auto"/>
              <w:right w:val="single" w:sz="4" w:space="0" w:color="auto"/>
            </w:tcBorders>
            <w:noWrap/>
            <w:vAlign w:val="center"/>
            <w:hideMark/>
          </w:tcPr>
          <w:p w14:paraId="05BB8A27" w14:textId="6BF5328F"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5</w:t>
            </w:r>
            <w:r w:rsidR="0048492A" w:rsidRPr="00845FB7">
              <w:rPr>
                <w:rFonts w:eastAsia="Times New Roman" w:cstheme="majorBidi"/>
                <w:b/>
                <w:bCs/>
                <w:color w:val="000000"/>
                <w:sz w:val="16"/>
                <w:szCs w:val="16"/>
                <w:lang w:val="en-GB"/>
              </w:rPr>
              <w:t xml:space="preserve"> per cent</w:t>
            </w:r>
            <w:r w:rsidRPr="00845FB7">
              <w:rPr>
                <w:rFonts w:eastAsia="Times New Roman" w:cstheme="majorBidi"/>
                <w:b/>
                <w:bCs/>
                <w:color w:val="000000"/>
                <w:sz w:val="16"/>
                <w:szCs w:val="16"/>
                <w:lang w:val="en-GB"/>
              </w:rPr>
              <w:t xml:space="preserve"> scenario (</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1898" w:type="pct"/>
            <w:gridSpan w:val="6"/>
            <w:tcBorders>
              <w:top w:val="single" w:sz="4" w:space="0" w:color="auto"/>
              <w:left w:val="nil"/>
              <w:bottom w:val="single" w:sz="4" w:space="0" w:color="auto"/>
              <w:right w:val="single" w:sz="4" w:space="0" w:color="auto"/>
            </w:tcBorders>
            <w:noWrap/>
            <w:vAlign w:val="center"/>
            <w:hideMark/>
          </w:tcPr>
          <w:p w14:paraId="06AFB930" w14:textId="2959ED4C"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Zero nominal growth scenario (</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r>
      <w:tr w:rsidR="005E3F12" w:rsidRPr="00845FB7" w14:paraId="03DD5D1A" w14:textId="77777777" w:rsidTr="009166CA">
        <w:trPr>
          <w:trHeight w:val="340"/>
        </w:trPr>
        <w:tc>
          <w:tcPr>
            <w:tcW w:w="1180" w:type="pct"/>
            <w:vMerge/>
            <w:tcBorders>
              <w:top w:val="single" w:sz="4" w:space="0" w:color="auto"/>
              <w:left w:val="single" w:sz="4" w:space="0" w:color="auto"/>
              <w:bottom w:val="single" w:sz="4" w:space="0" w:color="auto"/>
              <w:right w:val="single" w:sz="4" w:space="0" w:color="auto"/>
            </w:tcBorders>
            <w:vAlign w:val="center"/>
            <w:hideMark/>
          </w:tcPr>
          <w:p w14:paraId="666D6796" w14:textId="77777777" w:rsidR="00925102" w:rsidRPr="00845FB7" w:rsidRDefault="00925102" w:rsidP="00925102">
            <w:pPr>
              <w:spacing w:after="0" w:line="240" w:lineRule="auto"/>
              <w:jc w:val="left"/>
              <w:rPr>
                <w:rFonts w:eastAsia="Times New Roman" w:cstheme="majorBidi"/>
                <w:b/>
                <w:bCs/>
                <w:color w:val="000000"/>
                <w:sz w:val="16"/>
                <w:szCs w:val="16"/>
                <w:lang w:val="en-GB"/>
              </w:rPr>
            </w:pPr>
          </w:p>
        </w:tc>
        <w:tc>
          <w:tcPr>
            <w:tcW w:w="961" w:type="pct"/>
            <w:gridSpan w:val="3"/>
            <w:tcBorders>
              <w:top w:val="single" w:sz="4" w:space="0" w:color="auto"/>
              <w:left w:val="nil"/>
              <w:bottom w:val="single" w:sz="4" w:space="0" w:color="auto"/>
              <w:right w:val="single" w:sz="4" w:space="0" w:color="auto"/>
            </w:tcBorders>
            <w:vAlign w:val="center"/>
            <w:hideMark/>
          </w:tcPr>
          <w:p w14:paraId="0E2BC70D" w14:textId="6D4202E0"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General </w:t>
            </w:r>
            <w:r w:rsidR="0048492A"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48492A"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961" w:type="pct"/>
            <w:gridSpan w:val="3"/>
            <w:tcBorders>
              <w:top w:val="single" w:sz="4" w:space="0" w:color="auto"/>
              <w:left w:val="nil"/>
              <w:bottom w:val="single" w:sz="4" w:space="0" w:color="auto"/>
              <w:right w:val="single" w:sz="4" w:space="0" w:color="auto"/>
            </w:tcBorders>
            <w:vAlign w:val="center"/>
            <w:hideMark/>
          </w:tcPr>
          <w:p w14:paraId="4080043B" w14:textId="350AFFFD"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Special </w:t>
            </w:r>
            <w:r w:rsidR="0048492A"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48492A"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961" w:type="pct"/>
            <w:gridSpan w:val="3"/>
            <w:tcBorders>
              <w:top w:val="single" w:sz="4" w:space="0" w:color="auto"/>
              <w:left w:val="nil"/>
              <w:bottom w:val="single" w:sz="4" w:space="0" w:color="auto"/>
              <w:right w:val="single" w:sz="4" w:space="0" w:color="auto"/>
            </w:tcBorders>
            <w:vAlign w:val="center"/>
            <w:hideMark/>
          </w:tcPr>
          <w:p w14:paraId="0A2F225B" w14:textId="498A0450"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General </w:t>
            </w:r>
            <w:r w:rsidR="0048492A"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48492A"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937" w:type="pct"/>
            <w:gridSpan w:val="3"/>
            <w:tcBorders>
              <w:top w:val="single" w:sz="4" w:space="0" w:color="auto"/>
              <w:left w:val="nil"/>
              <w:bottom w:val="single" w:sz="4" w:space="0" w:color="auto"/>
              <w:right w:val="single" w:sz="4" w:space="0" w:color="auto"/>
            </w:tcBorders>
            <w:vAlign w:val="center"/>
            <w:hideMark/>
          </w:tcPr>
          <w:p w14:paraId="4D45A525" w14:textId="3E121979"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Special </w:t>
            </w:r>
            <w:r w:rsidR="0048492A"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48492A"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r>
      <w:tr w:rsidR="009166CA" w:rsidRPr="00845FB7" w14:paraId="7D197AD5" w14:textId="77777777" w:rsidTr="00026D2A">
        <w:trPr>
          <w:trHeight w:val="544"/>
        </w:trPr>
        <w:tc>
          <w:tcPr>
            <w:tcW w:w="1180" w:type="pct"/>
            <w:tcBorders>
              <w:top w:val="nil"/>
              <w:left w:val="single" w:sz="4" w:space="0" w:color="auto"/>
              <w:bottom w:val="single" w:sz="4" w:space="0" w:color="auto"/>
              <w:right w:val="single" w:sz="4" w:space="0" w:color="auto"/>
            </w:tcBorders>
            <w:noWrap/>
            <w:vAlign w:val="center"/>
            <w:hideMark/>
          </w:tcPr>
          <w:p w14:paraId="5E496E0F" w14:textId="77777777"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20" w:type="pct"/>
            <w:tcBorders>
              <w:top w:val="nil"/>
              <w:left w:val="nil"/>
              <w:bottom w:val="single" w:sz="4" w:space="0" w:color="auto"/>
              <w:right w:val="single" w:sz="4" w:space="0" w:color="auto"/>
            </w:tcBorders>
            <w:vAlign w:val="center"/>
            <w:hideMark/>
          </w:tcPr>
          <w:p w14:paraId="42101775" w14:textId="1967D946"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6</w:t>
            </w:r>
          </w:p>
        </w:tc>
        <w:tc>
          <w:tcPr>
            <w:tcW w:w="320" w:type="pct"/>
            <w:tcBorders>
              <w:top w:val="nil"/>
              <w:left w:val="nil"/>
              <w:bottom w:val="single" w:sz="4" w:space="0" w:color="auto"/>
              <w:right w:val="single" w:sz="4" w:space="0" w:color="auto"/>
            </w:tcBorders>
            <w:vAlign w:val="center"/>
            <w:hideMark/>
          </w:tcPr>
          <w:p w14:paraId="7E60AD74" w14:textId="69985A86"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7</w:t>
            </w:r>
          </w:p>
        </w:tc>
        <w:tc>
          <w:tcPr>
            <w:tcW w:w="320" w:type="pct"/>
            <w:tcBorders>
              <w:top w:val="nil"/>
              <w:left w:val="nil"/>
              <w:bottom w:val="single" w:sz="4" w:space="0" w:color="auto"/>
              <w:right w:val="single" w:sz="4" w:space="0" w:color="auto"/>
            </w:tcBorders>
            <w:vAlign w:val="center"/>
            <w:hideMark/>
          </w:tcPr>
          <w:p w14:paraId="5DEB460E" w14:textId="38638469"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320" w:type="pct"/>
            <w:tcBorders>
              <w:top w:val="nil"/>
              <w:left w:val="nil"/>
              <w:bottom w:val="single" w:sz="4" w:space="0" w:color="auto"/>
              <w:right w:val="single" w:sz="4" w:space="0" w:color="auto"/>
            </w:tcBorders>
            <w:vAlign w:val="center"/>
            <w:hideMark/>
          </w:tcPr>
          <w:p w14:paraId="25EB7E4C" w14:textId="054C2147"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6</w:t>
            </w:r>
          </w:p>
        </w:tc>
        <w:tc>
          <w:tcPr>
            <w:tcW w:w="320" w:type="pct"/>
            <w:tcBorders>
              <w:top w:val="nil"/>
              <w:left w:val="nil"/>
              <w:bottom w:val="single" w:sz="4" w:space="0" w:color="auto"/>
              <w:right w:val="single" w:sz="4" w:space="0" w:color="auto"/>
            </w:tcBorders>
            <w:vAlign w:val="center"/>
            <w:hideMark/>
          </w:tcPr>
          <w:p w14:paraId="56590313" w14:textId="477BA656"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7</w:t>
            </w:r>
          </w:p>
        </w:tc>
        <w:tc>
          <w:tcPr>
            <w:tcW w:w="320" w:type="pct"/>
            <w:tcBorders>
              <w:top w:val="nil"/>
              <w:left w:val="nil"/>
              <w:bottom w:val="single" w:sz="4" w:space="0" w:color="auto"/>
              <w:right w:val="single" w:sz="4" w:space="0" w:color="auto"/>
            </w:tcBorders>
            <w:vAlign w:val="center"/>
            <w:hideMark/>
          </w:tcPr>
          <w:p w14:paraId="2FD7C519" w14:textId="6BB12C95"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320" w:type="pct"/>
            <w:tcBorders>
              <w:top w:val="nil"/>
              <w:left w:val="nil"/>
              <w:bottom w:val="single" w:sz="4" w:space="0" w:color="auto"/>
              <w:right w:val="single" w:sz="4" w:space="0" w:color="auto"/>
            </w:tcBorders>
            <w:vAlign w:val="center"/>
            <w:hideMark/>
          </w:tcPr>
          <w:p w14:paraId="03B117B8" w14:textId="290EDD12"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6</w:t>
            </w:r>
          </w:p>
        </w:tc>
        <w:tc>
          <w:tcPr>
            <w:tcW w:w="320" w:type="pct"/>
            <w:tcBorders>
              <w:top w:val="nil"/>
              <w:left w:val="nil"/>
              <w:bottom w:val="single" w:sz="4" w:space="0" w:color="auto"/>
              <w:right w:val="single" w:sz="4" w:space="0" w:color="auto"/>
            </w:tcBorders>
            <w:vAlign w:val="center"/>
            <w:hideMark/>
          </w:tcPr>
          <w:p w14:paraId="3BE793D5" w14:textId="12831632"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7</w:t>
            </w:r>
          </w:p>
        </w:tc>
        <w:tc>
          <w:tcPr>
            <w:tcW w:w="320" w:type="pct"/>
            <w:tcBorders>
              <w:top w:val="nil"/>
              <w:left w:val="nil"/>
              <w:bottom w:val="single" w:sz="4" w:space="0" w:color="auto"/>
              <w:right w:val="single" w:sz="4" w:space="0" w:color="auto"/>
            </w:tcBorders>
            <w:vAlign w:val="center"/>
            <w:hideMark/>
          </w:tcPr>
          <w:p w14:paraId="3E1F2FBD" w14:textId="60A350CD"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293" w:type="pct"/>
            <w:tcBorders>
              <w:top w:val="nil"/>
              <w:left w:val="nil"/>
              <w:bottom w:val="single" w:sz="4" w:space="0" w:color="auto"/>
              <w:right w:val="single" w:sz="4" w:space="0" w:color="auto"/>
            </w:tcBorders>
            <w:vAlign w:val="center"/>
            <w:hideMark/>
          </w:tcPr>
          <w:p w14:paraId="4D774BF0" w14:textId="096DD1FF"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6</w:t>
            </w:r>
          </w:p>
        </w:tc>
        <w:tc>
          <w:tcPr>
            <w:tcW w:w="248" w:type="pct"/>
            <w:tcBorders>
              <w:top w:val="nil"/>
              <w:left w:val="nil"/>
              <w:bottom w:val="single" w:sz="4" w:space="0" w:color="auto"/>
              <w:right w:val="single" w:sz="4" w:space="0" w:color="auto"/>
            </w:tcBorders>
            <w:vAlign w:val="center"/>
            <w:hideMark/>
          </w:tcPr>
          <w:p w14:paraId="74A90DB3" w14:textId="2EA4F630" w:rsidR="00925102" w:rsidRPr="00845FB7" w:rsidRDefault="00925102" w:rsidP="00925102">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7</w:t>
            </w:r>
          </w:p>
        </w:tc>
        <w:tc>
          <w:tcPr>
            <w:tcW w:w="396" w:type="pct"/>
            <w:tcBorders>
              <w:top w:val="nil"/>
              <w:left w:val="nil"/>
              <w:bottom w:val="single" w:sz="4" w:space="0" w:color="auto"/>
              <w:right w:val="single" w:sz="4" w:space="0" w:color="auto"/>
            </w:tcBorders>
            <w:vAlign w:val="center"/>
            <w:hideMark/>
          </w:tcPr>
          <w:p w14:paraId="147F923A" w14:textId="79EF5809" w:rsidR="00925102" w:rsidRPr="00845FB7" w:rsidRDefault="00925102" w:rsidP="009166CA">
            <w:pPr>
              <w:spacing w:after="0" w:line="240" w:lineRule="auto"/>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(202</w:t>
            </w:r>
            <w:r w:rsidR="00DF4284" w:rsidRPr="00845FB7">
              <w:rPr>
                <w:rFonts w:eastAsia="Times New Roman" w:cstheme="majorBidi"/>
                <w:b/>
                <w:bCs/>
                <w:color w:val="000000"/>
                <w:sz w:val="16"/>
                <w:szCs w:val="16"/>
                <w:lang w:val="en-GB"/>
              </w:rPr>
              <w:t>6-</w:t>
            </w:r>
            <w:r w:rsidR="009166CA" w:rsidRPr="00845FB7">
              <w:rPr>
                <w:rFonts w:eastAsia="Times New Roman" w:cstheme="majorBidi"/>
                <w:b/>
                <w:bCs/>
                <w:color w:val="000000"/>
                <w:sz w:val="16"/>
                <w:szCs w:val="16"/>
                <w:lang w:val="en-GB"/>
              </w:rPr>
              <w:t xml:space="preserve"> </w:t>
            </w:r>
            <w:r w:rsidRPr="00845FB7">
              <w:rPr>
                <w:rFonts w:eastAsia="Times New Roman" w:cstheme="majorBidi"/>
                <w:b/>
                <w:bCs/>
                <w:color w:val="000000"/>
                <w:sz w:val="16"/>
                <w:szCs w:val="16"/>
                <w:lang w:val="en-GB"/>
              </w:rPr>
              <w:t>202</w:t>
            </w:r>
            <w:r w:rsidR="00DF4284" w:rsidRPr="00845FB7">
              <w:rPr>
                <w:rFonts w:eastAsia="Times New Roman" w:cstheme="majorBidi"/>
                <w:b/>
                <w:bCs/>
                <w:color w:val="000000"/>
                <w:sz w:val="16"/>
                <w:szCs w:val="16"/>
                <w:lang w:val="en-GB"/>
              </w:rPr>
              <w:t>7</w:t>
            </w:r>
            <w:r w:rsidRPr="00845FB7">
              <w:rPr>
                <w:rFonts w:eastAsia="Times New Roman" w:cstheme="majorBidi"/>
                <w:b/>
                <w:bCs/>
                <w:color w:val="000000"/>
                <w:sz w:val="16"/>
                <w:szCs w:val="16"/>
                <w:lang w:val="en-GB"/>
              </w:rPr>
              <w:t>)</w:t>
            </w:r>
          </w:p>
        </w:tc>
      </w:tr>
      <w:tr w:rsidR="00925102" w:rsidRPr="00845FB7" w14:paraId="30F98B04" w14:textId="77777777" w:rsidTr="00026D2A">
        <w:trPr>
          <w:trHeight w:val="34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558A2D52" w14:textId="77777777" w:rsidR="00925102" w:rsidRPr="00845FB7" w:rsidRDefault="00925102" w:rsidP="00925102">
            <w:pPr>
              <w:spacing w:after="0" w:line="240" w:lineRule="auto"/>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 Bureau of the Conference of the Parties</w:t>
            </w:r>
          </w:p>
        </w:tc>
      </w:tr>
      <w:tr w:rsidR="00925102" w:rsidRPr="00845FB7" w14:paraId="50A8AF4A" w14:textId="77777777" w:rsidTr="00026D2A">
        <w:trPr>
          <w:trHeight w:val="34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7056E554" w14:textId="77777777" w:rsidR="00925102" w:rsidRPr="00845FB7" w:rsidRDefault="00925102" w:rsidP="00925102">
            <w:pPr>
              <w:spacing w:after="0" w:line="240" w:lineRule="auto"/>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2.1 Meetings of the Bureau</w:t>
            </w:r>
          </w:p>
        </w:tc>
      </w:tr>
      <w:tr w:rsidR="009166CA" w:rsidRPr="00845FB7" w14:paraId="37584F7A" w14:textId="77777777" w:rsidTr="00026D2A">
        <w:trPr>
          <w:trHeight w:val="340"/>
        </w:trPr>
        <w:tc>
          <w:tcPr>
            <w:tcW w:w="1180" w:type="pct"/>
            <w:tcBorders>
              <w:top w:val="nil"/>
              <w:left w:val="single" w:sz="4" w:space="0" w:color="auto"/>
              <w:bottom w:val="single" w:sz="4" w:space="0" w:color="auto"/>
              <w:right w:val="single" w:sz="4" w:space="0" w:color="auto"/>
            </w:tcBorders>
            <w:vAlign w:val="center"/>
            <w:hideMark/>
          </w:tcPr>
          <w:p w14:paraId="725999BF" w14:textId="77777777" w:rsidR="00925102" w:rsidRPr="00845FB7" w:rsidRDefault="00925102" w:rsidP="00925102">
            <w:pPr>
              <w:spacing w:after="0" w:line="240" w:lineRule="auto"/>
              <w:jc w:val="left"/>
              <w:rPr>
                <w:rFonts w:eastAsia="Times New Roman" w:cstheme="majorBidi"/>
                <w:color w:val="000000"/>
                <w:sz w:val="16"/>
                <w:szCs w:val="16"/>
                <w:lang w:val="en-GB"/>
              </w:rPr>
            </w:pPr>
            <w:r w:rsidRPr="00845FB7">
              <w:rPr>
                <w:rFonts w:eastAsia="Times New Roman" w:cstheme="majorBidi"/>
                <w:color w:val="000000"/>
                <w:sz w:val="16"/>
                <w:szCs w:val="16"/>
                <w:lang w:val="en-GB"/>
              </w:rPr>
              <w:t>Meetings and travel costs</w:t>
            </w:r>
          </w:p>
        </w:tc>
        <w:tc>
          <w:tcPr>
            <w:tcW w:w="320" w:type="pct"/>
            <w:tcBorders>
              <w:top w:val="nil"/>
              <w:left w:val="nil"/>
              <w:bottom w:val="single" w:sz="4" w:space="0" w:color="auto"/>
              <w:right w:val="single" w:sz="4" w:space="0" w:color="auto"/>
            </w:tcBorders>
            <w:noWrap/>
            <w:vAlign w:val="center"/>
            <w:hideMark/>
          </w:tcPr>
          <w:p w14:paraId="726C3BDB" w14:textId="43E8E9E3" w:rsidR="00925102" w:rsidRPr="00845FB7" w:rsidRDefault="009043B0" w:rsidP="00925102">
            <w:pPr>
              <w:spacing w:after="0" w:line="240" w:lineRule="auto"/>
              <w:jc w:val="right"/>
              <w:rPr>
                <w:rFonts w:eastAsia="Times New Roman" w:cstheme="majorBidi"/>
                <w:color w:val="000000"/>
                <w:sz w:val="16"/>
                <w:szCs w:val="16"/>
                <w:lang w:val="en-GB"/>
              </w:rPr>
            </w:pPr>
            <w:r w:rsidRPr="00845FB7">
              <w:rPr>
                <w:rFonts w:eastAsia="Times New Roman" w:cstheme="majorBidi"/>
                <w:color w:val="000000"/>
                <w:sz w:val="16"/>
                <w:szCs w:val="16"/>
                <w:lang w:val="en-GB"/>
              </w:rPr>
              <w:t>26</w:t>
            </w:r>
            <w:r w:rsidR="00291817" w:rsidRPr="00845FB7">
              <w:rPr>
                <w:rFonts w:eastAsia="Times New Roman" w:cstheme="majorBidi"/>
                <w:color w:val="000000"/>
                <w:sz w:val="16"/>
                <w:szCs w:val="16"/>
                <w:lang w:val="en-GB"/>
              </w:rPr>
              <w:t>,</w:t>
            </w:r>
            <w:r w:rsidRPr="00845FB7">
              <w:rPr>
                <w:rFonts w:eastAsia="Times New Roman" w:cstheme="majorBidi"/>
                <w:color w:val="000000"/>
                <w:sz w:val="16"/>
                <w:szCs w:val="16"/>
                <w:lang w:val="en-GB"/>
              </w:rPr>
              <w:t>000</w:t>
            </w:r>
            <w:r w:rsidR="00925102" w:rsidRPr="00845FB7">
              <w:rPr>
                <w:rFonts w:eastAsia="Times New Roman" w:cstheme="majorBidi"/>
                <w:color w:val="000000"/>
                <w:sz w:val="16"/>
                <w:szCs w:val="16"/>
                <w:lang w:val="en-GB"/>
              </w:rPr>
              <w:t> </w:t>
            </w:r>
          </w:p>
        </w:tc>
        <w:tc>
          <w:tcPr>
            <w:tcW w:w="320" w:type="pct"/>
            <w:tcBorders>
              <w:top w:val="nil"/>
              <w:left w:val="nil"/>
              <w:bottom w:val="single" w:sz="4" w:space="0" w:color="auto"/>
              <w:right w:val="single" w:sz="4" w:space="0" w:color="auto"/>
            </w:tcBorders>
            <w:noWrap/>
            <w:vAlign w:val="center"/>
            <w:hideMark/>
          </w:tcPr>
          <w:p w14:paraId="3D4129FC" w14:textId="2C8E3A32"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07F471E8"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320" w:type="pct"/>
            <w:tcBorders>
              <w:top w:val="nil"/>
              <w:left w:val="nil"/>
              <w:bottom w:val="single" w:sz="4" w:space="0" w:color="auto"/>
              <w:right w:val="single" w:sz="4" w:space="0" w:color="auto"/>
            </w:tcBorders>
            <w:noWrap/>
            <w:vAlign w:val="center"/>
            <w:hideMark/>
          </w:tcPr>
          <w:p w14:paraId="47C27E17" w14:textId="6B29EA24"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0B6C03A9" w14:textId="510B7A30"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tcPr>
          <w:p w14:paraId="49D532ED" w14:textId="42EBE7E6"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130F8159" w14:textId="7737B6E1"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54E1DF3D" w14:textId="77777777" w:rsidR="00925102" w:rsidRPr="00845FB7" w:rsidRDefault="00925102" w:rsidP="006B60B1">
            <w:pPr>
              <w:spacing w:after="0" w:line="240" w:lineRule="auto"/>
              <w:jc w:val="right"/>
              <w:rPr>
                <w:rFonts w:eastAsia="Times New Roman" w:cstheme="majorBidi"/>
                <w:color w:val="000000"/>
                <w:sz w:val="16"/>
                <w:szCs w:val="16"/>
                <w:lang w:val="en-GB"/>
              </w:rPr>
            </w:pPr>
            <w:r w:rsidRPr="00845FB7">
              <w:rPr>
                <w:rFonts w:eastAsia="Times New Roman" w:cstheme="majorBidi"/>
                <w:color w:val="000000"/>
                <w:sz w:val="16"/>
                <w:szCs w:val="16"/>
                <w:lang w:val="en-GB"/>
              </w:rPr>
              <w:t>26,000</w:t>
            </w:r>
          </w:p>
        </w:tc>
        <w:tc>
          <w:tcPr>
            <w:tcW w:w="320" w:type="pct"/>
            <w:tcBorders>
              <w:top w:val="nil"/>
              <w:left w:val="nil"/>
              <w:bottom w:val="single" w:sz="4" w:space="0" w:color="auto"/>
              <w:right w:val="single" w:sz="4" w:space="0" w:color="auto"/>
            </w:tcBorders>
            <w:noWrap/>
            <w:vAlign w:val="center"/>
            <w:hideMark/>
          </w:tcPr>
          <w:p w14:paraId="783E11EE"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293" w:type="pct"/>
            <w:tcBorders>
              <w:top w:val="nil"/>
              <w:left w:val="nil"/>
              <w:bottom w:val="single" w:sz="4" w:space="0" w:color="auto"/>
              <w:right w:val="single" w:sz="4" w:space="0" w:color="auto"/>
            </w:tcBorders>
            <w:noWrap/>
            <w:vAlign w:val="center"/>
            <w:hideMark/>
          </w:tcPr>
          <w:p w14:paraId="0042D173" w14:textId="77777777" w:rsidR="00925102" w:rsidRPr="00845FB7" w:rsidRDefault="00925102" w:rsidP="00925102">
            <w:pPr>
              <w:spacing w:after="0" w:line="240" w:lineRule="auto"/>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48" w:type="pct"/>
            <w:tcBorders>
              <w:top w:val="nil"/>
              <w:left w:val="nil"/>
              <w:bottom w:val="single" w:sz="4" w:space="0" w:color="auto"/>
              <w:right w:val="single" w:sz="4" w:space="0" w:color="auto"/>
            </w:tcBorders>
            <w:noWrap/>
            <w:vAlign w:val="center"/>
            <w:hideMark/>
          </w:tcPr>
          <w:p w14:paraId="1E69D12B" w14:textId="77777777" w:rsidR="00925102" w:rsidRPr="00845FB7" w:rsidRDefault="00925102" w:rsidP="00925102">
            <w:pPr>
              <w:spacing w:after="0" w:line="240" w:lineRule="auto"/>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396" w:type="pct"/>
            <w:tcBorders>
              <w:top w:val="nil"/>
              <w:left w:val="nil"/>
              <w:bottom w:val="single" w:sz="4" w:space="0" w:color="auto"/>
              <w:right w:val="single" w:sz="4" w:space="0" w:color="auto"/>
            </w:tcBorders>
            <w:noWrap/>
            <w:vAlign w:val="center"/>
          </w:tcPr>
          <w:p w14:paraId="5C8A0E6D" w14:textId="5DF0E2CD" w:rsidR="00925102" w:rsidRPr="00845FB7" w:rsidRDefault="00925102" w:rsidP="00925102">
            <w:pPr>
              <w:spacing w:after="0" w:line="240" w:lineRule="auto"/>
              <w:jc w:val="left"/>
              <w:rPr>
                <w:rFonts w:eastAsia="Times New Roman" w:cstheme="majorBidi"/>
                <w:color w:val="000000"/>
                <w:sz w:val="16"/>
                <w:szCs w:val="16"/>
                <w:lang w:val="en-GB"/>
              </w:rPr>
            </w:pPr>
          </w:p>
        </w:tc>
      </w:tr>
      <w:tr w:rsidR="009166CA" w:rsidRPr="00845FB7" w14:paraId="131AF867" w14:textId="77777777" w:rsidTr="00026D2A">
        <w:trPr>
          <w:trHeight w:val="340"/>
        </w:trPr>
        <w:tc>
          <w:tcPr>
            <w:tcW w:w="1180" w:type="pct"/>
            <w:tcBorders>
              <w:top w:val="nil"/>
              <w:left w:val="single" w:sz="4" w:space="0" w:color="auto"/>
              <w:bottom w:val="single" w:sz="4" w:space="0" w:color="auto"/>
              <w:right w:val="single" w:sz="4" w:space="0" w:color="auto"/>
            </w:tcBorders>
            <w:noWrap/>
            <w:vAlign w:val="center"/>
            <w:hideMark/>
          </w:tcPr>
          <w:p w14:paraId="51EDDA07" w14:textId="77777777" w:rsidR="00925102" w:rsidRPr="00845FB7" w:rsidRDefault="00925102" w:rsidP="00925102">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Component total</w:t>
            </w:r>
          </w:p>
        </w:tc>
        <w:tc>
          <w:tcPr>
            <w:tcW w:w="320" w:type="pct"/>
            <w:tcBorders>
              <w:top w:val="nil"/>
              <w:left w:val="nil"/>
              <w:bottom w:val="single" w:sz="4" w:space="0" w:color="auto"/>
              <w:right w:val="single" w:sz="4" w:space="0" w:color="auto"/>
            </w:tcBorders>
            <w:noWrap/>
            <w:vAlign w:val="center"/>
            <w:hideMark/>
          </w:tcPr>
          <w:p w14:paraId="2CD22F29" w14:textId="2CA57206" w:rsidR="00925102" w:rsidRPr="00845FB7" w:rsidRDefault="009043B0" w:rsidP="00925102">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w:t>
            </w:r>
            <w:r w:rsidR="00291817" w:rsidRPr="00845FB7">
              <w:rPr>
                <w:rFonts w:eastAsia="Times New Roman" w:cstheme="majorBidi"/>
                <w:b/>
                <w:bCs/>
                <w:color w:val="000000"/>
                <w:sz w:val="16"/>
                <w:szCs w:val="16"/>
                <w:lang w:val="en-GB"/>
              </w:rPr>
              <w:t>,</w:t>
            </w:r>
            <w:r w:rsidRPr="00845FB7">
              <w:rPr>
                <w:rFonts w:eastAsia="Times New Roman" w:cstheme="majorBidi"/>
                <w:b/>
                <w:bCs/>
                <w:color w:val="000000"/>
                <w:sz w:val="16"/>
                <w:szCs w:val="16"/>
                <w:lang w:val="en-GB"/>
              </w:rPr>
              <w:t>000</w:t>
            </w:r>
            <w:r w:rsidR="00925102" w:rsidRPr="00845FB7">
              <w:rPr>
                <w:rFonts w:eastAsia="Times New Roman" w:cstheme="majorBidi"/>
                <w:b/>
                <w:bCs/>
                <w:color w:val="000000"/>
                <w:sz w:val="16"/>
                <w:szCs w:val="16"/>
                <w:lang w:val="en-GB"/>
              </w:rPr>
              <w:t> </w:t>
            </w:r>
          </w:p>
        </w:tc>
        <w:tc>
          <w:tcPr>
            <w:tcW w:w="320" w:type="pct"/>
            <w:tcBorders>
              <w:top w:val="nil"/>
              <w:left w:val="nil"/>
              <w:bottom w:val="single" w:sz="4" w:space="0" w:color="auto"/>
              <w:right w:val="single" w:sz="4" w:space="0" w:color="auto"/>
            </w:tcBorders>
            <w:noWrap/>
            <w:vAlign w:val="center"/>
            <w:hideMark/>
          </w:tcPr>
          <w:p w14:paraId="166811F6" w14:textId="584CF3F1" w:rsidR="00925102" w:rsidRPr="00845FB7" w:rsidRDefault="00925102" w:rsidP="006B60B1">
            <w:pPr>
              <w:spacing w:after="0" w:line="240" w:lineRule="auto"/>
              <w:jc w:val="right"/>
              <w:rPr>
                <w:rFonts w:eastAsia="Times New Roman" w:cstheme="majorBidi"/>
                <w:b/>
                <w:bCs/>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3185CA95"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320" w:type="pct"/>
            <w:tcBorders>
              <w:top w:val="nil"/>
              <w:left w:val="nil"/>
              <w:bottom w:val="single" w:sz="4" w:space="0" w:color="auto"/>
              <w:right w:val="single" w:sz="4" w:space="0" w:color="auto"/>
            </w:tcBorders>
            <w:noWrap/>
            <w:vAlign w:val="center"/>
            <w:hideMark/>
          </w:tcPr>
          <w:p w14:paraId="74B98327" w14:textId="2F6FBD24"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0BE964E2" w14:textId="6CB7DB07"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tcPr>
          <w:p w14:paraId="13CFF35E" w14:textId="6F2C4A67"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2BB818A5" w14:textId="1665380F"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50962DF5"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320" w:type="pct"/>
            <w:tcBorders>
              <w:top w:val="nil"/>
              <w:left w:val="nil"/>
              <w:bottom w:val="single" w:sz="4" w:space="0" w:color="auto"/>
              <w:right w:val="single" w:sz="4" w:space="0" w:color="auto"/>
            </w:tcBorders>
            <w:noWrap/>
            <w:vAlign w:val="center"/>
            <w:hideMark/>
          </w:tcPr>
          <w:p w14:paraId="2C6DFCCD"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293" w:type="pct"/>
            <w:tcBorders>
              <w:top w:val="nil"/>
              <w:left w:val="nil"/>
              <w:bottom w:val="single" w:sz="4" w:space="0" w:color="auto"/>
              <w:right w:val="single" w:sz="4" w:space="0" w:color="auto"/>
            </w:tcBorders>
            <w:noWrap/>
            <w:vAlign w:val="center"/>
            <w:hideMark/>
          </w:tcPr>
          <w:p w14:paraId="1288146D" w14:textId="77777777" w:rsidR="00925102" w:rsidRPr="00845FB7" w:rsidRDefault="00925102" w:rsidP="00925102">
            <w:pPr>
              <w:spacing w:after="0" w:line="240" w:lineRule="auto"/>
              <w:jc w:val="lef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48" w:type="pct"/>
            <w:tcBorders>
              <w:top w:val="nil"/>
              <w:left w:val="nil"/>
              <w:bottom w:val="single" w:sz="4" w:space="0" w:color="auto"/>
              <w:right w:val="single" w:sz="4" w:space="0" w:color="auto"/>
            </w:tcBorders>
            <w:noWrap/>
            <w:vAlign w:val="center"/>
            <w:hideMark/>
          </w:tcPr>
          <w:p w14:paraId="098445CF" w14:textId="77777777" w:rsidR="00925102" w:rsidRPr="00845FB7" w:rsidRDefault="00925102" w:rsidP="00925102">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6" w:type="pct"/>
            <w:tcBorders>
              <w:top w:val="nil"/>
              <w:left w:val="nil"/>
              <w:bottom w:val="single" w:sz="4" w:space="0" w:color="auto"/>
              <w:right w:val="single" w:sz="4" w:space="0" w:color="auto"/>
            </w:tcBorders>
            <w:noWrap/>
            <w:vAlign w:val="center"/>
          </w:tcPr>
          <w:p w14:paraId="3276D01F" w14:textId="7D39C75B" w:rsidR="00925102" w:rsidRPr="00845FB7" w:rsidRDefault="00925102" w:rsidP="00925102">
            <w:pPr>
              <w:spacing w:after="0" w:line="240" w:lineRule="auto"/>
              <w:jc w:val="left"/>
              <w:rPr>
                <w:rFonts w:eastAsia="Times New Roman" w:cstheme="majorBidi"/>
                <w:color w:val="000000"/>
                <w:sz w:val="16"/>
                <w:szCs w:val="16"/>
                <w:lang w:val="en-GB"/>
              </w:rPr>
            </w:pPr>
          </w:p>
        </w:tc>
      </w:tr>
      <w:tr w:rsidR="009166CA" w:rsidRPr="00845FB7" w14:paraId="52721E24" w14:textId="77777777" w:rsidTr="00026D2A">
        <w:trPr>
          <w:trHeight w:val="340"/>
        </w:trPr>
        <w:tc>
          <w:tcPr>
            <w:tcW w:w="1180" w:type="pct"/>
            <w:tcBorders>
              <w:top w:val="nil"/>
              <w:left w:val="single" w:sz="4" w:space="0" w:color="auto"/>
              <w:bottom w:val="single" w:sz="4" w:space="0" w:color="auto"/>
              <w:right w:val="single" w:sz="4" w:space="0" w:color="auto"/>
            </w:tcBorders>
            <w:noWrap/>
            <w:vAlign w:val="center"/>
            <w:hideMark/>
          </w:tcPr>
          <w:p w14:paraId="0CB8314E" w14:textId="77777777" w:rsidR="00925102" w:rsidRPr="00845FB7" w:rsidRDefault="00925102" w:rsidP="00925102">
            <w:pPr>
              <w:spacing w:after="0" w:line="240" w:lineRule="auto"/>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Grand Total </w:t>
            </w:r>
          </w:p>
        </w:tc>
        <w:tc>
          <w:tcPr>
            <w:tcW w:w="320" w:type="pct"/>
            <w:tcBorders>
              <w:top w:val="nil"/>
              <w:left w:val="nil"/>
              <w:bottom w:val="single" w:sz="4" w:space="0" w:color="auto"/>
              <w:right w:val="single" w:sz="4" w:space="0" w:color="auto"/>
            </w:tcBorders>
            <w:noWrap/>
            <w:vAlign w:val="center"/>
            <w:hideMark/>
          </w:tcPr>
          <w:p w14:paraId="1148456C" w14:textId="268A33D9" w:rsidR="00925102" w:rsidRPr="00845FB7" w:rsidRDefault="009043B0" w:rsidP="00925102">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w:t>
            </w:r>
            <w:r w:rsidR="00291817" w:rsidRPr="00845FB7">
              <w:rPr>
                <w:rFonts w:eastAsia="Times New Roman" w:cstheme="majorBidi"/>
                <w:b/>
                <w:bCs/>
                <w:color w:val="000000"/>
                <w:sz w:val="16"/>
                <w:szCs w:val="16"/>
                <w:lang w:val="en-GB"/>
              </w:rPr>
              <w:t>,</w:t>
            </w:r>
            <w:r w:rsidRPr="00845FB7">
              <w:rPr>
                <w:rFonts w:eastAsia="Times New Roman" w:cstheme="majorBidi"/>
                <w:b/>
                <w:bCs/>
                <w:color w:val="000000"/>
                <w:sz w:val="16"/>
                <w:szCs w:val="16"/>
                <w:lang w:val="en-GB"/>
              </w:rPr>
              <w:t>000</w:t>
            </w:r>
            <w:r w:rsidR="00925102" w:rsidRPr="00845FB7">
              <w:rPr>
                <w:rFonts w:eastAsia="Times New Roman" w:cstheme="majorBidi"/>
                <w:b/>
                <w:bCs/>
                <w:color w:val="000000"/>
                <w:sz w:val="16"/>
                <w:szCs w:val="16"/>
                <w:lang w:val="en-GB"/>
              </w:rPr>
              <w:t> </w:t>
            </w:r>
          </w:p>
        </w:tc>
        <w:tc>
          <w:tcPr>
            <w:tcW w:w="320" w:type="pct"/>
            <w:tcBorders>
              <w:top w:val="nil"/>
              <w:left w:val="nil"/>
              <w:bottom w:val="single" w:sz="4" w:space="0" w:color="auto"/>
              <w:right w:val="single" w:sz="4" w:space="0" w:color="auto"/>
            </w:tcBorders>
            <w:noWrap/>
            <w:vAlign w:val="center"/>
            <w:hideMark/>
          </w:tcPr>
          <w:p w14:paraId="1C9BE9AC" w14:textId="299B7177" w:rsidR="00925102" w:rsidRPr="00845FB7" w:rsidRDefault="00925102" w:rsidP="006B60B1">
            <w:pPr>
              <w:spacing w:after="0" w:line="240" w:lineRule="auto"/>
              <w:jc w:val="right"/>
              <w:rPr>
                <w:rFonts w:eastAsia="Times New Roman" w:cstheme="majorBidi"/>
                <w:b/>
                <w:bCs/>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2460301F"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320" w:type="pct"/>
            <w:tcBorders>
              <w:top w:val="nil"/>
              <w:left w:val="nil"/>
              <w:bottom w:val="single" w:sz="4" w:space="0" w:color="auto"/>
              <w:right w:val="single" w:sz="4" w:space="0" w:color="auto"/>
            </w:tcBorders>
            <w:noWrap/>
            <w:vAlign w:val="center"/>
            <w:hideMark/>
          </w:tcPr>
          <w:p w14:paraId="1922D76D" w14:textId="442452DE"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68AF32FB" w14:textId="408BF590"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tcPr>
          <w:p w14:paraId="2443C4D7" w14:textId="112F482F"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56E33708" w14:textId="29F2E47B" w:rsidR="00925102" w:rsidRPr="00845FB7" w:rsidRDefault="00925102" w:rsidP="006B60B1">
            <w:pPr>
              <w:spacing w:after="0" w:line="240" w:lineRule="auto"/>
              <w:jc w:val="right"/>
              <w:rPr>
                <w:rFonts w:eastAsia="Times New Roman" w:cstheme="majorBidi"/>
                <w:color w:val="000000"/>
                <w:sz w:val="16"/>
                <w:szCs w:val="16"/>
                <w:lang w:val="en-GB"/>
              </w:rPr>
            </w:pPr>
          </w:p>
        </w:tc>
        <w:tc>
          <w:tcPr>
            <w:tcW w:w="320" w:type="pct"/>
            <w:tcBorders>
              <w:top w:val="nil"/>
              <w:left w:val="nil"/>
              <w:bottom w:val="single" w:sz="4" w:space="0" w:color="auto"/>
              <w:right w:val="single" w:sz="4" w:space="0" w:color="auto"/>
            </w:tcBorders>
            <w:noWrap/>
            <w:vAlign w:val="center"/>
            <w:hideMark/>
          </w:tcPr>
          <w:p w14:paraId="65C32052"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320" w:type="pct"/>
            <w:tcBorders>
              <w:top w:val="nil"/>
              <w:left w:val="nil"/>
              <w:bottom w:val="single" w:sz="4" w:space="0" w:color="auto"/>
              <w:right w:val="single" w:sz="4" w:space="0" w:color="auto"/>
            </w:tcBorders>
            <w:noWrap/>
            <w:vAlign w:val="center"/>
            <w:hideMark/>
          </w:tcPr>
          <w:p w14:paraId="09BBD1A5" w14:textId="77777777" w:rsidR="00925102" w:rsidRPr="00845FB7" w:rsidRDefault="00925102" w:rsidP="006B60B1">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26,000</w:t>
            </w:r>
          </w:p>
        </w:tc>
        <w:tc>
          <w:tcPr>
            <w:tcW w:w="293" w:type="pct"/>
            <w:tcBorders>
              <w:top w:val="nil"/>
              <w:left w:val="nil"/>
              <w:bottom w:val="single" w:sz="4" w:space="0" w:color="auto"/>
              <w:right w:val="single" w:sz="4" w:space="0" w:color="auto"/>
            </w:tcBorders>
            <w:noWrap/>
            <w:vAlign w:val="center"/>
            <w:hideMark/>
          </w:tcPr>
          <w:p w14:paraId="056650FB" w14:textId="77777777" w:rsidR="00925102" w:rsidRPr="00845FB7" w:rsidRDefault="00925102" w:rsidP="00925102">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248" w:type="pct"/>
            <w:tcBorders>
              <w:top w:val="nil"/>
              <w:left w:val="nil"/>
              <w:bottom w:val="single" w:sz="4" w:space="0" w:color="auto"/>
              <w:right w:val="single" w:sz="4" w:space="0" w:color="auto"/>
            </w:tcBorders>
            <w:noWrap/>
            <w:vAlign w:val="center"/>
            <w:hideMark/>
          </w:tcPr>
          <w:p w14:paraId="413D5CD7" w14:textId="77777777" w:rsidR="00925102" w:rsidRPr="00845FB7" w:rsidRDefault="00925102" w:rsidP="00925102">
            <w:pPr>
              <w:spacing w:after="0" w:line="240" w:lineRule="auto"/>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396" w:type="pct"/>
            <w:tcBorders>
              <w:top w:val="nil"/>
              <w:left w:val="nil"/>
              <w:bottom w:val="single" w:sz="4" w:space="0" w:color="auto"/>
              <w:right w:val="single" w:sz="4" w:space="0" w:color="auto"/>
            </w:tcBorders>
            <w:noWrap/>
            <w:vAlign w:val="center"/>
          </w:tcPr>
          <w:p w14:paraId="6A1F6BA9" w14:textId="2CA1FC0D" w:rsidR="00925102" w:rsidRPr="00845FB7" w:rsidRDefault="00925102" w:rsidP="00925102">
            <w:pPr>
              <w:spacing w:after="0" w:line="240" w:lineRule="auto"/>
              <w:jc w:val="left"/>
              <w:rPr>
                <w:rFonts w:eastAsia="Times New Roman" w:cstheme="majorBidi"/>
                <w:color w:val="000000"/>
                <w:sz w:val="16"/>
                <w:szCs w:val="16"/>
                <w:lang w:val="en-GB"/>
              </w:rPr>
            </w:pPr>
          </w:p>
        </w:tc>
      </w:tr>
    </w:tbl>
    <w:p w14:paraId="47D69EFD" w14:textId="5988131A" w:rsidR="00506ACE" w:rsidRPr="00845FB7" w:rsidRDefault="00925102" w:rsidP="00BD36F8">
      <w:pPr>
        <w:pStyle w:val="Heading3"/>
        <w:rPr>
          <w:bCs/>
          <w:sz w:val="24"/>
          <w:lang w:val="en-GB"/>
        </w:rPr>
      </w:pPr>
      <w:r w:rsidRPr="00845FB7">
        <w:rPr>
          <w:bCs/>
          <w:sz w:val="24"/>
          <w:lang w:val="en-GB"/>
        </w:rPr>
        <w:t xml:space="preserve">Resources </w:t>
      </w:r>
      <w:r w:rsidR="00826417">
        <w:rPr>
          <w:bCs/>
          <w:sz w:val="24"/>
          <w:lang w:val="en-GB"/>
        </w:rPr>
        <w:t>r</w:t>
      </w:r>
      <w:r w:rsidRPr="00845FB7">
        <w:rPr>
          <w:bCs/>
          <w:sz w:val="24"/>
          <w:lang w:val="en-GB"/>
        </w:rPr>
        <w:t>equirements</w:t>
      </w:r>
    </w:p>
    <w:p w14:paraId="07FB1C0E" w14:textId="77777777" w:rsidR="00FE274E" w:rsidRPr="00845FB7" w:rsidRDefault="00FE274E" w:rsidP="00BD36F8">
      <w:pPr>
        <w:spacing w:after="0"/>
        <w:rPr>
          <w:rFonts w:cstheme="majorBidi"/>
          <w:b/>
          <w:bCs/>
          <w:sz w:val="18"/>
          <w:szCs w:val="18"/>
          <w:lang w:val="en-GB"/>
        </w:rPr>
      </w:pPr>
    </w:p>
    <w:p w14:paraId="346FFF7F" w14:textId="4247D21D" w:rsidR="00970072" w:rsidRPr="00845FB7" w:rsidRDefault="00E656DD" w:rsidP="00BD36F8">
      <w:pPr>
        <w:pStyle w:val="Heading3"/>
        <w:rPr>
          <w:bCs/>
          <w:sz w:val="24"/>
          <w:lang w:val="en-GB"/>
        </w:rPr>
      </w:pPr>
      <w:r w:rsidRPr="00845FB7">
        <w:rPr>
          <w:bCs/>
          <w:sz w:val="24"/>
          <w:lang w:val="en-GB"/>
        </w:rPr>
        <w:t>Overview of resources</w:t>
      </w:r>
    </w:p>
    <w:tbl>
      <w:tblPr>
        <w:tblStyle w:val="TableGridLight"/>
        <w:tblpPr w:leftFromText="180" w:rightFromText="180" w:vertAnchor="text" w:horzAnchor="margin" w:tblpY="-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928"/>
        <w:gridCol w:w="1928"/>
        <w:gridCol w:w="1928"/>
      </w:tblGrid>
      <w:tr w:rsidR="00E656DD" w:rsidRPr="00845FB7" w14:paraId="567B5B2C" w14:textId="77777777" w:rsidTr="00BD36F8">
        <w:trPr>
          <w:trHeight w:val="340"/>
        </w:trPr>
        <w:tc>
          <w:tcPr>
            <w:tcW w:w="4673" w:type="dxa"/>
            <w:noWrap/>
            <w:hideMark/>
          </w:tcPr>
          <w:p w14:paraId="4EDBE05D" w14:textId="77777777" w:rsidR="00E656DD" w:rsidRPr="00845FB7" w:rsidRDefault="00E656DD" w:rsidP="00E656DD">
            <w:pPr>
              <w:rPr>
                <w:rFonts w:cstheme="majorBidi"/>
                <w:b/>
                <w:bCs/>
                <w:sz w:val="18"/>
                <w:szCs w:val="18"/>
                <w:lang w:val="en-GB"/>
              </w:rPr>
            </w:pPr>
            <w:r w:rsidRPr="00845FB7">
              <w:rPr>
                <w:rFonts w:cstheme="majorBidi"/>
                <w:b/>
                <w:bCs/>
                <w:sz w:val="18"/>
                <w:szCs w:val="18"/>
                <w:lang w:val="en-GB"/>
              </w:rPr>
              <w:t>Budget</w:t>
            </w:r>
          </w:p>
        </w:tc>
        <w:tc>
          <w:tcPr>
            <w:tcW w:w="1928" w:type="dxa"/>
            <w:hideMark/>
          </w:tcPr>
          <w:p w14:paraId="643B3B28" w14:textId="5A79805D" w:rsidR="00E656DD" w:rsidRPr="00845FB7" w:rsidRDefault="00E656DD" w:rsidP="00E656DD">
            <w:pPr>
              <w:rPr>
                <w:rFonts w:cstheme="majorBidi"/>
                <w:b/>
                <w:bCs/>
                <w:sz w:val="18"/>
                <w:szCs w:val="18"/>
                <w:lang w:val="en-GB"/>
              </w:rPr>
            </w:pPr>
            <w:r w:rsidRPr="00845FB7">
              <w:rPr>
                <w:rFonts w:cstheme="majorBidi"/>
                <w:b/>
                <w:bCs/>
                <w:sz w:val="18"/>
                <w:szCs w:val="18"/>
                <w:lang w:val="en-GB"/>
              </w:rPr>
              <w:t xml:space="preserve">General </w:t>
            </w:r>
            <w:r w:rsidR="0048492A" w:rsidRPr="00845FB7">
              <w:rPr>
                <w:rFonts w:cstheme="majorBidi"/>
                <w:b/>
                <w:bCs/>
                <w:sz w:val="18"/>
                <w:szCs w:val="18"/>
                <w:lang w:val="en-GB"/>
              </w:rPr>
              <w:t>t</w:t>
            </w:r>
            <w:r w:rsidRPr="00845FB7">
              <w:rPr>
                <w:rFonts w:cstheme="majorBidi"/>
                <w:b/>
                <w:bCs/>
                <w:sz w:val="18"/>
                <w:szCs w:val="18"/>
                <w:lang w:val="en-GB"/>
              </w:rPr>
              <w:t xml:space="preserve">rust </w:t>
            </w:r>
            <w:r w:rsidR="00655D1A" w:rsidRPr="00845FB7">
              <w:rPr>
                <w:rFonts w:cstheme="majorBidi"/>
                <w:b/>
                <w:bCs/>
                <w:sz w:val="18"/>
                <w:szCs w:val="18"/>
                <w:lang w:val="en-GB"/>
              </w:rPr>
              <w:t>f</w:t>
            </w:r>
            <w:r w:rsidRPr="00845FB7">
              <w:rPr>
                <w:rFonts w:cstheme="majorBidi"/>
                <w:b/>
                <w:bCs/>
                <w:sz w:val="18"/>
                <w:szCs w:val="18"/>
                <w:lang w:val="en-GB"/>
              </w:rPr>
              <w:t>und</w:t>
            </w:r>
          </w:p>
        </w:tc>
        <w:tc>
          <w:tcPr>
            <w:tcW w:w="1928" w:type="dxa"/>
            <w:hideMark/>
          </w:tcPr>
          <w:p w14:paraId="4F595289" w14:textId="7E91EB9A" w:rsidR="00E656DD" w:rsidRPr="00845FB7" w:rsidRDefault="00E656DD" w:rsidP="00E656DD">
            <w:pPr>
              <w:rPr>
                <w:rFonts w:cstheme="majorBidi"/>
                <w:b/>
                <w:bCs/>
                <w:sz w:val="18"/>
                <w:szCs w:val="18"/>
                <w:lang w:val="en-GB"/>
              </w:rPr>
            </w:pPr>
            <w:r w:rsidRPr="00845FB7">
              <w:rPr>
                <w:rFonts w:cstheme="majorBidi"/>
                <w:b/>
                <w:bCs/>
                <w:sz w:val="18"/>
                <w:szCs w:val="18"/>
                <w:lang w:val="en-GB"/>
              </w:rPr>
              <w:t xml:space="preserve">Special </w:t>
            </w:r>
            <w:r w:rsidR="0048492A" w:rsidRPr="00845FB7">
              <w:rPr>
                <w:rFonts w:cstheme="majorBidi"/>
                <w:b/>
                <w:bCs/>
                <w:sz w:val="18"/>
                <w:szCs w:val="18"/>
                <w:lang w:val="en-GB"/>
              </w:rPr>
              <w:t>t</w:t>
            </w:r>
            <w:r w:rsidRPr="00845FB7">
              <w:rPr>
                <w:rFonts w:cstheme="majorBidi"/>
                <w:b/>
                <w:bCs/>
                <w:sz w:val="18"/>
                <w:szCs w:val="18"/>
                <w:lang w:val="en-GB"/>
              </w:rPr>
              <w:t xml:space="preserve">rust </w:t>
            </w:r>
            <w:r w:rsidR="0048492A" w:rsidRPr="00845FB7">
              <w:rPr>
                <w:rFonts w:cstheme="majorBidi"/>
                <w:b/>
                <w:bCs/>
                <w:sz w:val="18"/>
                <w:szCs w:val="18"/>
                <w:lang w:val="en-GB"/>
              </w:rPr>
              <w:t>f</w:t>
            </w:r>
            <w:r w:rsidRPr="00845FB7">
              <w:rPr>
                <w:rFonts w:cstheme="majorBidi"/>
                <w:b/>
                <w:bCs/>
                <w:sz w:val="18"/>
                <w:szCs w:val="18"/>
                <w:lang w:val="en-GB"/>
              </w:rPr>
              <w:t>und</w:t>
            </w:r>
          </w:p>
        </w:tc>
        <w:tc>
          <w:tcPr>
            <w:tcW w:w="1928" w:type="dxa"/>
            <w:hideMark/>
          </w:tcPr>
          <w:p w14:paraId="30C025EA" w14:textId="5FE41E81" w:rsidR="00E656DD" w:rsidRPr="00845FB7" w:rsidRDefault="00E656DD" w:rsidP="00E656DD">
            <w:pPr>
              <w:rPr>
                <w:rFonts w:cstheme="majorBidi"/>
                <w:b/>
                <w:bCs/>
                <w:sz w:val="18"/>
                <w:szCs w:val="18"/>
                <w:lang w:val="en-GB"/>
              </w:rPr>
            </w:pPr>
            <w:r w:rsidRPr="00845FB7">
              <w:rPr>
                <w:rFonts w:cstheme="majorBidi"/>
                <w:b/>
                <w:bCs/>
                <w:sz w:val="18"/>
                <w:szCs w:val="18"/>
                <w:lang w:val="en-GB"/>
              </w:rPr>
              <w:t xml:space="preserve">Total </w:t>
            </w:r>
            <w:r w:rsidR="0048492A" w:rsidRPr="00845FB7">
              <w:rPr>
                <w:rFonts w:cstheme="majorBidi"/>
                <w:b/>
                <w:bCs/>
                <w:sz w:val="18"/>
                <w:szCs w:val="18"/>
                <w:lang w:val="en-GB"/>
              </w:rPr>
              <w:t>c</w:t>
            </w:r>
            <w:r w:rsidRPr="00845FB7">
              <w:rPr>
                <w:rFonts w:cstheme="majorBidi"/>
                <w:b/>
                <w:bCs/>
                <w:sz w:val="18"/>
                <w:szCs w:val="18"/>
                <w:lang w:val="en-GB"/>
              </w:rPr>
              <w:t>ontribution</w:t>
            </w:r>
          </w:p>
        </w:tc>
      </w:tr>
      <w:tr w:rsidR="00E656DD" w:rsidRPr="00845FB7" w14:paraId="7FE8FEBD" w14:textId="77777777" w:rsidTr="00BD36F8">
        <w:trPr>
          <w:trHeight w:val="340"/>
        </w:trPr>
        <w:tc>
          <w:tcPr>
            <w:tcW w:w="4673" w:type="dxa"/>
            <w:noWrap/>
            <w:hideMark/>
          </w:tcPr>
          <w:p w14:paraId="556586AB" w14:textId="36400503" w:rsidR="00E656DD" w:rsidRPr="00845FB7" w:rsidRDefault="00E656DD" w:rsidP="00E656DD">
            <w:pPr>
              <w:jc w:val="left"/>
              <w:rPr>
                <w:rFonts w:cstheme="majorBidi"/>
                <w:sz w:val="18"/>
                <w:szCs w:val="18"/>
                <w:lang w:val="en-GB"/>
              </w:rPr>
            </w:pPr>
            <w:r w:rsidRPr="00845FB7">
              <w:rPr>
                <w:rFonts w:cstheme="majorBidi"/>
                <w:sz w:val="18"/>
                <w:szCs w:val="18"/>
                <w:lang w:val="en-GB"/>
              </w:rPr>
              <w:t>202</w:t>
            </w:r>
            <w:r w:rsidR="002A6C57" w:rsidRPr="00845FB7">
              <w:rPr>
                <w:rFonts w:cstheme="majorBidi"/>
                <w:sz w:val="18"/>
                <w:szCs w:val="18"/>
                <w:lang w:val="en-GB"/>
              </w:rPr>
              <w:t>4</w:t>
            </w:r>
            <w:r w:rsidRPr="00845FB7">
              <w:rPr>
                <w:rFonts w:cstheme="majorBidi"/>
                <w:sz w:val="18"/>
                <w:szCs w:val="18"/>
                <w:lang w:val="en-GB"/>
              </w:rPr>
              <w:t>-202</w:t>
            </w:r>
            <w:r w:rsidR="002A6C57" w:rsidRPr="00845FB7">
              <w:rPr>
                <w:rFonts w:cstheme="majorBidi"/>
                <w:sz w:val="18"/>
                <w:szCs w:val="18"/>
                <w:lang w:val="en-GB"/>
              </w:rPr>
              <w:t>5</w:t>
            </w:r>
            <w:r w:rsidRPr="00845FB7">
              <w:rPr>
                <w:rFonts w:cstheme="majorBidi"/>
                <w:sz w:val="18"/>
                <w:szCs w:val="18"/>
                <w:lang w:val="en-GB"/>
              </w:rPr>
              <w:t xml:space="preserve"> approved</w:t>
            </w:r>
          </w:p>
        </w:tc>
        <w:tc>
          <w:tcPr>
            <w:tcW w:w="1928" w:type="dxa"/>
            <w:noWrap/>
          </w:tcPr>
          <w:p w14:paraId="32EC263D" w14:textId="77777777" w:rsidR="00E656DD" w:rsidRPr="00845FB7" w:rsidRDefault="00E656DD" w:rsidP="00E656DD">
            <w:pPr>
              <w:jc w:val="right"/>
              <w:rPr>
                <w:rFonts w:cstheme="majorBidi"/>
                <w:b/>
                <w:bCs/>
                <w:sz w:val="18"/>
                <w:szCs w:val="18"/>
                <w:lang w:val="en-GB"/>
              </w:rPr>
            </w:pPr>
            <w:r w:rsidRPr="00845FB7">
              <w:rPr>
                <w:rFonts w:cstheme="majorBidi"/>
                <w:b/>
                <w:bCs/>
                <w:sz w:val="18"/>
                <w:szCs w:val="18"/>
                <w:lang w:val="en-GB"/>
              </w:rPr>
              <w:t>26,000</w:t>
            </w:r>
          </w:p>
        </w:tc>
        <w:tc>
          <w:tcPr>
            <w:tcW w:w="1928" w:type="dxa"/>
            <w:noWrap/>
          </w:tcPr>
          <w:p w14:paraId="2883BD04" w14:textId="77777777" w:rsidR="00E656DD" w:rsidRPr="00845FB7" w:rsidRDefault="00E656DD" w:rsidP="00E656DD">
            <w:pPr>
              <w:jc w:val="right"/>
              <w:rPr>
                <w:rFonts w:cstheme="majorBidi"/>
                <w:sz w:val="18"/>
                <w:szCs w:val="18"/>
                <w:lang w:val="en-GB"/>
              </w:rPr>
            </w:pPr>
          </w:p>
        </w:tc>
        <w:tc>
          <w:tcPr>
            <w:tcW w:w="1928" w:type="dxa"/>
            <w:noWrap/>
          </w:tcPr>
          <w:p w14:paraId="60F70789" w14:textId="77777777" w:rsidR="00E656DD" w:rsidRPr="00845FB7" w:rsidRDefault="00E656DD" w:rsidP="00E656DD">
            <w:pPr>
              <w:jc w:val="right"/>
              <w:rPr>
                <w:rFonts w:cstheme="majorBidi"/>
                <w:b/>
                <w:bCs/>
                <w:sz w:val="18"/>
                <w:szCs w:val="18"/>
                <w:lang w:val="en-GB"/>
              </w:rPr>
            </w:pPr>
            <w:r w:rsidRPr="00845FB7">
              <w:rPr>
                <w:rFonts w:cstheme="majorBidi"/>
                <w:b/>
                <w:bCs/>
                <w:sz w:val="18"/>
                <w:szCs w:val="18"/>
                <w:lang w:val="en-GB"/>
              </w:rPr>
              <w:t>26,000</w:t>
            </w:r>
          </w:p>
        </w:tc>
      </w:tr>
      <w:tr w:rsidR="00E656DD" w:rsidRPr="00845FB7" w14:paraId="3474D0C9" w14:textId="77777777" w:rsidTr="00BD36F8">
        <w:trPr>
          <w:trHeight w:val="340"/>
        </w:trPr>
        <w:tc>
          <w:tcPr>
            <w:tcW w:w="4673" w:type="dxa"/>
            <w:hideMark/>
          </w:tcPr>
          <w:p w14:paraId="28818F0C" w14:textId="18C5107B" w:rsidR="00E656DD" w:rsidRPr="00845FB7" w:rsidRDefault="00E2051A" w:rsidP="00E656DD">
            <w:pPr>
              <w:jc w:val="left"/>
              <w:rPr>
                <w:rFonts w:cstheme="majorBidi"/>
                <w:sz w:val="18"/>
                <w:szCs w:val="18"/>
                <w:lang w:val="en-GB"/>
              </w:rPr>
            </w:pPr>
            <w:r w:rsidRPr="00845FB7">
              <w:rPr>
                <w:rFonts w:cstheme="majorBidi"/>
                <w:sz w:val="18"/>
                <w:szCs w:val="18"/>
                <w:lang w:val="en-GB"/>
              </w:rPr>
              <w:t>2026–2027</w:t>
            </w:r>
            <w:r w:rsidR="001D6FCA" w:rsidRPr="00845FB7">
              <w:rPr>
                <w:rFonts w:cstheme="majorBidi"/>
                <w:sz w:val="18"/>
                <w:szCs w:val="18"/>
                <w:lang w:val="en-GB"/>
              </w:rPr>
              <w:t xml:space="preserve"> </w:t>
            </w:r>
            <w:r w:rsidR="00E656DD" w:rsidRPr="00845FB7">
              <w:rPr>
                <w:rFonts w:cstheme="majorBidi"/>
                <w:sz w:val="18"/>
                <w:szCs w:val="18"/>
                <w:lang w:val="en-GB"/>
              </w:rPr>
              <w:t>requested in</w:t>
            </w:r>
            <w:r w:rsidR="003158DA" w:rsidRPr="00845FB7">
              <w:rPr>
                <w:rFonts w:cstheme="majorBidi"/>
                <w:sz w:val="18"/>
                <w:szCs w:val="18"/>
                <w:lang w:val="en-GB"/>
              </w:rPr>
              <w:t xml:space="preserve"> the</w:t>
            </w:r>
            <w:r w:rsidR="00E656DD" w:rsidRPr="00845FB7">
              <w:rPr>
                <w:rFonts w:cstheme="majorBidi"/>
                <w:sz w:val="18"/>
                <w:szCs w:val="18"/>
                <w:lang w:val="en-GB"/>
              </w:rPr>
              <w:t xml:space="preserve"> 5</w:t>
            </w:r>
            <w:r w:rsidR="00D71417" w:rsidRPr="00845FB7">
              <w:rPr>
                <w:rFonts w:cstheme="majorBidi"/>
                <w:sz w:val="18"/>
                <w:szCs w:val="18"/>
                <w:lang w:val="en-GB"/>
              </w:rPr>
              <w:t xml:space="preserve"> per cent</w:t>
            </w:r>
            <w:r w:rsidR="00E656DD" w:rsidRPr="00845FB7">
              <w:rPr>
                <w:rFonts w:cstheme="majorBidi"/>
                <w:sz w:val="18"/>
                <w:szCs w:val="18"/>
                <w:lang w:val="en-GB"/>
              </w:rPr>
              <w:t xml:space="preserve"> scenario</w:t>
            </w:r>
          </w:p>
        </w:tc>
        <w:tc>
          <w:tcPr>
            <w:tcW w:w="1928" w:type="dxa"/>
            <w:noWrap/>
          </w:tcPr>
          <w:p w14:paraId="0D5998E7" w14:textId="77777777" w:rsidR="00E656DD" w:rsidRPr="00845FB7" w:rsidRDefault="00E656DD" w:rsidP="00E656DD">
            <w:pPr>
              <w:jc w:val="right"/>
              <w:rPr>
                <w:rFonts w:cstheme="majorBidi"/>
                <w:b/>
                <w:bCs/>
                <w:sz w:val="18"/>
                <w:szCs w:val="18"/>
                <w:lang w:val="en-GB"/>
              </w:rPr>
            </w:pPr>
            <w:r w:rsidRPr="00845FB7">
              <w:rPr>
                <w:rFonts w:cstheme="majorBidi"/>
                <w:b/>
                <w:bCs/>
                <w:sz w:val="18"/>
                <w:szCs w:val="18"/>
                <w:lang w:val="en-GB"/>
              </w:rPr>
              <w:t>26,000</w:t>
            </w:r>
          </w:p>
        </w:tc>
        <w:tc>
          <w:tcPr>
            <w:tcW w:w="1928" w:type="dxa"/>
            <w:noWrap/>
          </w:tcPr>
          <w:p w14:paraId="414B8BB7" w14:textId="77777777" w:rsidR="00E656DD" w:rsidRPr="00845FB7" w:rsidRDefault="00E656DD" w:rsidP="00E656DD">
            <w:pPr>
              <w:jc w:val="right"/>
              <w:rPr>
                <w:rFonts w:cstheme="majorBidi"/>
                <w:sz w:val="18"/>
                <w:szCs w:val="18"/>
                <w:lang w:val="en-GB"/>
              </w:rPr>
            </w:pPr>
          </w:p>
        </w:tc>
        <w:tc>
          <w:tcPr>
            <w:tcW w:w="1928" w:type="dxa"/>
            <w:noWrap/>
          </w:tcPr>
          <w:p w14:paraId="0A3BD55C" w14:textId="77777777" w:rsidR="00E656DD" w:rsidRPr="00845FB7" w:rsidRDefault="00E656DD" w:rsidP="00E656DD">
            <w:pPr>
              <w:jc w:val="right"/>
              <w:rPr>
                <w:rFonts w:cstheme="majorBidi"/>
                <w:b/>
                <w:bCs/>
                <w:sz w:val="18"/>
                <w:szCs w:val="18"/>
                <w:lang w:val="en-GB"/>
              </w:rPr>
            </w:pPr>
            <w:r w:rsidRPr="00845FB7">
              <w:rPr>
                <w:rFonts w:cstheme="majorBidi"/>
                <w:b/>
                <w:bCs/>
                <w:sz w:val="18"/>
                <w:szCs w:val="18"/>
                <w:lang w:val="en-GB"/>
              </w:rPr>
              <w:t>26,000</w:t>
            </w:r>
          </w:p>
        </w:tc>
      </w:tr>
      <w:tr w:rsidR="00E656DD" w:rsidRPr="00845FB7" w14:paraId="7CAC1A42" w14:textId="77777777" w:rsidTr="00BD36F8">
        <w:trPr>
          <w:trHeight w:val="340"/>
        </w:trPr>
        <w:tc>
          <w:tcPr>
            <w:tcW w:w="4673" w:type="dxa"/>
            <w:hideMark/>
          </w:tcPr>
          <w:p w14:paraId="007A88DD" w14:textId="75790F3C" w:rsidR="00E656DD" w:rsidRPr="00845FB7" w:rsidRDefault="00E2051A" w:rsidP="00E656DD">
            <w:pPr>
              <w:jc w:val="left"/>
              <w:rPr>
                <w:rFonts w:cstheme="majorBidi"/>
                <w:sz w:val="18"/>
                <w:szCs w:val="18"/>
                <w:lang w:val="en-GB"/>
              </w:rPr>
            </w:pPr>
            <w:r w:rsidRPr="00845FB7">
              <w:rPr>
                <w:rFonts w:cstheme="majorBidi"/>
                <w:sz w:val="18"/>
                <w:szCs w:val="18"/>
                <w:lang w:val="en-GB"/>
              </w:rPr>
              <w:t>2026–2027</w:t>
            </w:r>
            <w:r w:rsidR="00E656DD" w:rsidRPr="00845FB7">
              <w:rPr>
                <w:rFonts w:cstheme="majorBidi"/>
                <w:sz w:val="18"/>
                <w:szCs w:val="18"/>
                <w:lang w:val="en-GB"/>
              </w:rPr>
              <w:t xml:space="preserve"> requested in </w:t>
            </w:r>
            <w:r w:rsidR="00D71417" w:rsidRPr="00845FB7">
              <w:rPr>
                <w:rFonts w:cstheme="majorBidi"/>
                <w:sz w:val="18"/>
                <w:szCs w:val="18"/>
                <w:lang w:val="en-GB"/>
              </w:rPr>
              <w:t xml:space="preserve">the </w:t>
            </w:r>
            <w:r w:rsidR="007477EB" w:rsidRPr="00845FB7">
              <w:rPr>
                <w:rFonts w:cstheme="majorBidi"/>
                <w:sz w:val="18"/>
                <w:szCs w:val="18"/>
                <w:lang w:val="en-GB"/>
              </w:rPr>
              <w:t>z</w:t>
            </w:r>
            <w:r w:rsidR="00E656DD" w:rsidRPr="00845FB7">
              <w:rPr>
                <w:rFonts w:cstheme="majorBidi"/>
                <w:sz w:val="18"/>
                <w:szCs w:val="18"/>
                <w:lang w:val="en-GB"/>
              </w:rPr>
              <w:t>ero nominal growth scenario</w:t>
            </w:r>
          </w:p>
        </w:tc>
        <w:tc>
          <w:tcPr>
            <w:tcW w:w="1928" w:type="dxa"/>
            <w:noWrap/>
          </w:tcPr>
          <w:p w14:paraId="77E13197" w14:textId="77777777" w:rsidR="00E656DD" w:rsidRPr="00845FB7" w:rsidRDefault="00E656DD" w:rsidP="00E656DD">
            <w:pPr>
              <w:jc w:val="right"/>
              <w:rPr>
                <w:rFonts w:cstheme="majorBidi"/>
                <w:b/>
                <w:bCs/>
                <w:sz w:val="18"/>
                <w:szCs w:val="18"/>
                <w:lang w:val="en-GB"/>
              </w:rPr>
            </w:pPr>
            <w:r w:rsidRPr="00845FB7">
              <w:rPr>
                <w:rFonts w:cstheme="majorBidi"/>
                <w:b/>
                <w:bCs/>
                <w:sz w:val="18"/>
                <w:szCs w:val="18"/>
                <w:lang w:val="en-GB"/>
              </w:rPr>
              <w:t>26,000</w:t>
            </w:r>
          </w:p>
        </w:tc>
        <w:tc>
          <w:tcPr>
            <w:tcW w:w="1928" w:type="dxa"/>
            <w:noWrap/>
          </w:tcPr>
          <w:p w14:paraId="15386D9D" w14:textId="77777777" w:rsidR="00E656DD" w:rsidRPr="00845FB7" w:rsidRDefault="00E656DD" w:rsidP="00E656DD">
            <w:pPr>
              <w:jc w:val="right"/>
              <w:rPr>
                <w:rFonts w:cstheme="majorBidi"/>
                <w:sz w:val="18"/>
                <w:szCs w:val="18"/>
                <w:lang w:val="en-GB"/>
              </w:rPr>
            </w:pPr>
          </w:p>
        </w:tc>
        <w:tc>
          <w:tcPr>
            <w:tcW w:w="1928" w:type="dxa"/>
            <w:noWrap/>
          </w:tcPr>
          <w:p w14:paraId="30D1D383" w14:textId="77777777" w:rsidR="00E656DD" w:rsidRPr="00845FB7" w:rsidRDefault="00E656DD" w:rsidP="00E656DD">
            <w:pPr>
              <w:jc w:val="right"/>
              <w:rPr>
                <w:rFonts w:cstheme="majorBidi"/>
                <w:b/>
                <w:bCs/>
                <w:sz w:val="18"/>
                <w:szCs w:val="18"/>
                <w:lang w:val="en-GB"/>
              </w:rPr>
            </w:pPr>
            <w:r w:rsidRPr="00845FB7">
              <w:rPr>
                <w:rFonts w:cstheme="majorBidi"/>
                <w:b/>
                <w:bCs/>
                <w:sz w:val="18"/>
                <w:szCs w:val="18"/>
                <w:lang w:val="en-GB"/>
              </w:rPr>
              <w:t>26,000</w:t>
            </w:r>
          </w:p>
        </w:tc>
      </w:tr>
    </w:tbl>
    <w:p w14:paraId="64EACEE3" w14:textId="21753672" w:rsidR="00E656DD" w:rsidRPr="00845FB7" w:rsidRDefault="00E656DD" w:rsidP="00E656DD">
      <w:pPr>
        <w:tabs>
          <w:tab w:val="left" w:pos="1815"/>
        </w:tabs>
        <w:rPr>
          <w:sz w:val="18"/>
          <w:szCs w:val="18"/>
          <w:lang w:val="en-GB"/>
        </w:rPr>
      </w:pPr>
    </w:p>
    <w:p w14:paraId="3C227C5E" w14:textId="77777777" w:rsidR="00E656DD" w:rsidRPr="00845FB7" w:rsidRDefault="00E656DD" w:rsidP="00E656DD">
      <w:pPr>
        <w:rPr>
          <w:sz w:val="18"/>
          <w:szCs w:val="18"/>
          <w:lang w:val="en-GB"/>
        </w:rPr>
      </w:pPr>
    </w:p>
    <w:p w14:paraId="209F926B" w14:textId="77777777" w:rsidR="00E656DD" w:rsidRPr="00845FB7" w:rsidRDefault="00E656DD" w:rsidP="00E656DD">
      <w:pPr>
        <w:rPr>
          <w:sz w:val="18"/>
          <w:szCs w:val="18"/>
          <w:lang w:val="en-GB"/>
        </w:rPr>
      </w:pPr>
    </w:p>
    <w:p w14:paraId="12F35118" w14:textId="77777777" w:rsidR="00E656DD" w:rsidRPr="00845FB7" w:rsidRDefault="00E656DD" w:rsidP="00E656DD">
      <w:pPr>
        <w:rPr>
          <w:sz w:val="18"/>
          <w:szCs w:val="18"/>
          <w:lang w:val="en-GB"/>
        </w:rPr>
      </w:pPr>
    </w:p>
    <w:p w14:paraId="4D958B0B" w14:textId="77777777" w:rsidR="00E656DD" w:rsidRPr="00845FB7" w:rsidRDefault="00E656DD" w:rsidP="00E656DD">
      <w:pPr>
        <w:rPr>
          <w:sz w:val="18"/>
          <w:szCs w:val="18"/>
          <w:lang w:val="en-GB"/>
        </w:rPr>
      </w:pPr>
    </w:p>
    <w:p w14:paraId="63806B41" w14:textId="21203CCF" w:rsidR="00E656DD" w:rsidRPr="00845FB7" w:rsidRDefault="00E656DD" w:rsidP="00E656DD">
      <w:pPr>
        <w:rPr>
          <w:sz w:val="18"/>
          <w:szCs w:val="18"/>
          <w:lang w:val="en-GB"/>
        </w:rPr>
        <w:sectPr w:rsidR="00E656DD" w:rsidRPr="00845FB7" w:rsidSect="00BD36F8">
          <w:type w:val="continuous"/>
          <w:pgSz w:w="16838" w:h="11906" w:orient="landscape" w:code="9"/>
          <w:pgMar w:top="907" w:right="992" w:bottom="1418" w:left="1418" w:header="539" w:footer="975" w:gutter="0"/>
          <w:cols w:space="708"/>
          <w:titlePg/>
          <w:docGrid w:linePitch="360"/>
        </w:sectPr>
      </w:pPr>
    </w:p>
    <w:p w14:paraId="68AD5AC2" w14:textId="7B832F17" w:rsidR="000023EF" w:rsidRPr="00845FB7" w:rsidRDefault="000023EF" w:rsidP="000023EF">
      <w:pPr>
        <w:pStyle w:val="Heading2"/>
        <w:rPr>
          <w:rFonts w:cstheme="majorBidi"/>
          <w:color w:val="E8BC00"/>
          <w:sz w:val="36"/>
          <w:szCs w:val="36"/>
          <w:lang w:val="en-GB"/>
        </w:rPr>
      </w:pPr>
      <w:r w:rsidRPr="00845FB7">
        <w:rPr>
          <w:rFonts w:cstheme="majorBidi"/>
          <w:color w:val="E8BC00"/>
          <w:sz w:val="36"/>
          <w:szCs w:val="36"/>
          <w:lang w:val="en-GB"/>
        </w:rPr>
        <w:lastRenderedPageBreak/>
        <w:t xml:space="preserve">Activity 3. Implementation and </w:t>
      </w:r>
      <w:r w:rsidR="001777C0" w:rsidRPr="00845FB7">
        <w:rPr>
          <w:rFonts w:cstheme="majorBidi"/>
          <w:color w:val="E8BC00"/>
          <w:sz w:val="36"/>
          <w:szCs w:val="36"/>
          <w:lang w:val="en-GB"/>
        </w:rPr>
        <w:t>C</w:t>
      </w:r>
      <w:r w:rsidRPr="00845FB7">
        <w:rPr>
          <w:rFonts w:cstheme="majorBidi"/>
          <w:color w:val="E8BC00"/>
          <w:sz w:val="36"/>
          <w:szCs w:val="36"/>
          <w:lang w:val="en-GB"/>
        </w:rPr>
        <w:t xml:space="preserve">ompliance </w:t>
      </w:r>
      <w:r w:rsidR="001777C0" w:rsidRPr="00845FB7">
        <w:rPr>
          <w:rFonts w:cstheme="majorBidi"/>
          <w:color w:val="E8BC00"/>
          <w:sz w:val="36"/>
          <w:szCs w:val="36"/>
          <w:lang w:val="en-GB"/>
        </w:rPr>
        <w:t>C</w:t>
      </w:r>
      <w:r w:rsidRPr="00845FB7">
        <w:rPr>
          <w:rFonts w:cstheme="majorBidi"/>
          <w:color w:val="E8BC00"/>
          <w:sz w:val="36"/>
          <w:szCs w:val="36"/>
          <w:lang w:val="en-GB"/>
        </w:rPr>
        <w:t>ommittee</w:t>
      </w:r>
    </w:p>
    <w:p w14:paraId="1F167E0D" w14:textId="34CB97AA" w:rsidR="000C72D7" w:rsidRPr="00845FB7" w:rsidRDefault="000C72D7" w:rsidP="000C72D7">
      <w:pPr>
        <w:pStyle w:val="Heading3"/>
        <w:rPr>
          <w:sz w:val="24"/>
          <w:lang w:val="en-GB"/>
        </w:rPr>
      </w:pPr>
      <w:r w:rsidRPr="00845FB7">
        <w:rPr>
          <w:sz w:val="24"/>
          <w:lang w:val="en-GB"/>
        </w:rPr>
        <w:t>Budget</w:t>
      </w:r>
    </w:p>
    <w:p w14:paraId="3CEE6A40" w14:textId="35DAB0AE" w:rsidR="000C72D7" w:rsidRPr="00845FB7" w:rsidRDefault="000C72D7" w:rsidP="00BD36F8">
      <w:pPr>
        <w:spacing w:before="60" w:after="60"/>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455EBA"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calcOnExit w:val="0"/>
            <w:checkBox>
              <w:sizeAuto/>
              <w:default w:val="0"/>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455EBA" w:rsidRPr="00845FB7">
        <w:rPr>
          <w:rFonts w:cstheme="majorBidi"/>
          <w:szCs w:val="20"/>
          <w:lang w:val="en-GB"/>
        </w:rPr>
        <w:t>Special Trust Fund</w:t>
      </w:r>
    </w:p>
    <w:p w14:paraId="216EF590" w14:textId="05BB0E6B" w:rsidR="000C72D7" w:rsidRPr="00845FB7" w:rsidRDefault="000C72D7" w:rsidP="000C72D7">
      <w:pPr>
        <w:pStyle w:val="Heading3"/>
        <w:rPr>
          <w:sz w:val="24"/>
          <w:lang w:val="en-GB"/>
        </w:rPr>
      </w:pPr>
      <w:r w:rsidRPr="00845FB7">
        <w:rPr>
          <w:sz w:val="24"/>
          <w:lang w:val="en-GB"/>
        </w:rPr>
        <w:t>Reference</w:t>
      </w:r>
    </w:p>
    <w:p w14:paraId="02AC138A" w14:textId="60FE5613" w:rsidR="00B26E82" w:rsidRPr="00845FB7" w:rsidRDefault="00C740ED" w:rsidP="00BD36F8">
      <w:pPr>
        <w:spacing w:after="60"/>
        <w:ind w:left="2127" w:hanging="2127"/>
        <w:rPr>
          <w:rFonts w:cstheme="majorBidi"/>
          <w:lang w:val="en-GB"/>
        </w:rPr>
      </w:pPr>
      <w:r w:rsidRPr="00845FB7">
        <w:rPr>
          <w:rFonts w:cstheme="majorBidi"/>
          <w:b/>
          <w:bCs/>
          <w:lang w:val="en-GB"/>
        </w:rPr>
        <w:t>UNEP/</w:t>
      </w:r>
      <w:r w:rsidR="00B26E82" w:rsidRPr="00845FB7">
        <w:rPr>
          <w:rFonts w:cstheme="majorBidi"/>
          <w:b/>
          <w:bCs/>
          <w:lang w:val="en-GB"/>
        </w:rPr>
        <w:t>MC/COP.</w:t>
      </w:r>
      <w:r w:rsidR="0082662C" w:rsidRPr="00845FB7">
        <w:rPr>
          <w:rFonts w:cstheme="majorBidi"/>
          <w:b/>
          <w:bCs/>
          <w:lang w:val="en-GB"/>
        </w:rPr>
        <w:t>6</w:t>
      </w:r>
      <w:r w:rsidR="00B26E82" w:rsidRPr="00845FB7">
        <w:rPr>
          <w:rFonts w:cstheme="majorBidi"/>
          <w:b/>
          <w:bCs/>
          <w:lang w:val="en-GB"/>
        </w:rPr>
        <w:t>/1</w:t>
      </w:r>
      <w:r w:rsidRPr="00845FB7">
        <w:rPr>
          <w:rFonts w:cstheme="majorBidi"/>
          <w:b/>
          <w:bCs/>
          <w:lang w:val="en-GB"/>
        </w:rPr>
        <w:t>4</w:t>
      </w:r>
      <w:r w:rsidR="00A8577E" w:rsidRPr="00845FB7">
        <w:rPr>
          <w:rFonts w:cstheme="majorBidi"/>
          <w:b/>
          <w:bCs/>
          <w:lang w:val="en-GB"/>
        </w:rPr>
        <w:t>:</w:t>
      </w:r>
      <w:r w:rsidR="00A8577E" w:rsidRPr="00845FB7">
        <w:rPr>
          <w:rFonts w:cstheme="majorBidi"/>
          <w:lang w:val="en-GB"/>
        </w:rPr>
        <w:t xml:space="preserve"> </w:t>
      </w:r>
      <w:r w:rsidR="00C45CC2" w:rsidRPr="00845FB7">
        <w:rPr>
          <w:rFonts w:cstheme="majorBidi"/>
          <w:lang w:val="en-GB"/>
        </w:rPr>
        <w:tab/>
      </w:r>
      <w:r w:rsidR="00A8577E" w:rsidRPr="00845FB7">
        <w:rPr>
          <w:rFonts w:cstheme="majorBidi"/>
          <w:lang w:val="en-GB"/>
        </w:rPr>
        <w:t>Report on the work of the Implementation and Compliance Committee of the Minamata Convention on Mercury, including recommendations</w:t>
      </w:r>
    </w:p>
    <w:p w14:paraId="07A60B54" w14:textId="0DAE9D02" w:rsidR="000C72D7" w:rsidRPr="00845FB7" w:rsidRDefault="000C72D7" w:rsidP="000C72D7">
      <w:pPr>
        <w:pStyle w:val="Heading3"/>
        <w:rPr>
          <w:sz w:val="24"/>
          <w:lang w:val="en-GB"/>
        </w:rPr>
      </w:pPr>
      <w:r w:rsidRPr="00845FB7">
        <w:rPr>
          <w:sz w:val="24"/>
          <w:lang w:val="en-GB"/>
        </w:rPr>
        <w:t>Mandate</w:t>
      </w:r>
    </w:p>
    <w:p w14:paraId="1FFD4F41" w14:textId="5AB179AA" w:rsidR="00982EE8" w:rsidRPr="00845FB7" w:rsidRDefault="00D43D9F" w:rsidP="00BD36F8">
      <w:pPr>
        <w:snapToGrid w:val="0"/>
        <w:spacing w:after="60"/>
        <w:rPr>
          <w:rFonts w:cstheme="majorBidi"/>
          <w:bCs/>
          <w:szCs w:val="20"/>
          <w:lang w:val="en-GB"/>
        </w:rPr>
      </w:pPr>
      <w:r w:rsidRPr="00845FB7">
        <w:rPr>
          <w:rFonts w:cstheme="majorBidi"/>
          <w:b/>
          <w:bCs/>
          <w:szCs w:val="20"/>
          <w:lang w:val="en-GB"/>
        </w:rPr>
        <w:t>Convention:</w:t>
      </w:r>
      <w:r w:rsidR="00982EE8" w:rsidRPr="00845FB7">
        <w:rPr>
          <w:rFonts w:cstheme="majorBidi"/>
          <w:bCs/>
          <w:szCs w:val="20"/>
          <w:lang w:val="en-GB"/>
        </w:rPr>
        <w:t xml:space="preserve"> </w:t>
      </w:r>
      <w:r w:rsidR="00DD1E0C" w:rsidRPr="00845FB7">
        <w:rPr>
          <w:rFonts w:cstheme="majorBidi"/>
          <w:bCs/>
          <w:szCs w:val="20"/>
          <w:lang w:val="en-GB"/>
        </w:rPr>
        <w:t>A</w:t>
      </w:r>
      <w:r w:rsidR="00982EE8" w:rsidRPr="00845FB7">
        <w:rPr>
          <w:rFonts w:cstheme="majorBidi"/>
          <w:bCs/>
          <w:szCs w:val="20"/>
          <w:lang w:val="en-GB"/>
        </w:rPr>
        <w:t>rticle 15</w:t>
      </w:r>
    </w:p>
    <w:p w14:paraId="1D7B5875" w14:textId="12D11C9D" w:rsidR="00982EE8" w:rsidRPr="00845FB7" w:rsidRDefault="00982EE8" w:rsidP="00BD36F8">
      <w:pPr>
        <w:spacing w:after="60"/>
        <w:rPr>
          <w:lang w:val="en-GB"/>
        </w:rPr>
      </w:pPr>
      <w:r w:rsidRPr="00845FB7">
        <w:rPr>
          <w:rFonts w:cstheme="majorBidi"/>
          <w:b/>
          <w:bCs/>
          <w:szCs w:val="20"/>
          <w:lang w:val="en-GB"/>
        </w:rPr>
        <w:t>COP decision</w:t>
      </w:r>
      <w:r w:rsidR="004E6988" w:rsidRPr="00845FB7">
        <w:rPr>
          <w:rFonts w:cstheme="majorBidi"/>
          <w:b/>
          <w:bCs/>
          <w:szCs w:val="20"/>
          <w:lang w:val="en-GB"/>
        </w:rPr>
        <w:t>(</w:t>
      </w:r>
      <w:r w:rsidRPr="00845FB7">
        <w:rPr>
          <w:rFonts w:cstheme="majorBidi"/>
          <w:b/>
          <w:bCs/>
          <w:szCs w:val="20"/>
          <w:lang w:val="en-GB"/>
        </w:rPr>
        <w:t>s</w:t>
      </w:r>
      <w:r w:rsidR="004E6988" w:rsidRPr="00845FB7">
        <w:rPr>
          <w:rFonts w:cstheme="majorBidi"/>
          <w:b/>
          <w:bCs/>
          <w:szCs w:val="20"/>
          <w:lang w:val="en-GB"/>
        </w:rPr>
        <w:t>)</w:t>
      </w:r>
      <w:r w:rsidRPr="00845FB7">
        <w:rPr>
          <w:rFonts w:cstheme="majorBidi"/>
          <w:bCs/>
          <w:szCs w:val="20"/>
          <w:lang w:val="en-GB"/>
        </w:rPr>
        <w:t xml:space="preserve">: </w:t>
      </w:r>
      <w:r w:rsidR="00EE18CF" w:rsidRPr="00845FB7">
        <w:rPr>
          <w:rFonts w:cstheme="majorBidi"/>
          <w:bCs/>
          <w:szCs w:val="20"/>
          <w:lang w:val="en-GB"/>
        </w:rPr>
        <w:t>MC-1/7</w:t>
      </w:r>
      <w:r w:rsidR="00990C21" w:rsidRPr="00845FB7">
        <w:rPr>
          <w:rFonts w:cstheme="majorBidi"/>
          <w:bCs/>
          <w:szCs w:val="20"/>
          <w:lang w:val="en-GB"/>
        </w:rPr>
        <w:t>, MC-2/4, MC-3/9</w:t>
      </w:r>
    </w:p>
    <w:p w14:paraId="00D2C8A8" w14:textId="296872C6" w:rsidR="000C72D7" w:rsidRPr="00845FB7" w:rsidRDefault="000C72D7" w:rsidP="00990C21">
      <w:pPr>
        <w:pStyle w:val="Heading3"/>
        <w:rPr>
          <w:sz w:val="24"/>
          <w:lang w:val="en-GB"/>
        </w:rPr>
      </w:pPr>
      <w:r w:rsidRPr="00845FB7">
        <w:rPr>
          <w:sz w:val="24"/>
          <w:lang w:val="en-GB"/>
        </w:rPr>
        <w:t>Background and rationale</w:t>
      </w:r>
      <w:r w:rsidR="00EE18CF" w:rsidRPr="00845FB7">
        <w:rPr>
          <w:b w:val="0"/>
          <w:sz w:val="18"/>
          <w:szCs w:val="18"/>
          <w:lang w:val="en-GB"/>
        </w:rPr>
        <w:t xml:space="preserve"> </w:t>
      </w:r>
    </w:p>
    <w:p w14:paraId="7DA85147" w14:textId="2BFA9CA7" w:rsidR="00743A39" w:rsidRPr="00845FB7" w:rsidRDefault="00743A39" w:rsidP="20BDF0CC">
      <w:pPr>
        <w:spacing w:after="120"/>
        <w:rPr>
          <w:rFonts w:cstheme="majorBidi"/>
        </w:rPr>
      </w:pPr>
      <w:r w:rsidRPr="20BDF0CC">
        <w:rPr>
          <w:rFonts w:cstheme="majorBidi"/>
        </w:rPr>
        <w:t xml:space="preserve">The Minamata Convention Implementation and Compliance Committee is a subsidiary body of the Conference of the Parties established in </w:t>
      </w:r>
      <w:r w:rsidR="00DD1E0C" w:rsidRPr="20BDF0CC">
        <w:rPr>
          <w:rFonts w:cstheme="majorBidi"/>
        </w:rPr>
        <w:t>A</w:t>
      </w:r>
      <w:r w:rsidRPr="20BDF0CC">
        <w:rPr>
          <w:rFonts w:cstheme="majorBidi"/>
        </w:rPr>
        <w:t xml:space="preserve">rticle 15 of the Convention. According to the rules of procedure of the Committee, it shall meet at least once in person between ordinary meetings of the Conference of the Parties. </w:t>
      </w:r>
      <w:r w:rsidR="008D0591" w:rsidRPr="20BDF0CC">
        <w:rPr>
          <w:rFonts w:cstheme="majorBidi"/>
        </w:rPr>
        <w:t xml:space="preserve">At its </w:t>
      </w:r>
      <w:r w:rsidR="0FA61A4A" w:rsidRPr="20BDF0CC">
        <w:rPr>
          <w:rFonts w:cstheme="majorBidi"/>
        </w:rPr>
        <w:t xml:space="preserve">seventh </w:t>
      </w:r>
      <w:r w:rsidR="008D0591" w:rsidRPr="20BDF0CC">
        <w:rPr>
          <w:rFonts w:cstheme="majorBidi"/>
        </w:rPr>
        <w:t>meeting the</w:t>
      </w:r>
      <w:r w:rsidRPr="20BDF0CC">
        <w:rPr>
          <w:rFonts w:cstheme="majorBidi"/>
        </w:rPr>
        <w:t xml:space="preserve"> Committee agreed to meet </w:t>
      </w:r>
      <w:r w:rsidR="008D0591" w:rsidRPr="20BDF0CC">
        <w:rPr>
          <w:rFonts w:cstheme="majorBidi"/>
        </w:rPr>
        <w:t xml:space="preserve">once </w:t>
      </w:r>
      <w:r w:rsidRPr="20BDF0CC">
        <w:rPr>
          <w:rFonts w:cstheme="majorBidi"/>
        </w:rPr>
        <w:t xml:space="preserve">online in </w:t>
      </w:r>
      <w:r w:rsidR="160A5E73" w:rsidRPr="20BDF0CC">
        <w:rPr>
          <w:rFonts w:cstheme="majorBidi"/>
        </w:rPr>
        <w:t xml:space="preserve">early </w:t>
      </w:r>
      <w:r w:rsidRPr="20BDF0CC">
        <w:rPr>
          <w:rFonts w:cstheme="majorBidi"/>
        </w:rPr>
        <w:t>202</w:t>
      </w:r>
      <w:r w:rsidR="2DEEDCD1" w:rsidRPr="20BDF0CC">
        <w:rPr>
          <w:rFonts w:cstheme="majorBidi"/>
        </w:rPr>
        <w:t>6</w:t>
      </w:r>
      <w:r w:rsidRPr="20BDF0CC">
        <w:rPr>
          <w:rFonts w:cstheme="majorBidi"/>
        </w:rPr>
        <w:t xml:space="preserve"> and in-person in </w:t>
      </w:r>
      <w:r w:rsidR="008D0591" w:rsidRPr="20BDF0CC">
        <w:rPr>
          <w:rFonts w:cstheme="majorBidi"/>
        </w:rPr>
        <w:t xml:space="preserve">in the </w:t>
      </w:r>
      <w:r w:rsidR="4A3FC3B9" w:rsidRPr="20BDF0CC">
        <w:rPr>
          <w:rFonts w:cstheme="majorBidi"/>
        </w:rPr>
        <w:t>second half</w:t>
      </w:r>
      <w:r w:rsidR="008D0591" w:rsidRPr="20BDF0CC">
        <w:rPr>
          <w:rFonts w:cstheme="majorBidi"/>
        </w:rPr>
        <w:t xml:space="preserve"> of </w:t>
      </w:r>
      <w:r w:rsidRPr="20BDF0CC">
        <w:rPr>
          <w:rFonts w:cstheme="majorBidi"/>
        </w:rPr>
        <w:t>202</w:t>
      </w:r>
      <w:r w:rsidR="75CB6AE6" w:rsidRPr="20BDF0CC">
        <w:rPr>
          <w:rFonts w:cstheme="majorBidi"/>
        </w:rPr>
        <w:t>6</w:t>
      </w:r>
      <w:r w:rsidRPr="20BDF0CC">
        <w:rPr>
          <w:rFonts w:cstheme="majorBidi"/>
        </w:rPr>
        <w:t xml:space="preserve">.  </w:t>
      </w:r>
    </w:p>
    <w:p w14:paraId="3D431365" w14:textId="26E3F125" w:rsidR="00743A39" w:rsidRPr="00845FB7" w:rsidRDefault="00743A39" w:rsidP="00BD36F8">
      <w:pPr>
        <w:spacing w:after="120"/>
        <w:rPr>
          <w:rFonts w:cstheme="majorBidi"/>
          <w:szCs w:val="20"/>
          <w:lang w:val="en-GB"/>
        </w:rPr>
      </w:pPr>
      <w:r w:rsidRPr="00845FB7">
        <w:rPr>
          <w:rFonts w:cstheme="majorBidi"/>
          <w:szCs w:val="20"/>
          <w:lang w:val="en-GB"/>
        </w:rPr>
        <w:t xml:space="preserve">The convening of the next meetings of the Committee will require, amongst others, the following activities: development of meeting documents, presentations as well as any necessary background materials, management of invitations and registrations as well as support to the participation of sponsored participants and logistical arrangements with respect to the venue and hosting of the in-person meeting. </w:t>
      </w:r>
    </w:p>
    <w:p w14:paraId="514BD43F" w14:textId="1FE11406" w:rsidR="00743A39" w:rsidRPr="00845FB7" w:rsidRDefault="00743A39" w:rsidP="00BD36F8">
      <w:pPr>
        <w:spacing w:after="120"/>
        <w:rPr>
          <w:rFonts w:cstheme="majorBidi"/>
          <w:szCs w:val="20"/>
          <w:lang w:val="en-GB"/>
        </w:rPr>
      </w:pPr>
      <w:r w:rsidRPr="00845FB7">
        <w:rPr>
          <w:rFonts w:cstheme="majorBidi"/>
          <w:szCs w:val="20"/>
          <w:lang w:val="en-GB"/>
        </w:rPr>
        <w:t xml:space="preserve">Support to travel of Committee members from developing-country </w:t>
      </w:r>
      <w:r w:rsidR="0060583D" w:rsidRPr="00845FB7">
        <w:rPr>
          <w:rFonts w:cstheme="majorBidi"/>
          <w:szCs w:val="20"/>
          <w:lang w:val="en-GB"/>
        </w:rPr>
        <w:t>P</w:t>
      </w:r>
      <w:r w:rsidRPr="00845FB7">
        <w:rPr>
          <w:rFonts w:cstheme="majorBidi"/>
          <w:szCs w:val="20"/>
          <w:lang w:val="en-GB"/>
        </w:rPr>
        <w:t xml:space="preserve">arties and </w:t>
      </w:r>
      <w:r w:rsidR="0060583D" w:rsidRPr="00845FB7">
        <w:rPr>
          <w:rFonts w:cstheme="majorBidi"/>
          <w:szCs w:val="20"/>
          <w:lang w:val="en-GB"/>
        </w:rPr>
        <w:t>P</w:t>
      </w:r>
      <w:r w:rsidRPr="00845FB7">
        <w:rPr>
          <w:rFonts w:cstheme="majorBidi"/>
          <w:szCs w:val="20"/>
          <w:lang w:val="en-GB"/>
        </w:rPr>
        <w:t>arties with economies in transition, funded from the Convention</w:t>
      </w:r>
      <w:r w:rsidR="001B4CB9" w:rsidRPr="00845FB7">
        <w:rPr>
          <w:rFonts w:cstheme="majorBidi"/>
          <w:szCs w:val="20"/>
          <w:lang w:val="en-GB"/>
        </w:rPr>
        <w:t>’</w:t>
      </w:r>
      <w:r w:rsidRPr="00845FB7">
        <w:rPr>
          <w:rFonts w:cstheme="majorBidi"/>
          <w:szCs w:val="20"/>
          <w:lang w:val="en-GB"/>
        </w:rPr>
        <w:t xml:space="preserve">s general trust fund, allows for their full and effective participation in the meetings and for the quorum to be reached, resulting in an inclusive decision-making process, improved legitimacy of the conclusions and decisions adopted, and increased commitment towards them. Such participation also allows the Committee to be </w:t>
      </w:r>
      <w:proofErr w:type="gramStart"/>
      <w:r w:rsidRPr="00845FB7">
        <w:rPr>
          <w:rFonts w:cstheme="majorBidi"/>
          <w:szCs w:val="20"/>
          <w:lang w:val="en-GB"/>
        </w:rPr>
        <w:t>in a position</w:t>
      </w:r>
      <w:proofErr w:type="gramEnd"/>
      <w:r w:rsidRPr="00845FB7">
        <w:rPr>
          <w:rFonts w:cstheme="majorBidi"/>
          <w:szCs w:val="20"/>
          <w:lang w:val="en-GB"/>
        </w:rPr>
        <w:t xml:space="preserve"> to determine the facts and root causes of the matters of concern and assist in its resolution, as the case may be, and to increased commitment by </w:t>
      </w:r>
      <w:r w:rsidR="00AE24F8" w:rsidRPr="00845FB7">
        <w:rPr>
          <w:rFonts w:cstheme="majorBidi"/>
          <w:szCs w:val="20"/>
          <w:lang w:val="en-GB"/>
        </w:rPr>
        <w:t>P</w:t>
      </w:r>
      <w:r w:rsidRPr="00845FB7">
        <w:rPr>
          <w:rFonts w:cstheme="majorBidi"/>
          <w:szCs w:val="20"/>
          <w:lang w:val="en-GB"/>
        </w:rPr>
        <w:t xml:space="preserve">arties towards decisions taken by the Committee. </w:t>
      </w:r>
    </w:p>
    <w:p w14:paraId="651A4475" w14:textId="035BDF38" w:rsidR="00743A39" w:rsidRPr="00845FB7" w:rsidRDefault="00743A39" w:rsidP="00BD36F8">
      <w:pPr>
        <w:spacing w:after="120"/>
        <w:rPr>
          <w:rFonts w:cstheme="majorBidi"/>
          <w:szCs w:val="20"/>
          <w:lang w:val="en-GB"/>
        </w:rPr>
      </w:pPr>
      <w:r w:rsidRPr="00845FB7">
        <w:rPr>
          <w:rFonts w:cstheme="majorBidi"/>
          <w:szCs w:val="20"/>
          <w:lang w:val="en-GB"/>
        </w:rPr>
        <w:t xml:space="preserve">The </w:t>
      </w:r>
      <w:r w:rsidR="0060583D" w:rsidRPr="00845FB7">
        <w:rPr>
          <w:rFonts w:cstheme="majorBidi"/>
          <w:szCs w:val="20"/>
          <w:lang w:val="en-GB"/>
        </w:rPr>
        <w:t>S</w:t>
      </w:r>
      <w:r w:rsidRPr="00845FB7">
        <w:rPr>
          <w:rFonts w:cstheme="majorBidi"/>
          <w:szCs w:val="20"/>
          <w:lang w:val="en-GB"/>
        </w:rPr>
        <w:t xml:space="preserve">ecretariat will provide secretariat services during the meetings of the Committee, including delivery of presentations and assistance to the Chair and Vice-chair, and drafting/finalizing relevant documents for the meeting, including the meeting report. Additionally, the </w:t>
      </w:r>
      <w:r w:rsidR="00666ED3" w:rsidRPr="00845FB7">
        <w:rPr>
          <w:rFonts w:cstheme="majorBidi"/>
          <w:szCs w:val="20"/>
          <w:lang w:val="en-GB"/>
        </w:rPr>
        <w:t>S</w:t>
      </w:r>
      <w:r w:rsidRPr="00845FB7">
        <w:rPr>
          <w:rFonts w:cstheme="majorBidi"/>
          <w:szCs w:val="20"/>
          <w:lang w:val="en-GB"/>
        </w:rPr>
        <w:t xml:space="preserve">ecretariat may be requested by the Committee to carry out further specific work, including the development and dissemination of outreach materials, translation of submissions from </w:t>
      </w:r>
      <w:r w:rsidR="00666ED3" w:rsidRPr="00845FB7">
        <w:rPr>
          <w:rFonts w:cstheme="majorBidi"/>
          <w:szCs w:val="20"/>
          <w:lang w:val="en-GB"/>
        </w:rPr>
        <w:t>P</w:t>
      </w:r>
      <w:r w:rsidRPr="00845FB7">
        <w:rPr>
          <w:rFonts w:cstheme="majorBidi"/>
          <w:szCs w:val="20"/>
          <w:lang w:val="en-GB"/>
        </w:rPr>
        <w:t xml:space="preserve">arties as per paragraph 4(a) of </w:t>
      </w:r>
      <w:r w:rsidR="00DD1E0C" w:rsidRPr="00845FB7">
        <w:rPr>
          <w:rFonts w:cstheme="majorBidi"/>
          <w:szCs w:val="20"/>
          <w:lang w:val="en-GB"/>
        </w:rPr>
        <w:t>A</w:t>
      </w:r>
      <w:r w:rsidRPr="00845FB7">
        <w:rPr>
          <w:rFonts w:cstheme="majorBidi"/>
          <w:szCs w:val="20"/>
          <w:lang w:val="en-GB"/>
        </w:rPr>
        <w:t>rticle 15, as well as other translations.</w:t>
      </w:r>
      <w:r w:rsidR="00D212A9" w:rsidRPr="00845FB7">
        <w:rPr>
          <w:rFonts w:ascii="ZWAdobeF" w:hAnsi="ZWAdobeF" w:cs="ZWAdobeF"/>
          <w:sz w:val="2"/>
          <w:szCs w:val="2"/>
          <w:lang w:val="en-GB"/>
        </w:rPr>
        <w:t>2F</w:t>
      </w:r>
      <w:r w:rsidRPr="00845FB7">
        <w:rPr>
          <w:rStyle w:val="FootnoteReference"/>
          <w:rFonts w:cstheme="majorBidi"/>
          <w:szCs w:val="20"/>
          <w:lang w:val="en-GB"/>
        </w:rPr>
        <w:footnoteReference w:id="5"/>
      </w:r>
    </w:p>
    <w:p w14:paraId="27749942" w14:textId="7D31F997" w:rsidR="00E146AE" w:rsidRPr="00845FB7" w:rsidRDefault="00E146AE" w:rsidP="00E146AE">
      <w:pPr>
        <w:pStyle w:val="Heading3"/>
        <w:rPr>
          <w:sz w:val="24"/>
          <w:lang w:val="en-GB"/>
        </w:rPr>
      </w:pPr>
      <w:r w:rsidRPr="00845FB7">
        <w:rPr>
          <w:sz w:val="24"/>
          <w:lang w:val="en-GB"/>
        </w:rPr>
        <w:lastRenderedPageBreak/>
        <w:t>Outcomes and activities</w:t>
      </w:r>
    </w:p>
    <w:p w14:paraId="2B7FF38D" w14:textId="77777777" w:rsidR="00A35C75" w:rsidRPr="00845FB7" w:rsidRDefault="00A35C75" w:rsidP="00BD36F8">
      <w:pPr>
        <w:pStyle w:val="Heading2"/>
        <w:spacing w:before="360" w:after="120"/>
        <w:jc w:val="left"/>
        <w:rPr>
          <w:sz w:val="28"/>
          <w:szCs w:val="28"/>
          <w:lang w:val="en-GB"/>
        </w:rPr>
      </w:pPr>
      <w:r w:rsidRPr="00845FB7">
        <w:rPr>
          <w:sz w:val="28"/>
          <w:szCs w:val="28"/>
          <w:lang w:val="en-GB"/>
        </w:rPr>
        <w:t>Component 3.1. Meetings of the Implementation and Compliance Committee</w:t>
      </w:r>
    </w:p>
    <w:p w14:paraId="3ACE95E4" w14:textId="304F1442" w:rsidR="00960A0B" w:rsidRPr="00845FB7" w:rsidRDefault="00960A0B" w:rsidP="00BD36F8">
      <w:pPr>
        <w:spacing w:before="240"/>
        <w:rPr>
          <w:rFonts w:cstheme="majorBidi"/>
          <w:b/>
          <w:bCs/>
          <w:szCs w:val="20"/>
          <w:lang w:val="en-GB" w:eastAsia="en-GB"/>
        </w:rPr>
      </w:pPr>
      <w:r w:rsidRPr="00845FB7">
        <w:rPr>
          <w:rFonts w:cstheme="majorBidi"/>
          <w:b/>
          <w:bCs/>
          <w:lang w:val="en-GB" w:eastAsia="en-GB"/>
        </w:rPr>
        <w:t>OUTCOMES</w:t>
      </w:r>
    </w:p>
    <w:p w14:paraId="22591110" w14:textId="439A74B2" w:rsidR="00960A0B" w:rsidRPr="00845FB7" w:rsidRDefault="00960A0B" w:rsidP="7EAA2ABE">
      <w:pPr>
        <w:spacing w:after="60"/>
        <w:rPr>
          <w:rFonts w:cstheme="majorBidi"/>
          <w:b/>
          <w:bCs/>
          <w:lang w:val="en-GB" w:eastAsia="en-GB"/>
        </w:rPr>
      </w:pPr>
      <w:r w:rsidRPr="00845FB7">
        <w:rPr>
          <w:rFonts w:cstheme="majorBidi"/>
          <w:lang w:val="en-GB"/>
        </w:rPr>
        <w:t>Arrangements for the 202</w:t>
      </w:r>
      <w:r w:rsidR="24BA5AA0" w:rsidRPr="00845FB7">
        <w:rPr>
          <w:rFonts w:cstheme="majorBidi"/>
          <w:lang w:val="en-GB"/>
        </w:rPr>
        <w:t>6</w:t>
      </w:r>
      <w:r w:rsidRPr="00845FB7">
        <w:rPr>
          <w:rFonts w:cstheme="majorBidi"/>
          <w:lang w:val="en-GB"/>
        </w:rPr>
        <w:t xml:space="preserve"> online meeting and the 202</w:t>
      </w:r>
      <w:r w:rsidR="47F459B0" w:rsidRPr="00845FB7">
        <w:rPr>
          <w:rFonts w:cstheme="majorBidi"/>
          <w:lang w:val="en-GB"/>
        </w:rPr>
        <w:t>6</w:t>
      </w:r>
      <w:r w:rsidRPr="00845FB7">
        <w:rPr>
          <w:rFonts w:cstheme="majorBidi"/>
          <w:lang w:val="en-GB"/>
        </w:rPr>
        <w:t xml:space="preserve"> in-person meeting of the Implementation and Compliance Committee (ICC) are made, quality services provided, and meetings documents are prepared. Travel of ICC members from developing-country </w:t>
      </w:r>
      <w:r w:rsidR="00666ED3" w:rsidRPr="00845FB7">
        <w:rPr>
          <w:rFonts w:cstheme="majorBidi"/>
          <w:lang w:val="en-GB"/>
        </w:rPr>
        <w:t>P</w:t>
      </w:r>
      <w:r w:rsidRPr="00845FB7">
        <w:rPr>
          <w:rFonts w:cstheme="majorBidi"/>
          <w:lang w:val="en-GB"/>
        </w:rPr>
        <w:t xml:space="preserve">arties and </w:t>
      </w:r>
      <w:r w:rsidR="00666ED3" w:rsidRPr="00845FB7">
        <w:rPr>
          <w:rFonts w:cstheme="majorBidi"/>
          <w:lang w:val="en-GB"/>
        </w:rPr>
        <w:t>P</w:t>
      </w:r>
      <w:r w:rsidRPr="00845FB7">
        <w:rPr>
          <w:rFonts w:cstheme="majorBidi"/>
          <w:lang w:val="en-GB"/>
        </w:rPr>
        <w:t>arties with economies in transition to the in-person meeting is organized.</w:t>
      </w:r>
    </w:p>
    <w:p w14:paraId="4DF0665B" w14:textId="3C6892A9" w:rsidR="00960A0B" w:rsidRPr="00845FB7" w:rsidRDefault="00960A0B" w:rsidP="00BD36F8">
      <w:pPr>
        <w:spacing w:before="240"/>
        <w:rPr>
          <w:rFonts w:cstheme="majorBidi"/>
          <w:b/>
          <w:bCs/>
          <w:szCs w:val="20"/>
          <w:lang w:val="en-GB" w:eastAsia="en-GB"/>
        </w:rPr>
      </w:pPr>
      <w:r w:rsidRPr="00845FB7">
        <w:rPr>
          <w:rFonts w:cstheme="majorBidi"/>
          <w:b/>
          <w:bCs/>
          <w:lang w:val="en-GB" w:eastAsia="en-GB"/>
        </w:rPr>
        <w:t>ACTIVITIES</w:t>
      </w:r>
    </w:p>
    <w:tbl>
      <w:tblPr>
        <w:tblW w:w="10065" w:type="dxa"/>
        <w:tblLayout w:type="fixed"/>
        <w:tblLook w:val="04A0" w:firstRow="1" w:lastRow="0" w:firstColumn="1" w:lastColumn="0" w:noHBand="0" w:noVBand="1"/>
      </w:tblPr>
      <w:tblGrid>
        <w:gridCol w:w="10065"/>
      </w:tblGrid>
      <w:tr w:rsidR="00983115" w:rsidRPr="00845FB7" w14:paraId="4EAD5243" w14:textId="77777777" w:rsidTr="0052667E">
        <w:trPr>
          <w:trHeight w:val="163"/>
        </w:trPr>
        <w:tc>
          <w:tcPr>
            <w:tcW w:w="10065" w:type="dxa"/>
            <w:tcBorders>
              <w:top w:val="nil"/>
              <w:left w:val="nil"/>
              <w:bottom w:val="nil"/>
              <w:right w:val="nil"/>
            </w:tcBorders>
            <w:noWrap/>
            <w:vAlign w:val="bottom"/>
            <w:hideMark/>
          </w:tcPr>
          <w:p w14:paraId="34895352" w14:textId="05C650F1"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 xml:space="preserve">Prepare and publish pre-session meeting documents in consultation/cooperation with ICC Chair; </w:t>
            </w:r>
          </w:p>
          <w:p w14:paraId="134E416A" w14:textId="2ED7101B"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Organize pre-meetings and informal consultations</w:t>
            </w:r>
            <w:r w:rsidR="00737036" w:rsidRPr="00845FB7">
              <w:rPr>
                <w:rFonts w:eastAsia="Times New Roman" w:cstheme="majorBidi"/>
                <w:szCs w:val="20"/>
                <w:lang w:val="en-GB"/>
              </w:rPr>
              <w:t xml:space="preserve"> (</w:t>
            </w:r>
            <w:r w:rsidR="002E052A" w:rsidRPr="00845FB7">
              <w:rPr>
                <w:rFonts w:eastAsia="Times New Roman" w:cstheme="majorBidi"/>
                <w:szCs w:val="20"/>
                <w:lang w:val="en-GB"/>
              </w:rPr>
              <w:t>staff costs)</w:t>
            </w:r>
            <w:r w:rsidRPr="00845FB7">
              <w:rPr>
                <w:rFonts w:eastAsia="Times New Roman" w:cstheme="majorBidi"/>
                <w:szCs w:val="20"/>
                <w:lang w:val="en-GB"/>
              </w:rPr>
              <w:t>;</w:t>
            </w:r>
          </w:p>
          <w:p w14:paraId="3C304411" w14:textId="2CE1C878"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Prepare and dispatch invitations</w:t>
            </w:r>
            <w:r w:rsidR="002E052A" w:rsidRPr="00845FB7">
              <w:rPr>
                <w:rFonts w:eastAsia="Times New Roman" w:cstheme="majorBidi"/>
                <w:szCs w:val="20"/>
                <w:lang w:val="en-GB"/>
              </w:rPr>
              <w:t xml:space="preserve"> (staff costs)</w:t>
            </w:r>
            <w:r w:rsidRPr="00845FB7">
              <w:rPr>
                <w:rFonts w:eastAsia="Times New Roman" w:cstheme="majorBidi"/>
                <w:szCs w:val="20"/>
                <w:lang w:val="en-GB"/>
              </w:rPr>
              <w:t xml:space="preserve">; </w:t>
            </w:r>
          </w:p>
          <w:p w14:paraId="22B021BC" w14:textId="1F24063B" w:rsidR="00983115" w:rsidRPr="00845FB7" w:rsidRDefault="00983115" w:rsidP="00BD36F8">
            <w:pPr>
              <w:pStyle w:val="ListParagraph"/>
              <w:numPr>
                <w:ilvl w:val="0"/>
                <w:numId w:val="6"/>
              </w:numPr>
              <w:spacing w:after="60" w:line="240" w:lineRule="auto"/>
              <w:ind w:right="284"/>
              <w:jc w:val="left"/>
              <w:rPr>
                <w:rFonts w:cstheme="majorBidi"/>
                <w:szCs w:val="20"/>
                <w:lang w:val="en-GB"/>
              </w:rPr>
            </w:pPr>
            <w:r w:rsidRPr="00845FB7">
              <w:rPr>
                <w:rFonts w:eastAsia="Times New Roman" w:cstheme="majorBidi"/>
                <w:szCs w:val="20"/>
                <w:lang w:val="en-GB"/>
              </w:rPr>
              <w:t>Register participants and observers</w:t>
            </w:r>
            <w:r w:rsidR="002E052A" w:rsidRPr="00845FB7">
              <w:rPr>
                <w:rFonts w:eastAsia="Times New Roman" w:cstheme="majorBidi"/>
                <w:szCs w:val="20"/>
                <w:lang w:val="en-GB"/>
              </w:rPr>
              <w:t xml:space="preserve"> (staff costs)</w:t>
            </w:r>
            <w:r w:rsidRPr="00845FB7">
              <w:rPr>
                <w:rFonts w:eastAsia="Times New Roman" w:cstheme="majorBidi"/>
                <w:szCs w:val="20"/>
                <w:lang w:val="en-GB"/>
              </w:rPr>
              <w:t>;</w:t>
            </w:r>
          </w:p>
          <w:p w14:paraId="5A0AEFCE" w14:textId="77777777"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Organize the travel of sponsored members;</w:t>
            </w:r>
          </w:p>
          <w:p w14:paraId="709E88C0" w14:textId="05846B4C"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 xml:space="preserve">Organize the travel of sponsored </w:t>
            </w:r>
            <w:r w:rsidR="005056B0" w:rsidRPr="00845FB7">
              <w:rPr>
                <w:rFonts w:eastAsia="Times New Roman" w:cstheme="majorBidi"/>
                <w:szCs w:val="20"/>
                <w:lang w:val="en-GB"/>
              </w:rPr>
              <w:t>P</w:t>
            </w:r>
            <w:r w:rsidRPr="00845FB7">
              <w:rPr>
                <w:rFonts w:eastAsia="Times New Roman" w:cstheme="majorBidi"/>
                <w:szCs w:val="20"/>
                <w:lang w:val="en-GB"/>
              </w:rPr>
              <w:t xml:space="preserve">arty representatives, in cases of written submissions from </w:t>
            </w:r>
            <w:r w:rsidR="005056B0" w:rsidRPr="00845FB7">
              <w:rPr>
                <w:rFonts w:eastAsia="Times New Roman" w:cstheme="majorBidi"/>
                <w:szCs w:val="20"/>
                <w:lang w:val="en-GB"/>
              </w:rPr>
              <w:t>P</w:t>
            </w:r>
            <w:r w:rsidRPr="00845FB7">
              <w:rPr>
                <w:rFonts w:eastAsia="Times New Roman" w:cstheme="majorBidi"/>
                <w:szCs w:val="20"/>
                <w:lang w:val="en-GB"/>
              </w:rPr>
              <w:t>arties with respect to their own compliance;</w:t>
            </w:r>
          </w:p>
          <w:p w14:paraId="0CF12291" w14:textId="67B24987"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Undertake logistical arrangements with respect to the venue and hosting of the meeting;</w:t>
            </w:r>
          </w:p>
          <w:p w14:paraId="19C7CF0C" w14:textId="4307431A"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Prepare outreach and communications (web announcement, briefings, etc.)</w:t>
            </w:r>
            <w:r w:rsidR="002E052A" w:rsidRPr="00845FB7">
              <w:rPr>
                <w:rFonts w:eastAsia="Times New Roman" w:cstheme="majorBidi"/>
                <w:szCs w:val="20"/>
                <w:lang w:val="en-GB"/>
              </w:rPr>
              <w:t xml:space="preserve"> (staff costs</w:t>
            </w:r>
            <w:r w:rsidR="008472BB" w:rsidRPr="00845FB7">
              <w:rPr>
                <w:rFonts w:eastAsia="Times New Roman" w:cstheme="majorBidi"/>
                <w:szCs w:val="20"/>
                <w:lang w:val="en-GB"/>
              </w:rPr>
              <w:t>)</w:t>
            </w:r>
            <w:r w:rsidRPr="00845FB7">
              <w:rPr>
                <w:rFonts w:eastAsia="Times New Roman" w:cstheme="majorBidi"/>
                <w:szCs w:val="20"/>
                <w:lang w:val="en-GB"/>
              </w:rPr>
              <w:t>;</w:t>
            </w:r>
          </w:p>
          <w:p w14:paraId="215EC5F2" w14:textId="77777777"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Prepare outreach and communications materials as decided by the Committee;</w:t>
            </w:r>
          </w:p>
          <w:p w14:paraId="4BDC8C6F" w14:textId="39ECA60C"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 xml:space="preserve">Coordinate the meetings and </w:t>
            </w:r>
            <w:proofErr w:type="gramStart"/>
            <w:r w:rsidRPr="00845FB7">
              <w:rPr>
                <w:rFonts w:eastAsia="Times New Roman" w:cstheme="majorBidi"/>
                <w:szCs w:val="20"/>
                <w:lang w:val="en-GB"/>
              </w:rPr>
              <w:t>provide assistance to</w:t>
            </w:r>
            <w:proofErr w:type="gramEnd"/>
            <w:r w:rsidRPr="00845FB7">
              <w:rPr>
                <w:rFonts w:eastAsia="Times New Roman" w:cstheme="majorBidi"/>
                <w:szCs w:val="20"/>
                <w:lang w:val="en-GB"/>
              </w:rPr>
              <w:t xml:space="preserve"> the Chair and Vice-Chair</w:t>
            </w:r>
            <w:r w:rsidR="00703D3D" w:rsidRPr="00845FB7">
              <w:rPr>
                <w:rFonts w:eastAsia="Times New Roman" w:cstheme="majorBidi"/>
                <w:szCs w:val="20"/>
                <w:lang w:val="en-GB"/>
              </w:rPr>
              <w:t xml:space="preserve"> (staff costs)</w:t>
            </w:r>
            <w:r w:rsidRPr="00845FB7">
              <w:rPr>
                <w:rFonts w:eastAsia="Times New Roman" w:cstheme="majorBidi"/>
                <w:szCs w:val="20"/>
                <w:lang w:val="en-GB"/>
              </w:rPr>
              <w:t>;</w:t>
            </w:r>
          </w:p>
          <w:p w14:paraId="67046F04" w14:textId="2CE5DD82"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Prepare meeting reports</w:t>
            </w:r>
            <w:r w:rsidR="008472BB" w:rsidRPr="00845FB7">
              <w:rPr>
                <w:rFonts w:eastAsia="Times New Roman" w:cstheme="majorBidi"/>
                <w:szCs w:val="20"/>
                <w:lang w:val="en-GB"/>
              </w:rPr>
              <w:t xml:space="preserve"> (staff costs)</w:t>
            </w:r>
            <w:r w:rsidRPr="00845FB7">
              <w:rPr>
                <w:rFonts w:eastAsia="Times New Roman" w:cstheme="majorBidi"/>
                <w:szCs w:val="20"/>
                <w:lang w:val="en-GB"/>
              </w:rPr>
              <w:t>;</w:t>
            </w:r>
          </w:p>
          <w:p w14:paraId="3023CD7D" w14:textId="4414F5C9" w:rsidR="00983115" w:rsidRPr="00845FB7" w:rsidRDefault="00983115" w:rsidP="00BD36F8">
            <w:pPr>
              <w:pStyle w:val="ListParagraph"/>
              <w:numPr>
                <w:ilvl w:val="0"/>
                <w:numId w:val="6"/>
              </w:numPr>
              <w:spacing w:after="60" w:line="240" w:lineRule="auto"/>
              <w:ind w:right="284"/>
              <w:jc w:val="left"/>
              <w:rPr>
                <w:rFonts w:eastAsia="Times New Roman" w:cstheme="majorBidi"/>
                <w:szCs w:val="20"/>
                <w:lang w:val="en-GB"/>
              </w:rPr>
            </w:pPr>
            <w:r w:rsidRPr="00845FB7">
              <w:rPr>
                <w:rFonts w:eastAsia="Times New Roman" w:cstheme="majorBidi"/>
                <w:szCs w:val="20"/>
                <w:lang w:val="en-GB"/>
              </w:rPr>
              <w:t xml:space="preserve">Conduct follow-up communications with members, </w:t>
            </w:r>
            <w:r w:rsidR="001A53FF" w:rsidRPr="00845FB7">
              <w:rPr>
                <w:rFonts w:eastAsia="Times New Roman" w:cstheme="majorBidi"/>
                <w:szCs w:val="20"/>
                <w:lang w:val="en-GB"/>
              </w:rPr>
              <w:t>P</w:t>
            </w:r>
            <w:r w:rsidRPr="00845FB7">
              <w:rPr>
                <w:rFonts w:eastAsia="Times New Roman" w:cstheme="majorBidi"/>
                <w:szCs w:val="20"/>
                <w:lang w:val="en-GB"/>
              </w:rPr>
              <w:t>arties and observers as decided by the Committee</w:t>
            </w:r>
            <w:r w:rsidR="00703D3D" w:rsidRPr="00845FB7">
              <w:rPr>
                <w:rFonts w:eastAsia="Times New Roman" w:cstheme="majorBidi"/>
                <w:szCs w:val="20"/>
                <w:lang w:val="en-GB"/>
              </w:rPr>
              <w:t xml:space="preserve"> (staff costs)</w:t>
            </w:r>
            <w:r w:rsidRPr="00845FB7">
              <w:rPr>
                <w:rFonts w:eastAsia="Times New Roman" w:cstheme="majorBidi"/>
                <w:szCs w:val="20"/>
                <w:lang w:val="en-GB"/>
              </w:rPr>
              <w:t>;</w:t>
            </w:r>
          </w:p>
          <w:p w14:paraId="688EF080" w14:textId="77777777" w:rsidR="00983115" w:rsidRPr="00845FB7" w:rsidRDefault="00983115" w:rsidP="00BD36F8">
            <w:pPr>
              <w:pStyle w:val="ListParagraph"/>
              <w:numPr>
                <w:ilvl w:val="0"/>
                <w:numId w:val="6"/>
              </w:numPr>
              <w:spacing w:after="60" w:line="240" w:lineRule="auto"/>
              <w:ind w:right="284"/>
              <w:jc w:val="left"/>
              <w:rPr>
                <w:rFonts w:eastAsia="Times New Roman" w:cstheme="majorBidi"/>
                <w:sz w:val="18"/>
                <w:szCs w:val="18"/>
                <w:lang w:val="en-GB"/>
              </w:rPr>
            </w:pPr>
            <w:r w:rsidRPr="00845FB7">
              <w:rPr>
                <w:rFonts w:eastAsia="Times New Roman" w:cstheme="majorBidi"/>
                <w:szCs w:val="20"/>
                <w:lang w:val="en-GB"/>
              </w:rPr>
              <w:t>Organize in a similar way any additional meetings that the Committee may decide to hold by electronic means.</w:t>
            </w:r>
          </w:p>
        </w:tc>
      </w:tr>
    </w:tbl>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960A0B" w:rsidRPr="00845FB7" w14:paraId="36D17196" w14:textId="77777777" w:rsidTr="007B6CF2">
        <w:tc>
          <w:tcPr>
            <w:tcW w:w="4508" w:type="dxa"/>
          </w:tcPr>
          <w:p w14:paraId="0B17E4F1" w14:textId="77777777" w:rsidR="00960A0B" w:rsidRPr="00845FB7" w:rsidRDefault="00960A0B"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323BB451" w14:textId="77777777" w:rsidR="00960A0B" w:rsidRPr="00845FB7" w:rsidRDefault="00960A0B" w:rsidP="00BD36F8">
            <w:pPr>
              <w:numPr>
                <w:ilvl w:val="0"/>
                <w:numId w:val="5"/>
              </w:numPr>
              <w:snapToGrid w:val="0"/>
              <w:spacing w:after="60"/>
              <w:ind w:left="714" w:hanging="357"/>
              <w:jc w:val="left"/>
              <w:rPr>
                <w:rFonts w:cstheme="majorBidi"/>
                <w:szCs w:val="20"/>
                <w:lang w:val="en-GB"/>
              </w:rPr>
            </w:pPr>
            <w:r w:rsidRPr="00845FB7">
              <w:rPr>
                <w:rFonts w:cstheme="majorBidi"/>
                <w:szCs w:val="20"/>
                <w:lang w:val="en-GB"/>
              </w:rPr>
              <w:t>Meeting documents prepared in consultation/cooperation with Committee members as appropriate and as per agreed deadlines;</w:t>
            </w:r>
          </w:p>
          <w:p w14:paraId="378153A1" w14:textId="77777777" w:rsidR="00960A0B" w:rsidRPr="00845FB7" w:rsidRDefault="00960A0B" w:rsidP="00BD36F8">
            <w:pPr>
              <w:numPr>
                <w:ilvl w:val="0"/>
                <w:numId w:val="5"/>
              </w:numPr>
              <w:snapToGrid w:val="0"/>
              <w:spacing w:after="60"/>
              <w:ind w:left="714" w:hanging="357"/>
              <w:jc w:val="left"/>
              <w:rPr>
                <w:rFonts w:cstheme="majorBidi"/>
                <w:szCs w:val="20"/>
                <w:lang w:val="en-GB"/>
              </w:rPr>
            </w:pPr>
            <w:r w:rsidRPr="00845FB7">
              <w:rPr>
                <w:rFonts w:cstheme="majorBidi"/>
                <w:szCs w:val="20"/>
                <w:lang w:val="en-GB"/>
              </w:rPr>
              <w:t>Meeting facilities and services provided to ensure smooth running of the meeting;</w:t>
            </w:r>
          </w:p>
          <w:p w14:paraId="777216E9" w14:textId="77777777" w:rsidR="00960A0B" w:rsidRPr="00845FB7" w:rsidRDefault="00960A0B" w:rsidP="00BD36F8">
            <w:pPr>
              <w:numPr>
                <w:ilvl w:val="0"/>
                <w:numId w:val="5"/>
              </w:numPr>
              <w:spacing w:after="60"/>
              <w:ind w:left="714" w:hanging="357"/>
              <w:jc w:val="left"/>
              <w:rPr>
                <w:rFonts w:cstheme="majorBidi"/>
                <w:b/>
                <w:bCs/>
                <w:szCs w:val="20"/>
                <w:lang w:val="en-GB" w:eastAsia="en-GB"/>
              </w:rPr>
            </w:pPr>
            <w:r w:rsidRPr="00845FB7">
              <w:rPr>
                <w:rFonts w:cstheme="majorBidi"/>
                <w:szCs w:val="20"/>
                <w:lang w:val="en-GB"/>
              </w:rPr>
              <w:t>Travel of sponsored members and Party representatives organized as appropriate.</w:t>
            </w:r>
          </w:p>
        </w:tc>
        <w:tc>
          <w:tcPr>
            <w:tcW w:w="4508" w:type="dxa"/>
          </w:tcPr>
          <w:p w14:paraId="027C3D1B" w14:textId="77777777" w:rsidR="00960A0B" w:rsidRPr="00845FB7" w:rsidRDefault="00960A0B"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195EA9C0" w14:textId="77777777" w:rsidR="00960A0B" w:rsidRPr="00845FB7" w:rsidRDefault="00960A0B" w:rsidP="00BD36F8">
            <w:pPr>
              <w:numPr>
                <w:ilvl w:val="0"/>
                <w:numId w:val="4"/>
              </w:numPr>
              <w:snapToGrid w:val="0"/>
              <w:spacing w:after="60"/>
              <w:ind w:left="714" w:hanging="357"/>
              <w:jc w:val="left"/>
              <w:rPr>
                <w:rFonts w:cstheme="majorBidi"/>
                <w:szCs w:val="20"/>
                <w:lang w:val="en-GB"/>
              </w:rPr>
            </w:pPr>
            <w:r w:rsidRPr="00845FB7">
              <w:rPr>
                <w:rFonts w:cstheme="majorBidi"/>
                <w:szCs w:val="20"/>
                <w:lang w:val="en-GB"/>
              </w:rPr>
              <w:t>Meetings webpage;</w:t>
            </w:r>
          </w:p>
          <w:p w14:paraId="5FA2FCF2" w14:textId="77777777" w:rsidR="00960A0B" w:rsidRPr="00845FB7" w:rsidRDefault="00960A0B" w:rsidP="00BD36F8">
            <w:pPr>
              <w:numPr>
                <w:ilvl w:val="0"/>
                <w:numId w:val="4"/>
              </w:numPr>
              <w:snapToGrid w:val="0"/>
              <w:spacing w:after="60"/>
              <w:ind w:left="714" w:hanging="357"/>
              <w:jc w:val="left"/>
              <w:rPr>
                <w:rFonts w:cstheme="majorBidi"/>
                <w:szCs w:val="20"/>
                <w:lang w:val="en-GB"/>
              </w:rPr>
            </w:pPr>
            <w:r w:rsidRPr="00845FB7">
              <w:rPr>
                <w:rFonts w:cstheme="majorBidi"/>
                <w:szCs w:val="20"/>
                <w:lang w:val="en-GB"/>
              </w:rPr>
              <w:t>Feedback from members, enquiries or comments from meeting participants;</w:t>
            </w:r>
          </w:p>
          <w:p w14:paraId="0ACEB3B9" w14:textId="77777777" w:rsidR="00960A0B" w:rsidRPr="00845FB7" w:rsidRDefault="00960A0B" w:rsidP="00BD36F8">
            <w:pPr>
              <w:numPr>
                <w:ilvl w:val="0"/>
                <w:numId w:val="4"/>
              </w:numPr>
              <w:snapToGrid w:val="0"/>
              <w:spacing w:after="60"/>
              <w:ind w:left="714" w:hanging="357"/>
              <w:jc w:val="left"/>
              <w:rPr>
                <w:rFonts w:cstheme="majorBidi"/>
                <w:szCs w:val="20"/>
                <w:lang w:val="en-GB" w:eastAsia="en-GB"/>
              </w:rPr>
            </w:pPr>
            <w:r w:rsidRPr="00845FB7">
              <w:rPr>
                <w:rFonts w:cstheme="majorBidi"/>
                <w:szCs w:val="20"/>
                <w:lang w:val="en-GB"/>
              </w:rPr>
              <w:t>List of participants to the meetings and reports of the meetings.</w:t>
            </w:r>
          </w:p>
        </w:tc>
      </w:tr>
    </w:tbl>
    <w:p w14:paraId="1BFF55DF" w14:textId="4EF4F15F" w:rsidR="00960A0B" w:rsidRPr="00845FB7" w:rsidRDefault="00960A0B" w:rsidP="00B550E1">
      <w:pPr>
        <w:pStyle w:val="Heading3"/>
        <w:rPr>
          <w:sz w:val="24"/>
          <w:lang w:val="en-GB"/>
        </w:rPr>
      </w:pPr>
      <w:r w:rsidRPr="00845FB7">
        <w:rPr>
          <w:sz w:val="24"/>
          <w:lang w:val="en-GB"/>
        </w:rPr>
        <w:lastRenderedPageBreak/>
        <w:t>Partners</w:t>
      </w:r>
    </w:p>
    <w:p w14:paraId="2D8DFF57" w14:textId="77777777" w:rsidR="00960A0B" w:rsidRPr="00845FB7" w:rsidRDefault="00960A0B" w:rsidP="00BD36F8">
      <w:pPr>
        <w:keepNext/>
        <w:keepLines/>
        <w:spacing w:after="60" w:line="276" w:lineRule="auto"/>
        <w:rPr>
          <w:rFonts w:cstheme="majorBidi"/>
          <w:szCs w:val="20"/>
          <w:lang w:val="en-GB"/>
        </w:rPr>
      </w:pPr>
      <w:r w:rsidRPr="00845FB7">
        <w:rPr>
          <w:rFonts w:cstheme="majorBidi"/>
          <w:bCs/>
          <w:szCs w:val="20"/>
          <w:lang w:val="en-GB"/>
        </w:rPr>
        <w:t>N/A</w:t>
      </w:r>
    </w:p>
    <w:p w14:paraId="3B897057" w14:textId="4D0571E7" w:rsidR="00960A0B" w:rsidRPr="00845FB7" w:rsidRDefault="00960A0B" w:rsidP="00B550E1">
      <w:pPr>
        <w:pStyle w:val="Heading3"/>
        <w:rPr>
          <w:sz w:val="24"/>
          <w:lang w:val="en-GB"/>
        </w:rPr>
      </w:pPr>
      <w:r w:rsidRPr="00845FB7">
        <w:rPr>
          <w:sz w:val="24"/>
          <w:lang w:val="en-GB"/>
        </w:rPr>
        <w:t>Socio-economic aspects</w:t>
      </w:r>
    </w:p>
    <w:p w14:paraId="22A79B3D" w14:textId="6F1D4DA2" w:rsidR="00960A0B" w:rsidRPr="00845FB7" w:rsidRDefault="00960A0B" w:rsidP="00BD36F8">
      <w:pPr>
        <w:spacing w:after="120"/>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By supporting the participation of members from developing-country </w:t>
      </w:r>
      <w:r w:rsidR="001A53FF" w:rsidRPr="00845FB7">
        <w:rPr>
          <w:rFonts w:cstheme="majorBidi"/>
          <w:szCs w:val="20"/>
          <w:lang w:val="en-GB"/>
        </w:rPr>
        <w:t>P</w:t>
      </w:r>
      <w:r w:rsidRPr="00845FB7">
        <w:rPr>
          <w:rFonts w:cstheme="majorBidi"/>
          <w:szCs w:val="20"/>
          <w:lang w:val="en-GB"/>
        </w:rPr>
        <w:t xml:space="preserve">arties and </w:t>
      </w:r>
      <w:r w:rsidR="001A53FF" w:rsidRPr="00845FB7">
        <w:rPr>
          <w:rFonts w:cstheme="majorBidi"/>
          <w:szCs w:val="20"/>
          <w:lang w:val="en-GB"/>
        </w:rPr>
        <w:t>P</w:t>
      </w:r>
      <w:r w:rsidRPr="00845FB7">
        <w:rPr>
          <w:rFonts w:cstheme="majorBidi"/>
          <w:szCs w:val="20"/>
          <w:lang w:val="en-GB"/>
        </w:rPr>
        <w:t xml:space="preserve">arties with economies in transition in the meetings of the Committee, this activity contributes to the 2030 </w:t>
      </w:r>
      <w:r w:rsidR="008F4DEC" w:rsidRPr="00845FB7">
        <w:rPr>
          <w:rFonts w:cstheme="majorBidi"/>
          <w:szCs w:val="20"/>
          <w:lang w:val="en-GB"/>
        </w:rPr>
        <w:t>S</w:t>
      </w:r>
      <w:r w:rsidRPr="00845FB7">
        <w:rPr>
          <w:rFonts w:cstheme="majorBidi"/>
          <w:szCs w:val="20"/>
          <w:lang w:val="en-GB"/>
        </w:rPr>
        <w:t xml:space="preserve">ustainable </w:t>
      </w:r>
      <w:r w:rsidR="008F4DEC" w:rsidRPr="00845FB7">
        <w:rPr>
          <w:rFonts w:cstheme="majorBidi"/>
          <w:szCs w:val="20"/>
          <w:lang w:val="en-GB"/>
        </w:rPr>
        <w:t>D</w:t>
      </w:r>
      <w:r w:rsidRPr="00845FB7">
        <w:rPr>
          <w:rFonts w:cstheme="majorBidi"/>
          <w:szCs w:val="20"/>
          <w:lang w:val="en-GB"/>
        </w:rPr>
        <w:t xml:space="preserve">evelopment </w:t>
      </w:r>
      <w:r w:rsidR="008F4DEC" w:rsidRPr="00845FB7">
        <w:rPr>
          <w:rFonts w:cstheme="majorBidi"/>
          <w:szCs w:val="20"/>
          <w:lang w:val="en-GB"/>
        </w:rPr>
        <w:t>A</w:t>
      </w:r>
      <w:r w:rsidRPr="00845FB7">
        <w:rPr>
          <w:rFonts w:cstheme="majorBidi"/>
          <w:szCs w:val="20"/>
          <w:lang w:val="en-GB"/>
        </w:rPr>
        <w:t xml:space="preserve">genda which reaffirmed the continued need for the participation of all countries, in particular developing countries, in global decision-making. </w:t>
      </w:r>
    </w:p>
    <w:p w14:paraId="12FB40A4" w14:textId="414CB560" w:rsidR="00960A0B" w:rsidRPr="00845FB7" w:rsidRDefault="7D8A6251" w:rsidP="00BD36F8">
      <w:pPr>
        <w:spacing w:after="120"/>
        <w:rPr>
          <w:rFonts w:cstheme="majorBidi"/>
          <w:lang w:val="en-GB"/>
        </w:rPr>
      </w:pPr>
      <w:r w:rsidRPr="00845FB7">
        <w:rPr>
          <w:rFonts w:cstheme="majorBidi"/>
          <w:b/>
          <w:bCs/>
          <w:lang w:val="en-GB"/>
        </w:rPr>
        <w:t>Balanced representation of men and women</w:t>
      </w:r>
      <w:r w:rsidR="00960A0B" w:rsidRPr="00845FB7">
        <w:rPr>
          <w:rFonts w:cstheme="majorBidi"/>
          <w:lang w:val="en-GB"/>
        </w:rPr>
        <w:t xml:space="preserve">: The members of the Committee are nominated by </w:t>
      </w:r>
      <w:r w:rsidR="00F0040E" w:rsidRPr="00845FB7">
        <w:rPr>
          <w:rFonts w:cstheme="majorBidi"/>
          <w:lang w:val="en-GB"/>
        </w:rPr>
        <w:t>P</w:t>
      </w:r>
      <w:r w:rsidR="00960A0B" w:rsidRPr="00845FB7">
        <w:rPr>
          <w:rFonts w:cstheme="majorBidi"/>
          <w:lang w:val="en-GB"/>
        </w:rPr>
        <w:t xml:space="preserve">arties´ governments and elected by the Conference of the </w:t>
      </w:r>
      <w:r w:rsidR="0067771C" w:rsidRPr="00845FB7">
        <w:rPr>
          <w:rFonts w:cstheme="majorBidi"/>
          <w:lang w:val="en-GB"/>
        </w:rPr>
        <w:t>P</w:t>
      </w:r>
      <w:r w:rsidR="00960A0B" w:rsidRPr="00845FB7">
        <w:rPr>
          <w:rFonts w:cstheme="majorBidi"/>
          <w:lang w:val="en-GB"/>
        </w:rPr>
        <w:t xml:space="preserve">arties </w:t>
      </w:r>
      <w:proofErr w:type="gramStart"/>
      <w:r w:rsidR="00960A0B" w:rsidRPr="00845FB7">
        <w:rPr>
          <w:rFonts w:cstheme="majorBidi"/>
          <w:lang w:val="en-GB"/>
        </w:rPr>
        <w:t>on the basis of</w:t>
      </w:r>
      <w:proofErr w:type="gramEnd"/>
      <w:r w:rsidR="00960A0B" w:rsidRPr="00845FB7">
        <w:rPr>
          <w:rFonts w:cstheme="majorBidi"/>
          <w:lang w:val="en-GB"/>
        </w:rPr>
        <w:t xml:space="preserve"> their expertise and equitable geographical distribution. Among the current 15 Committee members, </w:t>
      </w:r>
      <w:r w:rsidR="13ACF639" w:rsidRPr="00845FB7">
        <w:rPr>
          <w:rFonts w:cstheme="majorBidi"/>
          <w:lang w:val="en-GB"/>
        </w:rPr>
        <w:t xml:space="preserve">there are </w:t>
      </w:r>
      <w:r w:rsidR="00960A0B" w:rsidRPr="00845FB7">
        <w:rPr>
          <w:rFonts w:cstheme="majorBidi"/>
          <w:lang w:val="en-GB"/>
        </w:rPr>
        <w:t xml:space="preserve">six </w:t>
      </w:r>
      <w:r w:rsidR="1BD0879E" w:rsidRPr="00845FB7">
        <w:rPr>
          <w:rFonts w:cstheme="majorBidi"/>
          <w:lang w:val="en-GB"/>
        </w:rPr>
        <w:t>men</w:t>
      </w:r>
      <w:r w:rsidR="00960A0B" w:rsidRPr="00845FB7">
        <w:rPr>
          <w:rFonts w:cstheme="majorBidi"/>
          <w:lang w:val="en-GB"/>
        </w:rPr>
        <w:t xml:space="preserve"> and nine </w:t>
      </w:r>
      <w:r w:rsidR="5D78F94F" w:rsidRPr="00845FB7">
        <w:rPr>
          <w:rFonts w:cstheme="majorBidi"/>
          <w:lang w:val="en-GB"/>
        </w:rPr>
        <w:t>women</w:t>
      </w:r>
      <w:r w:rsidR="00960A0B" w:rsidRPr="00845FB7">
        <w:rPr>
          <w:rFonts w:cstheme="majorBidi"/>
          <w:lang w:val="en-GB"/>
        </w:rPr>
        <w:t xml:space="preserve">. In the upcoming election of Committee members, the </w:t>
      </w:r>
      <w:r w:rsidR="005B1577" w:rsidRPr="00845FB7">
        <w:rPr>
          <w:rFonts w:cstheme="majorBidi"/>
          <w:lang w:val="en-GB"/>
        </w:rPr>
        <w:t>S</w:t>
      </w:r>
      <w:r w:rsidR="00960A0B" w:rsidRPr="00845FB7">
        <w:rPr>
          <w:rFonts w:cstheme="majorBidi"/>
          <w:lang w:val="en-GB"/>
        </w:rPr>
        <w:t xml:space="preserve">ecretariat will encourage </w:t>
      </w:r>
      <w:r w:rsidR="005B1577" w:rsidRPr="00845FB7">
        <w:rPr>
          <w:rFonts w:cstheme="majorBidi"/>
          <w:lang w:val="en-GB"/>
        </w:rPr>
        <w:t>P</w:t>
      </w:r>
      <w:r w:rsidR="00960A0B" w:rsidRPr="00845FB7">
        <w:rPr>
          <w:rFonts w:cstheme="majorBidi"/>
          <w:lang w:val="en-GB"/>
        </w:rPr>
        <w:t xml:space="preserve">arties to </w:t>
      </w:r>
      <w:r w:rsidR="00A267E5" w:rsidRPr="00845FB7">
        <w:rPr>
          <w:rFonts w:cstheme="majorBidi"/>
          <w:lang w:val="en-GB"/>
        </w:rPr>
        <w:t xml:space="preserve">achieve </w:t>
      </w:r>
      <w:r w:rsidR="00960A0B" w:rsidRPr="00845FB7">
        <w:rPr>
          <w:rFonts w:cstheme="majorBidi"/>
          <w:lang w:val="en-GB"/>
        </w:rPr>
        <w:t xml:space="preserve">a balanced representation. </w:t>
      </w:r>
    </w:p>
    <w:p w14:paraId="06B16B17" w14:textId="26D8F5CD" w:rsidR="00960A0B" w:rsidRPr="00845FB7" w:rsidRDefault="00960A0B" w:rsidP="00BD36F8">
      <w:pPr>
        <w:spacing w:after="120"/>
        <w:rPr>
          <w:rFonts w:cstheme="majorBidi"/>
          <w:szCs w:val="20"/>
          <w:lang w:val="en-GB"/>
        </w:rPr>
      </w:pPr>
      <w:r w:rsidRPr="00845FB7">
        <w:rPr>
          <w:rFonts w:cstheme="majorBidi"/>
          <w:b/>
          <w:bCs/>
          <w:szCs w:val="20"/>
          <w:lang w:val="en-GB"/>
        </w:rPr>
        <w:t>Integrated Approach</w:t>
      </w:r>
      <w:r w:rsidRPr="00845FB7">
        <w:rPr>
          <w:rFonts w:cstheme="majorBidi"/>
          <w:szCs w:val="20"/>
          <w:lang w:val="en-GB"/>
        </w:rPr>
        <w:t xml:space="preserve">: The meetings can contribute to </w:t>
      </w:r>
      <w:proofErr w:type="spellStart"/>
      <w:r w:rsidRPr="00845FB7">
        <w:rPr>
          <w:rFonts w:cstheme="majorBidi"/>
          <w:szCs w:val="20"/>
          <w:lang w:val="en-GB"/>
        </w:rPr>
        <w:t>catalyzing</w:t>
      </w:r>
      <w:proofErr w:type="spellEnd"/>
      <w:r w:rsidRPr="00845FB7">
        <w:rPr>
          <w:rFonts w:cstheme="majorBidi"/>
          <w:szCs w:val="20"/>
          <w:lang w:val="en-GB"/>
        </w:rPr>
        <w:t xml:space="preserve"> coordination among </w:t>
      </w:r>
      <w:r w:rsidR="00A267E5" w:rsidRPr="00845FB7">
        <w:rPr>
          <w:rFonts w:cstheme="majorBidi"/>
          <w:szCs w:val="20"/>
          <w:lang w:val="en-GB"/>
        </w:rPr>
        <w:t>P</w:t>
      </w:r>
      <w:r w:rsidRPr="00845FB7">
        <w:rPr>
          <w:rFonts w:cstheme="majorBidi"/>
          <w:szCs w:val="20"/>
          <w:lang w:val="en-GB"/>
        </w:rPr>
        <w:t>arties and other relevant stakeholders, civil society and private sector, as relevant, for an improved implementation of and compliance with the Convention. The Rules of Procedure of the Committee regulate the participation of observers.</w:t>
      </w:r>
    </w:p>
    <w:p w14:paraId="4BEB8003" w14:textId="7F80AE73" w:rsidR="006B695F" w:rsidRPr="00845FB7" w:rsidRDefault="006B695F" w:rsidP="00BD36F8">
      <w:pPr>
        <w:spacing w:after="120"/>
        <w:rPr>
          <w:sz w:val="18"/>
          <w:szCs w:val="18"/>
          <w:lang w:val="en-GB"/>
        </w:rPr>
        <w:sectPr w:rsidR="006B695F" w:rsidRPr="00845FB7" w:rsidSect="00BD36F8">
          <w:headerReference w:type="default" r:id="rId28"/>
          <w:footerReference w:type="default" r:id="rId29"/>
          <w:headerReference w:type="first" r:id="rId30"/>
          <w:footerReference w:type="first" r:id="rId31"/>
          <w:type w:val="continuous"/>
          <w:pgSz w:w="11906" w:h="16838" w:code="9"/>
          <w:pgMar w:top="907" w:right="992" w:bottom="1418" w:left="1418" w:header="539" w:footer="975" w:gutter="0"/>
          <w:cols w:space="708"/>
          <w:titlePg/>
          <w:docGrid w:linePitch="360"/>
        </w:sectPr>
      </w:pPr>
    </w:p>
    <w:tbl>
      <w:tblPr>
        <w:tblpPr w:leftFromText="180" w:rightFromText="180" w:horzAnchor="margin" w:tblpY="555"/>
        <w:tblW w:w="5000" w:type="pct"/>
        <w:tblLayout w:type="fixed"/>
        <w:tblLook w:val="04A0" w:firstRow="1" w:lastRow="0" w:firstColumn="1" w:lastColumn="0" w:noHBand="0" w:noVBand="1"/>
      </w:tblPr>
      <w:tblGrid>
        <w:gridCol w:w="4815"/>
        <w:gridCol w:w="798"/>
        <w:gridCol w:w="798"/>
        <w:gridCol w:w="801"/>
        <w:gridCol w:w="802"/>
        <w:gridCol w:w="799"/>
        <w:gridCol w:w="802"/>
        <w:gridCol w:w="799"/>
        <w:gridCol w:w="802"/>
        <w:gridCol w:w="802"/>
        <w:gridCol w:w="799"/>
        <w:gridCol w:w="799"/>
        <w:gridCol w:w="802"/>
      </w:tblGrid>
      <w:tr w:rsidR="00184ABA" w:rsidRPr="00845FB7" w14:paraId="28A51E72" w14:textId="77777777" w:rsidTr="00CB7E6C">
        <w:trPr>
          <w:trHeight w:val="305"/>
        </w:trPr>
        <w:tc>
          <w:tcPr>
            <w:tcW w:w="1670" w:type="pct"/>
            <w:vMerge w:val="restart"/>
            <w:tcBorders>
              <w:top w:val="single" w:sz="4" w:space="0" w:color="auto"/>
              <w:left w:val="single" w:sz="4" w:space="0" w:color="auto"/>
              <w:bottom w:val="single" w:sz="4" w:space="0" w:color="auto"/>
              <w:right w:val="single" w:sz="4" w:space="0" w:color="auto"/>
            </w:tcBorders>
            <w:noWrap/>
            <w:vAlign w:val="center"/>
            <w:hideMark/>
          </w:tcPr>
          <w:p w14:paraId="249AC1EB" w14:textId="77777777" w:rsidR="00960A0B" w:rsidRPr="00845FB7" w:rsidRDefault="00960A0B" w:rsidP="007B6CF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lastRenderedPageBreak/>
              <w:t>Activity/Output</w:t>
            </w:r>
          </w:p>
        </w:tc>
        <w:tc>
          <w:tcPr>
            <w:tcW w:w="1665" w:type="pct"/>
            <w:gridSpan w:val="6"/>
            <w:tcBorders>
              <w:top w:val="single" w:sz="4" w:space="0" w:color="auto"/>
              <w:left w:val="nil"/>
              <w:bottom w:val="single" w:sz="4" w:space="0" w:color="auto"/>
              <w:right w:val="single" w:sz="4" w:space="0" w:color="auto"/>
            </w:tcBorders>
            <w:noWrap/>
            <w:vAlign w:val="center"/>
            <w:hideMark/>
          </w:tcPr>
          <w:p w14:paraId="600E0B24" w14:textId="662EF5B7" w:rsidR="00960A0B" w:rsidRPr="00845FB7" w:rsidRDefault="00960A0B" w:rsidP="007B6CF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5</w:t>
            </w:r>
            <w:r w:rsidR="00703D3D" w:rsidRPr="00845FB7">
              <w:rPr>
                <w:rFonts w:eastAsia="Times New Roman" w:cstheme="majorBidi"/>
                <w:b/>
                <w:bCs/>
                <w:color w:val="000000"/>
                <w:sz w:val="16"/>
                <w:szCs w:val="16"/>
                <w:lang w:val="en-GB"/>
              </w:rPr>
              <w:t xml:space="preserve"> per cent</w:t>
            </w:r>
            <w:r w:rsidRPr="00845FB7">
              <w:rPr>
                <w:rFonts w:eastAsia="Times New Roman" w:cstheme="majorBidi"/>
                <w:b/>
                <w:bCs/>
                <w:color w:val="000000"/>
                <w:sz w:val="16"/>
                <w:szCs w:val="16"/>
                <w:lang w:val="en-GB"/>
              </w:rPr>
              <w:t xml:space="preserve"> scenario (</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1666" w:type="pct"/>
            <w:gridSpan w:val="6"/>
            <w:tcBorders>
              <w:top w:val="single" w:sz="4" w:space="0" w:color="auto"/>
              <w:left w:val="nil"/>
              <w:bottom w:val="single" w:sz="4" w:space="0" w:color="auto"/>
              <w:right w:val="single" w:sz="4" w:space="0" w:color="auto"/>
            </w:tcBorders>
            <w:noWrap/>
            <w:vAlign w:val="center"/>
            <w:hideMark/>
          </w:tcPr>
          <w:p w14:paraId="15CE5BD1" w14:textId="252597B8" w:rsidR="00960A0B" w:rsidRPr="00845FB7" w:rsidRDefault="00960A0B" w:rsidP="007B6CF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Zero nominal growth scenario (</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r>
      <w:tr w:rsidR="00184ABA" w:rsidRPr="00845FB7" w14:paraId="5EE82ADF" w14:textId="77777777" w:rsidTr="00CB7E6C">
        <w:trPr>
          <w:trHeight w:val="305"/>
        </w:trPr>
        <w:tc>
          <w:tcPr>
            <w:tcW w:w="1670" w:type="pct"/>
            <w:vMerge/>
            <w:tcBorders>
              <w:top w:val="single" w:sz="4" w:space="0" w:color="auto"/>
              <w:left w:val="single" w:sz="4" w:space="0" w:color="auto"/>
              <w:bottom w:val="single" w:sz="4" w:space="0" w:color="auto"/>
              <w:right w:val="single" w:sz="4" w:space="0" w:color="auto"/>
            </w:tcBorders>
            <w:vAlign w:val="center"/>
            <w:hideMark/>
          </w:tcPr>
          <w:p w14:paraId="618DB3C2" w14:textId="77777777" w:rsidR="00960A0B" w:rsidRPr="00845FB7" w:rsidRDefault="00960A0B" w:rsidP="007B6CF2">
            <w:pPr>
              <w:spacing w:after="0" w:line="240" w:lineRule="auto"/>
              <w:contextualSpacing/>
              <w:jc w:val="left"/>
              <w:rPr>
                <w:rFonts w:eastAsia="Times New Roman" w:cstheme="majorBidi"/>
                <w:b/>
                <w:bCs/>
                <w:color w:val="000000"/>
                <w:sz w:val="16"/>
                <w:szCs w:val="16"/>
                <w:lang w:val="en-GB"/>
              </w:rPr>
            </w:pPr>
          </w:p>
        </w:tc>
        <w:tc>
          <w:tcPr>
            <w:tcW w:w="831" w:type="pct"/>
            <w:gridSpan w:val="3"/>
            <w:tcBorders>
              <w:top w:val="single" w:sz="4" w:space="0" w:color="auto"/>
              <w:left w:val="nil"/>
              <w:bottom w:val="single" w:sz="4" w:space="0" w:color="auto"/>
              <w:right w:val="single" w:sz="4" w:space="0" w:color="auto"/>
            </w:tcBorders>
            <w:vAlign w:val="center"/>
            <w:hideMark/>
          </w:tcPr>
          <w:p w14:paraId="14360A19" w14:textId="47C13D7D" w:rsidR="00960A0B" w:rsidRPr="00845FB7" w:rsidRDefault="00960A0B" w:rsidP="007B6CF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General </w:t>
            </w:r>
            <w:r w:rsidR="00703D3D"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703D3D"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833" w:type="pct"/>
            <w:gridSpan w:val="3"/>
            <w:tcBorders>
              <w:top w:val="single" w:sz="4" w:space="0" w:color="auto"/>
              <w:left w:val="nil"/>
              <w:bottom w:val="single" w:sz="4" w:space="0" w:color="auto"/>
              <w:right w:val="single" w:sz="4" w:space="0" w:color="auto"/>
            </w:tcBorders>
            <w:vAlign w:val="center"/>
            <w:hideMark/>
          </w:tcPr>
          <w:p w14:paraId="782E14C8" w14:textId="0FC927FF" w:rsidR="00960A0B" w:rsidRPr="00845FB7" w:rsidRDefault="00960A0B" w:rsidP="007B6CF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Special </w:t>
            </w:r>
            <w:r w:rsidR="00703D3D"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703D3D"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833" w:type="pct"/>
            <w:gridSpan w:val="3"/>
            <w:tcBorders>
              <w:top w:val="single" w:sz="4" w:space="0" w:color="auto"/>
              <w:left w:val="nil"/>
              <w:bottom w:val="single" w:sz="4" w:space="0" w:color="auto"/>
              <w:right w:val="single" w:sz="4" w:space="0" w:color="auto"/>
            </w:tcBorders>
            <w:vAlign w:val="center"/>
            <w:hideMark/>
          </w:tcPr>
          <w:p w14:paraId="1AE0233C" w14:textId="75CD94F9" w:rsidR="00960A0B" w:rsidRPr="00845FB7" w:rsidRDefault="00960A0B" w:rsidP="007B6CF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General </w:t>
            </w:r>
            <w:r w:rsidR="00703D3D"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703D3D"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c>
          <w:tcPr>
            <w:tcW w:w="832" w:type="pct"/>
            <w:gridSpan w:val="3"/>
            <w:tcBorders>
              <w:top w:val="single" w:sz="4" w:space="0" w:color="auto"/>
              <w:left w:val="nil"/>
              <w:bottom w:val="single" w:sz="4" w:space="0" w:color="auto"/>
              <w:right w:val="single" w:sz="4" w:space="0" w:color="auto"/>
            </w:tcBorders>
            <w:vAlign w:val="center"/>
            <w:hideMark/>
          </w:tcPr>
          <w:p w14:paraId="23B481E6" w14:textId="65D6A5B1" w:rsidR="00960A0B" w:rsidRPr="00845FB7" w:rsidRDefault="00960A0B" w:rsidP="007B6CF2">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Special </w:t>
            </w:r>
            <w:r w:rsidR="00703D3D" w:rsidRPr="00845FB7">
              <w:rPr>
                <w:rFonts w:eastAsia="Times New Roman" w:cstheme="majorBidi"/>
                <w:b/>
                <w:bCs/>
                <w:color w:val="000000"/>
                <w:sz w:val="16"/>
                <w:szCs w:val="16"/>
                <w:lang w:val="en-GB"/>
              </w:rPr>
              <w:t>t</w:t>
            </w:r>
            <w:r w:rsidRPr="00845FB7">
              <w:rPr>
                <w:rFonts w:eastAsia="Times New Roman" w:cstheme="majorBidi"/>
                <w:b/>
                <w:bCs/>
                <w:color w:val="000000"/>
                <w:sz w:val="16"/>
                <w:szCs w:val="16"/>
                <w:lang w:val="en-GB"/>
              </w:rPr>
              <w:t xml:space="preserve">rust </w:t>
            </w:r>
            <w:r w:rsidR="00703D3D" w:rsidRPr="00845FB7">
              <w:rPr>
                <w:rFonts w:eastAsia="Times New Roman" w:cstheme="majorBidi"/>
                <w:b/>
                <w:bCs/>
                <w:color w:val="000000"/>
                <w:sz w:val="16"/>
                <w:szCs w:val="16"/>
                <w:lang w:val="en-GB"/>
              </w:rPr>
              <w:t>f</w:t>
            </w:r>
            <w:r w:rsidRPr="00845FB7">
              <w:rPr>
                <w:rFonts w:eastAsia="Times New Roman" w:cstheme="majorBidi"/>
                <w:b/>
                <w:bCs/>
                <w:color w:val="000000"/>
                <w:sz w:val="16"/>
                <w:szCs w:val="16"/>
                <w:lang w:val="en-GB"/>
              </w:rPr>
              <w:t>und</w:t>
            </w:r>
          </w:p>
        </w:tc>
      </w:tr>
      <w:tr w:rsidR="00CB7E6C" w:rsidRPr="00845FB7" w14:paraId="35AA5272" w14:textId="77777777" w:rsidTr="00CB7E6C">
        <w:trPr>
          <w:trHeight w:val="549"/>
        </w:trPr>
        <w:tc>
          <w:tcPr>
            <w:tcW w:w="1670" w:type="pct"/>
            <w:tcBorders>
              <w:top w:val="nil"/>
              <w:left w:val="single" w:sz="4" w:space="0" w:color="auto"/>
              <w:bottom w:val="single" w:sz="4" w:space="0" w:color="auto"/>
              <w:right w:val="single" w:sz="4" w:space="0" w:color="auto"/>
            </w:tcBorders>
            <w:noWrap/>
            <w:vAlign w:val="center"/>
            <w:hideMark/>
          </w:tcPr>
          <w:p w14:paraId="0BC19072" w14:textId="77777777"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w:t>
            </w:r>
          </w:p>
        </w:tc>
        <w:tc>
          <w:tcPr>
            <w:tcW w:w="277" w:type="pct"/>
            <w:tcBorders>
              <w:top w:val="nil"/>
              <w:left w:val="nil"/>
              <w:bottom w:val="single" w:sz="4" w:space="0" w:color="auto"/>
              <w:right w:val="single" w:sz="4" w:space="0" w:color="auto"/>
            </w:tcBorders>
            <w:vAlign w:val="center"/>
            <w:hideMark/>
          </w:tcPr>
          <w:p w14:paraId="1BCF1A51" w14:textId="15D23B89"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2026</w:t>
            </w:r>
          </w:p>
        </w:tc>
        <w:tc>
          <w:tcPr>
            <w:tcW w:w="277" w:type="pct"/>
            <w:tcBorders>
              <w:top w:val="nil"/>
              <w:left w:val="nil"/>
              <w:bottom w:val="single" w:sz="4" w:space="0" w:color="auto"/>
              <w:right w:val="single" w:sz="4" w:space="0" w:color="auto"/>
            </w:tcBorders>
            <w:vAlign w:val="center"/>
            <w:hideMark/>
          </w:tcPr>
          <w:p w14:paraId="7331520A" w14:textId="76849ECE"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2027</w:t>
            </w:r>
          </w:p>
        </w:tc>
        <w:tc>
          <w:tcPr>
            <w:tcW w:w="278" w:type="pct"/>
            <w:tcBorders>
              <w:top w:val="nil"/>
              <w:left w:val="nil"/>
              <w:bottom w:val="single" w:sz="4" w:space="0" w:color="auto"/>
              <w:right w:val="single" w:sz="4" w:space="0" w:color="auto"/>
            </w:tcBorders>
            <w:vAlign w:val="center"/>
            <w:hideMark/>
          </w:tcPr>
          <w:p w14:paraId="462547D0" w14:textId="0B616752"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278" w:type="pct"/>
            <w:tcBorders>
              <w:top w:val="nil"/>
              <w:left w:val="nil"/>
              <w:bottom w:val="single" w:sz="4" w:space="0" w:color="auto"/>
              <w:right w:val="single" w:sz="4" w:space="0" w:color="auto"/>
            </w:tcBorders>
            <w:vAlign w:val="center"/>
            <w:hideMark/>
          </w:tcPr>
          <w:p w14:paraId="1F40CBE8" w14:textId="098A3CFB"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2026</w:t>
            </w:r>
          </w:p>
        </w:tc>
        <w:tc>
          <w:tcPr>
            <w:tcW w:w="277" w:type="pct"/>
            <w:tcBorders>
              <w:top w:val="nil"/>
              <w:left w:val="nil"/>
              <w:bottom w:val="single" w:sz="4" w:space="0" w:color="auto"/>
              <w:right w:val="single" w:sz="4" w:space="0" w:color="auto"/>
            </w:tcBorders>
            <w:vAlign w:val="center"/>
            <w:hideMark/>
          </w:tcPr>
          <w:p w14:paraId="13DB58DA" w14:textId="4308FC57"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2027</w:t>
            </w:r>
          </w:p>
        </w:tc>
        <w:tc>
          <w:tcPr>
            <w:tcW w:w="278" w:type="pct"/>
            <w:tcBorders>
              <w:top w:val="nil"/>
              <w:left w:val="nil"/>
              <w:bottom w:val="single" w:sz="4" w:space="0" w:color="auto"/>
              <w:right w:val="single" w:sz="4" w:space="0" w:color="auto"/>
            </w:tcBorders>
            <w:vAlign w:val="center"/>
            <w:hideMark/>
          </w:tcPr>
          <w:p w14:paraId="60EC674E" w14:textId="5B34FF40"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277" w:type="pct"/>
            <w:tcBorders>
              <w:top w:val="nil"/>
              <w:left w:val="nil"/>
              <w:bottom w:val="single" w:sz="4" w:space="0" w:color="auto"/>
              <w:right w:val="single" w:sz="4" w:space="0" w:color="auto"/>
            </w:tcBorders>
            <w:vAlign w:val="center"/>
            <w:hideMark/>
          </w:tcPr>
          <w:p w14:paraId="6843F972" w14:textId="47398E2A"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2026</w:t>
            </w:r>
          </w:p>
        </w:tc>
        <w:tc>
          <w:tcPr>
            <w:tcW w:w="278" w:type="pct"/>
            <w:tcBorders>
              <w:top w:val="nil"/>
              <w:left w:val="nil"/>
              <w:bottom w:val="single" w:sz="4" w:space="0" w:color="auto"/>
              <w:right w:val="single" w:sz="4" w:space="0" w:color="auto"/>
            </w:tcBorders>
            <w:vAlign w:val="center"/>
            <w:hideMark/>
          </w:tcPr>
          <w:p w14:paraId="12C569A7" w14:textId="4A3B9D99"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2027</w:t>
            </w:r>
          </w:p>
        </w:tc>
        <w:tc>
          <w:tcPr>
            <w:tcW w:w="278" w:type="pct"/>
            <w:tcBorders>
              <w:top w:val="nil"/>
              <w:left w:val="nil"/>
              <w:bottom w:val="single" w:sz="4" w:space="0" w:color="auto"/>
              <w:right w:val="single" w:sz="4" w:space="0" w:color="auto"/>
            </w:tcBorders>
            <w:vAlign w:val="center"/>
            <w:hideMark/>
          </w:tcPr>
          <w:p w14:paraId="3A72D9F9" w14:textId="492C565E"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c>
          <w:tcPr>
            <w:tcW w:w="277" w:type="pct"/>
            <w:tcBorders>
              <w:top w:val="nil"/>
              <w:left w:val="nil"/>
              <w:bottom w:val="single" w:sz="4" w:space="0" w:color="auto"/>
              <w:right w:val="single" w:sz="4" w:space="0" w:color="auto"/>
            </w:tcBorders>
            <w:vAlign w:val="center"/>
            <w:hideMark/>
          </w:tcPr>
          <w:p w14:paraId="63210909" w14:textId="11E77AA6"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2026</w:t>
            </w:r>
          </w:p>
        </w:tc>
        <w:tc>
          <w:tcPr>
            <w:tcW w:w="277" w:type="pct"/>
            <w:tcBorders>
              <w:top w:val="nil"/>
              <w:left w:val="nil"/>
              <w:bottom w:val="single" w:sz="4" w:space="0" w:color="auto"/>
              <w:right w:val="single" w:sz="4" w:space="0" w:color="auto"/>
            </w:tcBorders>
            <w:vAlign w:val="center"/>
            <w:hideMark/>
          </w:tcPr>
          <w:p w14:paraId="05648779" w14:textId="553A457C"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2027</w:t>
            </w:r>
          </w:p>
        </w:tc>
        <w:tc>
          <w:tcPr>
            <w:tcW w:w="278" w:type="pct"/>
            <w:tcBorders>
              <w:top w:val="nil"/>
              <w:left w:val="nil"/>
              <w:bottom w:val="single" w:sz="4" w:space="0" w:color="auto"/>
              <w:right w:val="single" w:sz="4" w:space="0" w:color="auto"/>
            </w:tcBorders>
            <w:vAlign w:val="center"/>
            <w:hideMark/>
          </w:tcPr>
          <w:p w14:paraId="7CADE154" w14:textId="4B41E5E9" w:rsidR="00CB7E6C" w:rsidRPr="00845FB7" w:rsidRDefault="00CB7E6C" w:rsidP="00CB7E6C">
            <w:pPr>
              <w:spacing w:after="0" w:line="240" w:lineRule="auto"/>
              <w:contextualSpacing/>
              <w:jc w:val="center"/>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Total </w:t>
            </w:r>
            <w:r w:rsidRPr="00845FB7">
              <w:rPr>
                <w:rFonts w:eastAsia="Times New Roman" w:cstheme="majorBidi"/>
                <w:b/>
                <w:bCs/>
                <w:color w:val="000000"/>
                <w:sz w:val="16"/>
                <w:szCs w:val="16"/>
                <w:lang w:val="en-GB"/>
              </w:rPr>
              <w:br/>
              <w:t>(</w:t>
            </w:r>
            <w:r w:rsidR="00E2051A" w:rsidRPr="00845FB7">
              <w:rPr>
                <w:rFonts w:eastAsia="Times New Roman" w:cstheme="majorBidi"/>
                <w:b/>
                <w:bCs/>
                <w:color w:val="000000"/>
                <w:sz w:val="16"/>
                <w:szCs w:val="16"/>
                <w:lang w:val="en-GB"/>
              </w:rPr>
              <w:t>2026–2027</w:t>
            </w:r>
            <w:r w:rsidRPr="00845FB7">
              <w:rPr>
                <w:rFonts w:eastAsia="Times New Roman" w:cstheme="majorBidi"/>
                <w:b/>
                <w:bCs/>
                <w:color w:val="000000"/>
                <w:sz w:val="16"/>
                <w:szCs w:val="16"/>
                <w:lang w:val="en-GB"/>
              </w:rPr>
              <w:t>)</w:t>
            </w:r>
          </w:p>
        </w:tc>
      </w:tr>
      <w:tr w:rsidR="00960A0B" w:rsidRPr="00845FB7" w14:paraId="73FFD7F1" w14:textId="77777777" w:rsidTr="00BD36F8">
        <w:trPr>
          <w:trHeight w:val="305"/>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6229ADDD" w14:textId="77777777" w:rsidR="00960A0B" w:rsidRPr="00845FB7" w:rsidRDefault="00960A0B" w:rsidP="007B6CF2">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3. </w:t>
            </w:r>
            <w:r w:rsidRPr="00845FB7">
              <w:rPr>
                <w:sz w:val="16"/>
                <w:szCs w:val="16"/>
                <w:lang w:val="en-GB"/>
              </w:rPr>
              <w:t xml:space="preserve"> </w:t>
            </w:r>
            <w:r w:rsidRPr="00845FB7">
              <w:rPr>
                <w:rFonts w:eastAsia="Times New Roman" w:cstheme="majorBidi"/>
                <w:b/>
                <w:bCs/>
                <w:color w:val="000000"/>
                <w:sz w:val="16"/>
                <w:szCs w:val="16"/>
                <w:lang w:val="en-GB"/>
              </w:rPr>
              <w:t>Implementation and Compliance Committee</w:t>
            </w:r>
          </w:p>
        </w:tc>
      </w:tr>
      <w:tr w:rsidR="00960A0B" w:rsidRPr="00845FB7" w14:paraId="20FC0320" w14:textId="77777777" w:rsidTr="00BD36F8">
        <w:trPr>
          <w:trHeight w:val="305"/>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390C1E87" w14:textId="5385D657" w:rsidR="00960A0B" w:rsidRPr="00845FB7" w:rsidRDefault="00960A0B" w:rsidP="007B6CF2">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3.1.    </w:t>
            </w:r>
            <w:r w:rsidRPr="00845FB7">
              <w:rPr>
                <w:sz w:val="16"/>
                <w:szCs w:val="16"/>
                <w:lang w:val="en-GB"/>
              </w:rPr>
              <w:t xml:space="preserve"> </w:t>
            </w:r>
            <w:r w:rsidR="00E80979" w:rsidRPr="00845FB7">
              <w:rPr>
                <w:rFonts w:eastAsia="Times New Roman" w:cstheme="majorBidi"/>
                <w:b/>
                <w:bCs/>
                <w:color w:val="000000"/>
                <w:sz w:val="16"/>
                <w:szCs w:val="16"/>
                <w:lang w:val="en-GB"/>
              </w:rPr>
              <w:t xml:space="preserve">Meeting </w:t>
            </w:r>
            <w:r w:rsidR="001F31D4" w:rsidRPr="00845FB7">
              <w:rPr>
                <w:rFonts w:eastAsia="Times New Roman" w:cstheme="majorBidi"/>
                <w:b/>
                <w:bCs/>
                <w:color w:val="000000"/>
                <w:sz w:val="16"/>
                <w:szCs w:val="16"/>
                <w:lang w:val="en-GB"/>
              </w:rPr>
              <w:t>of the</w:t>
            </w:r>
            <w:r w:rsidRPr="00845FB7">
              <w:rPr>
                <w:rFonts w:eastAsia="Times New Roman" w:cstheme="majorBidi"/>
                <w:b/>
                <w:bCs/>
                <w:color w:val="000000"/>
                <w:sz w:val="16"/>
                <w:szCs w:val="16"/>
                <w:lang w:val="en-GB"/>
              </w:rPr>
              <w:t xml:space="preserve"> Committee</w:t>
            </w:r>
          </w:p>
        </w:tc>
      </w:tr>
      <w:tr w:rsidR="008743C7" w:rsidRPr="00845FB7" w14:paraId="3A2214E2" w14:textId="77777777" w:rsidTr="00CB7E6C">
        <w:trPr>
          <w:trHeight w:val="427"/>
        </w:trPr>
        <w:tc>
          <w:tcPr>
            <w:tcW w:w="1670" w:type="pct"/>
            <w:tcBorders>
              <w:top w:val="nil"/>
              <w:left w:val="single" w:sz="4" w:space="0" w:color="auto"/>
              <w:bottom w:val="single" w:sz="4" w:space="0" w:color="auto"/>
              <w:right w:val="single" w:sz="4" w:space="0" w:color="auto"/>
            </w:tcBorders>
            <w:vAlign w:val="center"/>
            <w:hideMark/>
          </w:tcPr>
          <w:p w14:paraId="7F10B38B" w14:textId="77777777" w:rsidR="008743C7" w:rsidRPr="00845FB7" w:rsidRDefault="008743C7" w:rsidP="008743C7">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Meeting and travel costs</w:t>
            </w:r>
          </w:p>
        </w:tc>
        <w:tc>
          <w:tcPr>
            <w:tcW w:w="277" w:type="pct"/>
            <w:tcBorders>
              <w:top w:val="nil"/>
              <w:left w:val="nil"/>
              <w:bottom w:val="single" w:sz="4" w:space="0" w:color="auto"/>
              <w:right w:val="single" w:sz="4" w:space="0" w:color="auto"/>
            </w:tcBorders>
            <w:noWrap/>
            <w:vAlign w:val="center"/>
            <w:hideMark/>
          </w:tcPr>
          <w:p w14:paraId="3EC4E24B" w14:textId="7EF23298" w:rsidR="008743C7" w:rsidRPr="00845FB7" w:rsidRDefault="008743C7" w:rsidP="008743C7">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33,000</w:t>
            </w:r>
          </w:p>
        </w:tc>
        <w:tc>
          <w:tcPr>
            <w:tcW w:w="277" w:type="pct"/>
            <w:tcBorders>
              <w:top w:val="nil"/>
              <w:left w:val="nil"/>
              <w:bottom w:val="single" w:sz="4" w:space="0" w:color="auto"/>
              <w:right w:val="single" w:sz="4" w:space="0" w:color="auto"/>
            </w:tcBorders>
            <w:noWrap/>
            <w:vAlign w:val="center"/>
            <w:hideMark/>
          </w:tcPr>
          <w:p w14:paraId="222A2865" w14:textId="4873B921"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465C79AA"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33,000</w:t>
            </w:r>
          </w:p>
        </w:tc>
        <w:tc>
          <w:tcPr>
            <w:tcW w:w="278" w:type="pct"/>
            <w:tcBorders>
              <w:top w:val="nil"/>
              <w:left w:val="nil"/>
              <w:bottom w:val="single" w:sz="4" w:space="0" w:color="auto"/>
              <w:right w:val="single" w:sz="4" w:space="0" w:color="auto"/>
            </w:tcBorders>
            <w:noWrap/>
            <w:vAlign w:val="center"/>
            <w:hideMark/>
          </w:tcPr>
          <w:p w14:paraId="64B459D4"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75E70982"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3B64A4DB" w14:textId="047D8754"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1F153D4D"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78" w:type="pct"/>
            <w:tcBorders>
              <w:top w:val="nil"/>
              <w:left w:val="nil"/>
              <w:bottom w:val="single" w:sz="4" w:space="0" w:color="auto"/>
              <w:right w:val="single" w:sz="4" w:space="0" w:color="auto"/>
            </w:tcBorders>
            <w:noWrap/>
            <w:vAlign w:val="center"/>
            <w:hideMark/>
          </w:tcPr>
          <w:p w14:paraId="0CDD815A"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33,000</w:t>
            </w:r>
          </w:p>
        </w:tc>
        <w:tc>
          <w:tcPr>
            <w:tcW w:w="278" w:type="pct"/>
            <w:tcBorders>
              <w:top w:val="nil"/>
              <w:left w:val="nil"/>
              <w:bottom w:val="single" w:sz="4" w:space="0" w:color="auto"/>
              <w:right w:val="single" w:sz="4" w:space="0" w:color="auto"/>
            </w:tcBorders>
            <w:noWrap/>
            <w:vAlign w:val="center"/>
            <w:hideMark/>
          </w:tcPr>
          <w:p w14:paraId="28B80D06"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33,000</w:t>
            </w:r>
          </w:p>
        </w:tc>
        <w:tc>
          <w:tcPr>
            <w:tcW w:w="277" w:type="pct"/>
            <w:tcBorders>
              <w:top w:val="nil"/>
              <w:left w:val="nil"/>
              <w:bottom w:val="single" w:sz="4" w:space="0" w:color="auto"/>
              <w:right w:val="single" w:sz="4" w:space="0" w:color="auto"/>
            </w:tcBorders>
            <w:noWrap/>
            <w:vAlign w:val="center"/>
            <w:hideMark/>
          </w:tcPr>
          <w:p w14:paraId="37D862EA"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03578CA5"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50BB3D0E" w14:textId="5E6D8009"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r>
      <w:tr w:rsidR="008743C7" w:rsidRPr="00845FB7" w14:paraId="5EE77A83" w14:textId="77777777" w:rsidTr="00CB7E6C">
        <w:trPr>
          <w:trHeight w:val="305"/>
        </w:trPr>
        <w:tc>
          <w:tcPr>
            <w:tcW w:w="1670" w:type="pct"/>
            <w:tcBorders>
              <w:top w:val="nil"/>
              <w:left w:val="single" w:sz="4" w:space="0" w:color="auto"/>
              <w:bottom w:val="single" w:sz="4" w:space="0" w:color="auto"/>
              <w:right w:val="nil"/>
            </w:tcBorders>
            <w:noWrap/>
            <w:vAlign w:val="center"/>
            <w:hideMark/>
          </w:tcPr>
          <w:p w14:paraId="4887F0ED" w14:textId="77777777" w:rsidR="008743C7" w:rsidRPr="00845FB7" w:rsidRDefault="008743C7" w:rsidP="008743C7">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Cost associated with the specific work identified by the Committee, i.e. translation of submissions, interpretation</w:t>
            </w:r>
          </w:p>
        </w:tc>
        <w:tc>
          <w:tcPr>
            <w:tcW w:w="277" w:type="pct"/>
            <w:tcBorders>
              <w:top w:val="nil"/>
              <w:left w:val="single" w:sz="4" w:space="0" w:color="auto"/>
              <w:bottom w:val="single" w:sz="4" w:space="0" w:color="auto"/>
              <w:right w:val="single" w:sz="4" w:space="0" w:color="auto"/>
            </w:tcBorders>
            <w:noWrap/>
            <w:vAlign w:val="center"/>
            <w:hideMark/>
          </w:tcPr>
          <w:p w14:paraId="2232913C" w14:textId="1A9C1ABB" w:rsidR="008743C7" w:rsidRPr="00845FB7" w:rsidRDefault="008743C7" w:rsidP="008743C7">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12,000</w:t>
            </w:r>
          </w:p>
        </w:tc>
        <w:tc>
          <w:tcPr>
            <w:tcW w:w="277" w:type="pct"/>
            <w:tcBorders>
              <w:top w:val="nil"/>
              <w:left w:val="nil"/>
              <w:bottom w:val="single" w:sz="4" w:space="0" w:color="auto"/>
              <w:right w:val="single" w:sz="4" w:space="0" w:color="auto"/>
            </w:tcBorders>
            <w:noWrap/>
            <w:vAlign w:val="center"/>
            <w:hideMark/>
          </w:tcPr>
          <w:p w14:paraId="08FA7C2C" w14:textId="28636FCC"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0C7A6181"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12,000</w:t>
            </w:r>
          </w:p>
        </w:tc>
        <w:tc>
          <w:tcPr>
            <w:tcW w:w="278" w:type="pct"/>
            <w:tcBorders>
              <w:top w:val="nil"/>
              <w:left w:val="nil"/>
              <w:bottom w:val="single" w:sz="4" w:space="0" w:color="auto"/>
              <w:right w:val="single" w:sz="4" w:space="0" w:color="auto"/>
            </w:tcBorders>
            <w:noWrap/>
            <w:vAlign w:val="center"/>
            <w:hideMark/>
          </w:tcPr>
          <w:p w14:paraId="4DFB4A35"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3C5AC3DF"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01191C14" w14:textId="268509A3"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3B56EB7B"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r w:rsidRPr="00845FB7">
              <w:rPr>
                <w:rFonts w:eastAsia="Times New Roman" w:cstheme="majorBidi"/>
                <w:color w:val="000000"/>
                <w:sz w:val="16"/>
                <w:szCs w:val="16"/>
                <w:lang w:val="en-GB"/>
              </w:rPr>
              <w:t> </w:t>
            </w:r>
          </w:p>
        </w:tc>
        <w:tc>
          <w:tcPr>
            <w:tcW w:w="278" w:type="pct"/>
            <w:tcBorders>
              <w:top w:val="nil"/>
              <w:left w:val="nil"/>
              <w:bottom w:val="single" w:sz="4" w:space="0" w:color="auto"/>
              <w:right w:val="single" w:sz="4" w:space="0" w:color="auto"/>
            </w:tcBorders>
            <w:noWrap/>
            <w:vAlign w:val="center"/>
            <w:hideMark/>
          </w:tcPr>
          <w:p w14:paraId="10949AB7" w14:textId="0FDAB3D2"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300012EE" w14:textId="59ABA4ED"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0DE313FF"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5B82E7D0" w14:textId="77777777"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48041005" w14:textId="7F76E30F"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r>
      <w:tr w:rsidR="008743C7" w:rsidRPr="00845FB7" w14:paraId="27EC5A20" w14:textId="77777777" w:rsidTr="00CB7E6C">
        <w:trPr>
          <w:trHeight w:val="370"/>
        </w:trPr>
        <w:tc>
          <w:tcPr>
            <w:tcW w:w="1670" w:type="pct"/>
            <w:tcBorders>
              <w:top w:val="nil"/>
              <w:left w:val="single" w:sz="4" w:space="0" w:color="auto"/>
              <w:bottom w:val="single" w:sz="4" w:space="0" w:color="auto"/>
              <w:right w:val="single" w:sz="4" w:space="0" w:color="auto"/>
            </w:tcBorders>
            <w:noWrap/>
            <w:vAlign w:val="center"/>
            <w:hideMark/>
          </w:tcPr>
          <w:p w14:paraId="7153E69A"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Component total</w:t>
            </w:r>
          </w:p>
        </w:tc>
        <w:tc>
          <w:tcPr>
            <w:tcW w:w="277" w:type="pct"/>
            <w:tcBorders>
              <w:top w:val="nil"/>
              <w:left w:val="nil"/>
              <w:bottom w:val="single" w:sz="4" w:space="0" w:color="auto"/>
              <w:right w:val="single" w:sz="4" w:space="0" w:color="auto"/>
            </w:tcBorders>
            <w:noWrap/>
            <w:vAlign w:val="center"/>
            <w:hideMark/>
          </w:tcPr>
          <w:p w14:paraId="3AC29B2E" w14:textId="4846F856"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45,000</w:t>
            </w:r>
          </w:p>
        </w:tc>
        <w:tc>
          <w:tcPr>
            <w:tcW w:w="277" w:type="pct"/>
            <w:tcBorders>
              <w:top w:val="single" w:sz="4" w:space="0" w:color="auto"/>
              <w:left w:val="nil"/>
              <w:bottom w:val="single" w:sz="4" w:space="0" w:color="auto"/>
              <w:right w:val="single" w:sz="4" w:space="0" w:color="auto"/>
            </w:tcBorders>
            <w:noWrap/>
            <w:vAlign w:val="center"/>
            <w:hideMark/>
          </w:tcPr>
          <w:p w14:paraId="56C809A7" w14:textId="78280D59"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5327329E"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45,000</w:t>
            </w:r>
          </w:p>
        </w:tc>
        <w:tc>
          <w:tcPr>
            <w:tcW w:w="278" w:type="pct"/>
            <w:tcBorders>
              <w:top w:val="nil"/>
              <w:left w:val="nil"/>
              <w:bottom w:val="single" w:sz="4" w:space="0" w:color="auto"/>
              <w:right w:val="single" w:sz="4" w:space="0" w:color="auto"/>
            </w:tcBorders>
            <w:noWrap/>
            <w:vAlign w:val="center"/>
            <w:hideMark/>
          </w:tcPr>
          <w:p w14:paraId="21CDC745" w14:textId="292C3593"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6E625CCF"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4E8F5A9F"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6C94757A" w14:textId="46544967" w:rsidR="008743C7" w:rsidRPr="00845FB7" w:rsidRDefault="008743C7" w:rsidP="008743C7">
            <w:pPr>
              <w:spacing w:after="0" w:line="240" w:lineRule="auto"/>
              <w:contextualSpacing/>
              <w:jc w:val="left"/>
              <w:rPr>
                <w:rFonts w:eastAsia="Times New Roman" w:cstheme="majorBidi"/>
                <w:color w:val="000000"/>
                <w:sz w:val="16"/>
                <w:szCs w:val="16"/>
                <w:lang w:val="en-GB"/>
              </w:rPr>
            </w:pPr>
            <w:r w:rsidRPr="00845FB7">
              <w:rPr>
                <w:rFonts w:eastAsia="Times New Roman" w:cstheme="majorBidi"/>
                <w:color w:val="000000"/>
                <w:sz w:val="16"/>
                <w:szCs w:val="16"/>
                <w:lang w:val="en-GB"/>
              </w:rPr>
              <w:t xml:space="preserve">              </w:t>
            </w:r>
          </w:p>
        </w:tc>
        <w:tc>
          <w:tcPr>
            <w:tcW w:w="278" w:type="pct"/>
            <w:tcBorders>
              <w:top w:val="nil"/>
              <w:left w:val="nil"/>
              <w:bottom w:val="single" w:sz="4" w:space="0" w:color="auto"/>
              <w:right w:val="single" w:sz="4" w:space="0" w:color="auto"/>
            </w:tcBorders>
            <w:noWrap/>
            <w:vAlign w:val="center"/>
            <w:hideMark/>
          </w:tcPr>
          <w:p w14:paraId="166BC2DB" w14:textId="342527B3" w:rsidR="008743C7" w:rsidRPr="00845FB7" w:rsidRDefault="00443E3C"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33</w:t>
            </w:r>
            <w:r w:rsidR="008743C7" w:rsidRPr="00845FB7">
              <w:rPr>
                <w:rFonts w:eastAsia="Times New Roman" w:cstheme="majorBidi"/>
                <w:b/>
                <w:bCs/>
                <w:color w:val="000000"/>
                <w:sz w:val="16"/>
                <w:szCs w:val="16"/>
                <w:lang w:val="en-GB"/>
              </w:rPr>
              <w:t>,000</w:t>
            </w:r>
          </w:p>
        </w:tc>
        <w:tc>
          <w:tcPr>
            <w:tcW w:w="278" w:type="pct"/>
            <w:tcBorders>
              <w:top w:val="nil"/>
              <w:left w:val="nil"/>
              <w:bottom w:val="single" w:sz="4" w:space="0" w:color="auto"/>
              <w:right w:val="single" w:sz="4" w:space="0" w:color="auto"/>
            </w:tcBorders>
            <w:noWrap/>
            <w:vAlign w:val="center"/>
            <w:hideMark/>
          </w:tcPr>
          <w:p w14:paraId="3F1F1703" w14:textId="7CD88F0A" w:rsidR="008743C7" w:rsidRPr="00845FB7" w:rsidRDefault="00443E3C"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33</w:t>
            </w:r>
            <w:r w:rsidR="008743C7" w:rsidRPr="00845FB7">
              <w:rPr>
                <w:rFonts w:eastAsia="Times New Roman" w:cstheme="majorBidi"/>
                <w:b/>
                <w:bCs/>
                <w:color w:val="000000"/>
                <w:sz w:val="16"/>
                <w:szCs w:val="16"/>
                <w:lang w:val="en-GB"/>
              </w:rPr>
              <w:t>,000</w:t>
            </w:r>
          </w:p>
        </w:tc>
        <w:tc>
          <w:tcPr>
            <w:tcW w:w="277" w:type="pct"/>
            <w:tcBorders>
              <w:top w:val="nil"/>
              <w:left w:val="nil"/>
              <w:bottom w:val="single" w:sz="4" w:space="0" w:color="auto"/>
              <w:right w:val="single" w:sz="4" w:space="0" w:color="auto"/>
            </w:tcBorders>
            <w:noWrap/>
            <w:vAlign w:val="center"/>
            <w:hideMark/>
          </w:tcPr>
          <w:p w14:paraId="26C2A48F" w14:textId="4B6025F4"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142FCCF5"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08D67FAA"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r>
      <w:tr w:rsidR="008743C7" w:rsidRPr="00845FB7" w14:paraId="56026106" w14:textId="77777777" w:rsidTr="00CB7E6C">
        <w:trPr>
          <w:trHeight w:val="305"/>
        </w:trPr>
        <w:tc>
          <w:tcPr>
            <w:tcW w:w="1670" w:type="pct"/>
            <w:tcBorders>
              <w:top w:val="nil"/>
              <w:left w:val="single" w:sz="4" w:space="0" w:color="auto"/>
              <w:bottom w:val="single" w:sz="4" w:space="0" w:color="auto"/>
              <w:right w:val="single" w:sz="4" w:space="0" w:color="auto"/>
            </w:tcBorders>
            <w:noWrap/>
            <w:vAlign w:val="center"/>
            <w:hideMark/>
          </w:tcPr>
          <w:p w14:paraId="314A4E66" w14:textId="77777777" w:rsidR="008743C7" w:rsidRPr="00845FB7" w:rsidRDefault="008743C7" w:rsidP="008743C7">
            <w:pPr>
              <w:spacing w:after="0" w:line="240" w:lineRule="auto"/>
              <w:contextualSpacing/>
              <w:jc w:val="lef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 xml:space="preserve">Grand Total </w:t>
            </w:r>
          </w:p>
        </w:tc>
        <w:tc>
          <w:tcPr>
            <w:tcW w:w="277" w:type="pct"/>
            <w:tcBorders>
              <w:top w:val="nil"/>
              <w:left w:val="nil"/>
              <w:bottom w:val="single" w:sz="4" w:space="0" w:color="auto"/>
              <w:right w:val="single" w:sz="4" w:space="0" w:color="auto"/>
            </w:tcBorders>
            <w:noWrap/>
            <w:vAlign w:val="center"/>
            <w:hideMark/>
          </w:tcPr>
          <w:p w14:paraId="0AAE718E" w14:textId="1E9637D6"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45,000</w:t>
            </w:r>
          </w:p>
        </w:tc>
        <w:tc>
          <w:tcPr>
            <w:tcW w:w="277" w:type="pct"/>
            <w:tcBorders>
              <w:top w:val="nil"/>
              <w:left w:val="nil"/>
              <w:bottom w:val="single" w:sz="4" w:space="0" w:color="auto"/>
              <w:right w:val="single" w:sz="4" w:space="0" w:color="auto"/>
            </w:tcBorders>
            <w:noWrap/>
            <w:vAlign w:val="center"/>
            <w:hideMark/>
          </w:tcPr>
          <w:p w14:paraId="61470789" w14:textId="3032B719"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7CF90063"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45,000</w:t>
            </w:r>
          </w:p>
        </w:tc>
        <w:tc>
          <w:tcPr>
            <w:tcW w:w="278" w:type="pct"/>
            <w:tcBorders>
              <w:top w:val="nil"/>
              <w:left w:val="nil"/>
              <w:bottom w:val="single" w:sz="4" w:space="0" w:color="auto"/>
              <w:right w:val="single" w:sz="4" w:space="0" w:color="auto"/>
            </w:tcBorders>
            <w:noWrap/>
            <w:vAlign w:val="center"/>
            <w:hideMark/>
          </w:tcPr>
          <w:p w14:paraId="7790CC33" w14:textId="1C6EBC8E"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08F6B2A6"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8" w:type="pct"/>
            <w:tcBorders>
              <w:top w:val="nil"/>
              <w:left w:val="nil"/>
              <w:bottom w:val="single" w:sz="4" w:space="0" w:color="auto"/>
              <w:right w:val="single" w:sz="4" w:space="0" w:color="auto"/>
            </w:tcBorders>
            <w:noWrap/>
            <w:vAlign w:val="center"/>
            <w:hideMark/>
          </w:tcPr>
          <w:p w14:paraId="7B302FFE"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7" w:type="pct"/>
            <w:tcBorders>
              <w:top w:val="nil"/>
              <w:left w:val="nil"/>
              <w:bottom w:val="single" w:sz="4" w:space="0" w:color="auto"/>
              <w:right w:val="single" w:sz="4" w:space="0" w:color="auto"/>
            </w:tcBorders>
            <w:noWrap/>
            <w:vAlign w:val="center"/>
            <w:hideMark/>
          </w:tcPr>
          <w:p w14:paraId="02AE0B21" w14:textId="7C846615"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8" w:type="pct"/>
            <w:tcBorders>
              <w:top w:val="single" w:sz="4" w:space="0" w:color="auto"/>
              <w:left w:val="nil"/>
              <w:bottom w:val="single" w:sz="4" w:space="0" w:color="auto"/>
              <w:right w:val="single" w:sz="4" w:space="0" w:color="auto"/>
            </w:tcBorders>
            <w:noWrap/>
            <w:vAlign w:val="center"/>
            <w:hideMark/>
          </w:tcPr>
          <w:p w14:paraId="69ED9B2C" w14:textId="6CB9FC83" w:rsidR="008743C7" w:rsidRPr="00845FB7" w:rsidRDefault="00443E3C"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33</w:t>
            </w:r>
            <w:r w:rsidR="008743C7" w:rsidRPr="00845FB7">
              <w:rPr>
                <w:rFonts w:eastAsia="Times New Roman" w:cstheme="majorBidi"/>
                <w:b/>
                <w:bCs/>
                <w:color w:val="000000"/>
                <w:sz w:val="16"/>
                <w:szCs w:val="16"/>
                <w:lang w:val="en-GB"/>
              </w:rPr>
              <w:t>,000</w:t>
            </w:r>
          </w:p>
        </w:tc>
        <w:tc>
          <w:tcPr>
            <w:tcW w:w="278" w:type="pct"/>
            <w:tcBorders>
              <w:top w:val="nil"/>
              <w:left w:val="nil"/>
              <w:bottom w:val="single" w:sz="4" w:space="0" w:color="auto"/>
              <w:right w:val="single" w:sz="4" w:space="0" w:color="auto"/>
            </w:tcBorders>
            <w:noWrap/>
            <w:vAlign w:val="center"/>
            <w:hideMark/>
          </w:tcPr>
          <w:p w14:paraId="5B66CAF1" w14:textId="2157ECC8" w:rsidR="008743C7" w:rsidRPr="00845FB7" w:rsidRDefault="00D46026" w:rsidP="008743C7">
            <w:pPr>
              <w:spacing w:after="0" w:line="240" w:lineRule="auto"/>
              <w:contextualSpacing/>
              <w:jc w:val="right"/>
              <w:rPr>
                <w:rFonts w:eastAsia="Times New Roman" w:cstheme="majorBidi"/>
                <w:b/>
                <w:bCs/>
                <w:color w:val="000000"/>
                <w:sz w:val="16"/>
                <w:szCs w:val="16"/>
                <w:lang w:val="en-GB"/>
              </w:rPr>
            </w:pPr>
            <w:r w:rsidRPr="00845FB7">
              <w:rPr>
                <w:rFonts w:eastAsia="Times New Roman" w:cstheme="majorBidi"/>
                <w:b/>
                <w:bCs/>
                <w:color w:val="000000"/>
                <w:sz w:val="16"/>
                <w:szCs w:val="16"/>
                <w:lang w:val="en-GB"/>
              </w:rPr>
              <w:t>33</w:t>
            </w:r>
            <w:r w:rsidR="008743C7" w:rsidRPr="00845FB7">
              <w:rPr>
                <w:rFonts w:eastAsia="Times New Roman" w:cstheme="majorBidi"/>
                <w:b/>
                <w:bCs/>
                <w:color w:val="000000"/>
                <w:sz w:val="16"/>
                <w:szCs w:val="16"/>
                <w:lang w:val="en-GB"/>
              </w:rPr>
              <w:t>,000</w:t>
            </w:r>
          </w:p>
        </w:tc>
        <w:tc>
          <w:tcPr>
            <w:tcW w:w="277" w:type="pct"/>
            <w:tcBorders>
              <w:top w:val="nil"/>
              <w:left w:val="nil"/>
              <w:bottom w:val="single" w:sz="4" w:space="0" w:color="auto"/>
              <w:right w:val="single" w:sz="4" w:space="0" w:color="auto"/>
            </w:tcBorders>
            <w:noWrap/>
            <w:vAlign w:val="center"/>
            <w:hideMark/>
          </w:tcPr>
          <w:p w14:paraId="118455DF" w14:textId="1909E9AA" w:rsidR="008743C7" w:rsidRPr="00845FB7" w:rsidRDefault="008743C7" w:rsidP="008743C7">
            <w:pPr>
              <w:spacing w:after="0" w:line="240" w:lineRule="auto"/>
              <w:contextualSpacing/>
              <w:jc w:val="right"/>
              <w:rPr>
                <w:rFonts w:eastAsia="Times New Roman" w:cstheme="majorBidi"/>
                <w:color w:val="000000"/>
                <w:sz w:val="16"/>
                <w:szCs w:val="16"/>
                <w:lang w:val="en-GB"/>
              </w:rPr>
            </w:pPr>
          </w:p>
        </w:tc>
        <w:tc>
          <w:tcPr>
            <w:tcW w:w="277" w:type="pct"/>
            <w:tcBorders>
              <w:top w:val="single" w:sz="4" w:space="0" w:color="auto"/>
              <w:left w:val="single" w:sz="4" w:space="0" w:color="auto"/>
              <w:bottom w:val="single" w:sz="4" w:space="0" w:color="auto"/>
              <w:right w:val="single" w:sz="4" w:space="0" w:color="auto"/>
            </w:tcBorders>
            <w:noWrap/>
            <w:vAlign w:val="center"/>
            <w:hideMark/>
          </w:tcPr>
          <w:p w14:paraId="1CDF0915"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c>
          <w:tcPr>
            <w:tcW w:w="278" w:type="pct"/>
            <w:tcBorders>
              <w:top w:val="single" w:sz="4" w:space="0" w:color="auto"/>
              <w:left w:val="nil"/>
              <w:bottom w:val="single" w:sz="4" w:space="0" w:color="auto"/>
              <w:right w:val="single" w:sz="4" w:space="0" w:color="auto"/>
            </w:tcBorders>
            <w:noWrap/>
            <w:vAlign w:val="center"/>
            <w:hideMark/>
          </w:tcPr>
          <w:p w14:paraId="336C1F88" w14:textId="77777777" w:rsidR="008743C7" w:rsidRPr="00845FB7" w:rsidRDefault="008743C7" w:rsidP="008743C7">
            <w:pPr>
              <w:spacing w:after="0" w:line="240" w:lineRule="auto"/>
              <w:contextualSpacing/>
              <w:jc w:val="right"/>
              <w:rPr>
                <w:rFonts w:eastAsia="Times New Roman" w:cstheme="majorBidi"/>
                <w:b/>
                <w:bCs/>
                <w:color w:val="000000"/>
                <w:sz w:val="16"/>
                <w:szCs w:val="16"/>
                <w:lang w:val="en-GB"/>
              </w:rPr>
            </w:pPr>
          </w:p>
        </w:tc>
      </w:tr>
    </w:tbl>
    <w:p w14:paraId="3450FAFF" w14:textId="5D19FC88" w:rsidR="00960A0B" w:rsidRPr="00845FB7" w:rsidRDefault="00960A0B" w:rsidP="00BD36F8">
      <w:pPr>
        <w:pStyle w:val="Heading3"/>
        <w:rPr>
          <w:bCs/>
          <w:sz w:val="24"/>
          <w:lang w:val="en-GB"/>
        </w:rPr>
      </w:pPr>
      <w:r w:rsidRPr="00845FB7">
        <w:rPr>
          <w:bCs/>
          <w:sz w:val="24"/>
          <w:lang w:val="en-GB"/>
        </w:rPr>
        <w:t xml:space="preserve">Resources </w:t>
      </w:r>
      <w:r w:rsidR="00826417">
        <w:rPr>
          <w:sz w:val="24"/>
          <w:lang w:val="en-GB"/>
        </w:rPr>
        <w:t>r</w:t>
      </w:r>
      <w:r w:rsidRPr="00845FB7">
        <w:rPr>
          <w:sz w:val="24"/>
          <w:lang w:val="en-GB"/>
        </w:rPr>
        <w:t>equirements</w:t>
      </w:r>
    </w:p>
    <w:p w14:paraId="21B9DDFB" w14:textId="77777777" w:rsidR="00960A0B" w:rsidRPr="00845FB7" w:rsidRDefault="00960A0B" w:rsidP="00960A0B">
      <w:pPr>
        <w:contextualSpacing/>
        <w:rPr>
          <w:b/>
          <w:bCs/>
          <w:sz w:val="24"/>
          <w:szCs w:val="24"/>
          <w:lang w:val="en-GB"/>
        </w:rPr>
      </w:pPr>
    </w:p>
    <w:p w14:paraId="7285BBC0" w14:textId="77777777" w:rsidR="00960A0B" w:rsidRPr="00845FB7" w:rsidRDefault="00960A0B" w:rsidP="00BD36F8">
      <w:pPr>
        <w:pStyle w:val="Heading3"/>
        <w:rPr>
          <w:bCs/>
          <w:sz w:val="24"/>
          <w:lang w:val="en-GB"/>
        </w:rPr>
      </w:pPr>
      <w:r w:rsidRPr="00845FB7">
        <w:rPr>
          <w:bCs/>
          <w:sz w:val="24"/>
          <w:lang w:val="en-GB"/>
        </w:rPr>
        <w:t>Overview of resources</w:t>
      </w:r>
    </w:p>
    <w:tbl>
      <w:tblPr>
        <w:tblStyle w:val="TableGridLight"/>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5"/>
        <w:gridCol w:w="1985"/>
        <w:gridCol w:w="1985"/>
      </w:tblGrid>
      <w:tr w:rsidR="00960A0B" w:rsidRPr="00845FB7" w14:paraId="0ACE8D19" w14:textId="77777777" w:rsidTr="00BD36F8">
        <w:trPr>
          <w:trHeight w:val="340"/>
        </w:trPr>
        <w:tc>
          <w:tcPr>
            <w:tcW w:w="4531" w:type="dxa"/>
            <w:noWrap/>
            <w:hideMark/>
          </w:tcPr>
          <w:p w14:paraId="0F809F3A" w14:textId="77777777" w:rsidR="00960A0B" w:rsidRPr="00845FB7" w:rsidRDefault="00960A0B" w:rsidP="007B6CF2">
            <w:pPr>
              <w:contextualSpacing/>
              <w:rPr>
                <w:rFonts w:cstheme="majorBidi"/>
                <w:b/>
                <w:bCs/>
                <w:sz w:val="18"/>
                <w:szCs w:val="18"/>
                <w:lang w:val="en-GB"/>
              </w:rPr>
            </w:pPr>
            <w:r w:rsidRPr="00845FB7">
              <w:rPr>
                <w:rFonts w:cstheme="majorBidi"/>
                <w:b/>
                <w:bCs/>
                <w:sz w:val="18"/>
                <w:szCs w:val="18"/>
                <w:lang w:val="en-GB"/>
              </w:rPr>
              <w:t>Budget</w:t>
            </w:r>
          </w:p>
        </w:tc>
        <w:tc>
          <w:tcPr>
            <w:tcW w:w="1985" w:type="dxa"/>
            <w:hideMark/>
          </w:tcPr>
          <w:p w14:paraId="54692BE4" w14:textId="44A6EF37" w:rsidR="00960A0B" w:rsidRPr="00845FB7" w:rsidRDefault="00960A0B" w:rsidP="007B6CF2">
            <w:pPr>
              <w:contextualSpacing/>
              <w:jc w:val="center"/>
              <w:rPr>
                <w:rFonts w:cstheme="majorBidi"/>
                <w:b/>
                <w:bCs/>
                <w:sz w:val="18"/>
                <w:szCs w:val="18"/>
                <w:lang w:val="en-GB"/>
              </w:rPr>
            </w:pPr>
            <w:r w:rsidRPr="00845FB7">
              <w:rPr>
                <w:rFonts w:cstheme="majorBidi"/>
                <w:b/>
                <w:bCs/>
                <w:sz w:val="18"/>
                <w:szCs w:val="18"/>
                <w:lang w:val="en-GB"/>
              </w:rPr>
              <w:t xml:space="preserve">General </w:t>
            </w:r>
            <w:r w:rsidR="00703D3D" w:rsidRPr="00845FB7">
              <w:rPr>
                <w:rFonts w:cstheme="majorBidi"/>
                <w:b/>
                <w:bCs/>
                <w:sz w:val="18"/>
                <w:szCs w:val="18"/>
                <w:lang w:val="en-GB"/>
              </w:rPr>
              <w:t>t</w:t>
            </w:r>
            <w:r w:rsidRPr="00845FB7">
              <w:rPr>
                <w:rFonts w:cstheme="majorBidi"/>
                <w:b/>
                <w:bCs/>
                <w:sz w:val="18"/>
                <w:szCs w:val="18"/>
                <w:lang w:val="en-GB"/>
              </w:rPr>
              <w:t xml:space="preserve">rust </w:t>
            </w:r>
            <w:r w:rsidR="00703D3D" w:rsidRPr="00845FB7">
              <w:rPr>
                <w:rFonts w:cstheme="majorBidi"/>
                <w:b/>
                <w:bCs/>
                <w:sz w:val="18"/>
                <w:szCs w:val="18"/>
                <w:lang w:val="en-GB"/>
              </w:rPr>
              <w:t>f</w:t>
            </w:r>
            <w:r w:rsidRPr="00845FB7">
              <w:rPr>
                <w:rFonts w:cstheme="majorBidi"/>
                <w:b/>
                <w:bCs/>
                <w:sz w:val="18"/>
                <w:szCs w:val="18"/>
                <w:lang w:val="en-GB"/>
              </w:rPr>
              <w:t>und</w:t>
            </w:r>
          </w:p>
        </w:tc>
        <w:tc>
          <w:tcPr>
            <w:tcW w:w="1985" w:type="dxa"/>
            <w:hideMark/>
          </w:tcPr>
          <w:p w14:paraId="61C5B007" w14:textId="3D1947D1" w:rsidR="00960A0B" w:rsidRPr="00845FB7" w:rsidRDefault="00960A0B" w:rsidP="007B6CF2">
            <w:pPr>
              <w:contextualSpacing/>
              <w:jc w:val="center"/>
              <w:rPr>
                <w:rFonts w:cstheme="majorBidi"/>
                <w:b/>
                <w:bCs/>
                <w:sz w:val="18"/>
                <w:szCs w:val="18"/>
                <w:lang w:val="en-GB"/>
              </w:rPr>
            </w:pPr>
            <w:r w:rsidRPr="00845FB7">
              <w:rPr>
                <w:rFonts w:cstheme="majorBidi"/>
                <w:b/>
                <w:bCs/>
                <w:sz w:val="18"/>
                <w:szCs w:val="18"/>
                <w:lang w:val="en-GB"/>
              </w:rPr>
              <w:t xml:space="preserve">Special </w:t>
            </w:r>
            <w:r w:rsidR="00703D3D" w:rsidRPr="00845FB7">
              <w:rPr>
                <w:rFonts w:cstheme="majorBidi"/>
                <w:b/>
                <w:bCs/>
                <w:sz w:val="18"/>
                <w:szCs w:val="18"/>
                <w:lang w:val="en-GB"/>
              </w:rPr>
              <w:t>t</w:t>
            </w:r>
            <w:r w:rsidRPr="00845FB7">
              <w:rPr>
                <w:rFonts w:cstheme="majorBidi"/>
                <w:b/>
                <w:bCs/>
                <w:sz w:val="18"/>
                <w:szCs w:val="18"/>
                <w:lang w:val="en-GB"/>
              </w:rPr>
              <w:t xml:space="preserve">rust </w:t>
            </w:r>
            <w:r w:rsidR="00703D3D" w:rsidRPr="00845FB7">
              <w:rPr>
                <w:rFonts w:cstheme="majorBidi"/>
                <w:b/>
                <w:bCs/>
                <w:sz w:val="18"/>
                <w:szCs w:val="18"/>
                <w:lang w:val="en-GB"/>
              </w:rPr>
              <w:t>f</w:t>
            </w:r>
            <w:r w:rsidRPr="00845FB7">
              <w:rPr>
                <w:rFonts w:cstheme="majorBidi"/>
                <w:b/>
                <w:bCs/>
                <w:sz w:val="18"/>
                <w:szCs w:val="18"/>
                <w:lang w:val="en-GB"/>
              </w:rPr>
              <w:t>und</w:t>
            </w:r>
          </w:p>
        </w:tc>
        <w:tc>
          <w:tcPr>
            <w:tcW w:w="1985" w:type="dxa"/>
            <w:hideMark/>
          </w:tcPr>
          <w:p w14:paraId="77FEF373" w14:textId="685A4CDD" w:rsidR="00960A0B" w:rsidRPr="00845FB7" w:rsidRDefault="00960A0B" w:rsidP="007B6CF2">
            <w:pPr>
              <w:contextualSpacing/>
              <w:jc w:val="center"/>
              <w:rPr>
                <w:rFonts w:cstheme="majorBidi"/>
                <w:b/>
                <w:bCs/>
                <w:sz w:val="18"/>
                <w:szCs w:val="18"/>
                <w:lang w:val="en-GB"/>
              </w:rPr>
            </w:pPr>
            <w:r w:rsidRPr="00845FB7">
              <w:rPr>
                <w:rFonts w:cstheme="majorBidi"/>
                <w:b/>
                <w:bCs/>
                <w:sz w:val="18"/>
                <w:szCs w:val="18"/>
                <w:lang w:val="en-GB"/>
              </w:rPr>
              <w:t xml:space="preserve">Total </w:t>
            </w:r>
            <w:r w:rsidR="00703D3D" w:rsidRPr="00845FB7">
              <w:rPr>
                <w:rFonts w:cstheme="majorBidi"/>
                <w:b/>
                <w:bCs/>
                <w:sz w:val="18"/>
                <w:szCs w:val="18"/>
                <w:lang w:val="en-GB"/>
              </w:rPr>
              <w:t>c</w:t>
            </w:r>
            <w:r w:rsidRPr="00845FB7">
              <w:rPr>
                <w:rFonts w:cstheme="majorBidi"/>
                <w:b/>
                <w:bCs/>
                <w:sz w:val="18"/>
                <w:szCs w:val="18"/>
                <w:lang w:val="en-GB"/>
              </w:rPr>
              <w:t>ontribution</w:t>
            </w:r>
          </w:p>
        </w:tc>
      </w:tr>
      <w:tr w:rsidR="00960A0B" w:rsidRPr="00845FB7" w14:paraId="0384827D" w14:textId="77777777" w:rsidTr="00BD36F8">
        <w:trPr>
          <w:trHeight w:val="340"/>
        </w:trPr>
        <w:tc>
          <w:tcPr>
            <w:tcW w:w="4531" w:type="dxa"/>
            <w:noWrap/>
            <w:hideMark/>
          </w:tcPr>
          <w:p w14:paraId="3107B78C" w14:textId="2D8AB29E" w:rsidR="00960A0B" w:rsidRPr="00845FB7" w:rsidRDefault="00483667" w:rsidP="007B6CF2">
            <w:pPr>
              <w:jc w:val="left"/>
              <w:rPr>
                <w:rFonts w:cstheme="majorBidi"/>
                <w:sz w:val="18"/>
                <w:szCs w:val="18"/>
                <w:lang w:val="en-GB"/>
              </w:rPr>
            </w:pPr>
            <w:r w:rsidRPr="00845FB7">
              <w:rPr>
                <w:rFonts w:cstheme="majorBidi"/>
                <w:sz w:val="18"/>
                <w:szCs w:val="18"/>
                <w:lang w:val="en-GB"/>
              </w:rPr>
              <w:t>2024</w:t>
            </w:r>
            <w:r w:rsidR="00960A0B" w:rsidRPr="00845FB7">
              <w:rPr>
                <w:rFonts w:cstheme="majorBidi"/>
                <w:sz w:val="18"/>
                <w:szCs w:val="18"/>
                <w:lang w:val="en-GB"/>
              </w:rPr>
              <w:t>-</w:t>
            </w:r>
            <w:r w:rsidRPr="00845FB7">
              <w:rPr>
                <w:rFonts w:cstheme="majorBidi"/>
                <w:sz w:val="18"/>
                <w:szCs w:val="18"/>
                <w:lang w:val="en-GB"/>
              </w:rPr>
              <w:t xml:space="preserve">2025 </w:t>
            </w:r>
            <w:r w:rsidR="00960A0B" w:rsidRPr="00845FB7">
              <w:rPr>
                <w:rFonts w:cstheme="majorBidi"/>
                <w:sz w:val="18"/>
                <w:szCs w:val="18"/>
                <w:lang w:val="en-GB"/>
              </w:rPr>
              <w:t>approved</w:t>
            </w:r>
          </w:p>
        </w:tc>
        <w:tc>
          <w:tcPr>
            <w:tcW w:w="1985" w:type="dxa"/>
            <w:noWrap/>
          </w:tcPr>
          <w:p w14:paraId="101949EF" w14:textId="21083A6A" w:rsidR="00960A0B" w:rsidRPr="00845FB7" w:rsidRDefault="002B482E" w:rsidP="007B6CF2">
            <w:pPr>
              <w:jc w:val="right"/>
              <w:rPr>
                <w:rFonts w:cstheme="majorBidi"/>
                <w:b/>
                <w:bCs/>
                <w:sz w:val="18"/>
                <w:szCs w:val="18"/>
                <w:lang w:val="en-GB"/>
              </w:rPr>
            </w:pPr>
            <w:r w:rsidRPr="00845FB7">
              <w:rPr>
                <w:rFonts w:cstheme="majorBidi"/>
                <w:b/>
                <w:bCs/>
                <w:sz w:val="18"/>
                <w:szCs w:val="18"/>
                <w:lang w:val="en-GB"/>
              </w:rPr>
              <w:t>45.000</w:t>
            </w:r>
          </w:p>
        </w:tc>
        <w:tc>
          <w:tcPr>
            <w:tcW w:w="1985" w:type="dxa"/>
            <w:noWrap/>
          </w:tcPr>
          <w:p w14:paraId="353601A9" w14:textId="77777777" w:rsidR="00960A0B" w:rsidRPr="00845FB7" w:rsidRDefault="00960A0B" w:rsidP="007B6CF2">
            <w:pPr>
              <w:jc w:val="right"/>
              <w:rPr>
                <w:rFonts w:cstheme="majorBidi"/>
                <w:b/>
                <w:bCs/>
                <w:sz w:val="18"/>
                <w:szCs w:val="18"/>
                <w:lang w:val="en-GB"/>
              </w:rPr>
            </w:pPr>
          </w:p>
        </w:tc>
        <w:tc>
          <w:tcPr>
            <w:tcW w:w="1985" w:type="dxa"/>
            <w:noWrap/>
          </w:tcPr>
          <w:p w14:paraId="73EA6DD5" w14:textId="53B5C61B" w:rsidR="00960A0B" w:rsidRPr="00845FB7" w:rsidRDefault="002B482E" w:rsidP="007B6CF2">
            <w:pPr>
              <w:jc w:val="right"/>
              <w:rPr>
                <w:rFonts w:cstheme="majorBidi"/>
                <w:b/>
                <w:bCs/>
                <w:sz w:val="18"/>
                <w:szCs w:val="18"/>
                <w:lang w:val="en-GB"/>
              </w:rPr>
            </w:pPr>
            <w:r w:rsidRPr="00845FB7">
              <w:rPr>
                <w:rFonts w:cstheme="majorBidi"/>
                <w:b/>
                <w:bCs/>
                <w:sz w:val="18"/>
                <w:szCs w:val="18"/>
                <w:lang w:val="en-GB"/>
              </w:rPr>
              <w:t>45,000</w:t>
            </w:r>
          </w:p>
        </w:tc>
      </w:tr>
      <w:tr w:rsidR="00960A0B" w:rsidRPr="00845FB7" w14:paraId="7E1FA4EE" w14:textId="77777777" w:rsidTr="00BD36F8">
        <w:trPr>
          <w:trHeight w:val="340"/>
        </w:trPr>
        <w:tc>
          <w:tcPr>
            <w:tcW w:w="4531" w:type="dxa"/>
            <w:hideMark/>
          </w:tcPr>
          <w:p w14:paraId="0D8E9D80" w14:textId="2C92CE5F" w:rsidR="00960A0B" w:rsidRPr="00845FB7" w:rsidRDefault="00E2051A" w:rsidP="007B6CF2">
            <w:pPr>
              <w:jc w:val="left"/>
              <w:rPr>
                <w:rFonts w:cstheme="majorBidi"/>
                <w:sz w:val="18"/>
                <w:szCs w:val="18"/>
                <w:lang w:val="en-GB"/>
              </w:rPr>
            </w:pPr>
            <w:r w:rsidRPr="00845FB7">
              <w:rPr>
                <w:rFonts w:cstheme="majorBidi"/>
                <w:sz w:val="18"/>
                <w:szCs w:val="18"/>
                <w:lang w:val="en-GB"/>
              </w:rPr>
              <w:t>2026–2027</w:t>
            </w:r>
            <w:r w:rsidR="00483667" w:rsidRPr="00845FB7">
              <w:rPr>
                <w:rFonts w:cstheme="majorBidi"/>
                <w:sz w:val="18"/>
                <w:szCs w:val="18"/>
                <w:lang w:val="en-GB"/>
              </w:rPr>
              <w:t xml:space="preserve"> </w:t>
            </w:r>
            <w:r w:rsidR="00960A0B" w:rsidRPr="00845FB7">
              <w:rPr>
                <w:rFonts w:cstheme="majorBidi"/>
                <w:sz w:val="18"/>
                <w:szCs w:val="18"/>
                <w:lang w:val="en-GB"/>
              </w:rPr>
              <w:t xml:space="preserve">requested in </w:t>
            </w:r>
            <w:r w:rsidR="00703D3D" w:rsidRPr="00845FB7">
              <w:rPr>
                <w:rFonts w:cstheme="majorBidi"/>
                <w:sz w:val="18"/>
                <w:szCs w:val="18"/>
                <w:lang w:val="en-GB"/>
              </w:rPr>
              <w:t xml:space="preserve">the </w:t>
            </w:r>
            <w:r w:rsidR="00960A0B" w:rsidRPr="00845FB7">
              <w:rPr>
                <w:rFonts w:cstheme="majorBidi"/>
                <w:sz w:val="18"/>
                <w:szCs w:val="18"/>
                <w:lang w:val="en-GB"/>
              </w:rPr>
              <w:t>5</w:t>
            </w:r>
            <w:r w:rsidR="00703D3D" w:rsidRPr="00845FB7">
              <w:rPr>
                <w:rFonts w:cstheme="majorBidi"/>
                <w:sz w:val="18"/>
                <w:szCs w:val="18"/>
                <w:lang w:val="en-GB"/>
              </w:rPr>
              <w:t xml:space="preserve"> per cent</w:t>
            </w:r>
            <w:r w:rsidR="00960A0B" w:rsidRPr="00845FB7">
              <w:rPr>
                <w:rFonts w:cstheme="majorBidi"/>
                <w:sz w:val="18"/>
                <w:szCs w:val="18"/>
                <w:lang w:val="en-GB"/>
              </w:rPr>
              <w:t xml:space="preserve"> scenario</w:t>
            </w:r>
          </w:p>
        </w:tc>
        <w:tc>
          <w:tcPr>
            <w:tcW w:w="1985" w:type="dxa"/>
            <w:noWrap/>
          </w:tcPr>
          <w:p w14:paraId="333CF1CC" w14:textId="77777777" w:rsidR="00960A0B" w:rsidRPr="00845FB7" w:rsidRDefault="00960A0B" w:rsidP="007B6CF2">
            <w:pPr>
              <w:jc w:val="right"/>
              <w:rPr>
                <w:rFonts w:cstheme="majorBidi"/>
                <w:b/>
                <w:bCs/>
                <w:sz w:val="18"/>
                <w:szCs w:val="18"/>
                <w:lang w:val="en-GB"/>
              </w:rPr>
            </w:pPr>
            <w:r w:rsidRPr="00845FB7">
              <w:rPr>
                <w:rFonts w:cstheme="majorBidi"/>
                <w:b/>
                <w:bCs/>
                <w:sz w:val="18"/>
                <w:szCs w:val="18"/>
                <w:lang w:val="en-GB"/>
              </w:rPr>
              <w:t>45,000</w:t>
            </w:r>
          </w:p>
        </w:tc>
        <w:tc>
          <w:tcPr>
            <w:tcW w:w="1985" w:type="dxa"/>
            <w:noWrap/>
          </w:tcPr>
          <w:p w14:paraId="4414DEB9" w14:textId="77777777" w:rsidR="00960A0B" w:rsidRPr="00845FB7" w:rsidRDefault="00960A0B" w:rsidP="007B6CF2">
            <w:pPr>
              <w:jc w:val="right"/>
              <w:rPr>
                <w:rFonts w:cstheme="majorBidi"/>
                <w:b/>
                <w:bCs/>
                <w:sz w:val="18"/>
                <w:szCs w:val="18"/>
                <w:lang w:val="en-GB"/>
              </w:rPr>
            </w:pPr>
          </w:p>
        </w:tc>
        <w:tc>
          <w:tcPr>
            <w:tcW w:w="1985" w:type="dxa"/>
            <w:noWrap/>
          </w:tcPr>
          <w:p w14:paraId="6FB14136" w14:textId="77777777" w:rsidR="00960A0B" w:rsidRPr="00845FB7" w:rsidRDefault="00960A0B" w:rsidP="007B6CF2">
            <w:pPr>
              <w:jc w:val="right"/>
              <w:rPr>
                <w:rFonts w:cstheme="majorBidi"/>
                <w:b/>
                <w:bCs/>
                <w:sz w:val="18"/>
                <w:szCs w:val="18"/>
                <w:lang w:val="en-GB"/>
              </w:rPr>
            </w:pPr>
            <w:r w:rsidRPr="00845FB7">
              <w:rPr>
                <w:rFonts w:cstheme="majorBidi"/>
                <w:b/>
                <w:bCs/>
                <w:sz w:val="18"/>
                <w:szCs w:val="18"/>
                <w:lang w:val="en-GB"/>
              </w:rPr>
              <w:t>45,000</w:t>
            </w:r>
          </w:p>
        </w:tc>
      </w:tr>
      <w:tr w:rsidR="00960A0B" w:rsidRPr="00845FB7" w14:paraId="37801291" w14:textId="77777777" w:rsidTr="00BD36F8">
        <w:trPr>
          <w:trHeight w:val="340"/>
        </w:trPr>
        <w:tc>
          <w:tcPr>
            <w:tcW w:w="4531" w:type="dxa"/>
            <w:hideMark/>
          </w:tcPr>
          <w:p w14:paraId="1F074975" w14:textId="0C2D4EC5" w:rsidR="00960A0B" w:rsidRPr="00845FB7" w:rsidRDefault="00E2051A" w:rsidP="007B6CF2">
            <w:pPr>
              <w:jc w:val="left"/>
              <w:rPr>
                <w:rFonts w:cstheme="majorBidi"/>
                <w:sz w:val="18"/>
                <w:szCs w:val="18"/>
                <w:lang w:val="en-GB"/>
              </w:rPr>
            </w:pPr>
            <w:r w:rsidRPr="00845FB7">
              <w:rPr>
                <w:rFonts w:cstheme="majorBidi"/>
                <w:sz w:val="18"/>
                <w:szCs w:val="18"/>
                <w:lang w:val="en-GB"/>
              </w:rPr>
              <w:t>2026–2027</w:t>
            </w:r>
            <w:r w:rsidR="00483667" w:rsidRPr="00845FB7">
              <w:rPr>
                <w:rFonts w:cstheme="majorBidi"/>
                <w:sz w:val="18"/>
                <w:szCs w:val="18"/>
                <w:lang w:val="en-GB"/>
              </w:rPr>
              <w:t xml:space="preserve"> </w:t>
            </w:r>
            <w:r w:rsidR="00960A0B" w:rsidRPr="00845FB7">
              <w:rPr>
                <w:rFonts w:cstheme="majorBidi"/>
                <w:sz w:val="18"/>
                <w:szCs w:val="18"/>
                <w:lang w:val="en-GB"/>
              </w:rPr>
              <w:t xml:space="preserve">requested in </w:t>
            </w:r>
            <w:r w:rsidR="00703D3D" w:rsidRPr="00845FB7">
              <w:rPr>
                <w:rFonts w:cstheme="majorBidi"/>
                <w:sz w:val="18"/>
                <w:szCs w:val="18"/>
                <w:lang w:val="en-GB"/>
              </w:rPr>
              <w:t>the z</w:t>
            </w:r>
            <w:r w:rsidR="00960A0B" w:rsidRPr="00845FB7">
              <w:rPr>
                <w:rFonts w:cstheme="majorBidi"/>
                <w:sz w:val="18"/>
                <w:szCs w:val="18"/>
                <w:lang w:val="en-GB"/>
              </w:rPr>
              <w:t>ero nominal growth scenario</w:t>
            </w:r>
          </w:p>
        </w:tc>
        <w:tc>
          <w:tcPr>
            <w:tcW w:w="1985" w:type="dxa"/>
            <w:noWrap/>
          </w:tcPr>
          <w:p w14:paraId="7599BEE1" w14:textId="65CB85E5" w:rsidR="00960A0B" w:rsidRPr="00845FB7" w:rsidRDefault="00483667" w:rsidP="007B6CF2">
            <w:pPr>
              <w:jc w:val="right"/>
              <w:rPr>
                <w:rFonts w:cstheme="majorBidi"/>
                <w:b/>
                <w:bCs/>
                <w:sz w:val="18"/>
                <w:szCs w:val="18"/>
                <w:lang w:val="en-GB"/>
              </w:rPr>
            </w:pPr>
            <w:r w:rsidRPr="00845FB7">
              <w:rPr>
                <w:rFonts w:cstheme="majorBidi"/>
                <w:b/>
                <w:bCs/>
                <w:sz w:val="18"/>
                <w:szCs w:val="18"/>
                <w:lang w:val="en-GB"/>
              </w:rPr>
              <w:t>33</w:t>
            </w:r>
            <w:r w:rsidR="00960A0B" w:rsidRPr="00845FB7">
              <w:rPr>
                <w:rFonts w:cstheme="majorBidi"/>
                <w:b/>
                <w:bCs/>
                <w:sz w:val="18"/>
                <w:szCs w:val="18"/>
                <w:lang w:val="en-GB"/>
              </w:rPr>
              <w:t>,000</w:t>
            </w:r>
          </w:p>
        </w:tc>
        <w:tc>
          <w:tcPr>
            <w:tcW w:w="1985" w:type="dxa"/>
            <w:noWrap/>
          </w:tcPr>
          <w:p w14:paraId="263CB27A" w14:textId="77777777" w:rsidR="00960A0B" w:rsidRPr="00845FB7" w:rsidRDefault="00960A0B" w:rsidP="007B6CF2">
            <w:pPr>
              <w:jc w:val="right"/>
              <w:rPr>
                <w:rFonts w:cstheme="majorBidi"/>
                <w:b/>
                <w:bCs/>
                <w:sz w:val="18"/>
                <w:szCs w:val="18"/>
                <w:lang w:val="en-GB"/>
              </w:rPr>
            </w:pPr>
          </w:p>
        </w:tc>
        <w:tc>
          <w:tcPr>
            <w:tcW w:w="1985" w:type="dxa"/>
            <w:noWrap/>
          </w:tcPr>
          <w:p w14:paraId="0197CC2A" w14:textId="159EEFD6" w:rsidR="00960A0B" w:rsidRPr="00845FB7" w:rsidRDefault="00483667" w:rsidP="007B6CF2">
            <w:pPr>
              <w:jc w:val="right"/>
              <w:rPr>
                <w:rFonts w:cstheme="majorBidi"/>
                <w:b/>
                <w:bCs/>
                <w:sz w:val="18"/>
                <w:szCs w:val="18"/>
                <w:lang w:val="en-GB"/>
              </w:rPr>
            </w:pPr>
            <w:r w:rsidRPr="00845FB7">
              <w:rPr>
                <w:rFonts w:cstheme="majorBidi"/>
                <w:b/>
                <w:bCs/>
                <w:sz w:val="18"/>
                <w:szCs w:val="18"/>
                <w:lang w:val="en-GB"/>
              </w:rPr>
              <w:t>33</w:t>
            </w:r>
            <w:r w:rsidR="00960A0B" w:rsidRPr="00845FB7">
              <w:rPr>
                <w:rFonts w:cstheme="majorBidi"/>
                <w:b/>
                <w:bCs/>
                <w:sz w:val="18"/>
                <w:szCs w:val="18"/>
                <w:lang w:val="en-GB"/>
              </w:rPr>
              <w:t>,000</w:t>
            </w:r>
          </w:p>
        </w:tc>
      </w:tr>
    </w:tbl>
    <w:p w14:paraId="47551E11" w14:textId="77777777" w:rsidR="00960A0B" w:rsidRPr="00845FB7" w:rsidRDefault="00960A0B" w:rsidP="00960A0B">
      <w:pPr>
        <w:pStyle w:val="Heading2"/>
        <w:rPr>
          <w:color w:val="E8BC00"/>
          <w:lang w:val="en-GB"/>
        </w:rPr>
        <w:sectPr w:rsidR="00960A0B" w:rsidRPr="00845FB7" w:rsidSect="00BD36F8">
          <w:headerReference w:type="first" r:id="rId32"/>
          <w:footerReference w:type="first" r:id="rId33"/>
          <w:type w:val="continuous"/>
          <w:pgSz w:w="16838" w:h="11906" w:orient="landscape" w:code="9"/>
          <w:pgMar w:top="907" w:right="992" w:bottom="1418" w:left="1418" w:header="539" w:footer="975" w:gutter="0"/>
          <w:cols w:space="708"/>
          <w:titlePg/>
          <w:docGrid w:linePitch="360"/>
        </w:sectPr>
      </w:pPr>
    </w:p>
    <w:p w14:paraId="48B10081" w14:textId="2906866C" w:rsidR="00982EE8" w:rsidRPr="00845FB7" w:rsidRDefault="00982EE8" w:rsidP="00982EE8">
      <w:pPr>
        <w:pStyle w:val="Heading2"/>
        <w:rPr>
          <w:rFonts w:cstheme="majorBidi"/>
          <w:color w:val="E8BC00"/>
          <w:sz w:val="36"/>
          <w:szCs w:val="36"/>
          <w:lang w:val="en-GB"/>
        </w:rPr>
      </w:pPr>
      <w:r w:rsidRPr="00845FB7">
        <w:rPr>
          <w:bCs w:val="0"/>
          <w:noProof/>
          <w:lang w:val="en-GB" w:bidi="fr-FR"/>
        </w:rPr>
        <w:lastRenderedPageBreak/>
        <mc:AlternateContent>
          <mc:Choice Requires="wps">
            <w:drawing>
              <wp:anchor distT="0" distB="0" distL="114300" distR="114300" simplePos="0" relativeHeight="251658241" behindDoc="1" locked="0" layoutInCell="1" allowOverlap="1" wp14:anchorId="48D86E4B" wp14:editId="30BF2942">
                <wp:simplePos x="0" y="0"/>
                <wp:positionH relativeFrom="page">
                  <wp:posOffset>508000</wp:posOffset>
                </wp:positionH>
                <wp:positionV relativeFrom="paragraph">
                  <wp:posOffset>281305</wp:posOffset>
                </wp:positionV>
                <wp:extent cx="6788150" cy="718185"/>
                <wp:effectExtent l="0" t="0" r="0" b="5715"/>
                <wp:wrapSquare wrapText="bothSides"/>
                <wp:docPr id="1" name="Rectangle 1" descr="P653TB2#y1"/>
                <wp:cNvGraphicFramePr/>
                <a:graphic xmlns:a="http://schemas.openxmlformats.org/drawingml/2006/main">
                  <a:graphicData uri="http://schemas.microsoft.com/office/word/2010/wordprocessingShape">
                    <wps:wsp>
                      <wps:cNvSpPr/>
                      <wps:spPr>
                        <a:xfrm>
                          <a:off x="0" y="0"/>
                          <a:ext cx="6788150" cy="718185"/>
                        </a:xfrm>
                        <a:prstGeom prst="rect">
                          <a:avLst/>
                        </a:prstGeom>
                        <a:solidFill>
                          <a:srgbClr val="E8B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30F8F2" w14:textId="747802D3" w:rsidR="00466E53" w:rsidRPr="009861BA" w:rsidRDefault="00466E53" w:rsidP="00C00C93">
                            <w:pPr>
                              <w:spacing w:before="360" w:after="240"/>
                              <w:jc w:val="center"/>
                              <w:outlineLvl w:val="0"/>
                              <w:rPr>
                                <w:rFonts w:eastAsiaTheme="majorEastAsia" w:cstheme="majorBidi"/>
                                <w:b/>
                                <w:color w:val="FFFFFF" w:themeColor="background1"/>
                                <w:sz w:val="40"/>
                                <w:szCs w:val="32"/>
                              </w:rPr>
                            </w:pPr>
                            <w:r w:rsidRPr="009861BA">
                              <w:rPr>
                                <w:rFonts w:eastAsiaTheme="majorEastAsia" w:cstheme="majorBidi"/>
                                <w:b/>
                                <w:color w:val="FFFFFF" w:themeColor="background1"/>
                                <w:sz w:val="40"/>
                                <w:szCs w:val="32"/>
                              </w:rPr>
                              <w:t>Fact sheet B. Capacity-building and technical assistance</w:t>
                            </w:r>
                          </w:p>
                          <w:p w14:paraId="3B1160F3" w14:textId="03BD555D" w:rsidR="00466E53" w:rsidRPr="006B695F" w:rsidRDefault="00466E53" w:rsidP="006B695F">
                            <w:pPr>
                              <w:spacing w:before="360" w:after="240"/>
                              <w:outlineLvl w:val="0"/>
                              <w:rPr>
                                <w:rFonts w:eastAsiaTheme="majorEastAsia" w:cstheme="majorBidi"/>
                                <w:b/>
                                <w:color w:val="FFFFFF" w:themeColor="background1"/>
                                <w:sz w:val="40"/>
                                <w:szCs w:val="32"/>
                              </w:rPr>
                            </w:pPr>
                            <w:r>
                              <w:rPr>
                                <w:rFonts w:eastAsiaTheme="majorEastAsia" w:cstheme="majorBidi"/>
                                <w:b/>
                                <w:color w:val="FFFFFF" w:themeColor="background1"/>
                                <w:sz w:val="40"/>
                                <w:szCs w:val="32"/>
                              </w:rPr>
                              <w:t>ghfghfghfghfh</w:t>
                            </w:r>
                          </w:p>
                          <w:p w14:paraId="21147976" w14:textId="6A48AE4C" w:rsidR="00466E53" w:rsidRDefault="00466E53" w:rsidP="006B695F">
                            <w:pPr>
                              <w:jc w:val="center"/>
                            </w:pPr>
                            <w:r>
                              <w:t>asfdasfasfasf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86E4B" id="Rectangle 1" o:spid="_x0000_s1026" alt="P653TB2#y1" style="position:absolute;left:0;text-align:left;margin-left:40pt;margin-top:22.15pt;width:534.5pt;height:56.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" fillcolor="#e8bc00" stroked="f" strokeweight="1pt">
                <v:textbox>
                  <w:txbxContent>
                    <w:p w14:paraId="5830F8F2" w14:textId="747802D3" w:rsidR="00466E53" w:rsidRPr="009861BA" w:rsidRDefault="00466E53" w:rsidP="00C00C93">
                      <w:pPr>
                        <w:spacing w:before="360" w:after="240"/>
                        <w:jc w:val="center"/>
                        <w:outlineLvl w:val="0"/>
                        <w:rPr>
                          <w:rFonts w:eastAsiaTheme="majorEastAsia" w:cstheme="majorBidi"/>
                          <w:b/>
                          <w:color w:val="FFFFFF" w:themeColor="background1"/>
                          <w:sz w:val="40"/>
                          <w:szCs w:val="32"/>
                        </w:rPr>
                      </w:pPr>
                      <w:r w:rsidRPr="009861BA">
                        <w:rPr>
                          <w:rFonts w:eastAsiaTheme="majorEastAsia" w:cstheme="majorBidi"/>
                          <w:b/>
                          <w:color w:val="FFFFFF" w:themeColor="background1"/>
                          <w:sz w:val="40"/>
                          <w:szCs w:val="32"/>
                        </w:rPr>
                        <w:t>Fact sheet B. Capacity-building and technical assistance</w:t>
                      </w:r>
                    </w:p>
                    <w:p w14:paraId="3B1160F3" w14:textId="03BD555D" w:rsidR="00466E53" w:rsidRPr="006B695F" w:rsidRDefault="00466E53" w:rsidP="006B695F">
                      <w:pPr>
                        <w:spacing w:before="360" w:after="240"/>
                        <w:outlineLvl w:val="0"/>
                        <w:rPr>
                          <w:rFonts w:eastAsiaTheme="majorEastAsia" w:cstheme="majorBidi"/>
                          <w:b/>
                          <w:color w:val="FFFFFF" w:themeColor="background1"/>
                          <w:sz w:val="40"/>
                          <w:szCs w:val="32"/>
                        </w:rPr>
                      </w:pPr>
                      <w:r>
                        <w:rPr>
                          <w:rFonts w:eastAsiaTheme="majorEastAsia" w:cstheme="majorBidi"/>
                          <w:b/>
                          <w:color w:val="FFFFFF" w:themeColor="background1"/>
                          <w:sz w:val="40"/>
                          <w:szCs w:val="32"/>
                        </w:rPr>
                        <w:t>ghfghfghfghfh</w:t>
                      </w:r>
                    </w:p>
                    <w:p w14:paraId="21147976" w14:textId="6A48AE4C" w:rsidR="00466E53" w:rsidRDefault="00466E53" w:rsidP="006B695F">
                      <w:pPr>
                        <w:jc w:val="center"/>
                      </w:pPr>
                      <w:r>
                        <w:t>asfdasfasfasf</w:t>
                      </w:r>
                    </w:p>
                  </w:txbxContent>
                </v:textbox>
                <w10:wrap type="square" anchorx="page"/>
              </v:rect>
            </w:pict>
          </mc:Fallback>
        </mc:AlternateContent>
      </w:r>
      <w:r w:rsidRPr="00845FB7">
        <w:rPr>
          <w:rFonts w:cstheme="majorBidi"/>
          <w:color w:val="E8BC00"/>
          <w:sz w:val="36"/>
          <w:szCs w:val="36"/>
          <w:lang w:val="en-GB"/>
        </w:rPr>
        <w:t>Activity 4. Capacity-building and technical assistance programme of the Minamata Convention</w:t>
      </w:r>
    </w:p>
    <w:p w14:paraId="496D3CCA" w14:textId="7F69FDAD" w:rsidR="00982EE8" w:rsidRPr="00845FB7" w:rsidRDefault="00982EE8" w:rsidP="00982EE8">
      <w:pPr>
        <w:pStyle w:val="Heading3"/>
        <w:rPr>
          <w:sz w:val="24"/>
          <w:lang w:val="en-GB"/>
        </w:rPr>
      </w:pPr>
      <w:r w:rsidRPr="00845FB7">
        <w:rPr>
          <w:bCs/>
          <w:sz w:val="24"/>
          <w:lang w:val="en-GB"/>
        </w:rPr>
        <w:t>Budget</w:t>
      </w:r>
    </w:p>
    <w:p w14:paraId="7EC1E8BF" w14:textId="744134DF" w:rsidR="00982EE8" w:rsidRPr="00845FB7" w:rsidRDefault="00982EE8" w:rsidP="00BD36F8">
      <w:pPr>
        <w:spacing w:before="60" w:after="60"/>
        <w:rPr>
          <w:rFonts w:cstheme="majorBidi"/>
          <w:szCs w:val="20"/>
          <w:lang w:val="en-GB"/>
        </w:rPr>
      </w:pPr>
      <w:r w:rsidRPr="00845FB7">
        <w:rPr>
          <w:rFonts w:cstheme="majorBidi"/>
          <w:szCs w:val="20"/>
          <w:lang w:val="en-GB"/>
        </w:rPr>
        <w:fldChar w:fldCharType="begin">
          <w:ffData>
            <w:name w:val=""/>
            <w:enabled/>
            <w:calcOnExit w:val="0"/>
            <w:checkBox>
              <w:sizeAuto/>
              <w:default w:val="0"/>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9861BA" w:rsidRPr="00845FB7">
        <w:rPr>
          <w:rFonts w:cstheme="majorBidi"/>
          <w:szCs w:val="20"/>
          <w:lang w:val="en-GB"/>
        </w:rPr>
        <w:t xml:space="preserve">General Trust Fund </w:t>
      </w:r>
      <w:r w:rsidR="003404D2" w:rsidRPr="00845FB7">
        <w:rPr>
          <w:rFonts w:cstheme="majorBidi"/>
          <w:szCs w:val="20"/>
          <w:lang w:val="en-GB"/>
        </w:rPr>
        <w:tab/>
      </w:r>
      <w:r w:rsidRPr="00845FB7">
        <w:rPr>
          <w:rFonts w:cstheme="majorBidi"/>
          <w:szCs w:val="20"/>
          <w:lang w:val="en-GB"/>
        </w:rPr>
        <w:fldChar w:fldCharType="begin">
          <w:ffData>
            <w:name w:val=""/>
            <w:enabled/>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9861BA" w:rsidRPr="00845FB7">
        <w:rPr>
          <w:rFonts w:cstheme="majorBidi"/>
          <w:szCs w:val="20"/>
          <w:lang w:val="en-GB"/>
        </w:rPr>
        <w:t>Spe</w:t>
      </w:r>
      <w:r w:rsidR="003404D2" w:rsidRPr="00845FB7">
        <w:rPr>
          <w:rFonts w:cstheme="majorBidi"/>
          <w:szCs w:val="20"/>
          <w:lang w:val="en-GB"/>
        </w:rPr>
        <w:t>cial Trust Fund</w:t>
      </w:r>
    </w:p>
    <w:p w14:paraId="700ADFA5" w14:textId="2BD2C2D7" w:rsidR="00982EE8" w:rsidRPr="00845FB7" w:rsidRDefault="00982EE8" w:rsidP="00982EE8">
      <w:pPr>
        <w:pStyle w:val="Heading3"/>
        <w:rPr>
          <w:sz w:val="24"/>
          <w:lang w:val="en-GB"/>
        </w:rPr>
      </w:pPr>
      <w:r w:rsidRPr="00845FB7">
        <w:rPr>
          <w:bCs/>
          <w:sz w:val="24"/>
          <w:lang w:val="en-GB"/>
        </w:rPr>
        <w:t>Reference</w:t>
      </w:r>
    </w:p>
    <w:p w14:paraId="322B3159" w14:textId="78216820" w:rsidR="006B1C79" w:rsidRPr="00845FB7" w:rsidRDefault="00C2527B" w:rsidP="002A243F">
      <w:pPr>
        <w:spacing w:after="60"/>
        <w:ind w:left="2496" w:hanging="2496"/>
        <w:rPr>
          <w:lang w:val="en-GB"/>
        </w:rPr>
      </w:pPr>
      <w:r w:rsidRPr="00845FB7">
        <w:rPr>
          <w:rFonts w:cstheme="majorBidi"/>
          <w:b/>
          <w:bCs/>
          <w:szCs w:val="20"/>
          <w:lang w:val="en-GB"/>
        </w:rPr>
        <w:t>UNEP</w:t>
      </w:r>
      <w:r w:rsidR="00F37B2B" w:rsidRPr="00845FB7">
        <w:rPr>
          <w:rFonts w:cstheme="majorBidi"/>
          <w:b/>
          <w:bCs/>
          <w:szCs w:val="20"/>
          <w:lang w:val="en-GB"/>
        </w:rPr>
        <w:t>/</w:t>
      </w:r>
      <w:r w:rsidR="009A63D6" w:rsidRPr="00845FB7">
        <w:rPr>
          <w:rFonts w:cstheme="majorBidi"/>
          <w:b/>
          <w:bCs/>
          <w:szCs w:val="20"/>
          <w:lang w:val="en-GB"/>
        </w:rPr>
        <w:t>MC</w:t>
      </w:r>
      <w:r w:rsidR="00305590" w:rsidRPr="00845FB7">
        <w:rPr>
          <w:rFonts w:cstheme="majorBidi"/>
          <w:b/>
          <w:bCs/>
          <w:szCs w:val="20"/>
          <w:lang w:val="en-GB"/>
        </w:rPr>
        <w:t>/COP.</w:t>
      </w:r>
      <w:r w:rsidR="00DF1D05" w:rsidRPr="00845FB7">
        <w:rPr>
          <w:rFonts w:cstheme="majorBidi"/>
          <w:b/>
          <w:bCs/>
          <w:szCs w:val="20"/>
          <w:lang w:val="en-GB"/>
        </w:rPr>
        <w:t>6</w:t>
      </w:r>
      <w:r w:rsidR="00701064" w:rsidRPr="00845FB7">
        <w:rPr>
          <w:rFonts w:cstheme="majorBidi"/>
          <w:b/>
          <w:bCs/>
          <w:szCs w:val="20"/>
          <w:lang w:val="en-GB"/>
        </w:rPr>
        <w:t>/13</w:t>
      </w:r>
      <w:r w:rsidR="00B2742F" w:rsidRPr="00845FB7">
        <w:rPr>
          <w:rFonts w:cstheme="majorBidi"/>
          <w:b/>
          <w:bCs/>
          <w:szCs w:val="20"/>
          <w:lang w:val="en-GB"/>
        </w:rPr>
        <w:t>:</w:t>
      </w:r>
      <w:r w:rsidR="00B2742F" w:rsidRPr="00845FB7">
        <w:rPr>
          <w:rFonts w:cstheme="majorBidi"/>
          <w:szCs w:val="20"/>
          <w:lang w:val="en-GB"/>
        </w:rPr>
        <w:t xml:space="preserve"> </w:t>
      </w:r>
      <w:r w:rsidR="00037ED3" w:rsidRPr="00845FB7">
        <w:rPr>
          <w:rFonts w:cstheme="majorBidi"/>
          <w:szCs w:val="20"/>
          <w:lang w:val="en-GB"/>
        </w:rPr>
        <w:tab/>
      </w:r>
      <w:r w:rsidR="001B5F7A" w:rsidRPr="00845FB7">
        <w:rPr>
          <w:lang w:val="en-GB"/>
        </w:rPr>
        <w:t xml:space="preserve">Implementation of activities pursuant to decision MC-5/12 and </w:t>
      </w:r>
      <w:r w:rsidR="00DD1E0C" w:rsidRPr="00845FB7">
        <w:rPr>
          <w:lang w:val="en-GB"/>
        </w:rPr>
        <w:t>A</w:t>
      </w:r>
      <w:r w:rsidR="001B5F7A" w:rsidRPr="00845FB7">
        <w:rPr>
          <w:lang w:val="en-GB"/>
        </w:rPr>
        <w:t>rticle 14 on</w:t>
      </w:r>
      <w:r w:rsidR="00037ED3" w:rsidRPr="00845FB7">
        <w:rPr>
          <w:lang w:val="en-GB"/>
        </w:rPr>
        <w:t xml:space="preserve"> </w:t>
      </w:r>
      <w:r w:rsidR="001B5F7A" w:rsidRPr="00845FB7">
        <w:rPr>
          <w:lang w:val="en-GB"/>
        </w:rPr>
        <w:t>capacity-building, technical assistance and technology transfer</w:t>
      </w:r>
    </w:p>
    <w:p w14:paraId="6EE2E4F7" w14:textId="0A65F0E6" w:rsidR="00982EE8" w:rsidRPr="00845FB7" w:rsidRDefault="00982EE8" w:rsidP="00982EE8">
      <w:pPr>
        <w:pStyle w:val="Heading3"/>
        <w:rPr>
          <w:sz w:val="24"/>
          <w:lang w:val="en-GB"/>
        </w:rPr>
      </w:pPr>
      <w:r w:rsidRPr="00845FB7">
        <w:rPr>
          <w:bCs/>
          <w:sz w:val="24"/>
          <w:lang w:val="en-GB"/>
        </w:rPr>
        <w:t>Mandate</w:t>
      </w:r>
    </w:p>
    <w:p w14:paraId="3D0B637F" w14:textId="272FD021" w:rsidR="00982EE8" w:rsidRPr="00845FB7" w:rsidRDefault="00D43D9F" w:rsidP="00BD36F8">
      <w:pPr>
        <w:spacing w:after="60"/>
        <w:rPr>
          <w:rFonts w:cstheme="majorBidi"/>
          <w:szCs w:val="20"/>
          <w:lang w:val="en-GB"/>
        </w:rPr>
      </w:pPr>
      <w:r w:rsidRPr="00845FB7">
        <w:rPr>
          <w:rFonts w:cstheme="majorBidi"/>
          <w:b/>
          <w:bCs/>
          <w:szCs w:val="20"/>
          <w:lang w:val="en-GB"/>
        </w:rPr>
        <w:t>Convention</w:t>
      </w:r>
      <w:r w:rsidRPr="00845FB7">
        <w:rPr>
          <w:rFonts w:cstheme="majorBidi"/>
          <w:szCs w:val="20"/>
          <w:lang w:val="en-GB"/>
        </w:rPr>
        <w:t>:</w:t>
      </w:r>
      <w:r w:rsidR="001741C9" w:rsidRPr="00845FB7">
        <w:rPr>
          <w:rFonts w:cstheme="majorBidi"/>
          <w:szCs w:val="20"/>
          <w:lang w:val="en-GB"/>
        </w:rPr>
        <w:t xml:space="preserve"> </w:t>
      </w:r>
      <w:r w:rsidR="00DD1E0C" w:rsidRPr="00845FB7">
        <w:rPr>
          <w:rFonts w:cstheme="majorBidi"/>
          <w:szCs w:val="20"/>
          <w:lang w:val="en-GB"/>
        </w:rPr>
        <w:t>A</w:t>
      </w:r>
      <w:r w:rsidR="001741C9" w:rsidRPr="00845FB7">
        <w:rPr>
          <w:rFonts w:cstheme="majorBidi"/>
          <w:szCs w:val="20"/>
          <w:lang w:val="en-GB"/>
        </w:rPr>
        <w:t>rticle</w:t>
      </w:r>
      <w:r w:rsidR="00703D3D" w:rsidRPr="00845FB7">
        <w:rPr>
          <w:rFonts w:cstheme="majorBidi"/>
          <w:szCs w:val="20"/>
          <w:lang w:val="en-GB"/>
        </w:rPr>
        <w:t>s</w:t>
      </w:r>
      <w:r w:rsidR="00982EE8" w:rsidRPr="00845FB7">
        <w:rPr>
          <w:rFonts w:cstheme="majorBidi"/>
          <w:szCs w:val="20"/>
          <w:lang w:val="en-GB"/>
        </w:rPr>
        <w:t xml:space="preserve"> 14</w:t>
      </w:r>
      <w:r w:rsidR="00703D3D" w:rsidRPr="00845FB7">
        <w:rPr>
          <w:rFonts w:cstheme="majorBidi"/>
          <w:szCs w:val="20"/>
          <w:lang w:val="en-GB"/>
        </w:rPr>
        <w:t xml:space="preserve"> and</w:t>
      </w:r>
      <w:r w:rsidR="00982EE8" w:rsidRPr="00845FB7">
        <w:rPr>
          <w:rFonts w:cstheme="majorBidi"/>
          <w:szCs w:val="20"/>
          <w:lang w:val="en-GB"/>
        </w:rPr>
        <w:t xml:space="preserve"> 24</w:t>
      </w:r>
    </w:p>
    <w:p w14:paraId="3355CBD6" w14:textId="2C70253B" w:rsidR="00982EE8" w:rsidRPr="00845FB7" w:rsidRDefault="00982EE8" w:rsidP="00BD36F8">
      <w:pPr>
        <w:spacing w:after="60"/>
        <w:rPr>
          <w:rFonts w:cstheme="majorBidi"/>
          <w:szCs w:val="20"/>
          <w:lang w:val="en-GB"/>
        </w:rPr>
      </w:pPr>
      <w:r w:rsidRPr="00845FB7">
        <w:rPr>
          <w:rFonts w:cstheme="majorBidi"/>
          <w:b/>
          <w:bCs/>
          <w:szCs w:val="20"/>
          <w:lang w:val="en-GB"/>
        </w:rPr>
        <w:t xml:space="preserve">COP </w:t>
      </w:r>
      <w:r w:rsidR="00D43D9F" w:rsidRPr="00845FB7">
        <w:rPr>
          <w:rFonts w:cstheme="majorBidi"/>
          <w:b/>
          <w:bCs/>
          <w:szCs w:val="20"/>
          <w:lang w:val="en-GB"/>
        </w:rPr>
        <w:t>decision</w:t>
      </w:r>
      <w:r w:rsidR="00703D3D" w:rsidRPr="00845FB7">
        <w:rPr>
          <w:rFonts w:cstheme="majorBidi"/>
          <w:b/>
          <w:bCs/>
          <w:szCs w:val="20"/>
          <w:lang w:val="en-GB"/>
        </w:rPr>
        <w:t>(</w:t>
      </w:r>
      <w:r w:rsidR="00D43D9F" w:rsidRPr="00845FB7">
        <w:rPr>
          <w:rFonts w:cstheme="majorBidi"/>
          <w:b/>
          <w:bCs/>
          <w:szCs w:val="20"/>
          <w:lang w:val="en-GB"/>
        </w:rPr>
        <w:t>s</w:t>
      </w:r>
      <w:r w:rsidR="00703D3D" w:rsidRPr="00845FB7">
        <w:rPr>
          <w:rFonts w:cstheme="majorBidi"/>
          <w:b/>
          <w:bCs/>
          <w:szCs w:val="20"/>
          <w:lang w:val="en-GB"/>
        </w:rPr>
        <w:t>)</w:t>
      </w:r>
      <w:r w:rsidR="00D43D9F" w:rsidRPr="00845FB7">
        <w:rPr>
          <w:rFonts w:cstheme="majorBidi"/>
          <w:szCs w:val="20"/>
          <w:lang w:val="en-GB"/>
        </w:rPr>
        <w:t>:</w:t>
      </w:r>
      <w:r w:rsidRPr="00845FB7">
        <w:rPr>
          <w:rFonts w:cstheme="majorBidi"/>
          <w:szCs w:val="20"/>
          <w:lang w:val="en-GB"/>
        </w:rPr>
        <w:t xml:space="preserve"> MC-2/11, MC-3/8</w:t>
      </w:r>
      <w:r w:rsidR="00AD797E" w:rsidRPr="00845FB7">
        <w:rPr>
          <w:rFonts w:cstheme="majorBidi"/>
          <w:szCs w:val="20"/>
          <w:lang w:val="en-GB"/>
        </w:rPr>
        <w:t xml:space="preserve">, </w:t>
      </w:r>
      <w:r w:rsidR="00AF7FCA" w:rsidRPr="00845FB7">
        <w:rPr>
          <w:rFonts w:cstheme="majorBidi"/>
          <w:szCs w:val="20"/>
          <w:lang w:val="en-GB"/>
        </w:rPr>
        <w:t>MC-5/12</w:t>
      </w:r>
    </w:p>
    <w:p w14:paraId="1BD5101B" w14:textId="532E584D" w:rsidR="00982EE8" w:rsidRPr="00845FB7" w:rsidRDefault="00982EE8" w:rsidP="00BC5EA6">
      <w:pPr>
        <w:pStyle w:val="Heading3"/>
        <w:rPr>
          <w:sz w:val="24"/>
          <w:lang w:val="en-GB"/>
        </w:rPr>
      </w:pPr>
      <w:r w:rsidRPr="00845FB7">
        <w:rPr>
          <w:sz w:val="24"/>
          <w:lang w:val="en-GB"/>
        </w:rPr>
        <w:t>Background and rationale</w:t>
      </w:r>
    </w:p>
    <w:p w14:paraId="483E7BA5" w14:textId="77777777" w:rsidR="00735E68" w:rsidRPr="00845FB7" w:rsidRDefault="00735E68" w:rsidP="00BD36F8">
      <w:pPr>
        <w:spacing w:after="120" w:line="276" w:lineRule="auto"/>
        <w:rPr>
          <w:rFonts w:cstheme="majorBidi"/>
          <w:szCs w:val="20"/>
          <w:lang w:val="en-GB"/>
        </w:rPr>
      </w:pPr>
      <w:r w:rsidRPr="00845FB7">
        <w:rPr>
          <w:rFonts w:cstheme="majorBidi"/>
          <w:szCs w:val="20"/>
          <w:lang w:val="en-GB"/>
        </w:rPr>
        <w:t xml:space="preserve">Article 14 of the Convention provides that Parties shall cooperate to provide, within their respective capabilities, timely and appropriate capacity-building and technical assistance to developing country Parties, </w:t>
      </w:r>
      <w:proofErr w:type="gramStart"/>
      <w:r w:rsidRPr="00845FB7">
        <w:rPr>
          <w:rFonts w:cstheme="majorBidi"/>
          <w:szCs w:val="20"/>
          <w:lang w:val="en-GB"/>
        </w:rPr>
        <w:t>in particular</w:t>
      </w:r>
      <w:proofErr w:type="gramEnd"/>
      <w:r w:rsidRPr="00845FB7">
        <w:rPr>
          <w:rFonts w:cstheme="majorBidi"/>
          <w:szCs w:val="20"/>
          <w:lang w:val="en-GB"/>
        </w:rPr>
        <w:t xml:space="preserve"> those that are least developed countries or small island developing states, and Parties with economies in transition, to assist them in implementing their obligations. Article 24 requests the Secretariat, as part of its functions, to facilitate assistance to Parties, particularly developing country Parties and Parties with economies in transition, on request, in the implementation of the Convention. </w:t>
      </w:r>
    </w:p>
    <w:p w14:paraId="201A4A93" w14:textId="12214593" w:rsidR="00735E68" w:rsidRPr="00845FB7" w:rsidRDefault="00735E68" w:rsidP="00BD36F8">
      <w:pPr>
        <w:spacing w:after="120" w:line="276" w:lineRule="auto"/>
        <w:rPr>
          <w:rFonts w:cstheme="majorBidi"/>
          <w:szCs w:val="20"/>
          <w:lang w:val="en-GB"/>
        </w:rPr>
      </w:pPr>
      <w:r w:rsidRPr="00845FB7">
        <w:rPr>
          <w:rFonts w:cstheme="majorBidi"/>
          <w:szCs w:val="20"/>
          <w:lang w:val="en-GB"/>
        </w:rPr>
        <w:t xml:space="preserve">The identified activities to support the capacity-building and technical assistance programme of the Secretariat of the Minamata Convention are derived from the objective of the Convention and the obligations of the Parties to the </w:t>
      </w:r>
      <w:r w:rsidR="00344233" w:rsidRPr="00845FB7">
        <w:rPr>
          <w:rFonts w:cstheme="majorBidi"/>
          <w:szCs w:val="20"/>
          <w:lang w:val="en-GB"/>
        </w:rPr>
        <w:t>Convention and</w:t>
      </w:r>
      <w:r w:rsidRPr="00845FB7">
        <w:rPr>
          <w:rFonts w:cstheme="majorBidi"/>
          <w:szCs w:val="20"/>
          <w:lang w:val="en-GB"/>
        </w:rPr>
        <w:t xml:space="preserve"> are based on the needs identified or expressed by developing country Parties and Parties with economies in transition. These needs have been identified through national reports according to Article 21, in completed Minamata Initial Assessments (MIAs) (as received by the </w:t>
      </w:r>
      <w:r w:rsidR="009A539C" w:rsidRPr="00845FB7">
        <w:rPr>
          <w:rFonts w:cstheme="majorBidi"/>
          <w:szCs w:val="20"/>
          <w:lang w:val="en-GB"/>
        </w:rPr>
        <w:t>S</w:t>
      </w:r>
      <w:r w:rsidRPr="00845FB7">
        <w:rPr>
          <w:rFonts w:cstheme="majorBidi"/>
          <w:szCs w:val="20"/>
          <w:lang w:val="en-GB"/>
        </w:rPr>
        <w:t xml:space="preserve">ecretariat and posted on the Convention website), in ASGM national action plans (NAPs) (as received by the Secretariat and posted on the Convention website), through the Implementation and Compliance Committee, in information contained in applications to the Specific International Programme, during regional or other consultations, by formal request from an eligible </w:t>
      </w:r>
      <w:r w:rsidR="00F65071" w:rsidRPr="00845FB7">
        <w:rPr>
          <w:rFonts w:cstheme="majorBidi"/>
          <w:szCs w:val="20"/>
          <w:lang w:val="en-GB"/>
        </w:rPr>
        <w:t>P</w:t>
      </w:r>
      <w:r w:rsidRPr="00845FB7">
        <w:rPr>
          <w:rFonts w:cstheme="majorBidi"/>
          <w:szCs w:val="20"/>
          <w:lang w:val="en-GB"/>
        </w:rPr>
        <w:t xml:space="preserve">arty, or through other communication to the Secretariat. Support activities are designed and prioritised according to their ability to help Parties implement the Convention, the evidence of need for the intervention, and the availability of funds, other contributions or partnerships to enable the activity. </w:t>
      </w:r>
    </w:p>
    <w:p w14:paraId="308AF472" w14:textId="4583DFA1" w:rsidR="00BD3A8F" w:rsidRPr="00845FB7" w:rsidRDefault="00BD3A8F" w:rsidP="00BD36F8">
      <w:pPr>
        <w:spacing w:after="120" w:line="276" w:lineRule="auto"/>
        <w:rPr>
          <w:rFonts w:cstheme="majorBidi"/>
          <w:szCs w:val="20"/>
          <w:lang w:val="en-GB"/>
        </w:rPr>
      </w:pPr>
      <w:r w:rsidRPr="00845FB7">
        <w:rPr>
          <w:rFonts w:cstheme="majorBidi"/>
          <w:szCs w:val="20"/>
          <w:lang w:val="en-GB"/>
        </w:rPr>
        <w:t xml:space="preserve">In </w:t>
      </w:r>
      <w:r w:rsidR="00E2051A" w:rsidRPr="00845FB7">
        <w:rPr>
          <w:rFonts w:cstheme="majorBidi"/>
          <w:szCs w:val="20"/>
          <w:lang w:val="en-GB"/>
        </w:rPr>
        <w:t>2026–2027</w:t>
      </w:r>
      <w:r w:rsidRPr="00845FB7">
        <w:rPr>
          <w:rFonts w:cstheme="majorBidi"/>
          <w:szCs w:val="20"/>
          <w:lang w:val="en-GB"/>
        </w:rPr>
        <w:t xml:space="preserve"> the Secretariat will share Secretariat-managed tools, trainings, and Convention knowledge for wide dissemination to partners and stakeholders through a variety of approaches, including online information sessions. The Secretariat will continue to collaborate with the Global Mercury Partnership hosted by the UNEP Chemicals and Health Branch, to support capacity building and technical assistance </w:t>
      </w:r>
      <w:r w:rsidRPr="00845FB7">
        <w:rPr>
          <w:rFonts w:cstheme="majorBidi"/>
          <w:szCs w:val="20"/>
          <w:lang w:val="en-GB"/>
        </w:rPr>
        <w:lastRenderedPageBreak/>
        <w:t>activities on mercury and the implementation of Minamata Convention obligations. The Secretariat will facilitate Party access to tools and expertise of the Partnership and will promote dissemination of Secretariat-managed information and training materials through the Partnership.</w:t>
      </w:r>
    </w:p>
    <w:p w14:paraId="5DD093A0" w14:textId="48391524" w:rsidR="00BD3A8F" w:rsidRPr="00845FB7" w:rsidRDefault="00BD3A8F" w:rsidP="00BD36F8">
      <w:pPr>
        <w:spacing w:after="120" w:line="276" w:lineRule="auto"/>
        <w:rPr>
          <w:rFonts w:cstheme="majorBidi"/>
          <w:szCs w:val="20"/>
          <w:lang w:val="en-GB"/>
        </w:rPr>
      </w:pPr>
      <w:r w:rsidRPr="00845FB7">
        <w:rPr>
          <w:rFonts w:cstheme="majorBidi"/>
          <w:szCs w:val="20"/>
          <w:lang w:val="en-GB"/>
        </w:rPr>
        <w:t xml:space="preserve">In line with paragraph 2 of Article 14, the Secretariat will further engage and work with, as appropriate, regional, sub-regional and national arrangements, including existing regional and sub-regional centres, and will explore opportunities to engage other multilateral and bilateral actors and the private sector as outlined below. The Secretariat will engage UNEP Regional Offices to identify needs and options for capacity-building and implementation support, and to expand the reach of Convention materials. In addition, the Secretariat will work with the </w:t>
      </w:r>
      <w:r w:rsidR="006526F4" w:rsidRPr="00845FB7">
        <w:rPr>
          <w:rFonts w:cstheme="majorBidi"/>
          <w:szCs w:val="20"/>
          <w:lang w:val="en-GB"/>
        </w:rPr>
        <w:t>S</w:t>
      </w:r>
      <w:r w:rsidRPr="00845FB7">
        <w:rPr>
          <w:rFonts w:cstheme="majorBidi"/>
          <w:szCs w:val="20"/>
          <w:lang w:val="en-GB"/>
        </w:rPr>
        <w:t xml:space="preserve">ecretariat of the Basel, Rotterdam and Stockholm </w:t>
      </w:r>
      <w:r w:rsidR="006526F4" w:rsidRPr="00845FB7">
        <w:rPr>
          <w:rFonts w:cstheme="majorBidi"/>
          <w:szCs w:val="20"/>
          <w:lang w:val="en-GB"/>
        </w:rPr>
        <w:t>c</w:t>
      </w:r>
      <w:r w:rsidRPr="00845FB7">
        <w:rPr>
          <w:rFonts w:cstheme="majorBidi"/>
          <w:szCs w:val="20"/>
          <w:lang w:val="en-GB"/>
        </w:rPr>
        <w:t xml:space="preserve">onventions on relevant matters of technical assistance as appropriate. </w:t>
      </w:r>
    </w:p>
    <w:p w14:paraId="001A6327" w14:textId="6CFEB349" w:rsidR="00561F6A" w:rsidRPr="00845FB7" w:rsidRDefault="00561F6A" w:rsidP="00BD36F8">
      <w:pPr>
        <w:spacing w:after="120" w:line="276" w:lineRule="auto"/>
        <w:rPr>
          <w:rFonts w:cstheme="majorBidi"/>
          <w:lang w:val="en-GB"/>
        </w:rPr>
      </w:pPr>
      <w:r w:rsidRPr="00845FB7">
        <w:rPr>
          <w:rFonts w:cstheme="majorBidi"/>
          <w:lang w:val="en-GB"/>
        </w:rPr>
        <w:t xml:space="preserve">The Convention sets clear deadlines for Parties through agreed phase-out dates and time-bound obligations; these guide the prioritisation of activities. Activities will be carried out consistent with </w:t>
      </w:r>
      <w:r w:rsidR="5B7355DC" w:rsidRPr="00845FB7">
        <w:rPr>
          <w:rFonts w:cstheme="majorBidi"/>
          <w:lang w:val="en-GB"/>
        </w:rPr>
        <w:t>decision MC-5/15</w:t>
      </w:r>
      <w:r w:rsidRPr="00845FB7">
        <w:rPr>
          <w:rFonts w:cstheme="majorBidi"/>
          <w:lang w:val="en-GB"/>
        </w:rPr>
        <w:t>.</w:t>
      </w:r>
    </w:p>
    <w:p w14:paraId="683C3854" w14:textId="5C66F359" w:rsidR="007B6CF2" w:rsidRPr="00845FB7" w:rsidRDefault="007B6CF2" w:rsidP="00B550E1">
      <w:pPr>
        <w:pStyle w:val="Heading3"/>
        <w:rPr>
          <w:sz w:val="24"/>
          <w:lang w:val="en-GB"/>
        </w:rPr>
      </w:pPr>
      <w:r w:rsidRPr="00845FB7">
        <w:rPr>
          <w:sz w:val="24"/>
          <w:lang w:val="en-GB"/>
        </w:rPr>
        <w:t>Outcomes and activities</w:t>
      </w:r>
    </w:p>
    <w:p w14:paraId="6949DA69" w14:textId="3C4695E8" w:rsidR="007B6CF2" w:rsidRPr="00845FB7" w:rsidRDefault="007B6CF2" w:rsidP="00BD36F8">
      <w:pPr>
        <w:pStyle w:val="Heading2"/>
        <w:spacing w:before="360" w:after="120"/>
        <w:jc w:val="left"/>
        <w:rPr>
          <w:rFonts w:cstheme="majorBidi"/>
          <w:sz w:val="28"/>
          <w:szCs w:val="28"/>
          <w:lang w:val="en-GB"/>
        </w:rPr>
      </w:pPr>
      <w:r w:rsidRPr="00845FB7">
        <w:rPr>
          <w:rFonts w:cstheme="majorBidi"/>
          <w:sz w:val="28"/>
          <w:szCs w:val="28"/>
          <w:lang w:val="en-GB"/>
        </w:rPr>
        <w:t xml:space="preserve">Component 4.1. Tools, </w:t>
      </w:r>
      <w:r w:rsidR="00EE7A7A" w:rsidRPr="00845FB7">
        <w:rPr>
          <w:rFonts w:cstheme="majorBidi"/>
          <w:sz w:val="28"/>
          <w:szCs w:val="28"/>
          <w:lang w:val="en-GB"/>
        </w:rPr>
        <w:t>methodologies</w:t>
      </w:r>
      <w:r w:rsidRPr="00845FB7">
        <w:rPr>
          <w:rFonts w:cstheme="majorBidi"/>
          <w:sz w:val="28"/>
          <w:szCs w:val="28"/>
          <w:lang w:val="en-GB"/>
        </w:rPr>
        <w:t xml:space="preserve"> and delivery modalities</w:t>
      </w:r>
    </w:p>
    <w:p w14:paraId="514CDD90" w14:textId="77777777" w:rsidR="007B6CF2" w:rsidRPr="00845FB7" w:rsidRDefault="007B6CF2" w:rsidP="00BD36F8">
      <w:pPr>
        <w:spacing w:before="240"/>
        <w:rPr>
          <w:rFonts w:cstheme="majorBidi"/>
          <w:b/>
          <w:bCs/>
          <w:szCs w:val="20"/>
          <w:lang w:val="en-GB" w:eastAsia="en-GB"/>
        </w:rPr>
      </w:pPr>
      <w:r w:rsidRPr="00845FB7">
        <w:rPr>
          <w:rFonts w:cstheme="majorBidi"/>
          <w:b/>
          <w:bCs/>
          <w:lang w:val="en-GB" w:eastAsia="en-GB"/>
        </w:rPr>
        <w:t>OUTCOMES</w:t>
      </w:r>
    </w:p>
    <w:p w14:paraId="0AFDBE3F" w14:textId="63178019" w:rsidR="007B6CF2" w:rsidRPr="00845FB7" w:rsidRDefault="007B6CF2" w:rsidP="00BD36F8">
      <w:pPr>
        <w:spacing w:after="60"/>
        <w:rPr>
          <w:rFonts w:cstheme="majorBidi"/>
          <w:szCs w:val="20"/>
          <w:lang w:val="en-GB" w:eastAsia="en-GB"/>
        </w:rPr>
      </w:pPr>
      <w:r w:rsidRPr="00845FB7">
        <w:rPr>
          <w:rFonts w:cstheme="majorBidi"/>
          <w:szCs w:val="20"/>
          <w:lang w:val="en-GB" w:eastAsia="en-GB"/>
        </w:rPr>
        <w:t xml:space="preserve">Strengthened ability to design and deliver capacity-building and technical assistance to support </w:t>
      </w:r>
      <w:r w:rsidR="002947EF" w:rsidRPr="00845FB7">
        <w:rPr>
          <w:rFonts w:cstheme="majorBidi"/>
          <w:szCs w:val="20"/>
          <w:lang w:val="en-GB" w:eastAsia="en-GB"/>
        </w:rPr>
        <w:t>P</w:t>
      </w:r>
      <w:r w:rsidRPr="00845FB7">
        <w:rPr>
          <w:rFonts w:cstheme="majorBidi"/>
          <w:szCs w:val="20"/>
          <w:lang w:val="en-GB" w:eastAsia="en-GB"/>
        </w:rPr>
        <w:t>arties in implementing the Minamata Convention.</w:t>
      </w:r>
      <w:r w:rsidR="006C720E" w:rsidRPr="00845FB7">
        <w:rPr>
          <w:rFonts w:cstheme="majorBidi"/>
          <w:szCs w:val="20"/>
          <w:lang w:val="en-GB" w:eastAsia="en-GB"/>
        </w:rPr>
        <w:t xml:space="preserve"> </w:t>
      </w:r>
      <w:r w:rsidRPr="00845FB7">
        <w:rPr>
          <w:rFonts w:cstheme="majorBidi"/>
          <w:szCs w:val="20"/>
          <w:lang w:val="en-GB" w:eastAsia="en-GB"/>
        </w:rPr>
        <w:t xml:space="preserve">Strengthened ability of </w:t>
      </w:r>
      <w:r w:rsidR="002947EF" w:rsidRPr="00845FB7">
        <w:rPr>
          <w:rFonts w:cstheme="majorBidi"/>
          <w:szCs w:val="20"/>
          <w:lang w:val="en-GB" w:eastAsia="en-GB"/>
        </w:rPr>
        <w:t>P</w:t>
      </w:r>
      <w:r w:rsidRPr="00845FB7">
        <w:rPr>
          <w:rFonts w:cstheme="majorBidi"/>
          <w:szCs w:val="20"/>
          <w:lang w:val="en-GB" w:eastAsia="en-GB"/>
        </w:rPr>
        <w:t xml:space="preserve">arties to implement obligations </w:t>
      </w:r>
      <w:proofErr w:type="gramStart"/>
      <w:r w:rsidRPr="00845FB7">
        <w:rPr>
          <w:rFonts w:cstheme="majorBidi"/>
          <w:szCs w:val="20"/>
          <w:lang w:val="en-GB" w:eastAsia="en-GB"/>
        </w:rPr>
        <w:t xml:space="preserve">through the </w:t>
      </w:r>
      <w:r w:rsidR="001C1206" w:rsidRPr="00845FB7">
        <w:rPr>
          <w:rFonts w:cstheme="majorBidi"/>
          <w:szCs w:val="20"/>
          <w:lang w:val="en-GB" w:eastAsia="en-GB"/>
        </w:rPr>
        <w:t xml:space="preserve">use </w:t>
      </w:r>
      <w:r w:rsidRPr="00845FB7">
        <w:rPr>
          <w:rFonts w:cstheme="majorBidi"/>
          <w:szCs w:val="20"/>
          <w:lang w:val="en-GB" w:eastAsia="en-GB"/>
        </w:rPr>
        <w:t>of</w:t>
      </w:r>
      <w:proofErr w:type="gramEnd"/>
      <w:r w:rsidRPr="00845FB7">
        <w:rPr>
          <w:rFonts w:cstheme="majorBidi"/>
          <w:szCs w:val="20"/>
          <w:lang w:val="en-GB" w:eastAsia="en-GB"/>
        </w:rPr>
        <w:t xml:space="preserve"> tools, methodologies, and micro-trainings.</w:t>
      </w:r>
    </w:p>
    <w:p w14:paraId="43783DEB" w14:textId="68127181" w:rsidR="007B6CF2" w:rsidRPr="00845FB7" w:rsidRDefault="007B6CF2" w:rsidP="00BD36F8">
      <w:pPr>
        <w:spacing w:before="240"/>
        <w:rPr>
          <w:rFonts w:cstheme="majorBidi"/>
          <w:b/>
          <w:bCs/>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 xml:space="preserve">(subject to the availability of </w:t>
      </w:r>
      <w:r w:rsidR="000A3776" w:rsidRPr="00845FB7">
        <w:rPr>
          <w:rFonts w:cstheme="majorBidi"/>
          <w:szCs w:val="20"/>
          <w:lang w:val="en-GB" w:eastAsia="en-GB"/>
        </w:rPr>
        <w:t>resources</w:t>
      </w:r>
      <w:r w:rsidRPr="00845FB7">
        <w:rPr>
          <w:rFonts w:cstheme="majorBidi"/>
          <w:b/>
          <w:bCs/>
          <w:szCs w:val="20"/>
          <w:lang w:val="en-GB" w:eastAsia="en-GB"/>
        </w:rPr>
        <w:t>)</w:t>
      </w:r>
    </w:p>
    <w:p w14:paraId="38091523" w14:textId="7A17C190" w:rsidR="00453B78" w:rsidRPr="00845FB7" w:rsidRDefault="00453B78" w:rsidP="00BD36F8">
      <w:pPr>
        <w:pStyle w:val="ListParagraph"/>
        <w:numPr>
          <w:ilvl w:val="0"/>
          <w:numId w:val="18"/>
        </w:numPr>
        <w:spacing w:after="60"/>
        <w:ind w:left="357" w:hanging="357"/>
        <w:contextualSpacing w:val="0"/>
        <w:rPr>
          <w:rFonts w:cstheme="majorBidi"/>
          <w:szCs w:val="20"/>
          <w:lang w:val="en-GB" w:eastAsia="en-GB"/>
        </w:rPr>
      </w:pPr>
      <w:r w:rsidRPr="00845FB7">
        <w:rPr>
          <w:rFonts w:cstheme="majorBidi"/>
          <w:b/>
          <w:bCs/>
          <w:szCs w:val="20"/>
          <w:lang w:val="en-GB" w:eastAsia="en-GB"/>
        </w:rPr>
        <w:t>Facilitated planning session on capacity-building needs and methods:</w:t>
      </w:r>
      <w:r w:rsidRPr="00845FB7">
        <w:rPr>
          <w:rFonts w:cstheme="majorBidi"/>
          <w:szCs w:val="20"/>
          <w:lang w:val="en-GB" w:eastAsia="en-GB"/>
        </w:rPr>
        <w:t xml:space="preserve"> Undertake a series of facilitated planning sessions with UNEP Regional Offices, with participation of the Global Mercury Partnership and the UNEP Law Division, to discuss capacity-building approaches and delivery methods that could address needs expressed in national reporting, MIAs, NAPs, and relevant projects, as well as needs expressed through meetings and webinars of the Global Mercury Partnership and the </w:t>
      </w:r>
      <w:r w:rsidR="00C9523C" w:rsidRPr="00845FB7">
        <w:rPr>
          <w:rFonts w:cstheme="majorBidi"/>
          <w:szCs w:val="20"/>
          <w:lang w:val="en-GB" w:eastAsia="en-GB"/>
        </w:rPr>
        <w:t>17</w:t>
      </w:r>
      <w:r w:rsidR="00C9523C" w:rsidRPr="00845FB7">
        <w:rPr>
          <w:rFonts w:cstheme="majorBidi"/>
          <w:szCs w:val="20"/>
          <w:vertAlign w:val="superscript"/>
          <w:lang w:val="en-GB" w:eastAsia="en-GB"/>
        </w:rPr>
        <w:t>th</w:t>
      </w:r>
      <w:r w:rsidR="00C9523C" w:rsidRPr="00845FB7">
        <w:rPr>
          <w:rFonts w:cstheme="majorBidi"/>
          <w:szCs w:val="20"/>
          <w:lang w:val="en-GB" w:eastAsia="en-GB"/>
        </w:rPr>
        <w:t xml:space="preserve"> </w:t>
      </w:r>
      <w:r w:rsidRPr="00845FB7">
        <w:rPr>
          <w:rFonts w:cstheme="majorBidi"/>
          <w:szCs w:val="20"/>
          <w:lang w:val="en-GB" w:eastAsia="en-GB"/>
        </w:rPr>
        <w:t>International Conference on Mercury as a Global Pollutant (ICMGP);</w:t>
      </w:r>
    </w:p>
    <w:p w14:paraId="108DFDC4" w14:textId="30546817" w:rsidR="006946CB" w:rsidRPr="00845FB7" w:rsidRDefault="00A25910" w:rsidP="00BD36F8">
      <w:pPr>
        <w:pStyle w:val="ListParagraph"/>
        <w:numPr>
          <w:ilvl w:val="0"/>
          <w:numId w:val="18"/>
        </w:numPr>
        <w:spacing w:after="60"/>
        <w:ind w:left="357" w:hanging="357"/>
        <w:contextualSpacing w:val="0"/>
        <w:rPr>
          <w:rFonts w:cstheme="majorBidi"/>
          <w:szCs w:val="20"/>
          <w:lang w:val="en-GB" w:eastAsia="en-GB"/>
        </w:rPr>
      </w:pPr>
      <w:r w:rsidRPr="00845FB7">
        <w:rPr>
          <w:rFonts w:cstheme="majorBidi"/>
          <w:b/>
          <w:bCs/>
          <w:szCs w:val="20"/>
          <w:lang w:val="en-GB" w:eastAsia="en-GB"/>
        </w:rPr>
        <w:t>Digital learning and training materials dissemination:</w:t>
      </w:r>
      <w:r w:rsidRPr="00845FB7">
        <w:rPr>
          <w:rFonts w:cstheme="majorBidi"/>
          <w:szCs w:val="20"/>
          <w:lang w:val="en-GB" w:eastAsia="en-GB"/>
        </w:rPr>
        <w:t xml:space="preserve"> </w:t>
      </w:r>
      <w:r w:rsidR="00CC6BEF" w:rsidRPr="00845FB7">
        <w:rPr>
          <w:rFonts w:cstheme="majorBidi"/>
          <w:szCs w:val="20"/>
          <w:lang w:val="en-GB" w:eastAsia="en-GB"/>
        </w:rPr>
        <w:t>Further e</w:t>
      </w:r>
      <w:r w:rsidRPr="00845FB7">
        <w:rPr>
          <w:rFonts w:cstheme="majorBidi"/>
          <w:szCs w:val="20"/>
          <w:lang w:val="en-GB" w:eastAsia="en-GB"/>
        </w:rPr>
        <w:t xml:space="preserve">xpand use and accessibility of digital learning tools and micro-trainings, starting with an assessment of options for Secretariat’s use, translation, interpretation, and adaptation of digital learning tools and trainings to optimize use of traditional and newer modes of delivery of core content. This activity will expand the reach and use of Secretariat implementation support tools, including those developed with the support of donors to the Special Trust Fund in previous years; Minamata Online; and relevant tools and training materials housed by the Global Mercury Partnership, </w:t>
      </w:r>
      <w:proofErr w:type="spellStart"/>
      <w:r w:rsidRPr="00845FB7">
        <w:rPr>
          <w:rFonts w:cstheme="majorBidi"/>
          <w:szCs w:val="20"/>
          <w:lang w:val="en-GB" w:eastAsia="en-GB"/>
        </w:rPr>
        <w:t>Infor</w:t>
      </w:r>
      <w:r w:rsidR="00C947F7" w:rsidRPr="00845FB7">
        <w:rPr>
          <w:rFonts w:cstheme="majorBidi"/>
          <w:szCs w:val="20"/>
          <w:lang w:val="en-GB" w:eastAsia="en-GB"/>
        </w:rPr>
        <w:t>MEA</w:t>
      </w:r>
      <w:proofErr w:type="spellEnd"/>
      <w:r w:rsidRPr="00845FB7">
        <w:rPr>
          <w:rFonts w:cstheme="majorBidi"/>
          <w:szCs w:val="20"/>
          <w:lang w:val="en-GB" w:eastAsia="en-GB"/>
        </w:rPr>
        <w:t xml:space="preserve">, and other partner organisations. This activity will bring a wider range of stakeholders into effective and participatory learning </w:t>
      </w:r>
      <w:proofErr w:type="gramStart"/>
      <w:r w:rsidRPr="00845FB7">
        <w:rPr>
          <w:rFonts w:cstheme="majorBidi"/>
          <w:szCs w:val="20"/>
          <w:lang w:val="en-GB" w:eastAsia="en-GB"/>
        </w:rPr>
        <w:t>environments, and</w:t>
      </w:r>
      <w:proofErr w:type="gramEnd"/>
      <w:r w:rsidRPr="00845FB7">
        <w:rPr>
          <w:rFonts w:cstheme="majorBidi"/>
          <w:szCs w:val="20"/>
          <w:lang w:val="en-GB" w:eastAsia="en-GB"/>
        </w:rPr>
        <w:t xml:space="preserve"> could include making available digital training expertise.</w:t>
      </w:r>
    </w:p>
    <w:tbl>
      <w:tblPr>
        <w:tblStyle w:val="TableGrid"/>
        <w:tblW w:w="9720"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5212"/>
      </w:tblGrid>
      <w:tr w:rsidR="007B6CF2" w:rsidRPr="00845FB7" w14:paraId="5E5217B6" w14:textId="77777777" w:rsidTr="004D0F92">
        <w:tc>
          <w:tcPr>
            <w:tcW w:w="4508" w:type="dxa"/>
          </w:tcPr>
          <w:p w14:paraId="1F9B6CB5" w14:textId="77777777" w:rsidR="007B6CF2" w:rsidRPr="00845FB7" w:rsidRDefault="007B6CF2" w:rsidP="00826417">
            <w:pPr>
              <w:keepNext/>
              <w:spacing w:before="240" w:after="120"/>
              <w:ind w:left="363"/>
              <w:rPr>
                <w:rFonts w:cstheme="majorBidi"/>
                <w:b/>
                <w:bCs/>
                <w:szCs w:val="20"/>
                <w:lang w:val="en-GB" w:eastAsia="en-GB"/>
              </w:rPr>
            </w:pPr>
            <w:r w:rsidRPr="00845FB7">
              <w:rPr>
                <w:rFonts w:cstheme="majorBidi"/>
                <w:b/>
                <w:bCs/>
                <w:szCs w:val="20"/>
                <w:lang w:val="en-GB" w:eastAsia="en-GB"/>
              </w:rPr>
              <w:lastRenderedPageBreak/>
              <w:t>INDICATORS OF ACHIEVEMENT</w:t>
            </w:r>
          </w:p>
          <w:p w14:paraId="263337ED" w14:textId="4448681B" w:rsidR="0051338E" w:rsidRPr="00845FB7" w:rsidRDefault="006A3FBD" w:rsidP="00826417">
            <w:pPr>
              <w:pStyle w:val="ListParagraph"/>
              <w:keepNext/>
              <w:numPr>
                <w:ilvl w:val="0"/>
                <w:numId w:val="5"/>
              </w:numPr>
              <w:spacing w:after="60"/>
              <w:ind w:hanging="357"/>
              <w:contextualSpacing w:val="0"/>
              <w:rPr>
                <w:rFonts w:cstheme="majorBidi"/>
                <w:szCs w:val="20"/>
                <w:lang w:val="en-GB" w:eastAsia="en-GB"/>
              </w:rPr>
            </w:pPr>
            <w:r w:rsidRPr="00845FB7">
              <w:rPr>
                <w:rFonts w:cstheme="majorBidi"/>
                <w:szCs w:val="20"/>
                <w:lang w:val="en-GB" w:eastAsia="en-GB"/>
              </w:rPr>
              <w:t>Four</w:t>
            </w:r>
            <w:r w:rsidR="0051338E" w:rsidRPr="00845FB7">
              <w:rPr>
                <w:rFonts w:cstheme="majorBidi"/>
                <w:szCs w:val="20"/>
                <w:lang w:val="en-GB" w:eastAsia="en-GB"/>
              </w:rPr>
              <w:t xml:space="preserve"> facilitated planning sessions completed;</w:t>
            </w:r>
          </w:p>
          <w:p w14:paraId="15F53559" w14:textId="78DA8FC5" w:rsidR="0051338E" w:rsidRPr="00845FB7" w:rsidRDefault="0051338E" w:rsidP="00826417">
            <w:pPr>
              <w:pStyle w:val="ListParagraph"/>
              <w:keepNext/>
              <w:numPr>
                <w:ilvl w:val="0"/>
                <w:numId w:val="5"/>
              </w:numPr>
              <w:spacing w:after="60"/>
              <w:ind w:hanging="357"/>
              <w:contextualSpacing w:val="0"/>
              <w:rPr>
                <w:rFonts w:cstheme="majorBidi"/>
                <w:szCs w:val="20"/>
                <w:lang w:val="en-GB" w:eastAsia="en-GB"/>
              </w:rPr>
            </w:pPr>
            <w:r w:rsidRPr="00845FB7">
              <w:rPr>
                <w:rFonts w:cstheme="majorBidi"/>
                <w:szCs w:val="20"/>
                <w:lang w:val="en-GB" w:eastAsia="en-GB"/>
              </w:rPr>
              <w:t>At least five Secretariat tools and training materials translated into Spanish and French;</w:t>
            </w:r>
          </w:p>
          <w:p w14:paraId="13270878" w14:textId="2F1359B8" w:rsidR="007B6CF2" w:rsidRPr="00845FB7" w:rsidRDefault="0051338E" w:rsidP="00826417">
            <w:pPr>
              <w:pStyle w:val="ListParagraph"/>
              <w:keepNext/>
              <w:numPr>
                <w:ilvl w:val="0"/>
                <w:numId w:val="5"/>
              </w:numPr>
              <w:spacing w:after="60"/>
              <w:ind w:hanging="357"/>
              <w:contextualSpacing w:val="0"/>
              <w:rPr>
                <w:rFonts w:cstheme="majorBidi"/>
                <w:b/>
                <w:bCs/>
                <w:szCs w:val="20"/>
                <w:lang w:val="en-GB" w:eastAsia="en-GB"/>
              </w:rPr>
            </w:pPr>
            <w:r w:rsidRPr="00845FB7">
              <w:rPr>
                <w:rFonts w:cstheme="majorBidi"/>
                <w:szCs w:val="20"/>
                <w:lang w:val="en-GB" w:eastAsia="en-GB"/>
              </w:rPr>
              <w:t>At least 150 participants trained utilizing digital learning resources in three languages</w:t>
            </w:r>
            <w:r w:rsidR="000A3776" w:rsidRPr="00845FB7">
              <w:rPr>
                <w:rFonts w:cstheme="majorBidi"/>
                <w:szCs w:val="20"/>
                <w:lang w:val="en-GB" w:eastAsia="en-GB"/>
              </w:rPr>
              <w:t>.</w:t>
            </w:r>
          </w:p>
        </w:tc>
        <w:tc>
          <w:tcPr>
            <w:tcW w:w="5212" w:type="dxa"/>
          </w:tcPr>
          <w:p w14:paraId="5B7CA874" w14:textId="77777777" w:rsidR="007B6CF2" w:rsidRPr="00845FB7" w:rsidRDefault="007B6CF2" w:rsidP="00826417">
            <w:pPr>
              <w:keepNext/>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5C7A30DD" w14:textId="77777777" w:rsidR="00C5005D" w:rsidRPr="00845FB7" w:rsidRDefault="00C5005D" w:rsidP="00826417">
            <w:pPr>
              <w:pStyle w:val="ListParagraph"/>
              <w:keepNext/>
              <w:numPr>
                <w:ilvl w:val="0"/>
                <w:numId w:val="5"/>
              </w:numPr>
              <w:spacing w:after="60"/>
              <w:ind w:hanging="357"/>
              <w:contextualSpacing w:val="0"/>
              <w:rPr>
                <w:rFonts w:cstheme="majorBidi"/>
                <w:szCs w:val="20"/>
                <w:lang w:val="en-GB" w:eastAsia="en-GB"/>
              </w:rPr>
            </w:pPr>
            <w:r w:rsidRPr="00845FB7">
              <w:rPr>
                <w:rFonts w:cstheme="majorBidi"/>
                <w:szCs w:val="20"/>
                <w:lang w:val="en-GB" w:eastAsia="en-GB"/>
              </w:rPr>
              <w:t>Reports of planning</w:t>
            </w:r>
            <w:r w:rsidRPr="00845FB7" w:rsidDel="00C75722">
              <w:rPr>
                <w:rFonts w:cstheme="majorBidi"/>
                <w:szCs w:val="20"/>
                <w:lang w:val="en-GB" w:eastAsia="en-GB"/>
              </w:rPr>
              <w:t xml:space="preserve"> </w:t>
            </w:r>
            <w:r w:rsidRPr="00845FB7">
              <w:rPr>
                <w:rFonts w:cstheme="majorBidi"/>
                <w:szCs w:val="20"/>
                <w:lang w:val="en-GB" w:eastAsia="en-GB"/>
              </w:rPr>
              <w:t xml:space="preserve">meetings; </w:t>
            </w:r>
          </w:p>
          <w:p w14:paraId="56B182B9" w14:textId="77777777" w:rsidR="00C5005D" w:rsidRPr="00845FB7" w:rsidRDefault="00C5005D" w:rsidP="00826417">
            <w:pPr>
              <w:pStyle w:val="ListParagraph"/>
              <w:keepNext/>
              <w:numPr>
                <w:ilvl w:val="0"/>
                <w:numId w:val="5"/>
              </w:numPr>
              <w:spacing w:after="60"/>
              <w:ind w:hanging="357"/>
              <w:contextualSpacing w:val="0"/>
              <w:rPr>
                <w:rFonts w:cstheme="majorBidi"/>
                <w:szCs w:val="20"/>
                <w:lang w:val="en-GB" w:eastAsia="en-GB"/>
              </w:rPr>
            </w:pPr>
            <w:r w:rsidRPr="00845FB7">
              <w:rPr>
                <w:rFonts w:cstheme="majorBidi"/>
                <w:szCs w:val="20"/>
                <w:lang w:val="en-GB" w:eastAsia="en-GB"/>
              </w:rPr>
              <w:t>Translated training materials;</w:t>
            </w:r>
          </w:p>
          <w:p w14:paraId="3EFBD61E" w14:textId="6C7CBE5A" w:rsidR="007B6CF2" w:rsidRPr="00845FB7" w:rsidRDefault="00C5005D" w:rsidP="00826417">
            <w:pPr>
              <w:pStyle w:val="ListParagraph"/>
              <w:keepNext/>
              <w:numPr>
                <w:ilvl w:val="0"/>
                <w:numId w:val="5"/>
              </w:numPr>
              <w:spacing w:after="60"/>
              <w:ind w:hanging="357"/>
              <w:contextualSpacing w:val="0"/>
              <w:rPr>
                <w:rFonts w:cstheme="majorBidi"/>
                <w:szCs w:val="20"/>
                <w:lang w:val="en-GB" w:eastAsia="en-GB"/>
              </w:rPr>
            </w:pPr>
            <w:r w:rsidRPr="00845FB7">
              <w:rPr>
                <w:rFonts w:cstheme="majorBidi"/>
                <w:szCs w:val="20"/>
                <w:lang w:val="en-GB" w:eastAsia="en-GB"/>
              </w:rPr>
              <w:t>Training and workshop materials, links, reports</w:t>
            </w:r>
            <w:r w:rsidR="000A3776" w:rsidRPr="00845FB7">
              <w:rPr>
                <w:rFonts w:cstheme="majorBidi"/>
                <w:szCs w:val="20"/>
                <w:lang w:val="en-GB" w:eastAsia="en-GB"/>
              </w:rPr>
              <w:t>.</w:t>
            </w:r>
          </w:p>
        </w:tc>
      </w:tr>
    </w:tbl>
    <w:p w14:paraId="40A850D9" w14:textId="1B39DA5E" w:rsidR="007B6CF2" w:rsidRPr="00845FB7" w:rsidRDefault="007B6CF2" w:rsidP="00BD36F8">
      <w:pPr>
        <w:pStyle w:val="Heading2"/>
        <w:spacing w:before="360" w:after="120"/>
        <w:jc w:val="left"/>
        <w:rPr>
          <w:rFonts w:cstheme="majorBidi"/>
          <w:sz w:val="28"/>
          <w:szCs w:val="28"/>
          <w:lang w:val="en-GB"/>
        </w:rPr>
      </w:pPr>
      <w:r w:rsidRPr="00845FB7">
        <w:rPr>
          <w:rFonts w:cstheme="majorBidi"/>
          <w:sz w:val="28"/>
          <w:szCs w:val="28"/>
          <w:lang w:val="en-GB"/>
        </w:rPr>
        <w:t>Component 4.2. Specific capacity-building activities</w:t>
      </w:r>
    </w:p>
    <w:p w14:paraId="143267EE" w14:textId="77777777" w:rsidR="007B6CF2" w:rsidRPr="00845FB7" w:rsidRDefault="007B6CF2" w:rsidP="00BD36F8">
      <w:pPr>
        <w:spacing w:before="240"/>
        <w:rPr>
          <w:rFonts w:cstheme="majorBidi"/>
          <w:b/>
          <w:bCs/>
          <w:szCs w:val="20"/>
          <w:lang w:val="en-GB" w:eastAsia="en-GB"/>
        </w:rPr>
      </w:pPr>
      <w:r w:rsidRPr="00845FB7">
        <w:rPr>
          <w:rFonts w:cstheme="majorBidi"/>
          <w:b/>
          <w:bCs/>
          <w:lang w:val="en-GB" w:eastAsia="en-GB"/>
        </w:rPr>
        <w:t>OUTCOMES</w:t>
      </w:r>
    </w:p>
    <w:p w14:paraId="6CC9D9CB" w14:textId="528FABD6" w:rsidR="007B6CF2" w:rsidRPr="00845FB7" w:rsidRDefault="007B6CF2" w:rsidP="00BD36F8">
      <w:pPr>
        <w:keepNext/>
        <w:keepLines/>
        <w:spacing w:after="60"/>
        <w:rPr>
          <w:rFonts w:cstheme="majorBidi"/>
          <w:szCs w:val="20"/>
          <w:lang w:val="en-GB" w:eastAsia="en-GB"/>
        </w:rPr>
      </w:pPr>
      <w:r w:rsidRPr="00845FB7">
        <w:rPr>
          <w:rFonts w:cstheme="majorBidi"/>
          <w:szCs w:val="20"/>
          <w:lang w:val="en-GB" w:eastAsia="en-GB"/>
        </w:rPr>
        <w:t xml:space="preserve">Enhanced capacities at the national level to implement the Minamata Convention with respect to relevant provisions of </w:t>
      </w:r>
      <w:r w:rsidR="00DD1E0C" w:rsidRPr="00845FB7">
        <w:rPr>
          <w:rFonts w:cstheme="majorBidi"/>
          <w:szCs w:val="20"/>
          <w:lang w:val="en-GB" w:eastAsia="en-GB"/>
        </w:rPr>
        <w:t>A</w:t>
      </w:r>
      <w:r w:rsidRPr="00845FB7">
        <w:rPr>
          <w:rFonts w:cstheme="majorBidi"/>
          <w:szCs w:val="20"/>
          <w:lang w:val="en-GB" w:eastAsia="en-GB"/>
        </w:rPr>
        <w:t xml:space="preserve">rticles 3, </w:t>
      </w:r>
      <w:r w:rsidR="000A0A87" w:rsidRPr="00845FB7">
        <w:rPr>
          <w:rFonts w:cstheme="majorBidi"/>
          <w:szCs w:val="20"/>
          <w:lang w:val="en-GB" w:eastAsia="en-GB"/>
        </w:rPr>
        <w:t>4</w:t>
      </w:r>
      <w:r w:rsidRPr="00845FB7">
        <w:rPr>
          <w:rFonts w:cstheme="majorBidi"/>
          <w:szCs w:val="20"/>
          <w:lang w:val="en-GB" w:eastAsia="en-GB"/>
        </w:rPr>
        <w:t xml:space="preserve">, 8, </w:t>
      </w:r>
      <w:r w:rsidR="000A0A87" w:rsidRPr="00845FB7">
        <w:rPr>
          <w:rFonts w:cstheme="majorBidi"/>
          <w:szCs w:val="20"/>
          <w:lang w:val="en-GB" w:eastAsia="en-GB"/>
        </w:rPr>
        <w:t xml:space="preserve">9, </w:t>
      </w:r>
      <w:r w:rsidRPr="00845FB7">
        <w:rPr>
          <w:rFonts w:cstheme="majorBidi"/>
          <w:szCs w:val="20"/>
          <w:lang w:val="en-GB" w:eastAsia="en-GB"/>
        </w:rPr>
        <w:t>10, 11.</w:t>
      </w:r>
    </w:p>
    <w:p w14:paraId="16B533C4" w14:textId="688BFF79" w:rsidR="007B6CF2" w:rsidRPr="00845FB7" w:rsidRDefault="007B6CF2" w:rsidP="00BD36F8">
      <w:pPr>
        <w:spacing w:before="240"/>
        <w:rPr>
          <w:rFonts w:cstheme="majorBidi"/>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 xml:space="preserve">(subject to the availability of </w:t>
      </w:r>
      <w:r w:rsidR="000A3776" w:rsidRPr="00845FB7">
        <w:rPr>
          <w:rFonts w:cstheme="majorBidi"/>
          <w:szCs w:val="20"/>
          <w:lang w:val="en-GB" w:eastAsia="en-GB"/>
        </w:rPr>
        <w:t>resources</w:t>
      </w:r>
      <w:r w:rsidRPr="00845FB7">
        <w:rPr>
          <w:rFonts w:cstheme="majorBidi"/>
          <w:szCs w:val="20"/>
          <w:lang w:val="en-GB" w:eastAsia="en-GB"/>
        </w:rPr>
        <w:t>)</w:t>
      </w:r>
    </w:p>
    <w:p w14:paraId="47E345DB" w14:textId="16AA011B" w:rsidR="001616ED" w:rsidRPr="00845FB7" w:rsidRDefault="001616ED"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b/>
          <w:bCs/>
          <w:szCs w:val="20"/>
          <w:lang w:val="en-GB" w:eastAsia="en-GB"/>
        </w:rPr>
        <w:t xml:space="preserve">BAT/BEP Guidance: </w:t>
      </w:r>
      <w:r w:rsidRPr="00845FB7">
        <w:rPr>
          <w:rFonts w:cstheme="majorBidi"/>
          <w:szCs w:val="20"/>
          <w:lang w:val="en-GB" w:eastAsia="en-GB"/>
        </w:rPr>
        <w:t>Develop and deliver training, workshops, and targeted advisory services on use of BAT/BEP Guidance for Emissions</w:t>
      </w:r>
      <w:r w:rsidR="00B66000" w:rsidRPr="00845FB7">
        <w:rPr>
          <w:rFonts w:cstheme="majorBidi"/>
          <w:szCs w:val="20"/>
          <w:lang w:val="en-GB" w:eastAsia="en-GB"/>
        </w:rPr>
        <w:t xml:space="preserve"> and </w:t>
      </w:r>
      <w:r w:rsidR="00EB7CF5" w:rsidRPr="00845FB7">
        <w:rPr>
          <w:rFonts w:cstheme="majorBidi"/>
          <w:szCs w:val="20"/>
          <w:lang w:val="en-GB" w:eastAsia="en-GB"/>
        </w:rPr>
        <w:t>Releases</w:t>
      </w:r>
      <w:r w:rsidRPr="00845FB7">
        <w:rPr>
          <w:rFonts w:cstheme="majorBidi"/>
          <w:szCs w:val="20"/>
          <w:lang w:val="en-GB" w:eastAsia="en-GB"/>
        </w:rPr>
        <w:t>, in cooperation with the Global Mercury Partnership;</w:t>
      </w:r>
    </w:p>
    <w:p w14:paraId="74FBC6F6" w14:textId="6895BB6C" w:rsidR="001616ED" w:rsidRPr="00845FB7" w:rsidRDefault="001616ED"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b/>
          <w:bCs/>
          <w:szCs w:val="20"/>
          <w:lang w:val="en-GB" w:eastAsia="en-GB"/>
        </w:rPr>
        <w:t>Trade:</w:t>
      </w:r>
      <w:r w:rsidRPr="00845FB7">
        <w:rPr>
          <w:rFonts w:cstheme="majorBidi"/>
          <w:szCs w:val="20"/>
          <w:lang w:val="en-GB" w:eastAsia="en-GB"/>
        </w:rPr>
        <w:t xml:space="preserve"> Develop and deliver training, workshops, and targeted advisory services on use of trade forms, </w:t>
      </w:r>
      <w:r w:rsidR="001C3FA4" w:rsidRPr="00845FB7">
        <w:rPr>
          <w:rFonts w:cstheme="majorBidi"/>
          <w:szCs w:val="20"/>
          <w:lang w:val="en-GB" w:eastAsia="en-GB"/>
        </w:rPr>
        <w:t>application of</w:t>
      </w:r>
      <w:r w:rsidRPr="00845FB7">
        <w:rPr>
          <w:rFonts w:cstheme="majorBidi"/>
          <w:szCs w:val="20"/>
          <w:lang w:val="en-GB" w:eastAsia="en-GB"/>
        </w:rPr>
        <w:t xml:space="preserve"> customs and border controls, and, as appropriate, interim storage of mercury, including through </w:t>
      </w:r>
      <w:r w:rsidR="00874F1D" w:rsidRPr="00845FB7">
        <w:rPr>
          <w:rFonts w:cstheme="majorBidi"/>
          <w:szCs w:val="20"/>
          <w:lang w:val="en-GB" w:eastAsia="en-GB"/>
        </w:rPr>
        <w:t xml:space="preserve">capacity-building </w:t>
      </w:r>
      <w:r w:rsidR="00DF1076" w:rsidRPr="00845FB7">
        <w:rPr>
          <w:rFonts w:cstheme="majorBidi"/>
          <w:szCs w:val="20"/>
          <w:lang w:val="en-GB" w:eastAsia="en-GB"/>
        </w:rPr>
        <w:t>for</w:t>
      </w:r>
      <w:r w:rsidR="00874F1D" w:rsidRPr="00845FB7">
        <w:rPr>
          <w:rFonts w:cstheme="majorBidi"/>
          <w:szCs w:val="20"/>
          <w:lang w:val="en-GB" w:eastAsia="en-GB"/>
        </w:rPr>
        <w:t xml:space="preserve"> information exchange focal points per Article 17</w:t>
      </w:r>
      <w:r w:rsidR="00F518B9" w:rsidRPr="00845FB7">
        <w:rPr>
          <w:rFonts w:cstheme="majorBidi"/>
          <w:szCs w:val="20"/>
          <w:lang w:val="en-GB" w:eastAsia="en-GB"/>
        </w:rPr>
        <w:t xml:space="preserve"> and</w:t>
      </w:r>
      <w:r w:rsidR="00874F1D" w:rsidRPr="00845FB7">
        <w:rPr>
          <w:rFonts w:cstheme="majorBidi"/>
          <w:szCs w:val="20"/>
          <w:lang w:val="en-GB" w:eastAsia="en-GB"/>
        </w:rPr>
        <w:t xml:space="preserve"> </w:t>
      </w:r>
      <w:r w:rsidRPr="00845FB7">
        <w:rPr>
          <w:rFonts w:cstheme="majorBidi"/>
          <w:szCs w:val="20"/>
          <w:lang w:val="en-GB" w:eastAsia="en-GB"/>
        </w:rPr>
        <w:t>sub-regional workshops with relevant trade-related organizations, in collaboration with the Global Mercury Partnership and/or the Secretariat of the Basel, Rotterdam and Stockholm Conventions trade-related capacity-building efforts</w:t>
      </w:r>
    </w:p>
    <w:p w14:paraId="7A0CB47D" w14:textId="36694B88" w:rsidR="001616ED" w:rsidRPr="00845FB7" w:rsidRDefault="001616ED"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b/>
          <w:bCs/>
          <w:szCs w:val="20"/>
          <w:lang w:val="en-GB" w:eastAsia="en-GB"/>
        </w:rPr>
        <w:t>Mercury-added Products:</w:t>
      </w:r>
      <w:r w:rsidRPr="00845FB7">
        <w:rPr>
          <w:rFonts w:cstheme="majorBidi"/>
          <w:szCs w:val="20"/>
          <w:lang w:val="en-GB" w:eastAsia="en-GB"/>
        </w:rPr>
        <w:t xml:space="preserve"> </w:t>
      </w:r>
      <w:r w:rsidR="00A213AB" w:rsidRPr="00845FB7">
        <w:rPr>
          <w:rFonts w:cstheme="majorBidi"/>
          <w:szCs w:val="20"/>
          <w:lang w:val="en-GB" w:eastAsia="en-GB"/>
        </w:rPr>
        <w:t xml:space="preserve">Building on the </w:t>
      </w:r>
      <w:r w:rsidR="00D945F9" w:rsidRPr="00845FB7">
        <w:rPr>
          <w:rFonts w:cstheme="majorBidi"/>
          <w:szCs w:val="20"/>
          <w:lang w:val="en-GB" w:eastAsia="en-GB"/>
        </w:rPr>
        <w:t>output of the projects funded by the Global Environment Facility</w:t>
      </w:r>
      <w:r w:rsidR="00D55013" w:rsidRPr="00845FB7">
        <w:rPr>
          <w:rFonts w:cstheme="majorBidi"/>
          <w:szCs w:val="20"/>
          <w:lang w:val="en-GB" w:eastAsia="en-GB"/>
        </w:rPr>
        <w:t xml:space="preserve"> on mercury-added skin lightening products and dental amalgam, and based on the </w:t>
      </w:r>
      <w:r w:rsidR="00DE32F1" w:rsidRPr="00845FB7">
        <w:rPr>
          <w:rFonts w:cstheme="majorBidi"/>
          <w:szCs w:val="20"/>
          <w:lang w:val="en-GB" w:eastAsia="en-GB"/>
        </w:rPr>
        <w:t xml:space="preserve">relevant decisions to be taken by the Conference of the Parties at the sixth meeting, </w:t>
      </w:r>
      <w:r w:rsidR="00C20A19" w:rsidRPr="00845FB7">
        <w:rPr>
          <w:rFonts w:cstheme="majorBidi"/>
          <w:szCs w:val="20"/>
          <w:lang w:val="en-GB" w:eastAsia="en-GB"/>
        </w:rPr>
        <w:t xml:space="preserve">develop and deliver </w:t>
      </w:r>
      <w:r w:rsidR="00B10AFF" w:rsidRPr="00845FB7">
        <w:rPr>
          <w:rFonts w:cstheme="majorBidi"/>
          <w:szCs w:val="20"/>
          <w:lang w:val="en-GB" w:eastAsia="en-GB"/>
        </w:rPr>
        <w:t xml:space="preserve">training, workshops and targeted advisory services on controlling mercury-added products including </w:t>
      </w:r>
      <w:r w:rsidR="00152248" w:rsidRPr="00845FB7">
        <w:rPr>
          <w:rFonts w:cstheme="majorBidi"/>
          <w:szCs w:val="20"/>
          <w:lang w:val="en-GB" w:eastAsia="en-GB"/>
        </w:rPr>
        <w:t>cosmetics and dental amalgam</w:t>
      </w:r>
      <w:r w:rsidRPr="00845FB7">
        <w:rPr>
          <w:rFonts w:cstheme="majorBidi"/>
          <w:szCs w:val="20"/>
          <w:lang w:val="en-GB" w:eastAsia="en-GB"/>
        </w:rPr>
        <w:t>;</w:t>
      </w:r>
    </w:p>
    <w:p w14:paraId="6D7BB9B1" w14:textId="23C7ADFF" w:rsidR="001A4546" w:rsidRPr="00845FB7" w:rsidRDefault="001616ED"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b/>
          <w:bCs/>
          <w:szCs w:val="20"/>
          <w:lang w:val="en-GB" w:eastAsia="en-GB"/>
        </w:rPr>
        <w:t xml:space="preserve">Mercury Waste Guidelines: </w:t>
      </w:r>
      <w:r w:rsidRPr="00845FB7">
        <w:rPr>
          <w:rFonts w:cstheme="majorBidi"/>
          <w:szCs w:val="20"/>
          <w:lang w:val="en-GB" w:eastAsia="en-GB"/>
        </w:rPr>
        <w:t>Develop and deliver sub-regional workshops on management of mercury wastes, such as in the context of waste mercury-added products, closure or conversion of facilities that use mercury in industrial processes, and management of tailings at ASGM sites, and, in collaboration with the Global Mercury Partnership and the Secretariat of the Basel Convention; disseminate mercury waste management information materials and fact sheets, including with respect to the Basel Convention technical guidelines on mercury waste management.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7B6CF2" w:rsidRPr="00845FB7" w14:paraId="52EFB927" w14:textId="77777777" w:rsidTr="007B6CF2">
        <w:tc>
          <w:tcPr>
            <w:tcW w:w="4508" w:type="dxa"/>
          </w:tcPr>
          <w:p w14:paraId="6AAA3BE5" w14:textId="77777777" w:rsidR="007B6CF2" w:rsidRPr="00845FB7" w:rsidRDefault="007B6CF2"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53E3F1E1" w14:textId="7591CDC3" w:rsidR="00E43DE2" w:rsidRPr="00845FB7" w:rsidRDefault="00E43DE2"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4 sub-regional workshops on BAT/BEP guidance delivered in at least two regions;</w:t>
            </w:r>
          </w:p>
          <w:p w14:paraId="6AC33700" w14:textId="77777777" w:rsidR="00E43DE2" w:rsidRPr="00845FB7" w:rsidRDefault="00E43DE2"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4 sub-regional workshops on trade delivered in at least two regions;</w:t>
            </w:r>
          </w:p>
          <w:p w14:paraId="5E21FB47" w14:textId="22F3E861" w:rsidR="00E43DE2" w:rsidRPr="00845FB7" w:rsidRDefault="00E43DE2"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4</w:t>
            </w:r>
            <w:r w:rsidR="00485BB0" w:rsidRPr="00845FB7">
              <w:rPr>
                <w:rFonts w:cstheme="majorBidi"/>
                <w:szCs w:val="20"/>
                <w:lang w:val="en-GB" w:eastAsia="en-GB"/>
              </w:rPr>
              <w:t xml:space="preserve"> </w:t>
            </w:r>
            <w:r w:rsidRPr="00845FB7">
              <w:rPr>
                <w:rFonts w:cstheme="majorBidi"/>
                <w:szCs w:val="20"/>
                <w:lang w:val="en-GB" w:eastAsia="en-GB"/>
              </w:rPr>
              <w:t xml:space="preserve">trainings on mercury-added products delivered in two languages; </w:t>
            </w:r>
          </w:p>
          <w:p w14:paraId="07BB7083" w14:textId="329AF8A4" w:rsidR="007B6CF2" w:rsidRPr="00845FB7" w:rsidRDefault="00E43DE2" w:rsidP="00BD36F8">
            <w:pPr>
              <w:pStyle w:val="ListParagraph"/>
              <w:numPr>
                <w:ilvl w:val="0"/>
                <w:numId w:val="5"/>
              </w:numPr>
              <w:spacing w:after="60"/>
              <w:ind w:left="714" w:hanging="357"/>
              <w:contextualSpacing w:val="0"/>
              <w:rPr>
                <w:rFonts w:cstheme="majorBidi"/>
                <w:b/>
                <w:bCs/>
                <w:szCs w:val="20"/>
                <w:lang w:val="en-GB" w:eastAsia="en-GB"/>
              </w:rPr>
            </w:pPr>
            <w:r w:rsidRPr="00845FB7">
              <w:rPr>
                <w:rFonts w:cstheme="majorBidi"/>
                <w:szCs w:val="20"/>
                <w:lang w:val="en-GB" w:eastAsia="en-GB"/>
              </w:rPr>
              <w:t>Tools and methodologies disseminated.</w:t>
            </w:r>
          </w:p>
        </w:tc>
        <w:tc>
          <w:tcPr>
            <w:tcW w:w="4508" w:type="dxa"/>
          </w:tcPr>
          <w:p w14:paraId="3CD80A9C" w14:textId="77777777" w:rsidR="007B6CF2" w:rsidRPr="00845FB7" w:rsidRDefault="007B6CF2"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1437B022" w14:textId="1D26686C" w:rsidR="007B6CF2" w:rsidRPr="00845FB7" w:rsidRDefault="007B6CF2" w:rsidP="00BD36F8">
            <w:pPr>
              <w:pStyle w:val="ListParagraph"/>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Workshop reports</w:t>
            </w:r>
            <w:r w:rsidR="00E620A0" w:rsidRPr="00845FB7">
              <w:rPr>
                <w:rFonts w:cstheme="majorBidi"/>
                <w:szCs w:val="20"/>
                <w:lang w:val="en-GB" w:eastAsia="en-GB"/>
              </w:rPr>
              <w:t>;</w:t>
            </w:r>
          </w:p>
          <w:p w14:paraId="376CCBF0" w14:textId="6580BD71" w:rsidR="007B6CF2" w:rsidRPr="00845FB7" w:rsidRDefault="007B6CF2" w:rsidP="00BD36F8">
            <w:pPr>
              <w:pStyle w:val="ListParagraph"/>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Donor reports</w:t>
            </w:r>
            <w:r w:rsidR="00E620A0" w:rsidRPr="00845FB7">
              <w:rPr>
                <w:rFonts w:cstheme="majorBidi"/>
                <w:szCs w:val="20"/>
                <w:lang w:val="en-GB" w:eastAsia="en-GB"/>
              </w:rPr>
              <w:t>;</w:t>
            </w:r>
          </w:p>
          <w:p w14:paraId="7540D31B" w14:textId="79693012" w:rsidR="007B6CF2" w:rsidRPr="00845FB7" w:rsidRDefault="007B6CF2" w:rsidP="00BD36F8">
            <w:pPr>
              <w:pStyle w:val="ListParagraph"/>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 xml:space="preserve">Report on </w:t>
            </w:r>
            <w:r w:rsidR="006E34C4" w:rsidRPr="00845FB7">
              <w:rPr>
                <w:rFonts w:cstheme="majorBidi"/>
                <w:szCs w:val="20"/>
                <w:lang w:val="en-GB" w:eastAsia="en-GB"/>
              </w:rPr>
              <w:t>S</w:t>
            </w:r>
            <w:r w:rsidRPr="00845FB7">
              <w:rPr>
                <w:rFonts w:cstheme="majorBidi"/>
                <w:szCs w:val="20"/>
                <w:lang w:val="en-GB" w:eastAsia="en-GB"/>
              </w:rPr>
              <w:t>ecretariat activities to COP</w:t>
            </w:r>
            <w:r w:rsidR="00E43DE2" w:rsidRPr="00845FB7">
              <w:rPr>
                <w:rFonts w:cstheme="majorBidi"/>
                <w:szCs w:val="20"/>
                <w:lang w:val="en-GB" w:eastAsia="en-GB"/>
              </w:rPr>
              <w:t>.</w:t>
            </w:r>
          </w:p>
        </w:tc>
      </w:tr>
    </w:tbl>
    <w:p w14:paraId="5BFF1C22" w14:textId="392D770F" w:rsidR="007B6CF2" w:rsidRPr="00845FB7" w:rsidRDefault="007B6CF2" w:rsidP="00826417">
      <w:pPr>
        <w:pStyle w:val="Heading2"/>
        <w:keepNext/>
        <w:spacing w:before="360" w:after="120"/>
        <w:jc w:val="left"/>
        <w:rPr>
          <w:rFonts w:cstheme="majorBidi"/>
          <w:sz w:val="28"/>
          <w:szCs w:val="28"/>
          <w:lang w:val="en-GB"/>
        </w:rPr>
      </w:pPr>
      <w:r w:rsidRPr="00845FB7">
        <w:rPr>
          <w:rFonts w:cstheme="majorBidi"/>
          <w:sz w:val="28"/>
          <w:szCs w:val="28"/>
          <w:lang w:val="en-GB"/>
        </w:rPr>
        <w:lastRenderedPageBreak/>
        <w:t>Component 4.3. Capacity-building activities upon request</w:t>
      </w:r>
    </w:p>
    <w:p w14:paraId="64E72D2D" w14:textId="77777777" w:rsidR="007B6CF2" w:rsidRPr="00845FB7" w:rsidRDefault="007B6CF2" w:rsidP="00BD36F8">
      <w:pPr>
        <w:spacing w:before="240"/>
        <w:rPr>
          <w:rFonts w:cstheme="majorBidi"/>
          <w:b/>
          <w:bCs/>
          <w:szCs w:val="20"/>
          <w:lang w:val="en-GB" w:eastAsia="en-GB"/>
        </w:rPr>
      </w:pPr>
      <w:r w:rsidRPr="00845FB7">
        <w:rPr>
          <w:rFonts w:cstheme="majorBidi"/>
          <w:b/>
          <w:bCs/>
          <w:lang w:val="en-GB" w:eastAsia="en-GB"/>
        </w:rPr>
        <w:t>OUTCOMES</w:t>
      </w:r>
    </w:p>
    <w:p w14:paraId="13BCF59C" w14:textId="77777777" w:rsidR="007B6CF2" w:rsidRPr="00845FB7" w:rsidRDefault="007B6CF2" w:rsidP="00BD36F8">
      <w:pPr>
        <w:spacing w:after="60"/>
        <w:rPr>
          <w:rFonts w:cstheme="majorBidi"/>
          <w:szCs w:val="20"/>
          <w:lang w:val="en-GB" w:eastAsia="en-GB"/>
        </w:rPr>
      </w:pPr>
      <w:r w:rsidRPr="00845FB7">
        <w:rPr>
          <w:rFonts w:cstheme="majorBidi"/>
          <w:szCs w:val="20"/>
          <w:lang w:val="en-GB" w:eastAsia="en-GB"/>
        </w:rPr>
        <w:t>Increased ability at the national level to address emerging and key challenges with respect to the implementation Minamata Convention through the provision of quick-response capacity-building support.</w:t>
      </w:r>
    </w:p>
    <w:p w14:paraId="5327287A" w14:textId="0ABA2945" w:rsidR="007B6CF2" w:rsidRPr="00845FB7" w:rsidRDefault="007B6CF2" w:rsidP="00BD36F8">
      <w:pPr>
        <w:spacing w:before="240"/>
        <w:rPr>
          <w:rFonts w:cstheme="majorBidi"/>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 xml:space="preserve">(subject to the availability of </w:t>
      </w:r>
      <w:r w:rsidR="007F2954" w:rsidRPr="00845FB7">
        <w:rPr>
          <w:rFonts w:cstheme="majorBidi"/>
          <w:szCs w:val="20"/>
          <w:lang w:val="en-GB" w:eastAsia="en-GB"/>
        </w:rPr>
        <w:t>resources</w:t>
      </w:r>
      <w:r w:rsidRPr="00845FB7">
        <w:rPr>
          <w:rFonts w:cstheme="majorBidi"/>
          <w:szCs w:val="20"/>
          <w:lang w:val="en-GB" w:eastAsia="en-GB"/>
        </w:rPr>
        <w:t>)</w:t>
      </w:r>
    </w:p>
    <w:p w14:paraId="713A7AB4" w14:textId="54E427E4" w:rsidR="00624F0A" w:rsidRPr="00845FB7" w:rsidRDefault="00624F0A"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b/>
          <w:bCs/>
          <w:szCs w:val="20"/>
          <w:lang w:val="en-GB" w:eastAsia="en-GB"/>
        </w:rPr>
        <w:t xml:space="preserve">Expert advice: </w:t>
      </w:r>
      <w:r w:rsidRPr="00845FB7">
        <w:rPr>
          <w:rFonts w:cstheme="majorBidi"/>
          <w:szCs w:val="20"/>
          <w:lang w:val="en-GB" w:eastAsia="en-GB"/>
        </w:rPr>
        <w:t xml:space="preserve">Provide tailored advice through relevant experts to address technical needs of </w:t>
      </w:r>
      <w:r w:rsidR="00997B9D" w:rsidRPr="00845FB7">
        <w:rPr>
          <w:rFonts w:cstheme="majorBidi"/>
          <w:szCs w:val="20"/>
          <w:lang w:val="en-GB" w:eastAsia="en-GB"/>
        </w:rPr>
        <w:t>P</w:t>
      </w:r>
      <w:r w:rsidRPr="00845FB7">
        <w:rPr>
          <w:rFonts w:cstheme="majorBidi"/>
          <w:szCs w:val="20"/>
          <w:lang w:val="en-GB" w:eastAsia="en-GB"/>
        </w:rPr>
        <w:t>arties, including those implementing recommendations of the Implementation and Compliance Committee;</w:t>
      </w:r>
    </w:p>
    <w:p w14:paraId="4FDBE724" w14:textId="160D001C" w:rsidR="00624F0A" w:rsidRPr="00845FB7" w:rsidRDefault="00624F0A"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b/>
          <w:bCs/>
          <w:szCs w:val="20"/>
          <w:lang w:val="en-GB" w:eastAsia="en-GB"/>
        </w:rPr>
        <w:t>National, sub-regional, regional planning and implementation support meetings:</w:t>
      </w:r>
      <w:r w:rsidRPr="00845FB7">
        <w:rPr>
          <w:rFonts w:cstheme="majorBidi"/>
          <w:szCs w:val="20"/>
          <w:lang w:val="en-GB" w:eastAsia="en-GB"/>
        </w:rPr>
        <w:t xml:space="preserve"> Organize national, sub-regional or regional meetings to develop plans and strategies to tackle key mercury issues, including strategies to leverage funding from other sources, and/or to address broader issues of concern related to the implementation of the Convention.</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7B6CF2" w:rsidRPr="00845FB7" w14:paraId="76B1ECEC" w14:textId="77777777" w:rsidTr="007B6CF2">
        <w:tc>
          <w:tcPr>
            <w:tcW w:w="4508" w:type="dxa"/>
          </w:tcPr>
          <w:p w14:paraId="3297E9EC" w14:textId="77777777" w:rsidR="007B6CF2" w:rsidRPr="00845FB7" w:rsidRDefault="007B6CF2"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5B7AA0CE" w14:textId="47A30DBE" w:rsidR="007B6CF2" w:rsidRPr="00845FB7" w:rsidRDefault="007B6CF2"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 xml:space="preserve">Up to </w:t>
            </w:r>
            <w:r w:rsidR="00826417">
              <w:rPr>
                <w:rFonts w:cstheme="majorBidi"/>
                <w:szCs w:val="20"/>
                <w:lang w:val="en-GB" w:eastAsia="en-GB"/>
              </w:rPr>
              <w:t>five</w:t>
            </w:r>
            <w:r w:rsidRPr="00845FB7">
              <w:rPr>
                <w:rFonts w:cstheme="majorBidi"/>
                <w:szCs w:val="20"/>
                <w:lang w:val="en-GB" w:eastAsia="en-GB"/>
              </w:rPr>
              <w:t xml:space="preserve"> </w:t>
            </w:r>
            <w:r w:rsidR="00997B9D" w:rsidRPr="00845FB7">
              <w:rPr>
                <w:rFonts w:cstheme="majorBidi"/>
                <w:szCs w:val="20"/>
                <w:lang w:val="en-GB" w:eastAsia="en-GB"/>
              </w:rPr>
              <w:t>P</w:t>
            </w:r>
            <w:r w:rsidRPr="00845FB7">
              <w:rPr>
                <w:rFonts w:cstheme="majorBidi"/>
                <w:szCs w:val="20"/>
                <w:lang w:val="en-GB" w:eastAsia="en-GB"/>
              </w:rPr>
              <w:t>arties supported</w:t>
            </w:r>
            <w:r w:rsidR="00BA6190" w:rsidRPr="00845FB7">
              <w:rPr>
                <w:rFonts w:cstheme="majorBidi"/>
                <w:szCs w:val="20"/>
                <w:lang w:val="en-GB" w:eastAsia="en-GB"/>
              </w:rPr>
              <w:t>;</w:t>
            </w:r>
          </w:p>
          <w:p w14:paraId="0A77E9B0" w14:textId="4CD49D13" w:rsidR="007B6CF2" w:rsidRPr="00845FB7" w:rsidRDefault="007B6CF2" w:rsidP="00BD36F8">
            <w:pPr>
              <w:pStyle w:val="ListParagraph"/>
              <w:numPr>
                <w:ilvl w:val="0"/>
                <w:numId w:val="5"/>
              </w:numPr>
              <w:spacing w:after="60"/>
              <w:ind w:left="714" w:hanging="357"/>
              <w:contextualSpacing w:val="0"/>
              <w:rPr>
                <w:rFonts w:cstheme="majorBidi"/>
                <w:b/>
                <w:bCs/>
                <w:szCs w:val="20"/>
                <w:lang w:val="en-GB" w:eastAsia="en-GB"/>
              </w:rPr>
            </w:pPr>
            <w:r w:rsidRPr="00845FB7">
              <w:rPr>
                <w:rFonts w:cstheme="majorBidi"/>
                <w:szCs w:val="20"/>
                <w:lang w:val="en-GB" w:eastAsia="en-GB"/>
              </w:rPr>
              <w:t xml:space="preserve">Up to </w:t>
            </w:r>
            <w:r w:rsidR="00826417">
              <w:rPr>
                <w:rFonts w:cstheme="majorBidi"/>
                <w:szCs w:val="20"/>
                <w:lang w:val="en-GB" w:eastAsia="en-GB"/>
              </w:rPr>
              <w:t>three</w:t>
            </w:r>
            <w:r w:rsidRPr="00845FB7">
              <w:rPr>
                <w:rFonts w:cstheme="majorBidi"/>
                <w:szCs w:val="20"/>
                <w:lang w:val="en-GB" w:eastAsia="en-GB"/>
              </w:rPr>
              <w:t xml:space="preserve"> national, sub-regional or regional meetings</w:t>
            </w:r>
            <w:r w:rsidR="00624F0A" w:rsidRPr="00845FB7">
              <w:rPr>
                <w:rFonts w:cstheme="majorBidi"/>
                <w:szCs w:val="20"/>
                <w:lang w:val="en-GB" w:eastAsia="en-GB"/>
              </w:rPr>
              <w:t xml:space="preserve"> convened</w:t>
            </w:r>
            <w:r w:rsidR="00BA6190" w:rsidRPr="00845FB7">
              <w:rPr>
                <w:rFonts w:cstheme="majorBidi"/>
                <w:szCs w:val="20"/>
                <w:lang w:val="en-GB" w:eastAsia="en-GB"/>
              </w:rPr>
              <w:t>.</w:t>
            </w:r>
          </w:p>
        </w:tc>
        <w:tc>
          <w:tcPr>
            <w:tcW w:w="4508" w:type="dxa"/>
          </w:tcPr>
          <w:p w14:paraId="354CB92A" w14:textId="77777777" w:rsidR="007B6CF2" w:rsidRPr="00845FB7" w:rsidRDefault="007B6CF2"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4B0DBD02" w14:textId="2BC43D08" w:rsidR="007B6CF2" w:rsidRPr="00845FB7" w:rsidRDefault="007B6CF2"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Workshop, meeting reports</w:t>
            </w:r>
            <w:r w:rsidR="00BA6190" w:rsidRPr="00845FB7">
              <w:rPr>
                <w:rFonts w:cstheme="majorBidi"/>
                <w:szCs w:val="20"/>
                <w:lang w:val="en-GB" w:eastAsia="en-GB"/>
              </w:rPr>
              <w:t>;</w:t>
            </w:r>
          </w:p>
          <w:p w14:paraId="6918C7B2" w14:textId="3D6BC9E0" w:rsidR="007B6CF2" w:rsidRPr="00845FB7" w:rsidRDefault="007B6CF2"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 xml:space="preserve">Report on </w:t>
            </w:r>
            <w:r w:rsidR="00120303" w:rsidRPr="00845FB7">
              <w:rPr>
                <w:rFonts w:cstheme="majorBidi"/>
                <w:szCs w:val="20"/>
                <w:lang w:val="en-GB" w:eastAsia="en-GB"/>
              </w:rPr>
              <w:t>S</w:t>
            </w:r>
            <w:r w:rsidRPr="00845FB7">
              <w:rPr>
                <w:rFonts w:cstheme="majorBidi"/>
                <w:szCs w:val="20"/>
                <w:lang w:val="en-GB" w:eastAsia="en-GB"/>
              </w:rPr>
              <w:t>ecretariat activities to COP</w:t>
            </w:r>
            <w:r w:rsidR="00BA6190" w:rsidRPr="00845FB7">
              <w:rPr>
                <w:rFonts w:cstheme="majorBidi"/>
                <w:szCs w:val="20"/>
                <w:lang w:val="en-GB" w:eastAsia="en-GB"/>
              </w:rPr>
              <w:t>.</w:t>
            </w:r>
          </w:p>
        </w:tc>
      </w:tr>
    </w:tbl>
    <w:p w14:paraId="4C08AC24" w14:textId="61583B34" w:rsidR="007B6CF2" w:rsidRPr="00845FB7" w:rsidRDefault="007B6CF2" w:rsidP="00BD36F8">
      <w:pPr>
        <w:pStyle w:val="Heading2"/>
        <w:spacing w:before="360" w:after="120"/>
        <w:jc w:val="left"/>
        <w:rPr>
          <w:rFonts w:cstheme="majorBidi"/>
          <w:sz w:val="28"/>
          <w:szCs w:val="28"/>
          <w:lang w:val="en-GB"/>
        </w:rPr>
      </w:pPr>
      <w:r w:rsidRPr="00845FB7">
        <w:rPr>
          <w:rFonts w:cstheme="majorBidi"/>
          <w:sz w:val="28"/>
          <w:szCs w:val="28"/>
          <w:lang w:val="en-GB"/>
        </w:rPr>
        <w:t>Component 4.4. Cross-cutting activities</w:t>
      </w:r>
    </w:p>
    <w:p w14:paraId="03C0C556" w14:textId="77777777" w:rsidR="007B6CF2" w:rsidRPr="00845FB7" w:rsidRDefault="007B6CF2" w:rsidP="00BD36F8">
      <w:pPr>
        <w:spacing w:before="240"/>
        <w:rPr>
          <w:rFonts w:cstheme="majorBidi"/>
          <w:b/>
          <w:bCs/>
          <w:szCs w:val="20"/>
          <w:lang w:val="en-GB" w:eastAsia="en-GB"/>
        </w:rPr>
      </w:pPr>
      <w:r w:rsidRPr="00845FB7">
        <w:rPr>
          <w:rFonts w:cstheme="majorBidi"/>
          <w:b/>
          <w:bCs/>
          <w:lang w:val="en-GB" w:eastAsia="en-GB"/>
        </w:rPr>
        <w:t>OUTCOMES</w:t>
      </w:r>
    </w:p>
    <w:p w14:paraId="155F2912" w14:textId="77777777" w:rsidR="007B6CF2" w:rsidRPr="00845FB7" w:rsidRDefault="007B6CF2" w:rsidP="00BD36F8">
      <w:pPr>
        <w:spacing w:after="60"/>
        <w:rPr>
          <w:rFonts w:cstheme="majorBidi"/>
          <w:szCs w:val="20"/>
          <w:lang w:val="en-GB" w:eastAsia="en-GB"/>
        </w:rPr>
      </w:pPr>
      <w:r w:rsidRPr="00845FB7">
        <w:rPr>
          <w:rFonts w:cstheme="majorBidi"/>
          <w:szCs w:val="20"/>
          <w:lang w:val="en-GB" w:eastAsia="en-GB"/>
        </w:rPr>
        <w:t>Strengthened integrated capacities at the national and sub-regional levels to implement the Minamata Convention.</w:t>
      </w:r>
    </w:p>
    <w:p w14:paraId="15152BF7" w14:textId="6AF6E5D4" w:rsidR="00EA10F8" w:rsidRPr="00845FB7" w:rsidRDefault="007B6CF2" w:rsidP="00BD36F8">
      <w:pPr>
        <w:spacing w:before="240"/>
        <w:rPr>
          <w:rFonts w:cstheme="majorBidi"/>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 xml:space="preserve">(subject to the availability of </w:t>
      </w:r>
      <w:r w:rsidR="007F2954" w:rsidRPr="00845FB7">
        <w:rPr>
          <w:rFonts w:cstheme="majorBidi"/>
          <w:szCs w:val="20"/>
          <w:lang w:val="en-GB" w:eastAsia="en-GB"/>
        </w:rPr>
        <w:t>resources</w:t>
      </w:r>
      <w:r w:rsidRPr="00845FB7">
        <w:rPr>
          <w:rFonts w:cstheme="majorBidi"/>
          <w:szCs w:val="20"/>
          <w:lang w:val="en-GB" w:eastAsia="en-GB"/>
        </w:rPr>
        <w:t>)</w:t>
      </w:r>
    </w:p>
    <w:p w14:paraId="6AE86265" w14:textId="620888B5" w:rsidR="00EA10F8" w:rsidRPr="00845FB7" w:rsidRDefault="00EA10F8"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b/>
          <w:bCs/>
          <w:szCs w:val="20"/>
          <w:lang w:val="en-GB" w:eastAsia="en-GB"/>
        </w:rPr>
        <w:t xml:space="preserve">Sub-regional Trade and Supply Chain Training and Projects: </w:t>
      </w:r>
      <w:r w:rsidRPr="00845FB7">
        <w:rPr>
          <w:rFonts w:cstheme="majorBidi"/>
          <w:szCs w:val="20"/>
          <w:lang w:val="en-GB" w:eastAsia="en-GB"/>
        </w:rPr>
        <w:t xml:space="preserve">Deliver training and work with partners to </w:t>
      </w:r>
      <w:r w:rsidR="00CD3182" w:rsidRPr="00845FB7">
        <w:rPr>
          <w:rFonts w:cstheme="majorBidi"/>
          <w:szCs w:val="20"/>
          <w:lang w:val="en-GB" w:eastAsia="en-GB"/>
        </w:rPr>
        <w:t>build capacity</w:t>
      </w:r>
      <w:r w:rsidR="00090CE2" w:rsidRPr="00845FB7">
        <w:rPr>
          <w:rFonts w:cstheme="majorBidi"/>
          <w:szCs w:val="20"/>
          <w:lang w:val="en-GB" w:eastAsia="en-GB"/>
        </w:rPr>
        <w:t xml:space="preserve"> and implement pilot projects</w:t>
      </w:r>
      <w:r w:rsidR="00CD3182" w:rsidRPr="00845FB7">
        <w:rPr>
          <w:rFonts w:cstheme="majorBidi"/>
          <w:szCs w:val="20"/>
          <w:lang w:val="en-GB" w:eastAsia="en-GB"/>
        </w:rPr>
        <w:t xml:space="preserve"> to address</w:t>
      </w:r>
      <w:r w:rsidRPr="00845FB7">
        <w:rPr>
          <w:rFonts w:cstheme="majorBidi"/>
          <w:szCs w:val="20"/>
          <w:lang w:val="en-GB" w:eastAsia="en-GB"/>
        </w:rPr>
        <w:t xml:space="preserve"> trade and supply chain issues,</w:t>
      </w:r>
      <w:r w:rsidR="00C778C0" w:rsidRPr="00845FB7">
        <w:rPr>
          <w:rFonts w:cstheme="majorBidi"/>
          <w:szCs w:val="20"/>
          <w:lang w:val="en-GB" w:eastAsia="en-GB"/>
        </w:rPr>
        <w:t xml:space="preserve"> </w:t>
      </w:r>
      <w:r w:rsidR="00C3375D" w:rsidRPr="00845FB7">
        <w:rPr>
          <w:rFonts w:cstheme="majorBidi"/>
          <w:szCs w:val="20"/>
          <w:lang w:val="en-GB" w:eastAsia="en-GB"/>
        </w:rPr>
        <w:t xml:space="preserve">implement </w:t>
      </w:r>
      <w:r w:rsidR="00C778C0" w:rsidRPr="00845FB7">
        <w:rPr>
          <w:rFonts w:cstheme="majorBidi"/>
          <w:szCs w:val="20"/>
          <w:lang w:val="en-GB" w:eastAsia="en-GB"/>
        </w:rPr>
        <w:t xml:space="preserve">customs codes, </w:t>
      </w:r>
      <w:r w:rsidR="00DE394C" w:rsidRPr="00845FB7">
        <w:rPr>
          <w:rFonts w:cstheme="majorBidi"/>
          <w:szCs w:val="20"/>
          <w:lang w:val="en-GB" w:eastAsia="en-GB"/>
        </w:rPr>
        <w:t xml:space="preserve">and </w:t>
      </w:r>
      <w:r w:rsidR="00C778C0" w:rsidRPr="00845FB7">
        <w:rPr>
          <w:rFonts w:cstheme="majorBidi"/>
          <w:szCs w:val="20"/>
          <w:lang w:val="en-GB" w:eastAsia="en-GB"/>
        </w:rPr>
        <w:t>counter illegal trade in mercury and mercury-added products</w:t>
      </w:r>
      <w:r w:rsidR="0090621F" w:rsidRPr="00845FB7">
        <w:rPr>
          <w:rFonts w:cstheme="majorBidi"/>
          <w:szCs w:val="20"/>
          <w:lang w:val="en-GB" w:eastAsia="en-GB"/>
        </w:rPr>
        <w:t>, including through sub-regional workshops with relevant trade-related organizations</w:t>
      </w:r>
      <w:r w:rsidRPr="00845FB7">
        <w:rPr>
          <w:rFonts w:cstheme="majorBidi"/>
          <w:szCs w:val="20"/>
          <w:lang w:val="en-GB" w:eastAsia="en-GB"/>
        </w:rPr>
        <w:t>;</w:t>
      </w:r>
      <w:r w:rsidRPr="00845FB7" w:rsidDel="009F765B">
        <w:rPr>
          <w:rFonts w:cstheme="majorBidi"/>
          <w:szCs w:val="20"/>
          <w:lang w:val="en-GB" w:eastAsia="en-GB"/>
        </w:rPr>
        <w:t xml:space="preserve"> </w:t>
      </w:r>
    </w:p>
    <w:p w14:paraId="0DAC985C" w14:textId="18F472C8" w:rsidR="00DB6D77" w:rsidRPr="00845FB7" w:rsidRDefault="00DB6D77" w:rsidP="00BD36F8">
      <w:pPr>
        <w:pStyle w:val="ListParagraph"/>
        <w:numPr>
          <w:ilvl w:val="0"/>
          <w:numId w:val="3"/>
        </w:numPr>
        <w:spacing w:after="60"/>
        <w:ind w:left="714" w:hanging="357"/>
        <w:contextualSpacing w:val="0"/>
        <w:rPr>
          <w:rFonts w:cstheme="majorBidi"/>
          <w:szCs w:val="20"/>
          <w:lang w:val="en-GB" w:eastAsia="en-GB"/>
        </w:rPr>
      </w:pPr>
      <w:r w:rsidRPr="00845FB7">
        <w:rPr>
          <w:color w:val="000000" w:themeColor="text1"/>
          <w:lang w:val="en-GB"/>
        </w:rPr>
        <w:t>Promote the use of the technical document developed by the Secretariat on incorporating mercury action and targets on ASGM in the National Biodiversity Strategies and Action Plans under the Kunming-Montreal biodiversity Framework</w:t>
      </w:r>
    </w:p>
    <w:p w14:paraId="2A0EF115" w14:textId="588EF6E6" w:rsidR="00EA10F8" w:rsidRPr="00845FB7" w:rsidRDefault="1643A553" w:rsidP="6261A7C5">
      <w:pPr>
        <w:pStyle w:val="ListParagraph"/>
        <w:numPr>
          <w:ilvl w:val="0"/>
          <w:numId w:val="3"/>
        </w:numPr>
        <w:spacing w:after="60"/>
        <w:ind w:left="714" w:hanging="357"/>
        <w:rPr>
          <w:rFonts w:cstheme="majorBidi"/>
          <w:lang w:val="en-GB" w:eastAsia="en-GB"/>
        </w:rPr>
      </w:pPr>
      <w:r w:rsidRPr="00845FB7">
        <w:rPr>
          <w:rFonts w:cstheme="majorBidi"/>
          <w:b/>
          <w:bCs/>
          <w:lang w:val="en-GB" w:eastAsia="en-GB"/>
        </w:rPr>
        <w:t>Training for p</w:t>
      </w:r>
      <w:r w:rsidR="2BDFAE71" w:rsidRPr="00845FB7">
        <w:rPr>
          <w:rFonts w:cstheme="majorBidi"/>
          <w:b/>
          <w:bCs/>
          <w:lang w:val="en-GB" w:eastAsia="en-GB"/>
        </w:rPr>
        <w:t>opulations in vulnerable situations</w:t>
      </w:r>
      <w:r w:rsidR="00EA10F8" w:rsidRPr="00845FB7">
        <w:rPr>
          <w:rFonts w:cstheme="majorBidi"/>
          <w:b/>
          <w:bCs/>
          <w:lang w:val="en-GB" w:eastAsia="en-GB"/>
        </w:rPr>
        <w:t xml:space="preserve">: </w:t>
      </w:r>
      <w:r w:rsidR="00EA10F8" w:rsidRPr="00845FB7">
        <w:rPr>
          <w:rFonts w:cstheme="majorBidi"/>
          <w:lang w:val="en-GB" w:eastAsia="en-GB"/>
        </w:rPr>
        <w:t xml:space="preserve">To assist </w:t>
      </w:r>
      <w:r w:rsidR="003C37A9" w:rsidRPr="00845FB7">
        <w:rPr>
          <w:rFonts w:cstheme="majorBidi"/>
          <w:lang w:val="en-GB" w:eastAsia="en-GB"/>
        </w:rPr>
        <w:t>P</w:t>
      </w:r>
      <w:r w:rsidR="00EA10F8" w:rsidRPr="00845FB7">
        <w:rPr>
          <w:rFonts w:cstheme="majorBidi"/>
          <w:lang w:val="en-GB" w:eastAsia="en-GB"/>
        </w:rPr>
        <w:t xml:space="preserve">arties in </w:t>
      </w:r>
      <w:r w:rsidR="6621750C" w:rsidRPr="00845FB7">
        <w:rPr>
          <w:rFonts w:cstheme="majorBidi"/>
          <w:lang w:val="en-GB" w:eastAsia="en-GB"/>
        </w:rPr>
        <w:t xml:space="preserve">advancing </w:t>
      </w:r>
      <w:r w:rsidR="00EA10F8" w:rsidRPr="00845FB7">
        <w:rPr>
          <w:rFonts w:cstheme="majorBidi"/>
          <w:lang w:val="en-GB" w:eastAsia="en-GB"/>
        </w:rPr>
        <w:t xml:space="preserve">implementation of </w:t>
      </w:r>
      <w:r w:rsidR="22D2157D" w:rsidRPr="00845FB7">
        <w:rPr>
          <w:rFonts w:cstheme="majorBidi"/>
          <w:lang w:val="en-GB" w:eastAsia="en-GB"/>
        </w:rPr>
        <w:t>decision MC-5/15</w:t>
      </w:r>
      <w:r w:rsidR="00EA10F8" w:rsidRPr="00845FB7">
        <w:rPr>
          <w:rFonts w:cstheme="majorBidi"/>
          <w:lang w:val="en-GB" w:eastAsia="en-GB"/>
        </w:rPr>
        <w:t xml:space="preserve"> </w:t>
      </w:r>
      <w:r w:rsidR="004F6CB5" w:rsidRPr="00845FB7">
        <w:rPr>
          <w:rFonts w:cstheme="majorBidi"/>
          <w:lang w:val="en-GB" w:eastAsia="en-GB"/>
        </w:rPr>
        <w:t>on gender action plan</w:t>
      </w:r>
      <w:r w:rsidR="00EA10F8" w:rsidRPr="00845FB7">
        <w:rPr>
          <w:rFonts w:cstheme="majorBidi"/>
          <w:lang w:val="en-GB" w:eastAsia="en-GB"/>
        </w:rPr>
        <w:t>, deploy targeted training for national focal points</w:t>
      </w:r>
      <w:r w:rsidR="008E3C69" w:rsidRPr="00845FB7">
        <w:rPr>
          <w:rFonts w:cstheme="majorBidi"/>
          <w:lang w:val="en-GB" w:eastAsia="en-GB"/>
        </w:rPr>
        <w:t>, project focal points,</w:t>
      </w:r>
      <w:r w:rsidR="00EA10F8" w:rsidRPr="00845FB7">
        <w:rPr>
          <w:rFonts w:cstheme="majorBidi"/>
          <w:lang w:val="en-GB" w:eastAsia="en-GB"/>
        </w:rPr>
        <w:t xml:space="preserve"> and other stakeholders, via e-learning and/or in conjunction with other relevant </w:t>
      </w:r>
      <w:r w:rsidR="00FB595F" w:rsidRPr="00845FB7">
        <w:rPr>
          <w:rFonts w:cstheme="majorBidi"/>
          <w:lang w:val="en-GB" w:eastAsia="en-GB"/>
        </w:rPr>
        <w:t xml:space="preserve">training and capacity-building </w:t>
      </w:r>
      <w:r w:rsidR="00EA10F8" w:rsidRPr="00845FB7">
        <w:rPr>
          <w:rFonts w:cstheme="majorBidi"/>
          <w:lang w:val="en-GB" w:eastAsia="en-GB"/>
        </w:rPr>
        <w:t>events at national and sub-regional levels</w:t>
      </w:r>
      <w:r w:rsidR="001D53B7" w:rsidRPr="00845FB7">
        <w:rPr>
          <w:rFonts w:cstheme="majorBidi"/>
          <w:lang w:val="en-GB" w:eastAsia="en-GB"/>
        </w:rPr>
        <w:t xml:space="preserve">, such as through incorporation into trainings </w:t>
      </w:r>
      <w:r w:rsidR="00335647" w:rsidRPr="00845FB7">
        <w:rPr>
          <w:rFonts w:cstheme="majorBidi"/>
          <w:lang w:val="en-GB" w:eastAsia="en-GB"/>
        </w:rPr>
        <w:t xml:space="preserve">deployed </w:t>
      </w:r>
      <w:r w:rsidR="00732038" w:rsidRPr="00845FB7">
        <w:rPr>
          <w:rFonts w:cstheme="majorBidi"/>
          <w:lang w:val="en-GB" w:eastAsia="en-GB"/>
        </w:rPr>
        <w:t>in Component 4.2</w:t>
      </w:r>
      <w:r w:rsidR="00E468A3" w:rsidRPr="00845FB7">
        <w:rPr>
          <w:rFonts w:cstheme="majorBidi"/>
          <w:lang w:val="en-GB" w:eastAsia="en-GB"/>
        </w:rPr>
        <w:t xml:space="preserve">. All training materials would be available </w:t>
      </w:r>
      <w:r w:rsidR="0098052A" w:rsidRPr="00845FB7">
        <w:rPr>
          <w:rFonts w:cstheme="majorBidi"/>
          <w:lang w:val="en-GB" w:eastAsia="en-GB"/>
        </w:rPr>
        <w:t xml:space="preserve">for use at the </w:t>
      </w:r>
      <w:r w:rsidR="00C62489" w:rsidRPr="00845FB7">
        <w:rPr>
          <w:rFonts w:cstheme="majorBidi"/>
          <w:lang w:val="en-GB" w:eastAsia="en-GB"/>
        </w:rPr>
        <w:t xml:space="preserve">national and regional levels by other partners, including national focal points, project focal points, and </w:t>
      </w:r>
      <w:r w:rsidR="00C62489" w:rsidRPr="00845FB7">
        <w:rPr>
          <w:lang w:val="en-GB"/>
        </w:rPr>
        <w:t xml:space="preserve">regional and subregional centres of the Basel Convention on the Control of Transboundary Movements of Hazardous Wastes and Their Disposal and the Stockholm Convention on Persistent Organic Pollutants, for </w:t>
      </w:r>
      <w:r w:rsidR="005E5AEB" w:rsidRPr="00845FB7">
        <w:rPr>
          <w:lang w:val="en-GB"/>
        </w:rPr>
        <w:t>adaptation and further use.</w:t>
      </w:r>
      <w:r w:rsidR="00EA10F8" w:rsidRPr="00845FB7">
        <w:rPr>
          <w:rFonts w:cstheme="majorBidi"/>
          <w:lang w:val="en-GB"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7B6CF2" w:rsidRPr="00845FB7" w14:paraId="5E8654B2" w14:textId="77777777" w:rsidTr="007B6CF2">
        <w:tc>
          <w:tcPr>
            <w:tcW w:w="4508" w:type="dxa"/>
          </w:tcPr>
          <w:p w14:paraId="7FBD3C32" w14:textId="77777777" w:rsidR="007B6CF2" w:rsidRPr="00845FB7" w:rsidRDefault="007B6CF2" w:rsidP="00826417">
            <w:pPr>
              <w:keepNext/>
              <w:spacing w:before="240" w:after="120"/>
              <w:ind w:left="363"/>
              <w:rPr>
                <w:rFonts w:cstheme="majorBidi"/>
                <w:b/>
                <w:bCs/>
                <w:szCs w:val="20"/>
                <w:lang w:val="en-GB" w:eastAsia="en-GB"/>
              </w:rPr>
            </w:pPr>
            <w:r w:rsidRPr="00845FB7">
              <w:rPr>
                <w:rFonts w:cstheme="majorBidi"/>
                <w:b/>
                <w:bCs/>
                <w:szCs w:val="20"/>
                <w:lang w:val="en-GB" w:eastAsia="en-GB"/>
              </w:rPr>
              <w:lastRenderedPageBreak/>
              <w:t>INDICATORS OF ACHIEVEMENT</w:t>
            </w:r>
          </w:p>
          <w:p w14:paraId="049805B4" w14:textId="7162709E" w:rsidR="00140858" w:rsidRPr="00845FB7" w:rsidRDefault="00140858" w:rsidP="00826417">
            <w:pPr>
              <w:pStyle w:val="ListParagraph"/>
              <w:keepNext/>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Sub-regional trainings delivered in at least two regions;</w:t>
            </w:r>
          </w:p>
          <w:p w14:paraId="571F904C" w14:textId="60C6FDD1" w:rsidR="00140858" w:rsidRPr="00845FB7" w:rsidRDefault="00845FB7" w:rsidP="00826417">
            <w:pPr>
              <w:pStyle w:val="ListParagraph"/>
              <w:keepNext/>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Four</w:t>
            </w:r>
            <w:r w:rsidR="00140858" w:rsidRPr="00845FB7">
              <w:rPr>
                <w:rFonts w:cstheme="majorBidi"/>
                <w:szCs w:val="20"/>
                <w:lang w:val="en-GB" w:eastAsia="en-GB"/>
              </w:rPr>
              <w:t xml:space="preserve"> sub-regional pilot projects implemented in two regions;</w:t>
            </w:r>
          </w:p>
          <w:p w14:paraId="44E026A8" w14:textId="2DEC239C" w:rsidR="007B6CF2" w:rsidRPr="00845FB7" w:rsidRDefault="5A5D422D" w:rsidP="00826417">
            <w:pPr>
              <w:pStyle w:val="ListParagraph"/>
              <w:keepNext/>
              <w:numPr>
                <w:ilvl w:val="0"/>
                <w:numId w:val="5"/>
              </w:numPr>
              <w:spacing w:after="60"/>
              <w:ind w:left="714" w:hanging="357"/>
              <w:rPr>
                <w:rFonts w:cstheme="majorBidi"/>
                <w:lang w:val="en-GB" w:eastAsia="en-GB"/>
              </w:rPr>
            </w:pPr>
            <w:r w:rsidRPr="00845FB7">
              <w:rPr>
                <w:rFonts w:cstheme="majorBidi"/>
                <w:lang w:val="en-GB" w:eastAsia="en-GB"/>
              </w:rPr>
              <w:t>T</w:t>
            </w:r>
            <w:r w:rsidR="00140858" w:rsidRPr="00845FB7">
              <w:rPr>
                <w:rFonts w:cstheme="majorBidi"/>
                <w:lang w:val="en-GB" w:eastAsia="en-GB"/>
              </w:rPr>
              <w:t>raining delivered in two regions.</w:t>
            </w:r>
          </w:p>
        </w:tc>
        <w:tc>
          <w:tcPr>
            <w:tcW w:w="4508" w:type="dxa"/>
          </w:tcPr>
          <w:p w14:paraId="6637D0F9" w14:textId="77777777" w:rsidR="007B6CF2" w:rsidRPr="00845FB7" w:rsidRDefault="007B6CF2" w:rsidP="00826417">
            <w:pPr>
              <w:keepNext/>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64ABE3CF" w14:textId="2DB90357" w:rsidR="00E839DE" w:rsidRPr="00845FB7" w:rsidRDefault="00E839DE" w:rsidP="00826417">
            <w:pPr>
              <w:pStyle w:val="ListParagraph"/>
              <w:keepNext/>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Training materials and reports;</w:t>
            </w:r>
          </w:p>
          <w:p w14:paraId="314F71EA" w14:textId="77777777" w:rsidR="00E839DE" w:rsidRPr="00845FB7" w:rsidRDefault="00E839DE" w:rsidP="00826417">
            <w:pPr>
              <w:pStyle w:val="ListParagraph"/>
              <w:keepNext/>
              <w:numPr>
                <w:ilvl w:val="0"/>
                <w:numId w:val="4"/>
              </w:numPr>
              <w:spacing w:after="60"/>
              <w:ind w:left="714" w:hanging="357"/>
              <w:contextualSpacing w:val="0"/>
              <w:rPr>
                <w:rFonts w:cstheme="majorBidi"/>
                <w:szCs w:val="20"/>
                <w:lang w:val="en-GB" w:eastAsia="en-GB"/>
              </w:rPr>
            </w:pPr>
            <w:r w:rsidRPr="00845FB7">
              <w:rPr>
                <w:rFonts w:cstheme="majorBidi"/>
                <w:szCs w:val="20"/>
                <w:lang w:val="en-GB" w:eastAsia="en-GB"/>
              </w:rPr>
              <w:t>Concept notes and project reports for pilot projects;</w:t>
            </w:r>
          </w:p>
          <w:p w14:paraId="4FDFF9FE" w14:textId="16D2ADA3" w:rsidR="007B6CF2" w:rsidRPr="00845FB7" w:rsidRDefault="3D47F7F9" w:rsidP="00826417">
            <w:pPr>
              <w:pStyle w:val="ListParagraph"/>
              <w:keepNext/>
              <w:numPr>
                <w:ilvl w:val="0"/>
                <w:numId w:val="4"/>
              </w:numPr>
              <w:spacing w:after="60"/>
              <w:ind w:left="714" w:hanging="357"/>
              <w:rPr>
                <w:rFonts w:cstheme="majorBidi"/>
                <w:lang w:val="en-GB" w:eastAsia="en-GB"/>
              </w:rPr>
            </w:pPr>
            <w:r w:rsidRPr="00845FB7">
              <w:rPr>
                <w:rFonts w:cstheme="majorBidi"/>
                <w:lang w:val="en-GB" w:eastAsia="en-GB"/>
              </w:rPr>
              <w:t>T</w:t>
            </w:r>
            <w:r w:rsidR="00E839DE" w:rsidRPr="00845FB7">
              <w:rPr>
                <w:rFonts w:cstheme="majorBidi"/>
                <w:lang w:val="en-GB" w:eastAsia="en-GB"/>
              </w:rPr>
              <w:t>raining participant lists</w:t>
            </w:r>
            <w:r w:rsidR="00EB0F0B" w:rsidRPr="00845FB7">
              <w:rPr>
                <w:rFonts w:cstheme="majorBidi"/>
                <w:lang w:val="en-GB" w:eastAsia="en-GB"/>
              </w:rPr>
              <w:t>.</w:t>
            </w:r>
          </w:p>
        </w:tc>
      </w:tr>
    </w:tbl>
    <w:p w14:paraId="626C1F2E" w14:textId="11275F7E" w:rsidR="007B6CF2" w:rsidRPr="00845FB7" w:rsidRDefault="007B6CF2" w:rsidP="00BD36F8">
      <w:pPr>
        <w:pStyle w:val="Heading3"/>
        <w:rPr>
          <w:sz w:val="24"/>
          <w:lang w:val="en-GB"/>
        </w:rPr>
      </w:pPr>
      <w:r w:rsidRPr="00845FB7">
        <w:rPr>
          <w:sz w:val="24"/>
          <w:lang w:val="en-GB"/>
        </w:rPr>
        <w:t>Partners</w:t>
      </w:r>
    </w:p>
    <w:p w14:paraId="68F524D7" w14:textId="117266AE" w:rsidR="007B6CF2" w:rsidRPr="00845FB7" w:rsidRDefault="001A1C56" w:rsidP="00BD36F8">
      <w:pPr>
        <w:spacing w:after="60" w:line="276" w:lineRule="auto"/>
        <w:rPr>
          <w:rFonts w:cstheme="majorBidi"/>
          <w:szCs w:val="20"/>
          <w:lang w:val="en-GB"/>
        </w:rPr>
      </w:pPr>
      <w:r w:rsidRPr="00845FB7">
        <w:rPr>
          <w:rFonts w:cstheme="majorBidi"/>
          <w:szCs w:val="20"/>
          <w:lang w:val="en-GB"/>
        </w:rPr>
        <w:t xml:space="preserve">The </w:t>
      </w:r>
      <w:r w:rsidR="007B719E" w:rsidRPr="00845FB7">
        <w:rPr>
          <w:rFonts w:cstheme="majorBidi"/>
          <w:szCs w:val="20"/>
          <w:lang w:val="en-GB"/>
        </w:rPr>
        <w:t>S</w:t>
      </w:r>
      <w:r w:rsidRPr="00845FB7">
        <w:rPr>
          <w:rFonts w:cstheme="majorBidi"/>
          <w:szCs w:val="20"/>
          <w:lang w:val="en-GB"/>
        </w:rPr>
        <w:t xml:space="preserve">ecretariat’s capacity-building and technical assistance programme leverages partnerships and builds on the expertise of the many actors in the chemicals and waste cluster. This includes the UNEP Chemicals and Health Branch, UNEP Global Mercury Partnership, the Secretariat of the Basel, Rotterdam and Stockholm </w:t>
      </w:r>
      <w:r w:rsidR="00A853CC" w:rsidRPr="00845FB7">
        <w:rPr>
          <w:rFonts w:cstheme="majorBidi"/>
          <w:szCs w:val="20"/>
          <w:lang w:val="en-GB"/>
        </w:rPr>
        <w:t>c</w:t>
      </w:r>
      <w:r w:rsidRPr="00845FB7">
        <w:rPr>
          <w:rFonts w:cstheme="majorBidi"/>
          <w:szCs w:val="20"/>
          <w:lang w:val="en-GB"/>
        </w:rPr>
        <w:t xml:space="preserve">onventions, </w:t>
      </w:r>
      <w:r w:rsidR="00EC4DB1" w:rsidRPr="00845FB7">
        <w:rPr>
          <w:rFonts w:cstheme="majorBidi"/>
          <w:szCs w:val="20"/>
          <w:lang w:val="en-GB"/>
        </w:rPr>
        <w:t xml:space="preserve">the </w:t>
      </w:r>
      <w:r w:rsidR="00C2527B" w:rsidRPr="00845FB7">
        <w:rPr>
          <w:lang w:val="en-GB"/>
        </w:rPr>
        <w:t>regional</w:t>
      </w:r>
      <w:r w:rsidRPr="00845FB7">
        <w:rPr>
          <w:lang w:val="en-GB"/>
        </w:rPr>
        <w:t xml:space="preserve"> and </w:t>
      </w:r>
      <w:r w:rsidR="00C2527B" w:rsidRPr="00845FB7">
        <w:rPr>
          <w:lang w:val="en-GB"/>
        </w:rPr>
        <w:t>subregional centres of</w:t>
      </w:r>
      <w:r w:rsidRPr="00845FB7">
        <w:rPr>
          <w:lang w:val="en-GB"/>
        </w:rPr>
        <w:t xml:space="preserve"> </w:t>
      </w:r>
      <w:r w:rsidR="00EC4DB1" w:rsidRPr="00845FB7">
        <w:rPr>
          <w:lang w:val="en-GB"/>
        </w:rPr>
        <w:t xml:space="preserve">the Basel Convention </w:t>
      </w:r>
      <w:r w:rsidR="00C2527B" w:rsidRPr="00845FB7">
        <w:rPr>
          <w:lang w:val="en-GB"/>
        </w:rPr>
        <w:t xml:space="preserve">on the Control of Transboundary Movements of Hazardous Wastes and Their Disposal and the </w:t>
      </w:r>
      <w:r w:rsidR="00EC4DB1" w:rsidRPr="00845FB7">
        <w:rPr>
          <w:lang w:val="en-GB"/>
        </w:rPr>
        <w:t xml:space="preserve">Stockholm Convention </w:t>
      </w:r>
      <w:r w:rsidR="00C2527B" w:rsidRPr="00845FB7">
        <w:rPr>
          <w:lang w:val="en-GB"/>
        </w:rPr>
        <w:t>on Persistent Organic Pollutants</w:t>
      </w:r>
      <w:r w:rsidR="00EC4DB1" w:rsidRPr="00845FB7">
        <w:rPr>
          <w:rFonts w:cstheme="majorBidi"/>
          <w:szCs w:val="20"/>
          <w:lang w:val="en-GB"/>
        </w:rPr>
        <w:t xml:space="preserve">, </w:t>
      </w:r>
      <w:r w:rsidR="00C14BA7" w:rsidRPr="00845FB7">
        <w:rPr>
          <w:rFonts w:cstheme="majorBidi"/>
          <w:szCs w:val="20"/>
          <w:lang w:val="en-GB"/>
        </w:rPr>
        <w:t xml:space="preserve">the Global Framework on Chemicals, and </w:t>
      </w:r>
      <w:r w:rsidRPr="00845FB7">
        <w:rPr>
          <w:rFonts w:cstheme="majorBidi"/>
          <w:szCs w:val="20"/>
          <w:lang w:val="en-GB"/>
        </w:rPr>
        <w:t>the UNEP Regional Offices. IOMC organizations may be invited to contribute and participate in the workshops and projects, as appropriate. Other relevant key stakeholders are the Green Customs Initiative, the World Customs Organization, Interpol, and other multilateral environmental agreements (MEAs). Partners may also include the research institutions, non-governmental organizations and private sector organizations</w:t>
      </w:r>
      <w:r w:rsidR="007B6CF2" w:rsidRPr="00845FB7">
        <w:rPr>
          <w:rFonts w:cstheme="majorBidi"/>
          <w:szCs w:val="20"/>
          <w:lang w:val="en-GB"/>
        </w:rPr>
        <w:t>.</w:t>
      </w:r>
    </w:p>
    <w:p w14:paraId="1F9332FC" w14:textId="7CC33B65" w:rsidR="007B6CF2" w:rsidRPr="00845FB7" w:rsidRDefault="007B6CF2" w:rsidP="007B6CF2">
      <w:pPr>
        <w:pStyle w:val="Heading3"/>
        <w:rPr>
          <w:sz w:val="24"/>
          <w:lang w:val="en-GB"/>
        </w:rPr>
      </w:pPr>
      <w:r w:rsidRPr="00845FB7">
        <w:rPr>
          <w:sz w:val="24"/>
          <w:lang w:val="en-GB"/>
        </w:rPr>
        <w:t>Socio-economic aspects</w:t>
      </w:r>
    </w:p>
    <w:p w14:paraId="6D17B015" w14:textId="77777777" w:rsidR="007B6CF2" w:rsidRPr="00845FB7" w:rsidRDefault="007B6CF2"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The capacity-building and technical assistance programme of the Minamata Convention will contribute directly to the achievement of the 2030 Agenda for Sustainable Development. </w:t>
      </w:r>
      <w:proofErr w:type="gramStart"/>
      <w:r w:rsidRPr="00845FB7">
        <w:rPr>
          <w:rFonts w:cstheme="majorBidi"/>
          <w:szCs w:val="20"/>
          <w:lang w:val="en-GB"/>
        </w:rPr>
        <w:t>In particular, significant</w:t>
      </w:r>
      <w:proofErr w:type="gramEnd"/>
      <w:r w:rsidRPr="00845FB7">
        <w:rPr>
          <w:rFonts w:cstheme="majorBidi"/>
          <w:szCs w:val="20"/>
          <w:lang w:val="en-GB"/>
        </w:rPr>
        <w:t xml:space="preserve"> contributions will be made to the following targets:</w:t>
      </w:r>
    </w:p>
    <w:p w14:paraId="40CAFADB" w14:textId="77777777" w:rsidR="007B6CF2" w:rsidRPr="00845FB7" w:rsidRDefault="007B6CF2" w:rsidP="00BD36F8">
      <w:pPr>
        <w:spacing w:after="120" w:line="276" w:lineRule="auto"/>
        <w:rPr>
          <w:rFonts w:cstheme="majorBidi"/>
          <w:szCs w:val="20"/>
          <w:lang w:val="en-GB"/>
        </w:rPr>
      </w:pPr>
      <w:r w:rsidRPr="00845FB7">
        <w:rPr>
          <w:rFonts w:cstheme="majorBidi"/>
          <w:szCs w:val="20"/>
          <w:lang w:val="en-GB"/>
        </w:rPr>
        <w:t>Target 3.9: By 2030, substantially reduce the number of deaths and illnesses from hazardous chemicals and air, water and soil pollution and contamination</w:t>
      </w:r>
    </w:p>
    <w:p w14:paraId="46068CAF" w14:textId="77777777" w:rsidR="007B6CF2" w:rsidRPr="00845FB7" w:rsidRDefault="007B6CF2" w:rsidP="00BD36F8">
      <w:pPr>
        <w:spacing w:after="120" w:line="276" w:lineRule="auto"/>
        <w:rPr>
          <w:rFonts w:cstheme="majorBidi"/>
          <w:szCs w:val="20"/>
          <w:lang w:val="en-GB"/>
        </w:rPr>
      </w:pPr>
      <w:r w:rsidRPr="00845FB7">
        <w:rPr>
          <w:rFonts w:cstheme="majorBidi"/>
          <w:szCs w:val="20"/>
          <w:lang w:val="en-GB"/>
        </w:rPr>
        <w:t>Target 6.3: By 2030, improve water quality by reducing pollution, eliminating dumping and minimizing release of hazardous chemicals and materials, halving the proportion of untreated wastewater and substantially increasing recycling and safe reuse globally</w:t>
      </w:r>
    </w:p>
    <w:p w14:paraId="044FE959" w14:textId="77777777" w:rsidR="007B6CF2" w:rsidRPr="00845FB7" w:rsidRDefault="007B6CF2" w:rsidP="00BD36F8">
      <w:pPr>
        <w:spacing w:after="120" w:line="276" w:lineRule="auto"/>
        <w:rPr>
          <w:rFonts w:cstheme="majorBidi"/>
          <w:szCs w:val="20"/>
          <w:lang w:val="en-GB"/>
        </w:rPr>
      </w:pPr>
      <w:r w:rsidRPr="00845FB7">
        <w:rPr>
          <w:rFonts w:cstheme="majorBidi"/>
          <w:szCs w:val="20"/>
          <w:lang w:val="en-GB"/>
        </w:rPr>
        <w:t xml:space="preserve">Target 12.4: By 2020, achieve the environmentally sound management of chemicals and all wastes throughout their life cycle, in accordance with agreed international frameworks, and significantly reduce their release to air, water and soil </w:t>
      </w:r>
      <w:proofErr w:type="gramStart"/>
      <w:r w:rsidRPr="00845FB7">
        <w:rPr>
          <w:rFonts w:cstheme="majorBidi"/>
          <w:szCs w:val="20"/>
          <w:lang w:val="en-GB"/>
        </w:rPr>
        <w:t>in order to</w:t>
      </w:r>
      <w:proofErr w:type="gramEnd"/>
      <w:r w:rsidRPr="00845FB7">
        <w:rPr>
          <w:rFonts w:cstheme="majorBidi"/>
          <w:szCs w:val="20"/>
          <w:lang w:val="en-GB"/>
        </w:rPr>
        <w:t xml:space="preserve"> minimize their adverse impacts on human health and the environment.</w:t>
      </w:r>
    </w:p>
    <w:p w14:paraId="0A2747F6" w14:textId="529208CC" w:rsidR="007B6CF2" w:rsidRPr="00845FB7" w:rsidRDefault="4370C24A" w:rsidP="00BD36F8">
      <w:pPr>
        <w:spacing w:after="120" w:line="276" w:lineRule="auto"/>
        <w:rPr>
          <w:rFonts w:cstheme="majorBidi"/>
          <w:lang w:val="en-GB"/>
        </w:rPr>
        <w:sectPr w:rsidR="007B6CF2" w:rsidRPr="00845FB7" w:rsidSect="00BD36F8">
          <w:footerReference w:type="default" r:id="rId34"/>
          <w:headerReference w:type="first" r:id="rId35"/>
          <w:footerReference w:type="first" r:id="rId36"/>
          <w:type w:val="continuous"/>
          <w:pgSz w:w="11906" w:h="16838" w:code="9"/>
          <w:pgMar w:top="907" w:right="992" w:bottom="1418" w:left="1418" w:header="539" w:footer="975" w:gutter="0"/>
          <w:cols w:space="708"/>
          <w:titlePg/>
          <w:docGrid w:linePitch="360"/>
        </w:sectPr>
      </w:pPr>
      <w:r w:rsidRPr="00845FB7">
        <w:rPr>
          <w:rFonts w:cstheme="majorBidi"/>
          <w:b/>
          <w:bCs/>
          <w:lang w:val="en-GB"/>
        </w:rPr>
        <w:t>Populations in vulnerable situations</w:t>
      </w:r>
      <w:r w:rsidR="007B6CF2" w:rsidRPr="00845FB7">
        <w:rPr>
          <w:rFonts w:cstheme="majorBidi"/>
          <w:b/>
          <w:bCs/>
          <w:lang w:val="en-GB"/>
        </w:rPr>
        <w:t xml:space="preserve">: </w:t>
      </w:r>
      <w:r w:rsidR="007B6CF2" w:rsidRPr="00845FB7">
        <w:rPr>
          <w:rFonts w:cstheme="majorBidi"/>
          <w:lang w:val="en-GB"/>
        </w:rPr>
        <w:t>The capacity-building and technical assistance programme of the Minamata Convention will give due consideration to the differential needs</w:t>
      </w:r>
      <w:r w:rsidR="008234C6" w:rsidRPr="00845FB7">
        <w:rPr>
          <w:rFonts w:cstheme="majorBidi"/>
          <w:lang w:val="en-GB"/>
        </w:rPr>
        <w:t xml:space="preserve"> of, and risks and impacts on,</w:t>
      </w:r>
      <w:r w:rsidR="007B6CF2" w:rsidRPr="00845FB7">
        <w:rPr>
          <w:rFonts w:cstheme="majorBidi"/>
          <w:lang w:val="en-GB"/>
        </w:rPr>
        <w:t xml:space="preserve"> men</w:t>
      </w:r>
      <w:r w:rsidR="00FD6E52" w:rsidRPr="00845FB7">
        <w:rPr>
          <w:rFonts w:cstheme="majorBidi"/>
          <w:lang w:val="en-GB"/>
        </w:rPr>
        <w:t xml:space="preserve"> and</w:t>
      </w:r>
      <w:r w:rsidR="007B6CF2" w:rsidRPr="00845FB7">
        <w:rPr>
          <w:rFonts w:cstheme="majorBidi"/>
          <w:lang w:val="en-GB"/>
        </w:rPr>
        <w:t xml:space="preserve"> women a</w:t>
      </w:r>
      <w:r w:rsidR="00FD6E52" w:rsidRPr="00845FB7">
        <w:rPr>
          <w:rFonts w:cstheme="majorBidi"/>
          <w:lang w:val="en-GB"/>
        </w:rPr>
        <w:t xml:space="preserve">s well as </w:t>
      </w:r>
      <w:r w:rsidR="008234C6" w:rsidRPr="00845FB7">
        <w:rPr>
          <w:rFonts w:cstheme="majorBidi"/>
          <w:lang w:val="en-GB"/>
        </w:rPr>
        <w:t xml:space="preserve">to </w:t>
      </w:r>
      <w:r w:rsidR="00AF132C" w:rsidRPr="00845FB7">
        <w:rPr>
          <w:rFonts w:cstheme="majorBidi"/>
          <w:lang w:val="en-GB"/>
        </w:rPr>
        <w:t xml:space="preserve">unique challenges faced by </w:t>
      </w:r>
      <w:r w:rsidR="007B6CF2" w:rsidRPr="00845FB7">
        <w:rPr>
          <w:rFonts w:cstheme="majorBidi"/>
          <w:lang w:val="en-GB"/>
        </w:rPr>
        <w:t>populations</w:t>
      </w:r>
      <w:r w:rsidR="2BA33E6A" w:rsidRPr="00845FB7">
        <w:rPr>
          <w:rFonts w:cstheme="majorBidi"/>
          <w:lang w:val="en-GB"/>
        </w:rPr>
        <w:t xml:space="preserve"> vulnerable </w:t>
      </w:r>
      <w:r w:rsidR="00664FE3" w:rsidRPr="00845FB7">
        <w:rPr>
          <w:rFonts w:cstheme="majorBidi"/>
          <w:lang w:val="en-GB"/>
        </w:rPr>
        <w:t>to mercury exposure</w:t>
      </w:r>
      <w:r w:rsidR="007B6CF2" w:rsidRPr="00845FB7">
        <w:rPr>
          <w:rFonts w:cstheme="majorBidi"/>
          <w:lang w:val="en-GB"/>
        </w:rPr>
        <w:t>. The programme will promote a multi-stakeholder approach to raise awareness of the linkages between mercury exposure</w:t>
      </w:r>
      <w:r w:rsidR="00C135AA" w:rsidRPr="00845FB7">
        <w:rPr>
          <w:rFonts w:cstheme="majorBidi"/>
          <w:lang w:val="en-GB"/>
        </w:rPr>
        <w:t xml:space="preserve"> and</w:t>
      </w:r>
      <w:r w:rsidR="007B6CF2" w:rsidRPr="00845FB7">
        <w:rPr>
          <w:rFonts w:cstheme="majorBidi"/>
          <w:lang w:val="en-GB"/>
        </w:rPr>
        <w:t xml:space="preserve"> the effects on human health</w:t>
      </w:r>
      <w:r w:rsidR="00BA7412" w:rsidRPr="00845FB7">
        <w:rPr>
          <w:rFonts w:cstheme="majorBidi"/>
          <w:lang w:val="en-GB"/>
        </w:rPr>
        <w:t>.</w:t>
      </w:r>
    </w:p>
    <w:p w14:paraId="27BA2C97" w14:textId="0AACD4FC" w:rsidR="00372C85" w:rsidRPr="00845FB7" w:rsidRDefault="007B6CF2" w:rsidP="00F9588D">
      <w:pPr>
        <w:pStyle w:val="Heading3"/>
        <w:rPr>
          <w:sz w:val="24"/>
          <w:lang w:val="en-GB"/>
        </w:rPr>
      </w:pPr>
      <w:r w:rsidRPr="00845FB7">
        <w:rPr>
          <w:sz w:val="24"/>
          <w:lang w:val="en-GB"/>
        </w:rPr>
        <w:lastRenderedPageBreak/>
        <w:t>Resources requirements</w:t>
      </w:r>
      <w:r w:rsidR="00F452E3" w:rsidRPr="00845FB7">
        <w:rPr>
          <w:sz w:val="24"/>
          <w:lang w:val="en-GB"/>
        </w:rPr>
        <w:t xml:space="preserve"> </w:t>
      </w:r>
    </w:p>
    <w:tbl>
      <w:tblPr>
        <w:tblW w:w="5062" w:type="pct"/>
        <w:tblLayout w:type="fixed"/>
        <w:tblLook w:val="04A0" w:firstRow="1" w:lastRow="0" w:firstColumn="1" w:lastColumn="0" w:noHBand="0" w:noVBand="1"/>
      </w:tblPr>
      <w:tblGrid>
        <w:gridCol w:w="3538"/>
        <w:gridCol w:w="905"/>
        <w:gridCol w:w="908"/>
        <w:gridCol w:w="911"/>
        <w:gridCol w:w="908"/>
        <w:gridCol w:w="905"/>
        <w:gridCol w:w="1136"/>
        <w:gridCol w:w="683"/>
        <w:gridCol w:w="908"/>
        <w:gridCol w:w="905"/>
        <w:gridCol w:w="908"/>
        <w:gridCol w:w="908"/>
        <w:gridCol w:w="1074"/>
      </w:tblGrid>
      <w:tr w:rsidR="0053720F" w:rsidRPr="00845FB7" w14:paraId="559AB54C" w14:textId="77777777" w:rsidTr="0029720C">
        <w:trPr>
          <w:trHeight w:val="300"/>
        </w:trPr>
        <w:tc>
          <w:tcPr>
            <w:tcW w:w="1212" w:type="pct"/>
            <w:vMerge w:val="restart"/>
            <w:tcBorders>
              <w:top w:val="single" w:sz="4" w:space="0" w:color="auto"/>
              <w:left w:val="single" w:sz="4" w:space="0" w:color="auto"/>
              <w:right w:val="single" w:sz="4" w:space="0" w:color="auto"/>
            </w:tcBorders>
            <w:noWrap/>
            <w:vAlign w:val="center"/>
            <w:hideMark/>
          </w:tcPr>
          <w:p w14:paraId="2C4D5C2C" w14:textId="77777777" w:rsidR="00372C85" w:rsidRPr="00845FB7" w:rsidRDefault="00372C85">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Activity/Output</w:t>
            </w:r>
          </w:p>
        </w:tc>
        <w:tc>
          <w:tcPr>
            <w:tcW w:w="1943" w:type="pct"/>
            <w:gridSpan w:val="6"/>
            <w:tcBorders>
              <w:top w:val="single" w:sz="4" w:space="0" w:color="auto"/>
              <w:left w:val="nil"/>
              <w:bottom w:val="single" w:sz="4" w:space="0" w:color="auto"/>
              <w:right w:val="single" w:sz="4" w:space="0" w:color="auto"/>
            </w:tcBorders>
            <w:noWrap/>
            <w:vAlign w:val="center"/>
            <w:hideMark/>
          </w:tcPr>
          <w:p w14:paraId="2ED5CA1E" w14:textId="454197A7" w:rsidR="00372C85" w:rsidRPr="00845FB7" w:rsidRDefault="00372C85">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5 per cent scenario (</w:t>
            </w:r>
            <w:r w:rsidR="00E2051A" w:rsidRPr="00845FB7">
              <w:rPr>
                <w:rFonts w:eastAsia="Times New Roman" w:cs="Times New Roman"/>
                <w:b/>
                <w:bCs/>
                <w:color w:val="000000"/>
                <w:sz w:val="16"/>
                <w:szCs w:val="16"/>
                <w:lang w:val="en-GB"/>
              </w:rPr>
              <w:t>2026–2027</w:t>
            </w:r>
            <w:r w:rsidRPr="00845FB7">
              <w:rPr>
                <w:rFonts w:eastAsia="Times New Roman" w:cs="Times New Roman"/>
                <w:b/>
                <w:bCs/>
                <w:color w:val="000000"/>
                <w:sz w:val="16"/>
                <w:szCs w:val="16"/>
                <w:lang w:val="en-GB"/>
              </w:rPr>
              <w:t>)</w:t>
            </w:r>
          </w:p>
        </w:tc>
        <w:tc>
          <w:tcPr>
            <w:tcW w:w="1845" w:type="pct"/>
            <w:gridSpan w:val="6"/>
            <w:tcBorders>
              <w:top w:val="single" w:sz="4" w:space="0" w:color="auto"/>
              <w:left w:val="nil"/>
              <w:bottom w:val="single" w:sz="4" w:space="0" w:color="auto"/>
              <w:right w:val="single" w:sz="4" w:space="0" w:color="auto"/>
            </w:tcBorders>
            <w:noWrap/>
            <w:vAlign w:val="center"/>
            <w:hideMark/>
          </w:tcPr>
          <w:p w14:paraId="5AB7BB56" w14:textId="0F2E241B" w:rsidR="00372C85" w:rsidRPr="00845FB7" w:rsidRDefault="00372C85">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Zero nominal growth scenario (</w:t>
            </w:r>
            <w:r w:rsidR="00E2051A" w:rsidRPr="00845FB7">
              <w:rPr>
                <w:rFonts w:eastAsia="Times New Roman" w:cs="Times New Roman"/>
                <w:b/>
                <w:bCs/>
                <w:color w:val="000000"/>
                <w:sz w:val="16"/>
                <w:szCs w:val="16"/>
                <w:lang w:val="en-GB"/>
              </w:rPr>
              <w:t>2026–2027</w:t>
            </w:r>
            <w:r w:rsidRPr="00845FB7">
              <w:rPr>
                <w:rFonts w:eastAsia="Times New Roman" w:cs="Times New Roman"/>
                <w:b/>
                <w:bCs/>
                <w:color w:val="000000"/>
                <w:sz w:val="16"/>
                <w:szCs w:val="16"/>
                <w:lang w:val="en-GB"/>
              </w:rPr>
              <w:t>)</w:t>
            </w:r>
          </w:p>
        </w:tc>
      </w:tr>
      <w:tr w:rsidR="00C65298" w:rsidRPr="00845FB7" w14:paraId="79A0395E" w14:textId="77777777" w:rsidTr="0029720C">
        <w:trPr>
          <w:trHeight w:val="300"/>
        </w:trPr>
        <w:tc>
          <w:tcPr>
            <w:tcW w:w="1212" w:type="pct"/>
            <w:vMerge/>
            <w:tcBorders>
              <w:left w:val="single" w:sz="4" w:space="0" w:color="auto"/>
            </w:tcBorders>
            <w:vAlign w:val="center"/>
            <w:hideMark/>
          </w:tcPr>
          <w:p w14:paraId="2B2A0365" w14:textId="77777777" w:rsidR="00372C85" w:rsidRPr="00845FB7" w:rsidRDefault="00372C85">
            <w:pPr>
              <w:spacing w:after="0" w:line="240" w:lineRule="auto"/>
              <w:jc w:val="left"/>
              <w:rPr>
                <w:rFonts w:eastAsia="Times New Roman" w:cs="Times New Roman"/>
                <w:b/>
                <w:bCs/>
                <w:color w:val="000000"/>
                <w:sz w:val="16"/>
                <w:szCs w:val="16"/>
                <w:lang w:val="en-GB"/>
              </w:rPr>
            </w:pPr>
          </w:p>
        </w:tc>
        <w:tc>
          <w:tcPr>
            <w:tcW w:w="933" w:type="pct"/>
            <w:gridSpan w:val="3"/>
            <w:tcBorders>
              <w:top w:val="single" w:sz="4" w:space="0" w:color="auto"/>
              <w:left w:val="single" w:sz="4" w:space="0" w:color="auto"/>
              <w:bottom w:val="single" w:sz="4" w:space="0" w:color="auto"/>
              <w:right w:val="single" w:sz="4" w:space="0" w:color="auto"/>
            </w:tcBorders>
            <w:vAlign w:val="center"/>
            <w:hideMark/>
          </w:tcPr>
          <w:p w14:paraId="05D10AEB" w14:textId="77777777" w:rsidR="00372C85" w:rsidRPr="00845FB7" w:rsidRDefault="00372C85">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General trust fund</w:t>
            </w:r>
          </w:p>
        </w:tc>
        <w:tc>
          <w:tcPr>
            <w:tcW w:w="1010" w:type="pct"/>
            <w:gridSpan w:val="3"/>
            <w:tcBorders>
              <w:top w:val="single" w:sz="4" w:space="0" w:color="auto"/>
              <w:left w:val="nil"/>
              <w:bottom w:val="single" w:sz="4" w:space="0" w:color="auto"/>
              <w:right w:val="single" w:sz="4" w:space="0" w:color="auto"/>
            </w:tcBorders>
            <w:vAlign w:val="center"/>
            <w:hideMark/>
          </w:tcPr>
          <w:p w14:paraId="3F9C88F3" w14:textId="77777777" w:rsidR="00372C85" w:rsidRPr="00845FB7" w:rsidRDefault="00372C85">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Special trust fund</w:t>
            </w:r>
          </w:p>
        </w:tc>
        <w:tc>
          <w:tcPr>
            <w:tcW w:w="855" w:type="pct"/>
            <w:gridSpan w:val="3"/>
            <w:tcBorders>
              <w:top w:val="single" w:sz="4" w:space="0" w:color="auto"/>
              <w:left w:val="nil"/>
              <w:bottom w:val="single" w:sz="4" w:space="0" w:color="auto"/>
              <w:right w:val="single" w:sz="4" w:space="0" w:color="auto"/>
            </w:tcBorders>
            <w:vAlign w:val="center"/>
            <w:hideMark/>
          </w:tcPr>
          <w:p w14:paraId="733EB93A" w14:textId="77777777" w:rsidR="00372C85" w:rsidRPr="00845FB7" w:rsidRDefault="00372C85">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General trust fund</w:t>
            </w:r>
          </w:p>
        </w:tc>
        <w:tc>
          <w:tcPr>
            <w:tcW w:w="990" w:type="pct"/>
            <w:gridSpan w:val="3"/>
            <w:tcBorders>
              <w:top w:val="single" w:sz="4" w:space="0" w:color="auto"/>
              <w:left w:val="nil"/>
              <w:bottom w:val="single" w:sz="4" w:space="0" w:color="auto"/>
              <w:right w:val="single" w:sz="4" w:space="0" w:color="auto"/>
            </w:tcBorders>
            <w:vAlign w:val="center"/>
            <w:hideMark/>
          </w:tcPr>
          <w:p w14:paraId="4854D5F0" w14:textId="77777777" w:rsidR="00372C85" w:rsidRPr="00845FB7" w:rsidRDefault="00372C85">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Special trust fund</w:t>
            </w:r>
          </w:p>
        </w:tc>
      </w:tr>
      <w:tr w:rsidR="0029720C" w:rsidRPr="00845FB7" w14:paraId="576EFD6C" w14:textId="77777777" w:rsidTr="0029720C">
        <w:trPr>
          <w:trHeight w:val="539"/>
        </w:trPr>
        <w:tc>
          <w:tcPr>
            <w:tcW w:w="1212" w:type="pct"/>
            <w:tcBorders>
              <w:top w:val="nil"/>
              <w:left w:val="single" w:sz="4" w:space="0" w:color="auto"/>
              <w:bottom w:val="single" w:sz="4" w:space="0" w:color="auto"/>
              <w:right w:val="single" w:sz="4" w:space="0" w:color="auto"/>
            </w:tcBorders>
            <w:noWrap/>
            <w:vAlign w:val="center"/>
            <w:hideMark/>
          </w:tcPr>
          <w:p w14:paraId="12C5BB8B" w14:textId="77777777"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 </w:t>
            </w:r>
          </w:p>
        </w:tc>
        <w:tc>
          <w:tcPr>
            <w:tcW w:w="310" w:type="pct"/>
            <w:tcBorders>
              <w:top w:val="nil"/>
              <w:left w:val="nil"/>
              <w:bottom w:val="single" w:sz="4" w:space="0" w:color="auto"/>
              <w:right w:val="single" w:sz="4" w:space="0" w:color="auto"/>
            </w:tcBorders>
            <w:vAlign w:val="center"/>
            <w:hideMark/>
          </w:tcPr>
          <w:p w14:paraId="46B888A8" w14:textId="72B3394F"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2026</w:t>
            </w:r>
          </w:p>
        </w:tc>
        <w:tc>
          <w:tcPr>
            <w:tcW w:w="311" w:type="pct"/>
            <w:tcBorders>
              <w:top w:val="nil"/>
              <w:left w:val="nil"/>
              <w:bottom w:val="single" w:sz="4" w:space="0" w:color="auto"/>
              <w:right w:val="single" w:sz="4" w:space="0" w:color="auto"/>
            </w:tcBorders>
            <w:vAlign w:val="center"/>
            <w:hideMark/>
          </w:tcPr>
          <w:p w14:paraId="305F619C" w14:textId="2596117C"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2027</w:t>
            </w:r>
          </w:p>
        </w:tc>
        <w:tc>
          <w:tcPr>
            <w:tcW w:w="312" w:type="pct"/>
            <w:tcBorders>
              <w:top w:val="nil"/>
              <w:left w:val="nil"/>
              <w:bottom w:val="single" w:sz="4" w:space="0" w:color="auto"/>
              <w:right w:val="single" w:sz="4" w:space="0" w:color="auto"/>
            </w:tcBorders>
            <w:vAlign w:val="center"/>
            <w:hideMark/>
          </w:tcPr>
          <w:p w14:paraId="56306993" w14:textId="459D28D1"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 xml:space="preserve">Total </w:t>
            </w:r>
            <w:r w:rsidRPr="00845FB7">
              <w:rPr>
                <w:rFonts w:eastAsia="Times New Roman" w:cs="Times New Roman"/>
                <w:b/>
                <w:bCs/>
                <w:color w:val="000000"/>
                <w:sz w:val="16"/>
                <w:szCs w:val="16"/>
                <w:lang w:val="en-GB"/>
              </w:rPr>
              <w:br/>
              <w:t>(</w:t>
            </w:r>
            <w:r w:rsidR="00E2051A" w:rsidRPr="00845FB7">
              <w:rPr>
                <w:rFonts w:eastAsia="Times New Roman" w:cs="Times New Roman"/>
                <w:b/>
                <w:bCs/>
                <w:color w:val="000000"/>
                <w:sz w:val="16"/>
                <w:szCs w:val="16"/>
                <w:lang w:val="en-GB"/>
              </w:rPr>
              <w:t>2026–2027</w:t>
            </w:r>
            <w:r w:rsidRPr="00845FB7">
              <w:rPr>
                <w:rFonts w:eastAsia="Times New Roman" w:cs="Times New Roman"/>
                <w:b/>
                <w:bCs/>
                <w:color w:val="000000"/>
                <w:sz w:val="16"/>
                <w:szCs w:val="16"/>
                <w:lang w:val="en-GB"/>
              </w:rPr>
              <w:t>)</w:t>
            </w:r>
          </w:p>
        </w:tc>
        <w:tc>
          <w:tcPr>
            <w:tcW w:w="311" w:type="pct"/>
            <w:tcBorders>
              <w:top w:val="nil"/>
              <w:left w:val="nil"/>
              <w:bottom w:val="single" w:sz="4" w:space="0" w:color="auto"/>
              <w:right w:val="single" w:sz="4" w:space="0" w:color="auto"/>
            </w:tcBorders>
            <w:vAlign w:val="center"/>
            <w:hideMark/>
          </w:tcPr>
          <w:p w14:paraId="1A4F0652" w14:textId="0B022C0E"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2026</w:t>
            </w:r>
          </w:p>
        </w:tc>
        <w:tc>
          <w:tcPr>
            <w:tcW w:w="310" w:type="pct"/>
            <w:tcBorders>
              <w:top w:val="nil"/>
              <w:left w:val="nil"/>
              <w:bottom w:val="single" w:sz="4" w:space="0" w:color="auto"/>
              <w:right w:val="single" w:sz="4" w:space="0" w:color="auto"/>
            </w:tcBorders>
            <w:vAlign w:val="center"/>
            <w:hideMark/>
          </w:tcPr>
          <w:p w14:paraId="64B22A10" w14:textId="33093C0A"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2027</w:t>
            </w:r>
          </w:p>
        </w:tc>
        <w:tc>
          <w:tcPr>
            <w:tcW w:w="389" w:type="pct"/>
            <w:tcBorders>
              <w:top w:val="nil"/>
              <w:left w:val="nil"/>
              <w:bottom w:val="single" w:sz="4" w:space="0" w:color="auto"/>
              <w:right w:val="single" w:sz="4" w:space="0" w:color="auto"/>
            </w:tcBorders>
            <w:vAlign w:val="center"/>
            <w:hideMark/>
          </w:tcPr>
          <w:p w14:paraId="2204A372" w14:textId="0E818385"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 xml:space="preserve">Total </w:t>
            </w:r>
            <w:r w:rsidRPr="00845FB7">
              <w:rPr>
                <w:rFonts w:eastAsia="Times New Roman" w:cs="Times New Roman"/>
                <w:b/>
                <w:bCs/>
                <w:color w:val="000000"/>
                <w:sz w:val="16"/>
                <w:szCs w:val="16"/>
                <w:lang w:val="en-GB"/>
              </w:rPr>
              <w:br/>
              <w:t>(</w:t>
            </w:r>
            <w:r w:rsidR="00E2051A" w:rsidRPr="00845FB7">
              <w:rPr>
                <w:rFonts w:eastAsia="Times New Roman" w:cs="Times New Roman"/>
                <w:b/>
                <w:bCs/>
                <w:color w:val="000000"/>
                <w:sz w:val="16"/>
                <w:szCs w:val="16"/>
                <w:lang w:val="en-GB"/>
              </w:rPr>
              <w:t>2026–2027</w:t>
            </w:r>
            <w:r w:rsidRPr="00845FB7">
              <w:rPr>
                <w:rFonts w:eastAsia="Times New Roman" w:cs="Times New Roman"/>
                <w:b/>
                <w:bCs/>
                <w:color w:val="000000"/>
                <w:sz w:val="16"/>
                <w:szCs w:val="16"/>
                <w:lang w:val="en-GB"/>
              </w:rPr>
              <w:t>)</w:t>
            </w:r>
          </w:p>
        </w:tc>
        <w:tc>
          <w:tcPr>
            <w:tcW w:w="234" w:type="pct"/>
            <w:tcBorders>
              <w:top w:val="nil"/>
              <w:left w:val="nil"/>
              <w:bottom w:val="single" w:sz="4" w:space="0" w:color="auto"/>
              <w:right w:val="single" w:sz="4" w:space="0" w:color="auto"/>
            </w:tcBorders>
            <w:vAlign w:val="center"/>
            <w:hideMark/>
          </w:tcPr>
          <w:p w14:paraId="26FF1B04" w14:textId="5A67BF30"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2026</w:t>
            </w:r>
          </w:p>
        </w:tc>
        <w:tc>
          <w:tcPr>
            <w:tcW w:w="311" w:type="pct"/>
            <w:tcBorders>
              <w:top w:val="nil"/>
              <w:left w:val="nil"/>
              <w:bottom w:val="single" w:sz="4" w:space="0" w:color="auto"/>
              <w:right w:val="single" w:sz="4" w:space="0" w:color="auto"/>
            </w:tcBorders>
            <w:vAlign w:val="center"/>
            <w:hideMark/>
          </w:tcPr>
          <w:p w14:paraId="23BC30B0" w14:textId="4253A39D"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2027</w:t>
            </w:r>
          </w:p>
        </w:tc>
        <w:tc>
          <w:tcPr>
            <w:tcW w:w="310" w:type="pct"/>
            <w:tcBorders>
              <w:top w:val="nil"/>
              <w:left w:val="nil"/>
              <w:bottom w:val="single" w:sz="4" w:space="0" w:color="auto"/>
              <w:right w:val="single" w:sz="4" w:space="0" w:color="auto"/>
            </w:tcBorders>
            <w:vAlign w:val="center"/>
            <w:hideMark/>
          </w:tcPr>
          <w:p w14:paraId="05A48750" w14:textId="0A58AC2F"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 xml:space="preserve">Total </w:t>
            </w:r>
            <w:r w:rsidRPr="00845FB7">
              <w:rPr>
                <w:rFonts w:eastAsia="Times New Roman" w:cs="Times New Roman"/>
                <w:b/>
                <w:bCs/>
                <w:color w:val="000000"/>
                <w:sz w:val="16"/>
                <w:szCs w:val="16"/>
                <w:lang w:val="en-GB"/>
              </w:rPr>
              <w:br/>
              <w:t>(</w:t>
            </w:r>
            <w:r w:rsidR="00E2051A" w:rsidRPr="00845FB7">
              <w:rPr>
                <w:rFonts w:eastAsia="Times New Roman" w:cs="Times New Roman"/>
                <w:b/>
                <w:bCs/>
                <w:color w:val="000000"/>
                <w:sz w:val="16"/>
                <w:szCs w:val="16"/>
                <w:lang w:val="en-GB"/>
              </w:rPr>
              <w:t>2026–2027</w:t>
            </w:r>
            <w:r w:rsidRPr="00845FB7">
              <w:rPr>
                <w:rFonts w:eastAsia="Times New Roman" w:cs="Times New Roman"/>
                <w:b/>
                <w:bCs/>
                <w:color w:val="000000"/>
                <w:sz w:val="16"/>
                <w:szCs w:val="16"/>
                <w:lang w:val="en-GB"/>
              </w:rPr>
              <w:t>)</w:t>
            </w:r>
          </w:p>
        </w:tc>
        <w:tc>
          <w:tcPr>
            <w:tcW w:w="311" w:type="pct"/>
            <w:tcBorders>
              <w:top w:val="nil"/>
              <w:left w:val="nil"/>
              <w:bottom w:val="single" w:sz="4" w:space="0" w:color="auto"/>
              <w:right w:val="single" w:sz="4" w:space="0" w:color="auto"/>
            </w:tcBorders>
            <w:vAlign w:val="center"/>
            <w:hideMark/>
          </w:tcPr>
          <w:p w14:paraId="13E7C475" w14:textId="29DA183C"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2026</w:t>
            </w:r>
          </w:p>
        </w:tc>
        <w:tc>
          <w:tcPr>
            <w:tcW w:w="311" w:type="pct"/>
            <w:tcBorders>
              <w:top w:val="nil"/>
              <w:left w:val="nil"/>
              <w:bottom w:val="single" w:sz="4" w:space="0" w:color="auto"/>
              <w:right w:val="single" w:sz="4" w:space="0" w:color="auto"/>
            </w:tcBorders>
            <w:vAlign w:val="center"/>
            <w:hideMark/>
          </w:tcPr>
          <w:p w14:paraId="3D687F6A" w14:textId="25C91C6D"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2027</w:t>
            </w:r>
          </w:p>
        </w:tc>
        <w:tc>
          <w:tcPr>
            <w:tcW w:w="368" w:type="pct"/>
            <w:tcBorders>
              <w:top w:val="nil"/>
              <w:left w:val="nil"/>
              <w:bottom w:val="single" w:sz="4" w:space="0" w:color="auto"/>
              <w:right w:val="single" w:sz="4" w:space="0" w:color="auto"/>
            </w:tcBorders>
            <w:vAlign w:val="center"/>
            <w:hideMark/>
          </w:tcPr>
          <w:p w14:paraId="6CECE736" w14:textId="4981CBE1" w:rsidR="0029720C" w:rsidRPr="00845FB7" w:rsidRDefault="0029720C" w:rsidP="0029720C">
            <w:pPr>
              <w:spacing w:after="0" w:line="240" w:lineRule="auto"/>
              <w:jc w:val="center"/>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 xml:space="preserve">Total </w:t>
            </w:r>
            <w:r w:rsidRPr="00845FB7">
              <w:rPr>
                <w:rFonts w:eastAsia="Times New Roman" w:cs="Times New Roman"/>
                <w:b/>
                <w:bCs/>
                <w:color w:val="000000"/>
                <w:sz w:val="16"/>
                <w:szCs w:val="16"/>
                <w:lang w:val="en-GB"/>
              </w:rPr>
              <w:br/>
              <w:t>(</w:t>
            </w:r>
            <w:r w:rsidR="00E2051A" w:rsidRPr="00845FB7">
              <w:rPr>
                <w:rFonts w:eastAsia="Times New Roman" w:cs="Times New Roman"/>
                <w:b/>
                <w:bCs/>
                <w:color w:val="000000"/>
                <w:sz w:val="16"/>
                <w:szCs w:val="16"/>
                <w:lang w:val="en-GB"/>
              </w:rPr>
              <w:t>2026–2027</w:t>
            </w:r>
            <w:r w:rsidRPr="00845FB7">
              <w:rPr>
                <w:rFonts w:eastAsia="Times New Roman" w:cs="Times New Roman"/>
                <w:b/>
                <w:bCs/>
                <w:color w:val="000000"/>
                <w:sz w:val="16"/>
                <w:szCs w:val="16"/>
                <w:lang w:val="en-GB"/>
              </w:rPr>
              <w:t>)</w:t>
            </w:r>
          </w:p>
        </w:tc>
      </w:tr>
      <w:tr w:rsidR="00372C85" w:rsidRPr="00845FB7" w14:paraId="21F5E580" w14:textId="77777777" w:rsidTr="00BD36F8">
        <w:trPr>
          <w:trHeight w:val="30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57FD0D59" w14:textId="77777777" w:rsidR="00372C85" w:rsidRPr="00845FB7" w:rsidRDefault="00372C85">
            <w:pPr>
              <w:spacing w:after="0" w:line="240" w:lineRule="auto"/>
              <w:jc w:val="lef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4. Capacity building and technical assistance</w:t>
            </w:r>
          </w:p>
        </w:tc>
      </w:tr>
      <w:tr w:rsidR="00372C85" w:rsidRPr="00845FB7" w14:paraId="4567D7C7" w14:textId="77777777" w:rsidTr="00BD36F8">
        <w:trPr>
          <w:trHeight w:val="30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717234FE" w14:textId="77777777" w:rsidR="00372C85" w:rsidRPr="00845FB7" w:rsidRDefault="00372C85">
            <w:pPr>
              <w:spacing w:after="0" w:line="240" w:lineRule="auto"/>
              <w:jc w:val="lef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4.1 Tools, methodologies, and delivery modalities</w:t>
            </w:r>
          </w:p>
        </w:tc>
      </w:tr>
      <w:tr w:rsidR="0053720F" w:rsidRPr="00845FB7" w14:paraId="6EB1E146" w14:textId="77777777" w:rsidTr="0029720C">
        <w:trPr>
          <w:trHeight w:val="300"/>
        </w:trPr>
        <w:tc>
          <w:tcPr>
            <w:tcW w:w="1212" w:type="pct"/>
            <w:tcBorders>
              <w:top w:val="nil"/>
              <w:left w:val="single" w:sz="4" w:space="0" w:color="auto"/>
              <w:bottom w:val="single" w:sz="4" w:space="0" w:color="auto"/>
              <w:right w:val="single" w:sz="4" w:space="0" w:color="auto"/>
            </w:tcBorders>
            <w:vAlign w:val="center"/>
          </w:tcPr>
          <w:p w14:paraId="67AAB232" w14:textId="77777777" w:rsidR="00372C85" w:rsidRPr="00845FB7" w:rsidRDefault="00372C85">
            <w:pPr>
              <w:spacing w:after="0" w:line="240" w:lineRule="auto"/>
              <w:jc w:val="left"/>
              <w:rPr>
                <w:rFonts w:eastAsia="Times New Roman" w:cs="Times New Roman"/>
                <w:sz w:val="16"/>
                <w:szCs w:val="16"/>
                <w:lang w:val="en-GB"/>
              </w:rPr>
            </w:pPr>
            <w:r w:rsidRPr="00845FB7">
              <w:rPr>
                <w:rFonts w:eastAsia="Times New Roman" w:cs="Times New Roman"/>
                <w:sz w:val="16"/>
                <w:szCs w:val="16"/>
                <w:lang w:val="en-GB"/>
              </w:rPr>
              <w:t>Facilitated planning sessions on capacity building needs and methods</w:t>
            </w:r>
          </w:p>
        </w:tc>
        <w:tc>
          <w:tcPr>
            <w:tcW w:w="310" w:type="pct"/>
            <w:tcBorders>
              <w:top w:val="nil"/>
              <w:left w:val="nil"/>
              <w:bottom w:val="single" w:sz="4" w:space="0" w:color="auto"/>
              <w:right w:val="single" w:sz="4" w:space="0" w:color="auto"/>
            </w:tcBorders>
            <w:noWrap/>
            <w:vAlign w:val="center"/>
          </w:tcPr>
          <w:p w14:paraId="1A831377"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18E73E7"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41013D2F"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7950CDD" w14:textId="4EDF5AB5" w:rsidR="00372C85" w:rsidRPr="00845FB7" w:rsidRDefault="00677B7E">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75</w:t>
            </w:r>
            <w:r w:rsidR="00372C85" w:rsidRPr="00845FB7">
              <w:rPr>
                <w:rFonts w:eastAsia="Times New Roman" w:cs="Times New Roman"/>
                <w:color w:val="000000"/>
                <w:sz w:val="16"/>
                <w:szCs w:val="16"/>
                <w:lang w:val="en-GB"/>
              </w:rPr>
              <w:t>,000</w:t>
            </w:r>
          </w:p>
        </w:tc>
        <w:tc>
          <w:tcPr>
            <w:tcW w:w="310" w:type="pct"/>
            <w:tcBorders>
              <w:top w:val="nil"/>
              <w:left w:val="nil"/>
              <w:bottom w:val="single" w:sz="4" w:space="0" w:color="auto"/>
              <w:right w:val="single" w:sz="4" w:space="0" w:color="auto"/>
            </w:tcBorders>
            <w:noWrap/>
            <w:vAlign w:val="center"/>
          </w:tcPr>
          <w:p w14:paraId="5C1B5D7D"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89" w:type="pct"/>
            <w:tcBorders>
              <w:top w:val="nil"/>
              <w:left w:val="nil"/>
              <w:bottom w:val="single" w:sz="4" w:space="0" w:color="auto"/>
              <w:right w:val="single" w:sz="4" w:space="0" w:color="auto"/>
            </w:tcBorders>
            <w:noWrap/>
            <w:vAlign w:val="center"/>
          </w:tcPr>
          <w:p w14:paraId="20DE7122" w14:textId="0149C598" w:rsidR="00372C85" w:rsidRPr="00845FB7" w:rsidRDefault="00677B7E">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75</w:t>
            </w:r>
            <w:r w:rsidR="00372C85"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10A6EE56"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F12099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220605F3"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C1F01EF" w14:textId="61D7E8AE" w:rsidR="00372C85" w:rsidRPr="00845FB7" w:rsidRDefault="008778A3">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7</w:t>
            </w:r>
            <w:r w:rsidR="00161D98" w:rsidRPr="00845FB7">
              <w:rPr>
                <w:rFonts w:eastAsia="Times New Roman" w:cs="Times New Roman"/>
                <w:color w:val="000000"/>
                <w:sz w:val="16"/>
                <w:szCs w:val="16"/>
                <w:lang w:val="en-GB"/>
              </w:rPr>
              <w:t>5</w:t>
            </w:r>
            <w:r w:rsidR="00372C85" w:rsidRPr="00845FB7">
              <w:rPr>
                <w:rFonts w:eastAsia="Times New Roman" w:cs="Times New Roman"/>
                <w:color w:val="000000"/>
                <w:sz w:val="16"/>
                <w:szCs w:val="16"/>
                <w:lang w:val="en-GB"/>
              </w:rPr>
              <w:t>,000</w:t>
            </w:r>
          </w:p>
        </w:tc>
        <w:tc>
          <w:tcPr>
            <w:tcW w:w="311" w:type="pct"/>
            <w:tcBorders>
              <w:top w:val="nil"/>
              <w:left w:val="nil"/>
              <w:bottom w:val="single" w:sz="4" w:space="0" w:color="auto"/>
              <w:right w:val="single" w:sz="4" w:space="0" w:color="auto"/>
            </w:tcBorders>
            <w:noWrap/>
            <w:vAlign w:val="center"/>
          </w:tcPr>
          <w:p w14:paraId="2C9A12AE"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68" w:type="pct"/>
            <w:tcBorders>
              <w:top w:val="nil"/>
              <w:left w:val="nil"/>
              <w:bottom w:val="single" w:sz="4" w:space="0" w:color="auto"/>
              <w:right w:val="single" w:sz="4" w:space="0" w:color="auto"/>
            </w:tcBorders>
            <w:noWrap/>
            <w:vAlign w:val="center"/>
          </w:tcPr>
          <w:p w14:paraId="2DCB636C" w14:textId="6DCD19DA" w:rsidR="00372C85" w:rsidRPr="00845FB7" w:rsidRDefault="00161D9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75</w:t>
            </w:r>
            <w:r w:rsidR="00372C85" w:rsidRPr="00845FB7">
              <w:rPr>
                <w:rFonts w:eastAsia="Times New Roman" w:cs="Times New Roman"/>
                <w:b/>
                <w:bCs/>
                <w:color w:val="000000"/>
                <w:sz w:val="16"/>
                <w:szCs w:val="16"/>
                <w:lang w:val="en-GB"/>
              </w:rPr>
              <w:t>,000</w:t>
            </w:r>
          </w:p>
        </w:tc>
      </w:tr>
      <w:tr w:rsidR="0053720F" w:rsidRPr="00845FB7" w14:paraId="696539F6" w14:textId="77777777" w:rsidTr="0029720C">
        <w:trPr>
          <w:trHeight w:val="300"/>
        </w:trPr>
        <w:tc>
          <w:tcPr>
            <w:tcW w:w="1212" w:type="pct"/>
            <w:tcBorders>
              <w:top w:val="nil"/>
              <w:left w:val="single" w:sz="4" w:space="0" w:color="auto"/>
              <w:bottom w:val="single" w:sz="4" w:space="0" w:color="auto"/>
              <w:right w:val="single" w:sz="4" w:space="0" w:color="auto"/>
            </w:tcBorders>
            <w:vAlign w:val="center"/>
          </w:tcPr>
          <w:p w14:paraId="391C3FBA" w14:textId="77777777" w:rsidR="00372C85" w:rsidRPr="00845FB7" w:rsidRDefault="00372C85">
            <w:pPr>
              <w:spacing w:after="0" w:line="240" w:lineRule="auto"/>
              <w:jc w:val="left"/>
              <w:rPr>
                <w:rFonts w:eastAsia="Times New Roman" w:cs="Times New Roman"/>
                <w:sz w:val="16"/>
                <w:szCs w:val="16"/>
                <w:lang w:val="en-GB"/>
              </w:rPr>
            </w:pPr>
            <w:r w:rsidRPr="00845FB7">
              <w:rPr>
                <w:rFonts w:eastAsia="Times New Roman" w:cs="Times New Roman"/>
                <w:sz w:val="16"/>
                <w:szCs w:val="16"/>
                <w:lang w:val="en-GB"/>
              </w:rPr>
              <w:t>Digital learning and training materials dissemination</w:t>
            </w:r>
          </w:p>
        </w:tc>
        <w:tc>
          <w:tcPr>
            <w:tcW w:w="310" w:type="pct"/>
            <w:tcBorders>
              <w:top w:val="nil"/>
              <w:left w:val="nil"/>
              <w:bottom w:val="single" w:sz="4" w:space="0" w:color="auto"/>
              <w:right w:val="single" w:sz="4" w:space="0" w:color="auto"/>
            </w:tcBorders>
            <w:noWrap/>
            <w:vAlign w:val="center"/>
          </w:tcPr>
          <w:p w14:paraId="0BC5A1CF"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7DD3081"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3B9AA87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73CE040" w14:textId="06B3CDDC" w:rsidR="00372C85" w:rsidRPr="00845FB7" w:rsidRDefault="00A33E38">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85</w:t>
            </w:r>
            <w:r w:rsidR="00372C85" w:rsidRPr="00845FB7">
              <w:rPr>
                <w:rFonts w:eastAsia="Times New Roman" w:cs="Times New Roman"/>
                <w:color w:val="000000"/>
                <w:sz w:val="16"/>
                <w:szCs w:val="16"/>
                <w:lang w:val="en-GB"/>
              </w:rPr>
              <w:t>,000</w:t>
            </w:r>
          </w:p>
        </w:tc>
        <w:tc>
          <w:tcPr>
            <w:tcW w:w="310" w:type="pct"/>
            <w:tcBorders>
              <w:top w:val="nil"/>
              <w:left w:val="nil"/>
              <w:bottom w:val="single" w:sz="4" w:space="0" w:color="auto"/>
              <w:right w:val="single" w:sz="4" w:space="0" w:color="auto"/>
            </w:tcBorders>
            <w:noWrap/>
            <w:vAlign w:val="center"/>
          </w:tcPr>
          <w:p w14:paraId="3573D1FD" w14:textId="39ECEF2B" w:rsidR="00372C85" w:rsidRPr="00845FB7" w:rsidRDefault="00A5555B">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w:t>
            </w:r>
            <w:r w:rsidR="00372C85" w:rsidRPr="00845FB7">
              <w:rPr>
                <w:rFonts w:eastAsia="Times New Roman" w:cs="Times New Roman"/>
                <w:color w:val="000000"/>
                <w:sz w:val="16"/>
                <w:szCs w:val="16"/>
                <w:lang w:val="en-GB"/>
              </w:rPr>
              <w:t>60,000</w:t>
            </w:r>
          </w:p>
        </w:tc>
        <w:tc>
          <w:tcPr>
            <w:tcW w:w="389" w:type="pct"/>
            <w:tcBorders>
              <w:top w:val="nil"/>
              <w:left w:val="nil"/>
              <w:bottom w:val="single" w:sz="4" w:space="0" w:color="auto"/>
              <w:right w:val="single" w:sz="4" w:space="0" w:color="auto"/>
            </w:tcBorders>
            <w:noWrap/>
            <w:vAlign w:val="center"/>
          </w:tcPr>
          <w:p w14:paraId="374BAF7A" w14:textId="5CEC0DC8" w:rsidR="00372C85" w:rsidRPr="00845FB7" w:rsidRDefault="00A33E3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245</w:t>
            </w:r>
            <w:r w:rsidR="00372C85"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6D97A99E"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E530B7B"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02EC5BE8"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408E8E40" w14:textId="06B54394" w:rsidR="00372C85" w:rsidRPr="00845FB7" w:rsidRDefault="00030BB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85</w:t>
            </w:r>
            <w:r w:rsidR="00372C85" w:rsidRPr="00845FB7">
              <w:rPr>
                <w:rFonts w:eastAsia="Times New Roman" w:cs="Times New Roman"/>
                <w:color w:val="000000"/>
                <w:sz w:val="16"/>
                <w:szCs w:val="16"/>
                <w:lang w:val="en-GB"/>
              </w:rPr>
              <w:t>,000</w:t>
            </w:r>
          </w:p>
        </w:tc>
        <w:tc>
          <w:tcPr>
            <w:tcW w:w="311" w:type="pct"/>
            <w:tcBorders>
              <w:top w:val="nil"/>
              <w:left w:val="nil"/>
              <w:bottom w:val="single" w:sz="4" w:space="0" w:color="auto"/>
              <w:right w:val="single" w:sz="4" w:space="0" w:color="auto"/>
            </w:tcBorders>
            <w:noWrap/>
            <w:vAlign w:val="center"/>
          </w:tcPr>
          <w:p w14:paraId="37F40538" w14:textId="3A296219" w:rsidR="00372C85" w:rsidRPr="00845FB7" w:rsidRDefault="004F25C7">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w:t>
            </w:r>
            <w:r w:rsidR="00372C85" w:rsidRPr="00845FB7">
              <w:rPr>
                <w:rFonts w:eastAsia="Times New Roman" w:cs="Times New Roman"/>
                <w:color w:val="000000"/>
                <w:sz w:val="16"/>
                <w:szCs w:val="16"/>
                <w:lang w:val="en-GB"/>
              </w:rPr>
              <w:t>60,000</w:t>
            </w:r>
          </w:p>
        </w:tc>
        <w:tc>
          <w:tcPr>
            <w:tcW w:w="368" w:type="pct"/>
            <w:tcBorders>
              <w:top w:val="nil"/>
              <w:left w:val="nil"/>
              <w:bottom w:val="single" w:sz="4" w:space="0" w:color="auto"/>
              <w:right w:val="single" w:sz="4" w:space="0" w:color="auto"/>
            </w:tcBorders>
            <w:noWrap/>
            <w:vAlign w:val="center"/>
          </w:tcPr>
          <w:p w14:paraId="27790944" w14:textId="07DF099C" w:rsidR="00372C85" w:rsidRPr="00845FB7" w:rsidRDefault="004F25C7">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w:t>
            </w:r>
            <w:r w:rsidR="00030BB5" w:rsidRPr="00845FB7">
              <w:rPr>
                <w:rFonts w:eastAsia="Times New Roman" w:cs="Times New Roman"/>
                <w:b/>
                <w:bCs/>
                <w:color w:val="000000"/>
                <w:sz w:val="16"/>
                <w:szCs w:val="16"/>
                <w:lang w:val="en-GB"/>
              </w:rPr>
              <w:t>45</w:t>
            </w:r>
            <w:r w:rsidR="00372C85" w:rsidRPr="00845FB7">
              <w:rPr>
                <w:rFonts w:eastAsia="Times New Roman" w:cs="Times New Roman"/>
                <w:b/>
                <w:bCs/>
                <w:color w:val="000000"/>
                <w:sz w:val="16"/>
                <w:szCs w:val="16"/>
                <w:lang w:val="en-GB"/>
              </w:rPr>
              <w:t>,000</w:t>
            </w:r>
          </w:p>
        </w:tc>
      </w:tr>
      <w:tr w:rsidR="0053720F" w:rsidRPr="00845FB7" w14:paraId="7F55D000" w14:textId="77777777" w:rsidTr="0029720C">
        <w:trPr>
          <w:trHeight w:val="300"/>
        </w:trPr>
        <w:tc>
          <w:tcPr>
            <w:tcW w:w="1212" w:type="pct"/>
            <w:tcBorders>
              <w:top w:val="nil"/>
              <w:left w:val="single" w:sz="4" w:space="0" w:color="auto"/>
              <w:bottom w:val="single" w:sz="4" w:space="0" w:color="auto"/>
              <w:right w:val="single" w:sz="4" w:space="0" w:color="auto"/>
            </w:tcBorders>
            <w:vAlign w:val="center"/>
          </w:tcPr>
          <w:p w14:paraId="6B6D7E69" w14:textId="77777777" w:rsidR="00372C85" w:rsidRPr="00845FB7" w:rsidRDefault="00372C85">
            <w:pPr>
              <w:spacing w:after="0" w:line="240" w:lineRule="auto"/>
              <w:jc w:val="right"/>
              <w:rPr>
                <w:rFonts w:eastAsia="Times New Roman" w:cs="Times New Roman"/>
                <w:b/>
                <w:bCs/>
                <w:sz w:val="16"/>
                <w:szCs w:val="16"/>
                <w:lang w:val="en-GB"/>
              </w:rPr>
            </w:pPr>
            <w:r w:rsidRPr="00845FB7">
              <w:rPr>
                <w:rFonts w:eastAsia="Times New Roman" w:cs="Times New Roman"/>
                <w:b/>
                <w:bCs/>
                <w:sz w:val="16"/>
                <w:szCs w:val="16"/>
                <w:lang w:val="en-GB"/>
              </w:rPr>
              <w:t>Component total</w:t>
            </w:r>
          </w:p>
        </w:tc>
        <w:tc>
          <w:tcPr>
            <w:tcW w:w="310" w:type="pct"/>
            <w:tcBorders>
              <w:top w:val="nil"/>
              <w:left w:val="nil"/>
              <w:bottom w:val="single" w:sz="4" w:space="0" w:color="auto"/>
              <w:right w:val="single" w:sz="4" w:space="0" w:color="auto"/>
            </w:tcBorders>
            <w:noWrap/>
            <w:vAlign w:val="center"/>
          </w:tcPr>
          <w:p w14:paraId="62977F7F"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90326FE"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38FBC1C7"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2D45D187" w14:textId="409927D4"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w:t>
            </w:r>
            <w:r w:rsidR="00A916F3" w:rsidRPr="00845FB7">
              <w:rPr>
                <w:rFonts w:eastAsia="Times New Roman" w:cs="Times New Roman"/>
                <w:b/>
                <w:bCs/>
                <w:color w:val="000000"/>
                <w:sz w:val="16"/>
                <w:szCs w:val="16"/>
                <w:lang w:val="en-GB"/>
              </w:rPr>
              <w:t>6</w:t>
            </w:r>
            <w:r w:rsidRPr="00845FB7">
              <w:rPr>
                <w:rFonts w:eastAsia="Times New Roman" w:cs="Times New Roman"/>
                <w:b/>
                <w:bCs/>
                <w:color w:val="000000"/>
                <w:sz w:val="16"/>
                <w:szCs w:val="16"/>
                <w:lang w:val="en-GB"/>
              </w:rPr>
              <w:t>0,000</w:t>
            </w:r>
          </w:p>
        </w:tc>
        <w:tc>
          <w:tcPr>
            <w:tcW w:w="310" w:type="pct"/>
            <w:tcBorders>
              <w:top w:val="nil"/>
              <w:left w:val="nil"/>
              <w:bottom w:val="single" w:sz="4" w:space="0" w:color="auto"/>
              <w:right w:val="single" w:sz="4" w:space="0" w:color="auto"/>
            </w:tcBorders>
            <w:noWrap/>
            <w:vAlign w:val="center"/>
          </w:tcPr>
          <w:p w14:paraId="6A83E089" w14:textId="0E69EFB0" w:rsidR="00372C85" w:rsidRPr="00845FB7" w:rsidRDefault="00A5555B">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w:t>
            </w:r>
            <w:r w:rsidR="00372C85" w:rsidRPr="00845FB7">
              <w:rPr>
                <w:rFonts w:eastAsia="Times New Roman" w:cs="Times New Roman"/>
                <w:b/>
                <w:bCs/>
                <w:color w:val="000000"/>
                <w:sz w:val="16"/>
                <w:szCs w:val="16"/>
                <w:lang w:val="en-GB"/>
              </w:rPr>
              <w:t>60,000</w:t>
            </w:r>
          </w:p>
        </w:tc>
        <w:tc>
          <w:tcPr>
            <w:tcW w:w="389" w:type="pct"/>
            <w:tcBorders>
              <w:top w:val="nil"/>
              <w:left w:val="nil"/>
              <w:bottom w:val="single" w:sz="4" w:space="0" w:color="auto"/>
              <w:right w:val="single" w:sz="4" w:space="0" w:color="auto"/>
            </w:tcBorders>
            <w:noWrap/>
            <w:vAlign w:val="center"/>
          </w:tcPr>
          <w:p w14:paraId="6049E652" w14:textId="2BAA8AC0" w:rsidR="00372C85" w:rsidRPr="00845FB7" w:rsidRDefault="00A5555B">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320</w:t>
            </w:r>
            <w:r w:rsidR="00372C85"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0E15CFFA"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5D86AC8"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0A856702"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ACD5E04" w14:textId="7BD65441"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w:t>
            </w:r>
            <w:r w:rsidR="00126F99" w:rsidRPr="00845FB7">
              <w:rPr>
                <w:rFonts w:eastAsia="Times New Roman" w:cs="Times New Roman"/>
                <w:b/>
                <w:bCs/>
                <w:color w:val="000000"/>
                <w:sz w:val="16"/>
                <w:szCs w:val="16"/>
                <w:lang w:val="en-GB"/>
              </w:rPr>
              <w:t>6</w:t>
            </w:r>
            <w:r w:rsidRPr="00845FB7">
              <w:rPr>
                <w:rFonts w:eastAsia="Times New Roman" w:cs="Times New Roman"/>
                <w:b/>
                <w:bCs/>
                <w:color w:val="000000"/>
                <w:sz w:val="16"/>
                <w:szCs w:val="16"/>
                <w:lang w:val="en-GB"/>
              </w:rPr>
              <w:t>0,000</w:t>
            </w:r>
          </w:p>
        </w:tc>
        <w:tc>
          <w:tcPr>
            <w:tcW w:w="311" w:type="pct"/>
            <w:tcBorders>
              <w:top w:val="nil"/>
              <w:left w:val="nil"/>
              <w:bottom w:val="single" w:sz="4" w:space="0" w:color="auto"/>
              <w:right w:val="single" w:sz="4" w:space="0" w:color="auto"/>
            </w:tcBorders>
            <w:noWrap/>
            <w:vAlign w:val="center"/>
          </w:tcPr>
          <w:p w14:paraId="739C9252" w14:textId="36D86153" w:rsidR="00372C85" w:rsidRPr="00845FB7" w:rsidRDefault="004F25C7">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w:t>
            </w:r>
            <w:r w:rsidR="00372C85" w:rsidRPr="00845FB7">
              <w:rPr>
                <w:rFonts w:eastAsia="Times New Roman" w:cs="Times New Roman"/>
                <w:b/>
                <w:bCs/>
                <w:color w:val="000000"/>
                <w:sz w:val="16"/>
                <w:szCs w:val="16"/>
                <w:lang w:val="en-GB"/>
              </w:rPr>
              <w:t>60,000</w:t>
            </w:r>
          </w:p>
        </w:tc>
        <w:tc>
          <w:tcPr>
            <w:tcW w:w="368" w:type="pct"/>
            <w:tcBorders>
              <w:top w:val="nil"/>
              <w:left w:val="nil"/>
              <w:bottom w:val="single" w:sz="4" w:space="0" w:color="auto"/>
              <w:right w:val="single" w:sz="4" w:space="0" w:color="auto"/>
            </w:tcBorders>
            <w:noWrap/>
            <w:vAlign w:val="center"/>
          </w:tcPr>
          <w:p w14:paraId="58A64FF2" w14:textId="2F4668C5" w:rsidR="00372C85" w:rsidRPr="00845FB7" w:rsidRDefault="004F25C7">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320</w:t>
            </w:r>
            <w:r w:rsidR="00372C85" w:rsidRPr="00845FB7">
              <w:rPr>
                <w:rFonts w:eastAsia="Times New Roman" w:cs="Times New Roman"/>
                <w:b/>
                <w:bCs/>
                <w:color w:val="000000"/>
                <w:sz w:val="16"/>
                <w:szCs w:val="16"/>
                <w:lang w:val="en-GB"/>
              </w:rPr>
              <w:t>,000</w:t>
            </w:r>
          </w:p>
        </w:tc>
      </w:tr>
      <w:tr w:rsidR="00372C85" w:rsidRPr="00845FB7" w14:paraId="6192CE80" w14:textId="77777777" w:rsidTr="00BD36F8">
        <w:trPr>
          <w:trHeight w:val="300"/>
        </w:trPr>
        <w:tc>
          <w:tcPr>
            <w:tcW w:w="5000" w:type="pct"/>
            <w:gridSpan w:val="13"/>
            <w:tcBorders>
              <w:top w:val="nil"/>
              <w:left w:val="single" w:sz="4" w:space="0" w:color="auto"/>
              <w:bottom w:val="single" w:sz="4" w:space="0" w:color="auto"/>
              <w:right w:val="single" w:sz="4" w:space="0" w:color="auto"/>
            </w:tcBorders>
            <w:vAlign w:val="center"/>
          </w:tcPr>
          <w:p w14:paraId="1A198F15" w14:textId="77777777" w:rsidR="00372C85" w:rsidRPr="00845FB7" w:rsidRDefault="00372C85">
            <w:pPr>
              <w:spacing w:after="0" w:line="240" w:lineRule="auto"/>
              <w:jc w:val="left"/>
              <w:rPr>
                <w:rFonts w:eastAsia="Times New Roman" w:cs="Times New Roman"/>
                <w:b/>
                <w:bCs/>
                <w:color w:val="000000"/>
                <w:sz w:val="16"/>
                <w:szCs w:val="16"/>
                <w:lang w:val="en-GB"/>
              </w:rPr>
            </w:pPr>
            <w:r w:rsidRPr="00845FB7">
              <w:rPr>
                <w:rFonts w:eastAsia="Times New Roman" w:cs="Times New Roman"/>
                <w:b/>
                <w:bCs/>
                <w:sz w:val="16"/>
                <w:szCs w:val="16"/>
                <w:lang w:val="en-GB"/>
              </w:rPr>
              <w:t>4.2 Specific capacity-building activities</w:t>
            </w:r>
          </w:p>
        </w:tc>
      </w:tr>
      <w:tr w:rsidR="0053720F" w:rsidRPr="00845FB7" w14:paraId="3E1289A3" w14:textId="77777777" w:rsidTr="0029720C">
        <w:trPr>
          <w:trHeight w:val="332"/>
        </w:trPr>
        <w:tc>
          <w:tcPr>
            <w:tcW w:w="1212" w:type="pct"/>
            <w:tcBorders>
              <w:top w:val="nil"/>
              <w:left w:val="single" w:sz="4" w:space="0" w:color="auto"/>
              <w:bottom w:val="single" w:sz="4" w:space="0" w:color="auto"/>
              <w:right w:val="single" w:sz="4" w:space="0" w:color="auto"/>
            </w:tcBorders>
            <w:vAlign w:val="center"/>
            <w:hideMark/>
          </w:tcPr>
          <w:p w14:paraId="5808F557" w14:textId="77777777" w:rsidR="00372C85" w:rsidRPr="00845FB7" w:rsidRDefault="00372C85">
            <w:pPr>
              <w:spacing w:after="0" w:line="240" w:lineRule="auto"/>
              <w:jc w:val="left"/>
              <w:rPr>
                <w:rFonts w:eastAsia="Times New Roman" w:cs="Times New Roman"/>
                <w:sz w:val="16"/>
                <w:szCs w:val="16"/>
                <w:lang w:val="en-GB"/>
              </w:rPr>
            </w:pPr>
            <w:r w:rsidRPr="00845FB7">
              <w:rPr>
                <w:rFonts w:eastAsia="Times New Roman" w:cs="Times New Roman"/>
                <w:sz w:val="16"/>
                <w:szCs w:val="16"/>
                <w:lang w:val="en-GB"/>
              </w:rPr>
              <w:t>BAT/BEP Guidance</w:t>
            </w:r>
          </w:p>
        </w:tc>
        <w:tc>
          <w:tcPr>
            <w:tcW w:w="310" w:type="pct"/>
            <w:tcBorders>
              <w:top w:val="nil"/>
              <w:left w:val="nil"/>
              <w:bottom w:val="single" w:sz="4" w:space="0" w:color="auto"/>
              <w:right w:val="single" w:sz="4" w:space="0" w:color="auto"/>
            </w:tcBorders>
            <w:noWrap/>
            <w:vAlign w:val="center"/>
          </w:tcPr>
          <w:p w14:paraId="6AB8F99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54B569D"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4646B98C"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22491B02"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10" w:type="pct"/>
            <w:tcBorders>
              <w:top w:val="nil"/>
              <w:left w:val="nil"/>
              <w:bottom w:val="single" w:sz="4" w:space="0" w:color="auto"/>
              <w:right w:val="single" w:sz="4" w:space="0" w:color="auto"/>
            </w:tcBorders>
            <w:noWrap/>
            <w:vAlign w:val="center"/>
          </w:tcPr>
          <w:p w14:paraId="699DEBD3"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89" w:type="pct"/>
            <w:tcBorders>
              <w:top w:val="nil"/>
              <w:left w:val="nil"/>
              <w:bottom w:val="single" w:sz="4" w:space="0" w:color="auto"/>
              <w:right w:val="single" w:sz="4" w:space="0" w:color="auto"/>
            </w:tcBorders>
            <w:noWrap/>
            <w:vAlign w:val="center"/>
          </w:tcPr>
          <w:p w14:paraId="6A6CDE28"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100,000</w:t>
            </w:r>
          </w:p>
        </w:tc>
        <w:tc>
          <w:tcPr>
            <w:tcW w:w="234" w:type="pct"/>
            <w:tcBorders>
              <w:top w:val="nil"/>
              <w:left w:val="nil"/>
              <w:bottom w:val="single" w:sz="4" w:space="0" w:color="auto"/>
              <w:right w:val="single" w:sz="4" w:space="0" w:color="auto"/>
            </w:tcBorders>
            <w:noWrap/>
            <w:vAlign w:val="center"/>
          </w:tcPr>
          <w:p w14:paraId="6D93A2EF"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3DE951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1D09C34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A948E26"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11" w:type="pct"/>
            <w:tcBorders>
              <w:top w:val="nil"/>
              <w:left w:val="nil"/>
              <w:bottom w:val="single" w:sz="4" w:space="0" w:color="auto"/>
              <w:right w:val="single" w:sz="4" w:space="0" w:color="auto"/>
            </w:tcBorders>
            <w:noWrap/>
            <w:vAlign w:val="center"/>
          </w:tcPr>
          <w:p w14:paraId="501E131B"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68" w:type="pct"/>
            <w:tcBorders>
              <w:top w:val="nil"/>
              <w:left w:val="nil"/>
              <w:bottom w:val="single" w:sz="4" w:space="0" w:color="auto"/>
              <w:right w:val="single" w:sz="4" w:space="0" w:color="auto"/>
            </w:tcBorders>
            <w:noWrap/>
            <w:vAlign w:val="center"/>
          </w:tcPr>
          <w:p w14:paraId="2CCFE1B4"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100,000</w:t>
            </w:r>
          </w:p>
        </w:tc>
      </w:tr>
      <w:tr w:rsidR="0053720F" w:rsidRPr="00845FB7" w14:paraId="658F7DB1" w14:textId="77777777" w:rsidTr="0029720C">
        <w:trPr>
          <w:trHeight w:val="300"/>
        </w:trPr>
        <w:tc>
          <w:tcPr>
            <w:tcW w:w="1212" w:type="pct"/>
            <w:tcBorders>
              <w:top w:val="nil"/>
              <w:left w:val="single" w:sz="4" w:space="0" w:color="auto"/>
              <w:bottom w:val="single" w:sz="4" w:space="0" w:color="auto"/>
              <w:right w:val="single" w:sz="4" w:space="0" w:color="auto"/>
            </w:tcBorders>
            <w:vAlign w:val="center"/>
            <w:hideMark/>
          </w:tcPr>
          <w:p w14:paraId="6837047C" w14:textId="77777777" w:rsidR="00372C85" w:rsidRPr="00845FB7" w:rsidRDefault="00372C85">
            <w:pPr>
              <w:spacing w:after="0" w:line="240" w:lineRule="auto"/>
              <w:jc w:val="left"/>
              <w:rPr>
                <w:rFonts w:eastAsia="Times New Roman" w:cs="Times New Roman"/>
                <w:sz w:val="16"/>
                <w:szCs w:val="16"/>
                <w:lang w:val="en-GB"/>
              </w:rPr>
            </w:pPr>
            <w:r w:rsidRPr="00845FB7">
              <w:rPr>
                <w:rFonts w:eastAsia="Times New Roman" w:cs="Times New Roman"/>
                <w:sz w:val="16"/>
                <w:szCs w:val="16"/>
                <w:lang w:val="en-GB"/>
              </w:rPr>
              <w:t>Trade</w:t>
            </w:r>
          </w:p>
        </w:tc>
        <w:tc>
          <w:tcPr>
            <w:tcW w:w="310" w:type="pct"/>
            <w:tcBorders>
              <w:top w:val="nil"/>
              <w:left w:val="nil"/>
              <w:bottom w:val="single" w:sz="4" w:space="0" w:color="auto"/>
              <w:right w:val="single" w:sz="4" w:space="0" w:color="auto"/>
            </w:tcBorders>
            <w:noWrap/>
            <w:vAlign w:val="center"/>
          </w:tcPr>
          <w:p w14:paraId="21B3F3D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0F9D92EA"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2B19C365"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hideMark/>
          </w:tcPr>
          <w:p w14:paraId="1669CFDD"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10" w:type="pct"/>
            <w:tcBorders>
              <w:top w:val="nil"/>
              <w:left w:val="nil"/>
              <w:bottom w:val="single" w:sz="4" w:space="0" w:color="auto"/>
              <w:right w:val="single" w:sz="4" w:space="0" w:color="auto"/>
            </w:tcBorders>
            <w:noWrap/>
            <w:vAlign w:val="center"/>
            <w:hideMark/>
          </w:tcPr>
          <w:p w14:paraId="7458006A"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89" w:type="pct"/>
            <w:tcBorders>
              <w:top w:val="nil"/>
              <w:left w:val="nil"/>
              <w:bottom w:val="single" w:sz="4" w:space="0" w:color="auto"/>
              <w:right w:val="single" w:sz="4" w:space="0" w:color="auto"/>
            </w:tcBorders>
            <w:noWrap/>
            <w:vAlign w:val="center"/>
            <w:hideMark/>
          </w:tcPr>
          <w:p w14:paraId="6F14C603"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100,000</w:t>
            </w:r>
          </w:p>
        </w:tc>
        <w:tc>
          <w:tcPr>
            <w:tcW w:w="234" w:type="pct"/>
            <w:tcBorders>
              <w:top w:val="nil"/>
              <w:left w:val="nil"/>
              <w:bottom w:val="single" w:sz="4" w:space="0" w:color="auto"/>
              <w:right w:val="single" w:sz="4" w:space="0" w:color="auto"/>
            </w:tcBorders>
            <w:noWrap/>
            <w:vAlign w:val="center"/>
          </w:tcPr>
          <w:p w14:paraId="0AFD4353"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10C7FB9"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478CBB5E"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hideMark/>
          </w:tcPr>
          <w:p w14:paraId="7CFCD2D8"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11" w:type="pct"/>
            <w:tcBorders>
              <w:top w:val="nil"/>
              <w:left w:val="nil"/>
              <w:bottom w:val="single" w:sz="4" w:space="0" w:color="auto"/>
              <w:right w:val="single" w:sz="4" w:space="0" w:color="auto"/>
            </w:tcBorders>
            <w:noWrap/>
            <w:vAlign w:val="center"/>
            <w:hideMark/>
          </w:tcPr>
          <w:p w14:paraId="0A31B689"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50,000</w:t>
            </w:r>
          </w:p>
        </w:tc>
        <w:tc>
          <w:tcPr>
            <w:tcW w:w="368" w:type="pct"/>
            <w:tcBorders>
              <w:top w:val="nil"/>
              <w:left w:val="nil"/>
              <w:bottom w:val="single" w:sz="4" w:space="0" w:color="auto"/>
              <w:right w:val="single" w:sz="4" w:space="0" w:color="auto"/>
            </w:tcBorders>
            <w:noWrap/>
            <w:vAlign w:val="center"/>
            <w:hideMark/>
          </w:tcPr>
          <w:p w14:paraId="3034683B"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100,000</w:t>
            </w:r>
          </w:p>
        </w:tc>
      </w:tr>
      <w:tr w:rsidR="0053720F" w:rsidRPr="00845FB7" w14:paraId="30B075D8" w14:textId="77777777" w:rsidTr="0029720C">
        <w:trPr>
          <w:trHeight w:val="300"/>
        </w:trPr>
        <w:tc>
          <w:tcPr>
            <w:tcW w:w="1212" w:type="pct"/>
            <w:tcBorders>
              <w:top w:val="nil"/>
              <w:left w:val="single" w:sz="4" w:space="0" w:color="auto"/>
              <w:bottom w:val="single" w:sz="4" w:space="0" w:color="auto"/>
              <w:right w:val="single" w:sz="4" w:space="0" w:color="auto"/>
            </w:tcBorders>
            <w:vAlign w:val="center"/>
          </w:tcPr>
          <w:p w14:paraId="4CD5DC79" w14:textId="77777777" w:rsidR="00372C85" w:rsidRPr="00845FB7" w:rsidRDefault="00372C85">
            <w:pPr>
              <w:spacing w:after="0" w:line="240" w:lineRule="auto"/>
              <w:jc w:val="left"/>
              <w:rPr>
                <w:rFonts w:eastAsia="Times New Roman" w:cs="Times New Roman"/>
                <w:sz w:val="16"/>
                <w:szCs w:val="16"/>
                <w:lang w:val="en-GB"/>
              </w:rPr>
            </w:pPr>
            <w:r w:rsidRPr="00845FB7">
              <w:rPr>
                <w:rFonts w:eastAsia="Times New Roman" w:cs="Times New Roman"/>
                <w:sz w:val="16"/>
                <w:szCs w:val="16"/>
                <w:lang w:val="en-GB"/>
              </w:rPr>
              <w:t>Mercury-added Products</w:t>
            </w:r>
          </w:p>
        </w:tc>
        <w:tc>
          <w:tcPr>
            <w:tcW w:w="310" w:type="pct"/>
            <w:tcBorders>
              <w:top w:val="nil"/>
              <w:left w:val="nil"/>
              <w:bottom w:val="single" w:sz="4" w:space="0" w:color="auto"/>
              <w:right w:val="single" w:sz="4" w:space="0" w:color="auto"/>
            </w:tcBorders>
            <w:noWrap/>
            <w:vAlign w:val="center"/>
          </w:tcPr>
          <w:p w14:paraId="4377DA6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801C5EE"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27131D9E"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23640E4B" w14:textId="75A92204" w:rsidR="00372C85" w:rsidRPr="00845FB7" w:rsidRDefault="007B0940">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7</w:t>
            </w:r>
            <w:r w:rsidR="00372C85" w:rsidRPr="00845FB7">
              <w:rPr>
                <w:rFonts w:eastAsia="Times New Roman" w:cs="Times New Roman"/>
                <w:color w:val="000000"/>
                <w:sz w:val="16"/>
                <w:szCs w:val="16"/>
                <w:lang w:val="en-GB"/>
              </w:rPr>
              <w:t>0,000</w:t>
            </w:r>
          </w:p>
        </w:tc>
        <w:tc>
          <w:tcPr>
            <w:tcW w:w="310" w:type="pct"/>
            <w:tcBorders>
              <w:top w:val="nil"/>
              <w:left w:val="nil"/>
              <w:bottom w:val="single" w:sz="4" w:space="0" w:color="auto"/>
              <w:right w:val="single" w:sz="4" w:space="0" w:color="auto"/>
            </w:tcBorders>
            <w:noWrap/>
            <w:vAlign w:val="center"/>
          </w:tcPr>
          <w:p w14:paraId="50850932" w14:textId="5B6A9263" w:rsidR="00372C85" w:rsidRPr="00845FB7" w:rsidRDefault="00FE0FB8">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100</w:t>
            </w:r>
            <w:r w:rsidR="00372C85" w:rsidRPr="00845FB7">
              <w:rPr>
                <w:rFonts w:eastAsia="Times New Roman" w:cs="Times New Roman"/>
                <w:color w:val="000000"/>
                <w:sz w:val="16"/>
                <w:szCs w:val="16"/>
                <w:lang w:val="en-GB"/>
              </w:rPr>
              <w:t>,000</w:t>
            </w:r>
          </w:p>
        </w:tc>
        <w:tc>
          <w:tcPr>
            <w:tcW w:w="389" w:type="pct"/>
            <w:tcBorders>
              <w:top w:val="nil"/>
              <w:left w:val="nil"/>
              <w:bottom w:val="single" w:sz="4" w:space="0" w:color="auto"/>
              <w:right w:val="single" w:sz="4" w:space="0" w:color="auto"/>
            </w:tcBorders>
            <w:noWrap/>
            <w:vAlign w:val="center"/>
          </w:tcPr>
          <w:p w14:paraId="1ABE949D" w14:textId="1804B5A4" w:rsidR="00372C85" w:rsidRPr="00845FB7" w:rsidRDefault="00FE0FB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170</w:t>
            </w:r>
            <w:r w:rsidR="00372C85"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1C580F86"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9583BE7"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48FEFDE9"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95FAA2F" w14:textId="12AC5A9B" w:rsidR="00372C85" w:rsidRPr="00845FB7" w:rsidRDefault="00126F99" w:rsidP="00F61D1C">
            <w:pPr>
              <w:spacing w:after="0" w:line="240" w:lineRule="auto"/>
              <w:ind w:right="90"/>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7</w:t>
            </w:r>
            <w:r w:rsidR="00372C85" w:rsidRPr="00845FB7">
              <w:rPr>
                <w:rFonts w:eastAsia="Times New Roman" w:cs="Times New Roman"/>
                <w:color w:val="000000"/>
                <w:sz w:val="16"/>
                <w:szCs w:val="16"/>
                <w:lang w:val="en-GB"/>
              </w:rPr>
              <w:t>0,000</w:t>
            </w:r>
          </w:p>
        </w:tc>
        <w:tc>
          <w:tcPr>
            <w:tcW w:w="311" w:type="pct"/>
            <w:tcBorders>
              <w:top w:val="nil"/>
              <w:left w:val="nil"/>
              <w:bottom w:val="single" w:sz="4" w:space="0" w:color="auto"/>
              <w:right w:val="single" w:sz="4" w:space="0" w:color="auto"/>
            </w:tcBorders>
            <w:noWrap/>
            <w:vAlign w:val="center"/>
          </w:tcPr>
          <w:p w14:paraId="6610C568" w14:textId="67E7CB03" w:rsidR="00372C85" w:rsidRPr="00845FB7" w:rsidRDefault="00CF1DD7">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100</w:t>
            </w:r>
            <w:r w:rsidR="00372C85" w:rsidRPr="00845FB7">
              <w:rPr>
                <w:rFonts w:eastAsia="Times New Roman" w:cs="Times New Roman"/>
                <w:color w:val="000000"/>
                <w:sz w:val="16"/>
                <w:szCs w:val="16"/>
                <w:lang w:val="en-GB"/>
              </w:rPr>
              <w:t>,000</w:t>
            </w:r>
          </w:p>
        </w:tc>
        <w:tc>
          <w:tcPr>
            <w:tcW w:w="368" w:type="pct"/>
            <w:tcBorders>
              <w:top w:val="nil"/>
              <w:left w:val="nil"/>
              <w:bottom w:val="single" w:sz="4" w:space="0" w:color="auto"/>
              <w:right w:val="single" w:sz="4" w:space="0" w:color="auto"/>
            </w:tcBorders>
            <w:noWrap/>
            <w:vAlign w:val="center"/>
          </w:tcPr>
          <w:p w14:paraId="2C721C32" w14:textId="50E5B41C" w:rsidR="00372C85" w:rsidRPr="00845FB7" w:rsidRDefault="00FD66B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170</w:t>
            </w:r>
            <w:r w:rsidR="00372C85" w:rsidRPr="00845FB7">
              <w:rPr>
                <w:rFonts w:eastAsia="Times New Roman" w:cs="Times New Roman"/>
                <w:b/>
                <w:bCs/>
                <w:color w:val="000000"/>
                <w:sz w:val="16"/>
                <w:szCs w:val="16"/>
                <w:lang w:val="en-GB"/>
              </w:rPr>
              <w:t>,000</w:t>
            </w:r>
          </w:p>
        </w:tc>
      </w:tr>
      <w:tr w:rsidR="0053720F" w:rsidRPr="00845FB7" w14:paraId="68BF3528" w14:textId="77777777" w:rsidTr="0029720C">
        <w:trPr>
          <w:trHeight w:val="300"/>
        </w:trPr>
        <w:tc>
          <w:tcPr>
            <w:tcW w:w="1212" w:type="pct"/>
            <w:tcBorders>
              <w:top w:val="nil"/>
              <w:left w:val="single" w:sz="4" w:space="0" w:color="auto"/>
              <w:bottom w:val="single" w:sz="4" w:space="0" w:color="auto"/>
              <w:right w:val="single" w:sz="4" w:space="0" w:color="auto"/>
            </w:tcBorders>
            <w:vAlign w:val="center"/>
          </w:tcPr>
          <w:p w14:paraId="7CA5A479" w14:textId="77777777" w:rsidR="00372C85" w:rsidRPr="00845FB7" w:rsidRDefault="00372C85">
            <w:pPr>
              <w:spacing w:after="0" w:line="240" w:lineRule="auto"/>
              <w:jc w:val="left"/>
              <w:rPr>
                <w:rFonts w:eastAsia="Times New Roman" w:cs="Times New Roman"/>
                <w:sz w:val="16"/>
                <w:szCs w:val="16"/>
                <w:lang w:val="en-GB"/>
              </w:rPr>
            </w:pPr>
            <w:r w:rsidRPr="00845FB7">
              <w:rPr>
                <w:rFonts w:eastAsia="Times New Roman" w:cs="Times New Roman"/>
                <w:sz w:val="16"/>
                <w:szCs w:val="16"/>
                <w:lang w:val="en-GB"/>
              </w:rPr>
              <w:t>Mercury waste guidelines</w:t>
            </w:r>
          </w:p>
        </w:tc>
        <w:tc>
          <w:tcPr>
            <w:tcW w:w="310" w:type="pct"/>
            <w:tcBorders>
              <w:top w:val="nil"/>
              <w:left w:val="nil"/>
              <w:bottom w:val="single" w:sz="4" w:space="0" w:color="auto"/>
              <w:right w:val="single" w:sz="4" w:space="0" w:color="auto"/>
            </w:tcBorders>
            <w:noWrap/>
            <w:vAlign w:val="center"/>
          </w:tcPr>
          <w:p w14:paraId="79A3C152"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A3C614D"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196D79DA"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7E8607D" w14:textId="38DC21EA" w:rsidR="00372C85" w:rsidRPr="00845FB7" w:rsidRDefault="00F9271D">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100</w:t>
            </w:r>
            <w:r w:rsidR="00372C85" w:rsidRPr="00845FB7">
              <w:rPr>
                <w:rFonts w:eastAsia="Times New Roman" w:cs="Times New Roman"/>
                <w:color w:val="000000"/>
                <w:sz w:val="16"/>
                <w:szCs w:val="16"/>
                <w:lang w:val="en-GB"/>
              </w:rPr>
              <w:t>,000</w:t>
            </w:r>
          </w:p>
        </w:tc>
        <w:tc>
          <w:tcPr>
            <w:tcW w:w="310" w:type="pct"/>
            <w:tcBorders>
              <w:top w:val="nil"/>
              <w:left w:val="nil"/>
              <w:bottom w:val="single" w:sz="4" w:space="0" w:color="auto"/>
              <w:right w:val="single" w:sz="4" w:space="0" w:color="auto"/>
            </w:tcBorders>
            <w:noWrap/>
            <w:vAlign w:val="center"/>
          </w:tcPr>
          <w:p w14:paraId="48CA490B" w14:textId="77777777" w:rsidR="00372C85" w:rsidRPr="00845FB7" w:rsidRDefault="00BD0558">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6</w:t>
            </w:r>
            <w:r w:rsidR="00F9271D" w:rsidRPr="00845FB7">
              <w:rPr>
                <w:rFonts w:eastAsia="Times New Roman" w:cs="Times New Roman"/>
                <w:color w:val="000000"/>
                <w:sz w:val="16"/>
                <w:szCs w:val="16"/>
                <w:lang w:val="en-GB"/>
              </w:rPr>
              <w:t>0</w:t>
            </w:r>
            <w:r w:rsidR="00372C85" w:rsidRPr="00845FB7">
              <w:rPr>
                <w:rFonts w:eastAsia="Times New Roman" w:cs="Times New Roman"/>
                <w:color w:val="000000"/>
                <w:sz w:val="16"/>
                <w:szCs w:val="16"/>
                <w:lang w:val="en-GB"/>
              </w:rPr>
              <w:t>,000</w:t>
            </w:r>
          </w:p>
        </w:tc>
        <w:tc>
          <w:tcPr>
            <w:tcW w:w="389" w:type="pct"/>
            <w:tcBorders>
              <w:top w:val="nil"/>
              <w:left w:val="nil"/>
              <w:bottom w:val="single" w:sz="4" w:space="0" w:color="auto"/>
              <w:right w:val="single" w:sz="4" w:space="0" w:color="auto"/>
            </w:tcBorders>
            <w:noWrap/>
            <w:vAlign w:val="center"/>
          </w:tcPr>
          <w:p w14:paraId="1360F63A" w14:textId="74ECCAC1" w:rsidR="00372C85" w:rsidRPr="00845FB7" w:rsidRDefault="00401072">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160</w:t>
            </w:r>
            <w:r w:rsidR="00372C85"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09D2D0A3"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79AAE37"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041A6C3F" w14:textId="77777777" w:rsidR="00372C85" w:rsidRPr="00845FB7" w:rsidRDefault="00372C85">
            <w:pPr>
              <w:spacing w:after="0" w:line="240" w:lineRule="auto"/>
              <w:jc w:val="right"/>
              <w:rPr>
                <w:rFonts w:eastAsia="Times New Roman" w:cs="Times New Roman"/>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04B74E89" w14:textId="58F061FD" w:rsidR="00372C85" w:rsidRPr="00845FB7" w:rsidRDefault="00FD66B8">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100</w:t>
            </w:r>
            <w:r w:rsidR="00372C85" w:rsidRPr="00845FB7">
              <w:rPr>
                <w:rFonts w:eastAsia="Times New Roman" w:cs="Times New Roman"/>
                <w:color w:val="000000"/>
                <w:sz w:val="16"/>
                <w:szCs w:val="16"/>
                <w:lang w:val="en-GB"/>
              </w:rPr>
              <w:t>,000</w:t>
            </w:r>
          </w:p>
        </w:tc>
        <w:tc>
          <w:tcPr>
            <w:tcW w:w="311" w:type="pct"/>
            <w:tcBorders>
              <w:top w:val="nil"/>
              <w:left w:val="nil"/>
              <w:bottom w:val="single" w:sz="4" w:space="0" w:color="auto"/>
              <w:right w:val="single" w:sz="4" w:space="0" w:color="auto"/>
            </w:tcBorders>
            <w:noWrap/>
            <w:vAlign w:val="center"/>
          </w:tcPr>
          <w:p w14:paraId="074C803E"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60,000</w:t>
            </w:r>
          </w:p>
        </w:tc>
        <w:tc>
          <w:tcPr>
            <w:tcW w:w="368" w:type="pct"/>
            <w:tcBorders>
              <w:top w:val="nil"/>
              <w:left w:val="nil"/>
              <w:bottom w:val="single" w:sz="4" w:space="0" w:color="auto"/>
              <w:right w:val="single" w:sz="4" w:space="0" w:color="auto"/>
            </w:tcBorders>
            <w:noWrap/>
            <w:vAlign w:val="center"/>
          </w:tcPr>
          <w:p w14:paraId="1CE06CEB" w14:textId="2EB104B6" w:rsidR="00372C85" w:rsidRPr="00845FB7" w:rsidRDefault="00FD66B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160</w:t>
            </w:r>
            <w:r w:rsidR="00372C85" w:rsidRPr="00845FB7">
              <w:rPr>
                <w:rFonts w:eastAsia="Times New Roman" w:cs="Times New Roman"/>
                <w:b/>
                <w:bCs/>
                <w:color w:val="000000"/>
                <w:sz w:val="16"/>
                <w:szCs w:val="16"/>
                <w:lang w:val="en-GB"/>
              </w:rPr>
              <w:t>,000</w:t>
            </w:r>
          </w:p>
        </w:tc>
      </w:tr>
      <w:tr w:rsidR="0053720F" w:rsidRPr="00845FB7" w14:paraId="0768885E"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hideMark/>
          </w:tcPr>
          <w:p w14:paraId="0A672BCE"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Component total</w:t>
            </w:r>
          </w:p>
        </w:tc>
        <w:tc>
          <w:tcPr>
            <w:tcW w:w="310" w:type="pct"/>
            <w:tcBorders>
              <w:top w:val="nil"/>
              <w:left w:val="nil"/>
              <w:bottom w:val="single" w:sz="4" w:space="0" w:color="auto"/>
              <w:right w:val="single" w:sz="4" w:space="0" w:color="auto"/>
            </w:tcBorders>
            <w:noWrap/>
            <w:vAlign w:val="center"/>
          </w:tcPr>
          <w:p w14:paraId="3308435F"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F0D5C91"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1EA50457"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hideMark/>
          </w:tcPr>
          <w:p w14:paraId="3BA43308" w14:textId="71EE33BF" w:rsidR="00372C85" w:rsidRPr="00845FB7" w:rsidRDefault="00552134">
            <w:pPr>
              <w:spacing w:after="0" w:line="240" w:lineRule="auto"/>
              <w:jc w:val="right"/>
              <w:rPr>
                <w:rFonts w:eastAsia="Times New Roman" w:cs="Times New Roman"/>
                <w:b/>
                <w:bCs/>
                <w:color w:val="000000" w:themeColor="text1"/>
                <w:sz w:val="16"/>
                <w:szCs w:val="16"/>
                <w:lang w:val="en-GB"/>
              </w:rPr>
            </w:pPr>
            <w:r w:rsidRPr="00845FB7">
              <w:rPr>
                <w:rFonts w:eastAsia="Times New Roman" w:cs="Times New Roman"/>
                <w:b/>
                <w:bCs/>
                <w:color w:val="000000" w:themeColor="text1"/>
                <w:sz w:val="16"/>
                <w:szCs w:val="16"/>
                <w:lang w:val="en-GB"/>
              </w:rPr>
              <w:t>270</w:t>
            </w:r>
            <w:r w:rsidR="00372C85" w:rsidRPr="00845FB7">
              <w:rPr>
                <w:rFonts w:eastAsia="Times New Roman" w:cs="Times New Roman"/>
                <w:b/>
                <w:bCs/>
                <w:color w:val="000000" w:themeColor="text1"/>
                <w:sz w:val="16"/>
                <w:szCs w:val="16"/>
                <w:lang w:val="en-GB"/>
              </w:rPr>
              <w:t>,000</w:t>
            </w:r>
          </w:p>
        </w:tc>
        <w:tc>
          <w:tcPr>
            <w:tcW w:w="310" w:type="pct"/>
            <w:tcBorders>
              <w:top w:val="nil"/>
              <w:left w:val="nil"/>
              <w:bottom w:val="single" w:sz="4" w:space="0" w:color="auto"/>
              <w:right w:val="single" w:sz="4" w:space="0" w:color="auto"/>
            </w:tcBorders>
            <w:noWrap/>
            <w:vAlign w:val="center"/>
            <w:hideMark/>
          </w:tcPr>
          <w:p w14:paraId="254680F1" w14:textId="5D00801A" w:rsidR="00372C85" w:rsidRPr="00845FB7" w:rsidRDefault="00552134">
            <w:pPr>
              <w:spacing w:after="0" w:line="240" w:lineRule="auto"/>
              <w:jc w:val="right"/>
              <w:rPr>
                <w:rFonts w:eastAsia="Times New Roman" w:cs="Times New Roman"/>
                <w:b/>
                <w:bCs/>
                <w:color w:val="000000" w:themeColor="text1"/>
                <w:sz w:val="16"/>
                <w:szCs w:val="16"/>
                <w:lang w:val="en-GB"/>
              </w:rPr>
            </w:pPr>
            <w:r w:rsidRPr="00845FB7">
              <w:rPr>
                <w:rFonts w:eastAsia="Times New Roman" w:cs="Times New Roman"/>
                <w:b/>
                <w:bCs/>
                <w:color w:val="000000" w:themeColor="text1"/>
                <w:sz w:val="16"/>
                <w:szCs w:val="16"/>
                <w:lang w:val="en-GB"/>
              </w:rPr>
              <w:t>260</w:t>
            </w:r>
            <w:r w:rsidR="00372C85" w:rsidRPr="00845FB7">
              <w:rPr>
                <w:rFonts w:eastAsia="Times New Roman" w:cs="Times New Roman"/>
                <w:b/>
                <w:bCs/>
                <w:color w:val="000000" w:themeColor="text1"/>
                <w:sz w:val="16"/>
                <w:szCs w:val="16"/>
                <w:lang w:val="en-GB"/>
              </w:rPr>
              <w:t>,000</w:t>
            </w:r>
          </w:p>
        </w:tc>
        <w:tc>
          <w:tcPr>
            <w:tcW w:w="389" w:type="pct"/>
            <w:tcBorders>
              <w:top w:val="nil"/>
              <w:left w:val="nil"/>
              <w:bottom w:val="single" w:sz="4" w:space="0" w:color="auto"/>
              <w:right w:val="single" w:sz="4" w:space="0" w:color="auto"/>
            </w:tcBorders>
            <w:noWrap/>
            <w:vAlign w:val="center"/>
            <w:hideMark/>
          </w:tcPr>
          <w:p w14:paraId="1CCD5886" w14:textId="671B72C6" w:rsidR="00372C85" w:rsidRPr="00845FB7" w:rsidRDefault="00552134">
            <w:pPr>
              <w:spacing w:after="0" w:line="240" w:lineRule="auto"/>
              <w:jc w:val="right"/>
              <w:rPr>
                <w:rFonts w:eastAsia="Times New Roman" w:cs="Times New Roman"/>
                <w:b/>
                <w:bCs/>
                <w:color w:val="000000" w:themeColor="text1"/>
                <w:sz w:val="16"/>
                <w:szCs w:val="16"/>
                <w:lang w:val="en-GB"/>
              </w:rPr>
            </w:pPr>
            <w:r w:rsidRPr="00845FB7">
              <w:rPr>
                <w:rFonts w:eastAsia="Times New Roman" w:cs="Times New Roman"/>
                <w:b/>
                <w:bCs/>
                <w:color w:val="000000" w:themeColor="text1"/>
                <w:sz w:val="16"/>
                <w:szCs w:val="16"/>
                <w:lang w:val="en-GB"/>
              </w:rPr>
              <w:t>530</w:t>
            </w:r>
            <w:r w:rsidR="00372C85" w:rsidRPr="00845FB7">
              <w:rPr>
                <w:rFonts w:eastAsia="Times New Roman" w:cs="Times New Roman"/>
                <w:b/>
                <w:bCs/>
                <w:color w:val="000000" w:themeColor="text1"/>
                <w:sz w:val="16"/>
                <w:szCs w:val="16"/>
                <w:lang w:val="en-GB"/>
              </w:rPr>
              <w:t xml:space="preserve">,000            </w:t>
            </w:r>
          </w:p>
        </w:tc>
        <w:tc>
          <w:tcPr>
            <w:tcW w:w="234" w:type="pct"/>
            <w:tcBorders>
              <w:top w:val="nil"/>
              <w:left w:val="nil"/>
              <w:bottom w:val="single" w:sz="4" w:space="0" w:color="auto"/>
              <w:right w:val="single" w:sz="4" w:space="0" w:color="auto"/>
            </w:tcBorders>
            <w:noWrap/>
            <w:vAlign w:val="center"/>
          </w:tcPr>
          <w:p w14:paraId="0CC9BE49" w14:textId="77777777" w:rsidR="00372C85" w:rsidRPr="00845FB7" w:rsidRDefault="00372C85">
            <w:pPr>
              <w:spacing w:after="0" w:line="240" w:lineRule="auto"/>
              <w:jc w:val="right"/>
              <w:rPr>
                <w:rFonts w:eastAsia="Times New Roman" w:cs="Times New Roman"/>
                <w:b/>
                <w:bCs/>
                <w:color w:val="000000" w:themeColor="text1"/>
                <w:sz w:val="16"/>
                <w:szCs w:val="16"/>
                <w:lang w:val="en-GB"/>
              </w:rPr>
            </w:pPr>
          </w:p>
        </w:tc>
        <w:tc>
          <w:tcPr>
            <w:tcW w:w="311" w:type="pct"/>
            <w:tcBorders>
              <w:top w:val="nil"/>
              <w:left w:val="nil"/>
              <w:bottom w:val="single" w:sz="4" w:space="0" w:color="auto"/>
              <w:right w:val="single" w:sz="4" w:space="0" w:color="auto"/>
            </w:tcBorders>
            <w:noWrap/>
            <w:vAlign w:val="center"/>
          </w:tcPr>
          <w:p w14:paraId="3295B370" w14:textId="77777777" w:rsidR="00372C85" w:rsidRPr="00845FB7" w:rsidRDefault="00372C85">
            <w:pPr>
              <w:spacing w:after="0" w:line="240" w:lineRule="auto"/>
              <w:jc w:val="right"/>
              <w:rPr>
                <w:rFonts w:eastAsia="Times New Roman" w:cs="Times New Roman"/>
                <w:b/>
                <w:bCs/>
                <w:color w:val="000000" w:themeColor="text1"/>
                <w:sz w:val="16"/>
                <w:szCs w:val="16"/>
                <w:lang w:val="en-GB"/>
              </w:rPr>
            </w:pPr>
          </w:p>
        </w:tc>
        <w:tc>
          <w:tcPr>
            <w:tcW w:w="310" w:type="pct"/>
            <w:tcBorders>
              <w:top w:val="nil"/>
              <w:left w:val="nil"/>
              <w:bottom w:val="single" w:sz="4" w:space="0" w:color="auto"/>
              <w:right w:val="single" w:sz="4" w:space="0" w:color="auto"/>
            </w:tcBorders>
            <w:noWrap/>
            <w:vAlign w:val="center"/>
          </w:tcPr>
          <w:p w14:paraId="34119D04" w14:textId="77777777" w:rsidR="00372C85" w:rsidRPr="00845FB7" w:rsidRDefault="00372C85">
            <w:pPr>
              <w:spacing w:after="0" w:line="240" w:lineRule="auto"/>
              <w:jc w:val="right"/>
              <w:rPr>
                <w:rFonts w:eastAsia="Times New Roman" w:cs="Times New Roman"/>
                <w:b/>
                <w:bCs/>
                <w:color w:val="000000" w:themeColor="text1"/>
                <w:sz w:val="16"/>
                <w:szCs w:val="16"/>
                <w:lang w:val="en-GB"/>
              </w:rPr>
            </w:pPr>
          </w:p>
        </w:tc>
        <w:tc>
          <w:tcPr>
            <w:tcW w:w="311" w:type="pct"/>
            <w:tcBorders>
              <w:top w:val="nil"/>
              <w:left w:val="nil"/>
              <w:bottom w:val="single" w:sz="4" w:space="0" w:color="auto"/>
              <w:right w:val="single" w:sz="4" w:space="0" w:color="auto"/>
            </w:tcBorders>
            <w:noWrap/>
            <w:vAlign w:val="center"/>
          </w:tcPr>
          <w:p w14:paraId="22C16750" w14:textId="47302440" w:rsidR="00372C85" w:rsidRPr="00845FB7" w:rsidRDefault="00AB1785">
            <w:pPr>
              <w:spacing w:after="0" w:line="240" w:lineRule="auto"/>
              <w:jc w:val="right"/>
              <w:rPr>
                <w:rFonts w:eastAsia="Times New Roman" w:cs="Times New Roman"/>
                <w:b/>
                <w:bCs/>
                <w:color w:val="000000" w:themeColor="text1"/>
                <w:sz w:val="16"/>
                <w:szCs w:val="16"/>
                <w:lang w:val="en-GB"/>
              </w:rPr>
            </w:pPr>
            <w:r w:rsidRPr="00845FB7">
              <w:rPr>
                <w:rFonts w:eastAsia="Times New Roman" w:cs="Times New Roman"/>
                <w:b/>
                <w:bCs/>
                <w:color w:val="000000" w:themeColor="text1"/>
                <w:sz w:val="16"/>
                <w:szCs w:val="16"/>
                <w:lang w:val="en-GB"/>
              </w:rPr>
              <w:t>270</w:t>
            </w:r>
            <w:r w:rsidR="00372C85" w:rsidRPr="00845FB7">
              <w:rPr>
                <w:rFonts w:eastAsia="Times New Roman" w:cs="Times New Roman"/>
                <w:b/>
                <w:bCs/>
                <w:color w:val="000000" w:themeColor="text1"/>
                <w:sz w:val="16"/>
                <w:szCs w:val="16"/>
                <w:lang w:val="en-GB"/>
              </w:rPr>
              <w:t xml:space="preserve">,000  </w:t>
            </w:r>
          </w:p>
        </w:tc>
        <w:tc>
          <w:tcPr>
            <w:tcW w:w="311" w:type="pct"/>
            <w:tcBorders>
              <w:top w:val="nil"/>
              <w:left w:val="nil"/>
              <w:bottom w:val="single" w:sz="4" w:space="0" w:color="auto"/>
              <w:right w:val="single" w:sz="4" w:space="0" w:color="auto"/>
            </w:tcBorders>
            <w:noWrap/>
            <w:vAlign w:val="center"/>
          </w:tcPr>
          <w:p w14:paraId="70A53F20" w14:textId="5CC6D6B8" w:rsidR="00372C85" w:rsidRPr="00845FB7" w:rsidRDefault="00AB1785">
            <w:pPr>
              <w:spacing w:after="0" w:line="240" w:lineRule="auto"/>
              <w:jc w:val="right"/>
              <w:rPr>
                <w:rFonts w:eastAsia="Times New Roman" w:cs="Times New Roman"/>
                <w:b/>
                <w:bCs/>
                <w:color w:val="000000" w:themeColor="text1"/>
                <w:sz w:val="16"/>
                <w:szCs w:val="16"/>
                <w:lang w:val="en-GB"/>
              </w:rPr>
            </w:pPr>
            <w:r w:rsidRPr="00845FB7">
              <w:rPr>
                <w:rFonts w:eastAsia="Times New Roman" w:cs="Times New Roman"/>
                <w:b/>
                <w:bCs/>
                <w:color w:val="000000" w:themeColor="text1"/>
                <w:sz w:val="16"/>
                <w:szCs w:val="16"/>
                <w:lang w:val="en-GB"/>
              </w:rPr>
              <w:t>260</w:t>
            </w:r>
            <w:r w:rsidR="00372C85" w:rsidRPr="00845FB7">
              <w:rPr>
                <w:rFonts w:eastAsia="Times New Roman" w:cs="Times New Roman"/>
                <w:b/>
                <w:bCs/>
                <w:color w:val="000000" w:themeColor="text1"/>
                <w:sz w:val="16"/>
                <w:szCs w:val="16"/>
                <w:lang w:val="en-GB"/>
              </w:rPr>
              <w:t>,000</w:t>
            </w:r>
          </w:p>
        </w:tc>
        <w:tc>
          <w:tcPr>
            <w:tcW w:w="368" w:type="pct"/>
            <w:tcBorders>
              <w:top w:val="nil"/>
              <w:left w:val="nil"/>
              <w:bottom w:val="single" w:sz="4" w:space="0" w:color="auto"/>
              <w:right w:val="single" w:sz="4" w:space="0" w:color="auto"/>
            </w:tcBorders>
            <w:noWrap/>
            <w:vAlign w:val="center"/>
          </w:tcPr>
          <w:p w14:paraId="0E73B161" w14:textId="7D6E7865" w:rsidR="00372C85" w:rsidRPr="00845FB7" w:rsidRDefault="00AB1785">
            <w:pPr>
              <w:spacing w:after="0" w:line="240" w:lineRule="auto"/>
              <w:jc w:val="right"/>
              <w:rPr>
                <w:rFonts w:eastAsia="Times New Roman" w:cs="Times New Roman"/>
                <w:b/>
                <w:bCs/>
                <w:color w:val="000000" w:themeColor="text1"/>
                <w:sz w:val="16"/>
                <w:szCs w:val="16"/>
                <w:lang w:val="en-GB"/>
              </w:rPr>
            </w:pPr>
            <w:r w:rsidRPr="00845FB7">
              <w:rPr>
                <w:rFonts w:eastAsia="Times New Roman" w:cs="Times New Roman"/>
                <w:b/>
                <w:bCs/>
                <w:color w:val="000000" w:themeColor="text1"/>
                <w:sz w:val="16"/>
                <w:szCs w:val="16"/>
                <w:lang w:val="en-GB"/>
              </w:rPr>
              <w:t>530</w:t>
            </w:r>
            <w:r w:rsidR="00372C85" w:rsidRPr="00845FB7">
              <w:rPr>
                <w:rFonts w:eastAsia="Times New Roman" w:cs="Times New Roman"/>
                <w:b/>
                <w:bCs/>
                <w:color w:val="000000" w:themeColor="text1"/>
                <w:sz w:val="16"/>
                <w:szCs w:val="16"/>
                <w:lang w:val="en-GB"/>
              </w:rPr>
              <w:t>,000</w:t>
            </w:r>
          </w:p>
        </w:tc>
      </w:tr>
      <w:tr w:rsidR="00372C85" w:rsidRPr="00845FB7" w14:paraId="662A5686" w14:textId="77777777" w:rsidTr="00BD36F8">
        <w:trPr>
          <w:trHeight w:val="300"/>
        </w:trPr>
        <w:tc>
          <w:tcPr>
            <w:tcW w:w="5000" w:type="pct"/>
            <w:gridSpan w:val="13"/>
            <w:tcBorders>
              <w:top w:val="nil"/>
              <w:left w:val="single" w:sz="4" w:space="0" w:color="auto"/>
              <w:bottom w:val="single" w:sz="4" w:space="0" w:color="auto"/>
              <w:right w:val="single" w:sz="4" w:space="0" w:color="auto"/>
            </w:tcBorders>
            <w:noWrap/>
            <w:vAlign w:val="center"/>
          </w:tcPr>
          <w:p w14:paraId="5044457B" w14:textId="4C0D0568" w:rsidR="00372C85" w:rsidRPr="00845FB7" w:rsidRDefault="00372C85">
            <w:pPr>
              <w:spacing w:after="0" w:line="240" w:lineRule="auto"/>
              <w:jc w:val="left"/>
              <w:rPr>
                <w:rFonts w:eastAsia="Times New Roman" w:cs="Times New Roman"/>
                <w:b/>
                <w:bCs/>
                <w:color w:val="000000"/>
                <w:sz w:val="16"/>
                <w:szCs w:val="16"/>
                <w:lang w:val="en-GB"/>
              </w:rPr>
            </w:pPr>
            <w:r w:rsidRPr="00845FB7">
              <w:rPr>
                <w:rFonts w:eastAsia="Times New Roman" w:cs="Times New Roman"/>
                <w:b/>
                <w:bCs/>
                <w:sz w:val="16"/>
                <w:szCs w:val="16"/>
                <w:lang w:val="en-GB"/>
              </w:rPr>
              <w:t>4.3 Capacity-building</w:t>
            </w:r>
            <w:r w:rsidR="00225BEC" w:rsidRPr="00845FB7">
              <w:rPr>
                <w:rFonts w:eastAsia="Times New Roman" w:cs="Times New Roman"/>
                <w:b/>
                <w:bCs/>
                <w:sz w:val="16"/>
                <w:szCs w:val="16"/>
                <w:lang w:val="en-GB"/>
              </w:rPr>
              <w:t xml:space="preserve"> </w:t>
            </w:r>
            <w:r w:rsidR="001759DA" w:rsidRPr="00845FB7">
              <w:rPr>
                <w:rFonts w:eastAsia="Times New Roman" w:cs="Times New Roman"/>
                <w:b/>
                <w:bCs/>
                <w:sz w:val="16"/>
                <w:szCs w:val="16"/>
                <w:lang w:val="en-GB"/>
              </w:rPr>
              <w:t>activities on</w:t>
            </w:r>
            <w:r w:rsidRPr="00845FB7">
              <w:rPr>
                <w:rFonts w:eastAsia="Times New Roman" w:cs="Times New Roman"/>
                <w:b/>
                <w:bCs/>
                <w:sz w:val="16"/>
                <w:szCs w:val="16"/>
                <w:lang w:val="en-GB"/>
              </w:rPr>
              <w:t xml:space="preserve"> request</w:t>
            </w:r>
          </w:p>
        </w:tc>
      </w:tr>
      <w:tr w:rsidR="0053720F" w:rsidRPr="00845FB7" w14:paraId="7EC74F66"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01464087" w14:textId="77777777" w:rsidR="00372C85" w:rsidRPr="00845FB7" w:rsidRDefault="00372C85">
            <w:pPr>
              <w:spacing w:after="0" w:line="240" w:lineRule="auto"/>
              <w:jc w:val="left"/>
              <w:rPr>
                <w:rFonts w:eastAsia="Times New Roman" w:cs="Times New Roman"/>
                <w:color w:val="000000"/>
                <w:sz w:val="16"/>
                <w:szCs w:val="16"/>
                <w:lang w:val="en-GB"/>
              </w:rPr>
            </w:pPr>
            <w:r w:rsidRPr="00845FB7">
              <w:rPr>
                <w:rFonts w:eastAsia="Times New Roman" w:cs="Times New Roman"/>
                <w:color w:val="000000"/>
                <w:sz w:val="16"/>
                <w:szCs w:val="16"/>
                <w:lang w:val="en-GB"/>
              </w:rPr>
              <w:t>Expert advice</w:t>
            </w:r>
          </w:p>
        </w:tc>
        <w:tc>
          <w:tcPr>
            <w:tcW w:w="310" w:type="pct"/>
            <w:tcBorders>
              <w:top w:val="nil"/>
              <w:left w:val="nil"/>
              <w:bottom w:val="single" w:sz="4" w:space="0" w:color="auto"/>
              <w:right w:val="single" w:sz="4" w:space="0" w:color="auto"/>
            </w:tcBorders>
            <w:noWrap/>
            <w:vAlign w:val="center"/>
          </w:tcPr>
          <w:p w14:paraId="7F26397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877231B"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0D8AB3E1"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D2375F6" w14:textId="47007603" w:rsidR="00372C85" w:rsidRPr="00845FB7" w:rsidRDefault="00AA6D00">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4</w:t>
            </w:r>
            <w:r w:rsidR="00372C85" w:rsidRPr="00845FB7">
              <w:rPr>
                <w:rFonts w:eastAsia="Times New Roman" w:cs="Times New Roman"/>
                <w:color w:val="000000"/>
                <w:sz w:val="16"/>
                <w:szCs w:val="16"/>
                <w:lang w:val="en-GB"/>
              </w:rPr>
              <w:t>0,000</w:t>
            </w:r>
          </w:p>
        </w:tc>
        <w:tc>
          <w:tcPr>
            <w:tcW w:w="310" w:type="pct"/>
            <w:tcBorders>
              <w:top w:val="nil"/>
              <w:left w:val="nil"/>
              <w:bottom w:val="single" w:sz="4" w:space="0" w:color="auto"/>
              <w:right w:val="single" w:sz="4" w:space="0" w:color="auto"/>
            </w:tcBorders>
            <w:noWrap/>
            <w:vAlign w:val="center"/>
          </w:tcPr>
          <w:p w14:paraId="7471332F"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30,000</w:t>
            </w:r>
          </w:p>
        </w:tc>
        <w:tc>
          <w:tcPr>
            <w:tcW w:w="389" w:type="pct"/>
            <w:tcBorders>
              <w:top w:val="nil"/>
              <w:left w:val="nil"/>
              <w:bottom w:val="single" w:sz="4" w:space="0" w:color="auto"/>
              <w:right w:val="single" w:sz="4" w:space="0" w:color="auto"/>
            </w:tcBorders>
            <w:noWrap/>
            <w:vAlign w:val="center"/>
          </w:tcPr>
          <w:p w14:paraId="35C58397" w14:textId="77BC29CD" w:rsidR="00372C85" w:rsidRPr="00845FB7" w:rsidRDefault="00C92AB1">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w:t>
            </w:r>
            <w:r w:rsidR="00372C85" w:rsidRPr="00845FB7">
              <w:rPr>
                <w:rFonts w:eastAsia="Times New Roman" w:cs="Times New Roman"/>
                <w:b/>
                <w:bCs/>
                <w:color w:val="000000"/>
                <w:sz w:val="16"/>
                <w:szCs w:val="16"/>
                <w:lang w:val="en-GB"/>
              </w:rPr>
              <w:t>0,000</w:t>
            </w:r>
          </w:p>
        </w:tc>
        <w:tc>
          <w:tcPr>
            <w:tcW w:w="234" w:type="pct"/>
            <w:tcBorders>
              <w:top w:val="nil"/>
              <w:left w:val="nil"/>
              <w:bottom w:val="single" w:sz="4" w:space="0" w:color="auto"/>
              <w:right w:val="single" w:sz="4" w:space="0" w:color="auto"/>
            </w:tcBorders>
            <w:noWrap/>
            <w:vAlign w:val="center"/>
          </w:tcPr>
          <w:p w14:paraId="755618E2"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03059EED"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09AE914A"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0908774A" w14:textId="089CA014" w:rsidR="00372C85" w:rsidRPr="00845FB7" w:rsidRDefault="002954B6">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4</w:t>
            </w:r>
            <w:r w:rsidR="00372C85" w:rsidRPr="00845FB7">
              <w:rPr>
                <w:rFonts w:eastAsia="Times New Roman" w:cs="Times New Roman"/>
                <w:color w:val="000000"/>
                <w:sz w:val="16"/>
                <w:szCs w:val="16"/>
                <w:lang w:val="en-GB"/>
              </w:rPr>
              <w:t>0,000</w:t>
            </w:r>
          </w:p>
        </w:tc>
        <w:tc>
          <w:tcPr>
            <w:tcW w:w="311" w:type="pct"/>
            <w:tcBorders>
              <w:top w:val="nil"/>
              <w:left w:val="nil"/>
              <w:bottom w:val="single" w:sz="4" w:space="0" w:color="auto"/>
              <w:right w:val="single" w:sz="4" w:space="0" w:color="auto"/>
            </w:tcBorders>
            <w:noWrap/>
            <w:vAlign w:val="center"/>
          </w:tcPr>
          <w:p w14:paraId="24D50D38"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30,000</w:t>
            </w:r>
          </w:p>
        </w:tc>
        <w:tc>
          <w:tcPr>
            <w:tcW w:w="368" w:type="pct"/>
            <w:tcBorders>
              <w:top w:val="nil"/>
              <w:left w:val="nil"/>
              <w:bottom w:val="single" w:sz="4" w:space="0" w:color="auto"/>
              <w:right w:val="single" w:sz="4" w:space="0" w:color="auto"/>
            </w:tcBorders>
            <w:noWrap/>
            <w:vAlign w:val="center"/>
          </w:tcPr>
          <w:p w14:paraId="1C68E288" w14:textId="7BB5C374" w:rsidR="00372C85" w:rsidRPr="00845FB7" w:rsidRDefault="002954B6">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w:t>
            </w:r>
            <w:r w:rsidR="00372C85" w:rsidRPr="00845FB7">
              <w:rPr>
                <w:rFonts w:eastAsia="Times New Roman" w:cs="Times New Roman"/>
                <w:b/>
                <w:bCs/>
                <w:color w:val="000000"/>
                <w:sz w:val="16"/>
                <w:szCs w:val="16"/>
                <w:lang w:val="en-GB"/>
              </w:rPr>
              <w:t>0,000</w:t>
            </w:r>
          </w:p>
        </w:tc>
      </w:tr>
      <w:tr w:rsidR="0053720F" w:rsidRPr="00845FB7" w14:paraId="25B77E07"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3F3DEDA5" w14:textId="77777777" w:rsidR="00372C85" w:rsidRPr="00845FB7" w:rsidRDefault="00372C85">
            <w:pPr>
              <w:spacing w:after="0" w:line="240" w:lineRule="auto"/>
              <w:jc w:val="left"/>
              <w:rPr>
                <w:rFonts w:eastAsia="Times New Roman" w:cs="Times New Roman"/>
                <w:color w:val="000000"/>
                <w:sz w:val="16"/>
                <w:szCs w:val="16"/>
                <w:lang w:val="en-GB"/>
              </w:rPr>
            </w:pPr>
            <w:r w:rsidRPr="00845FB7">
              <w:rPr>
                <w:rFonts w:eastAsia="Times New Roman" w:cs="Times New Roman"/>
                <w:color w:val="000000"/>
                <w:sz w:val="16"/>
                <w:szCs w:val="16"/>
                <w:lang w:val="en-GB"/>
              </w:rPr>
              <w:t>National, sub-regional, regional planning and implementation support meetings</w:t>
            </w:r>
          </w:p>
        </w:tc>
        <w:tc>
          <w:tcPr>
            <w:tcW w:w="310" w:type="pct"/>
            <w:tcBorders>
              <w:top w:val="nil"/>
              <w:left w:val="nil"/>
              <w:bottom w:val="single" w:sz="4" w:space="0" w:color="auto"/>
              <w:right w:val="single" w:sz="4" w:space="0" w:color="auto"/>
            </w:tcBorders>
            <w:noWrap/>
            <w:vAlign w:val="center"/>
          </w:tcPr>
          <w:p w14:paraId="45D2BADE"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4057AE0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7EBBA159"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F29C19F" w14:textId="110177BB" w:rsidR="00372C85" w:rsidRPr="00845FB7" w:rsidRDefault="00495437">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120</w:t>
            </w:r>
            <w:r w:rsidR="00372C85" w:rsidRPr="00845FB7">
              <w:rPr>
                <w:rFonts w:eastAsia="Times New Roman" w:cs="Times New Roman"/>
                <w:color w:val="000000"/>
                <w:sz w:val="16"/>
                <w:szCs w:val="16"/>
                <w:lang w:val="en-GB"/>
              </w:rPr>
              <w:t>,000</w:t>
            </w:r>
          </w:p>
        </w:tc>
        <w:tc>
          <w:tcPr>
            <w:tcW w:w="310" w:type="pct"/>
            <w:tcBorders>
              <w:top w:val="nil"/>
              <w:left w:val="nil"/>
              <w:bottom w:val="single" w:sz="4" w:space="0" w:color="auto"/>
              <w:right w:val="single" w:sz="4" w:space="0" w:color="auto"/>
            </w:tcBorders>
            <w:noWrap/>
            <w:vAlign w:val="center"/>
          </w:tcPr>
          <w:p w14:paraId="7FF5FF59" w14:textId="0151E600" w:rsidR="00372C85" w:rsidRPr="00845FB7" w:rsidRDefault="00D96F38">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100</w:t>
            </w:r>
            <w:r w:rsidR="00372C85" w:rsidRPr="00845FB7">
              <w:rPr>
                <w:rFonts w:eastAsia="Times New Roman" w:cs="Times New Roman"/>
                <w:color w:val="000000"/>
                <w:sz w:val="16"/>
                <w:szCs w:val="16"/>
                <w:lang w:val="en-GB"/>
              </w:rPr>
              <w:t>,000</w:t>
            </w:r>
          </w:p>
        </w:tc>
        <w:tc>
          <w:tcPr>
            <w:tcW w:w="389" w:type="pct"/>
            <w:tcBorders>
              <w:top w:val="nil"/>
              <w:left w:val="nil"/>
              <w:bottom w:val="single" w:sz="4" w:space="0" w:color="auto"/>
              <w:right w:val="single" w:sz="4" w:space="0" w:color="auto"/>
            </w:tcBorders>
            <w:noWrap/>
            <w:vAlign w:val="center"/>
          </w:tcPr>
          <w:p w14:paraId="1B51ECA6" w14:textId="08F8310C" w:rsidR="00372C85" w:rsidRPr="00845FB7" w:rsidRDefault="000A1C5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220</w:t>
            </w:r>
            <w:r w:rsidR="00372C85"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30F064C3"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156591F"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38A5AA4B"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4682C348" w14:textId="0CB33421" w:rsidR="00372C85" w:rsidRPr="00845FB7" w:rsidRDefault="006C0EF1">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120</w:t>
            </w:r>
            <w:r w:rsidR="00372C85" w:rsidRPr="00845FB7">
              <w:rPr>
                <w:rFonts w:eastAsia="Times New Roman" w:cs="Times New Roman"/>
                <w:color w:val="000000"/>
                <w:sz w:val="16"/>
                <w:szCs w:val="16"/>
                <w:lang w:val="en-GB"/>
              </w:rPr>
              <w:t>,000</w:t>
            </w:r>
          </w:p>
        </w:tc>
        <w:tc>
          <w:tcPr>
            <w:tcW w:w="311" w:type="pct"/>
            <w:tcBorders>
              <w:top w:val="nil"/>
              <w:left w:val="nil"/>
              <w:bottom w:val="single" w:sz="4" w:space="0" w:color="auto"/>
              <w:right w:val="single" w:sz="4" w:space="0" w:color="auto"/>
            </w:tcBorders>
            <w:noWrap/>
            <w:vAlign w:val="center"/>
          </w:tcPr>
          <w:p w14:paraId="218A784D" w14:textId="483393D9" w:rsidR="00372C85" w:rsidRPr="00845FB7" w:rsidRDefault="006C0EF1">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100</w:t>
            </w:r>
            <w:r w:rsidR="00372C85" w:rsidRPr="00845FB7">
              <w:rPr>
                <w:rFonts w:eastAsia="Times New Roman" w:cs="Times New Roman"/>
                <w:color w:val="000000"/>
                <w:sz w:val="16"/>
                <w:szCs w:val="16"/>
                <w:lang w:val="en-GB"/>
              </w:rPr>
              <w:t>,000</w:t>
            </w:r>
          </w:p>
        </w:tc>
        <w:tc>
          <w:tcPr>
            <w:tcW w:w="368" w:type="pct"/>
            <w:tcBorders>
              <w:top w:val="nil"/>
              <w:left w:val="nil"/>
              <w:bottom w:val="single" w:sz="4" w:space="0" w:color="auto"/>
              <w:right w:val="single" w:sz="4" w:space="0" w:color="auto"/>
            </w:tcBorders>
            <w:noWrap/>
            <w:vAlign w:val="center"/>
          </w:tcPr>
          <w:p w14:paraId="5835DEF7" w14:textId="2074D814" w:rsidR="00372C85" w:rsidRPr="00845FB7" w:rsidRDefault="006C0EF1">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220</w:t>
            </w:r>
            <w:r w:rsidR="00372C85" w:rsidRPr="00845FB7">
              <w:rPr>
                <w:rFonts w:eastAsia="Times New Roman" w:cs="Times New Roman"/>
                <w:b/>
                <w:bCs/>
                <w:color w:val="000000"/>
                <w:sz w:val="16"/>
                <w:szCs w:val="16"/>
                <w:lang w:val="en-GB"/>
              </w:rPr>
              <w:t>,000</w:t>
            </w:r>
          </w:p>
        </w:tc>
      </w:tr>
      <w:tr w:rsidR="0053720F" w:rsidRPr="00845FB7" w14:paraId="00F910D7"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0B6A9349"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Component total</w:t>
            </w:r>
          </w:p>
        </w:tc>
        <w:tc>
          <w:tcPr>
            <w:tcW w:w="310" w:type="pct"/>
            <w:tcBorders>
              <w:top w:val="nil"/>
              <w:left w:val="nil"/>
              <w:bottom w:val="single" w:sz="4" w:space="0" w:color="auto"/>
              <w:right w:val="single" w:sz="4" w:space="0" w:color="auto"/>
            </w:tcBorders>
            <w:noWrap/>
            <w:vAlign w:val="center"/>
          </w:tcPr>
          <w:p w14:paraId="12A1089A"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46D3AE72"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41D83596"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E8CA418" w14:textId="565BCF57" w:rsidR="00372C85" w:rsidRPr="00845FB7" w:rsidRDefault="000A1C5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160</w:t>
            </w:r>
            <w:r w:rsidR="00372C85" w:rsidRPr="00845FB7">
              <w:rPr>
                <w:rFonts w:eastAsia="Times New Roman" w:cs="Times New Roman"/>
                <w:b/>
                <w:bCs/>
                <w:color w:val="000000"/>
                <w:sz w:val="16"/>
                <w:szCs w:val="16"/>
                <w:lang w:val="en-GB"/>
              </w:rPr>
              <w:t>,000</w:t>
            </w:r>
          </w:p>
        </w:tc>
        <w:tc>
          <w:tcPr>
            <w:tcW w:w="310" w:type="pct"/>
            <w:tcBorders>
              <w:top w:val="nil"/>
              <w:left w:val="nil"/>
              <w:bottom w:val="single" w:sz="4" w:space="0" w:color="auto"/>
              <w:right w:val="single" w:sz="4" w:space="0" w:color="auto"/>
            </w:tcBorders>
            <w:noWrap/>
            <w:vAlign w:val="center"/>
          </w:tcPr>
          <w:p w14:paraId="147FF614" w14:textId="07E16D96" w:rsidR="00372C85" w:rsidRPr="00845FB7" w:rsidRDefault="000A1C58">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130</w:t>
            </w:r>
            <w:r w:rsidR="00372C85" w:rsidRPr="00845FB7">
              <w:rPr>
                <w:rFonts w:eastAsia="Times New Roman" w:cs="Times New Roman"/>
                <w:b/>
                <w:bCs/>
                <w:color w:val="000000"/>
                <w:sz w:val="16"/>
                <w:szCs w:val="16"/>
                <w:lang w:val="en-GB"/>
              </w:rPr>
              <w:t>,000</w:t>
            </w:r>
          </w:p>
        </w:tc>
        <w:tc>
          <w:tcPr>
            <w:tcW w:w="389" w:type="pct"/>
            <w:tcBorders>
              <w:top w:val="nil"/>
              <w:left w:val="nil"/>
              <w:bottom w:val="single" w:sz="4" w:space="0" w:color="auto"/>
              <w:right w:val="single" w:sz="4" w:space="0" w:color="auto"/>
            </w:tcBorders>
            <w:noWrap/>
            <w:vAlign w:val="center"/>
          </w:tcPr>
          <w:p w14:paraId="0C100A14" w14:textId="6FB2ABDF" w:rsidR="00372C85" w:rsidRPr="00845FB7" w:rsidRDefault="00462C2A">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290</w:t>
            </w:r>
            <w:r w:rsidR="00372C85"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5E5F463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081527CA"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2EA41D4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9038BF9" w14:textId="32E03F37" w:rsidR="00372C85" w:rsidRPr="00845FB7" w:rsidRDefault="006C0EF1">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160</w:t>
            </w:r>
            <w:r w:rsidR="00372C85" w:rsidRPr="00845FB7">
              <w:rPr>
                <w:rFonts w:eastAsia="Times New Roman" w:cs="Times New Roman"/>
                <w:b/>
                <w:bCs/>
                <w:color w:val="000000"/>
                <w:sz w:val="16"/>
                <w:szCs w:val="16"/>
                <w:lang w:val="en-GB"/>
              </w:rPr>
              <w:t>,000</w:t>
            </w:r>
          </w:p>
        </w:tc>
        <w:tc>
          <w:tcPr>
            <w:tcW w:w="311" w:type="pct"/>
            <w:tcBorders>
              <w:top w:val="nil"/>
              <w:left w:val="nil"/>
              <w:bottom w:val="single" w:sz="4" w:space="0" w:color="auto"/>
              <w:right w:val="single" w:sz="4" w:space="0" w:color="auto"/>
            </w:tcBorders>
            <w:noWrap/>
            <w:vAlign w:val="center"/>
          </w:tcPr>
          <w:p w14:paraId="481DBA3B" w14:textId="680BA02B" w:rsidR="00372C85" w:rsidRPr="00845FB7" w:rsidRDefault="006C0EF1">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130</w:t>
            </w:r>
            <w:r w:rsidR="00372C85" w:rsidRPr="00845FB7">
              <w:rPr>
                <w:rFonts w:eastAsia="Times New Roman" w:cs="Times New Roman"/>
                <w:b/>
                <w:bCs/>
                <w:color w:val="000000"/>
                <w:sz w:val="16"/>
                <w:szCs w:val="16"/>
                <w:lang w:val="en-GB"/>
              </w:rPr>
              <w:t>,000</w:t>
            </w:r>
          </w:p>
        </w:tc>
        <w:tc>
          <w:tcPr>
            <w:tcW w:w="368" w:type="pct"/>
            <w:tcBorders>
              <w:top w:val="nil"/>
              <w:left w:val="nil"/>
              <w:bottom w:val="single" w:sz="4" w:space="0" w:color="auto"/>
              <w:right w:val="single" w:sz="4" w:space="0" w:color="auto"/>
            </w:tcBorders>
            <w:noWrap/>
            <w:vAlign w:val="center"/>
          </w:tcPr>
          <w:p w14:paraId="377E3D0E" w14:textId="70D26A69" w:rsidR="00372C85" w:rsidRPr="00845FB7" w:rsidRDefault="0061744F">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290</w:t>
            </w:r>
            <w:r w:rsidR="00372C85" w:rsidRPr="00845FB7">
              <w:rPr>
                <w:rFonts w:eastAsia="Times New Roman" w:cs="Times New Roman"/>
                <w:b/>
                <w:bCs/>
                <w:color w:val="000000"/>
                <w:sz w:val="16"/>
                <w:szCs w:val="16"/>
                <w:lang w:val="en-GB"/>
              </w:rPr>
              <w:t>,000</w:t>
            </w:r>
          </w:p>
        </w:tc>
      </w:tr>
      <w:tr w:rsidR="0053720F" w:rsidRPr="00845FB7" w14:paraId="47EF30C7"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6E07B7E8" w14:textId="77777777" w:rsidR="00372C85" w:rsidRPr="00845FB7" w:rsidRDefault="00372C85">
            <w:pPr>
              <w:spacing w:after="0" w:line="240" w:lineRule="auto"/>
              <w:jc w:val="lef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4.4 Cross-cutting activities</w:t>
            </w:r>
          </w:p>
        </w:tc>
        <w:tc>
          <w:tcPr>
            <w:tcW w:w="310" w:type="pct"/>
            <w:tcBorders>
              <w:top w:val="nil"/>
              <w:left w:val="nil"/>
              <w:bottom w:val="single" w:sz="4" w:space="0" w:color="auto"/>
              <w:right w:val="single" w:sz="4" w:space="0" w:color="auto"/>
            </w:tcBorders>
            <w:noWrap/>
            <w:vAlign w:val="center"/>
          </w:tcPr>
          <w:p w14:paraId="39273B2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1149CD6"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7ED17F87"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46164A50"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602DCB08"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389" w:type="pct"/>
            <w:tcBorders>
              <w:top w:val="nil"/>
              <w:left w:val="nil"/>
              <w:bottom w:val="single" w:sz="4" w:space="0" w:color="auto"/>
              <w:right w:val="single" w:sz="4" w:space="0" w:color="auto"/>
            </w:tcBorders>
            <w:noWrap/>
            <w:vAlign w:val="center"/>
          </w:tcPr>
          <w:p w14:paraId="57D2E84B"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234" w:type="pct"/>
            <w:tcBorders>
              <w:top w:val="nil"/>
              <w:left w:val="nil"/>
              <w:bottom w:val="single" w:sz="4" w:space="0" w:color="auto"/>
              <w:right w:val="single" w:sz="4" w:space="0" w:color="auto"/>
            </w:tcBorders>
            <w:noWrap/>
            <w:vAlign w:val="center"/>
          </w:tcPr>
          <w:p w14:paraId="51265EC9"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480F212E"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0778CB97"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40270638"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4266C2F" w14:textId="77777777" w:rsidR="00372C85" w:rsidRPr="00845FB7" w:rsidRDefault="00372C85">
            <w:pPr>
              <w:spacing w:after="0" w:line="240" w:lineRule="auto"/>
              <w:jc w:val="center"/>
              <w:rPr>
                <w:rFonts w:eastAsia="Times New Roman" w:cs="Times New Roman"/>
                <w:b/>
                <w:bCs/>
                <w:color w:val="000000"/>
                <w:sz w:val="16"/>
                <w:szCs w:val="16"/>
                <w:lang w:val="en-GB"/>
              </w:rPr>
            </w:pPr>
          </w:p>
        </w:tc>
        <w:tc>
          <w:tcPr>
            <w:tcW w:w="368" w:type="pct"/>
            <w:tcBorders>
              <w:top w:val="nil"/>
              <w:left w:val="nil"/>
              <w:bottom w:val="single" w:sz="4" w:space="0" w:color="auto"/>
              <w:right w:val="single" w:sz="4" w:space="0" w:color="auto"/>
            </w:tcBorders>
            <w:noWrap/>
            <w:vAlign w:val="center"/>
          </w:tcPr>
          <w:p w14:paraId="411118BF" w14:textId="77777777" w:rsidR="00372C85" w:rsidRPr="00845FB7" w:rsidRDefault="00372C85">
            <w:pPr>
              <w:spacing w:after="0" w:line="240" w:lineRule="auto"/>
              <w:jc w:val="center"/>
              <w:rPr>
                <w:rFonts w:eastAsia="Times New Roman" w:cs="Times New Roman"/>
                <w:b/>
                <w:bCs/>
                <w:color w:val="000000"/>
                <w:sz w:val="16"/>
                <w:szCs w:val="16"/>
                <w:lang w:val="en-GB"/>
              </w:rPr>
            </w:pPr>
          </w:p>
        </w:tc>
      </w:tr>
      <w:tr w:rsidR="0053720F" w:rsidRPr="00845FB7" w14:paraId="4542F743"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3E2F1085" w14:textId="77777777" w:rsidR="00372C85" w:rsidRPr="00845FB7" w:rsidRDefault="00372C85">
            <w:pPr>
              <w:spacing w:after="0" w:line="240" w:lineRule="auto"/>
              <w:jc w:val="left"/>
              <w:rPr>
                <w:rFonts w:eastAsia="Times New Roman" w:cs="Times New Roman"/>
                <w:color w:val="000000"/>
                <w:sz w:val="16"/>
                <w:szCs w:val="16"/>
                <w:lang w:val="en-GB"/>
              </w:rPr>
            </w:pPr>
            <w:r w:rsidRPr="00845FB7">
              <w:rPr>
                <w:rFonts w:eastAsia="Times New Roman" w:cs="Times New Roman"/>
                <w:color w:val="000000"/>
                <w:sz w:val="16"/>
                <w:szCs w:val="16"/>
                <w:lang w:val="en-GB"/>
              </w:rPr>
              <w:t>Sub-regional trade and supply chain training and projects</w:t>
            </w:r>
          </w:p>
        </w:tc>
        <w:tc>
          <w:tcPr>
            <w:tcW w:w="310" w:type="pct"/>
            <w:tcBorders>
              <w:top w:val="nil"/>
              <w:left w:val="nil"/>
              <w:bottom w:val="single" w:sz="4" w:space="0" w:color="auto"/>
              <w:right w:val="single" w:sz="4" w:space="0" w:color="auto"/>
            </w:tcBorders>
            <w:noWrap/>
            <w:vAlign w:val="center"/>
          </w:tcPr>
          <w:p w14:paraId="2E998A12"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352A08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23E4C8D6"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AF98E44"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140,000</w:t>
            </w:r>
          </w:p>
        </w:tc>
        <w:tc>
          <w:tcPr>
            <w:tcW w:w="310" w:type="pct"/>
            <w:tcBorders>
              <w:top w:val="nil"/>
              <w:left w:val="nil"/>
              <w:bottom w:val="single" w:sz="4" w:space="0" w:color="auto"/>
              <w:right w:val="single" w:sz="4" w:space="0" w:color="auto"/>
            </w:tcBorders>
            <w:noWrap/>
            <w:vAlign w:val="center"/>
          </w:tcPr>
          <w:p w14:paraId="72D375FB" w14:textId="77777777" w:rsidR="00372C85" w:rsidRPr="00845FB7" w:rsidRDefault="00372C85">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140,000</w:t>
            </w:r>
          </w:p>
        </w:tc>
        <w:tc>
          <w:tcPr>
            <w:tcW w:w="389" w:type="pct"/>
            <w:tcBorders>
              <w:top w:val="nil"/>
              <w:left w:val="nil"/>
              <w:bottom w:val="single" w:sz="4" w:space="0" w:color="auto"/>
              <w:right w:val="single" w:sz="4" w:space="0" w:color="auto"/>
            </w:tcBorders>
            <w:noWrap/>
            <w:vAlign w:val="center"/>
          </w:tcPr>
          <w:p w14:paraId="35620FA0"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280,000</w:t>
            </w:r>
          </w:p>
        </w:tc>
        <w:tc>
          <w:tcPr>
            <w:tcW w:w="234" w:type="pct"/>
            <w:tcBorders>
              <w:top w:val="nil"/>
              <w:left w:val="nil"/>
              <w:bottom w:val="single" w:sz="4" w:space="0" w:color="auto"/>
              <w:right w:val="single" w:sz="4" w:space="0" w:color="auto"/>
            </w:tcBorders>
            <w:noWrap/>
            <w:vAlign w:val="center"/>
          </w:tcPr>
          <w:p w14:paraId="0DFE474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F00C2E2"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0B414760"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25BD74F"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color w:val="000000"/>
                <w:sz w:val="16"/>
                <w:szCs w:val="16"/>
                <w:lang w:val="en-GB"/>
              </w:rPr>
              <w:t>140,000</w:t>
            </w:r>
          </w:p>
        </w:tc>
        <w:tc>
          <w:tcPr>
            <w:tcW w:w="311" w:type="pct"/>
            <w:tcBorders>
              <w:top w:val="nil"/>
              <w:left w:val="nil"/>
              <w:bottom w:val="single" w:sz="4" w:space="0" w:color="auto"/>
              <w:right w:val="single" w:sz="4" w:space="0" w:color="auto"/>
            </w:tcBorders>
            <w:noWrap/>
            <w:vAlign w:val="center"/>
          </w:tcPr>
          <w:p w14:paraId="785FDCB2"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color w:val="000000"/>
                <w:sz w:val="16"/>
                <w:szCs w:val="16"/>
                <w:lang w:val="en-GB"/>
              </w:rPr>
              <w:t>140,000</w:t>
            </w:r>
          </w:p>
        </w:tc>
        <w:tc>
          <w:tcPr>
            <w:tcW w:w="368" w:type="pct"/>
            <w:tcBorders>
              <w:top w:val="nil"/>
              <w:left w:val="nil"/>
              <w:bottom w:val="single" w:sz="4" w:space="0" w:color="auto"/>
              <w:right w:val="single" w:sz="4" w:space="0" w:color="auto"/>
            </w:tcBorders>
            <w:noWrap/>
            <w:vAlign w:val="center"/>
          </w:tcPr>
          <w:p w14:paraId="10A28131" w14:textId="77777777" w:rsidR="00372C85" w:rsidRPr="00845FB7" w:rsidRDefault="00372C85">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280,000</w:t>
            </w:r>
          </w:p>
        </w:tc>
      </w:tr>
      <w:tr w:rsidR="0053720F" w:rsidRPr="00845FB7" w14:paraId="0E6030D4"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3514A39A" w14:textId="15C19B4C" w:rsidR="00372C85" w:rsidRPr="00845FB7" w:rsidRDefault="00194A0C">
            <w:pPr>
              <w:spacing w:after="0" w:line="240" w:lineRule="auto"/>
              <w:jc w:val="left"/>
              <w:rPr>
                <w:rFonts w:eastAsia="Times New Roman" w:cs="Times New Roman"/>
                <w:color w:val="000000"/>
                <w:sz w:val="16"/>
                <w:szCs w:val="16"/>
                <w:lang w:val="en-GB"/>
              </w:rPr>
            </w:pPr>
            <w:r w:rsidRPr="00845FB7">
              <w:rPr>
                <w:rFonts w:eastAsia="Times New Roman" w:cs="Times New Roman"/>
                <w:color w:val="000000" w:themeColor="text1"/>
                <w:sz w:val="16"/>
                <w:szCs w:val="16"/>
                <w:lang w:val="en-GB"/>
              </w:rPr>
              <w:t>National linkages projects</w:t>
            </w:r>
          </w:p>
        </w:tc>
        <w:tc>
          <w:tcPr>
            <w:tcW w:w="310" w:type="pct"/>
            <w:tcBorders>
              <w:top w:val="nil"/>
              <w:left w:val="nil"/>
              <w:bottom w:val="single" w:sz="4" w:space="0" w:color="auto"/>
              <w:right w:val="single" w:sz="4" w:space="0" w:color="auto"/>
            </w:tcBorders>
            <w:noWrap/>
            <w:vAlign w:val="center"/>
          </w:tcPr>
          <w:p w14:paraId="73D511C0"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016E58A"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1970C377"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6076807" w14:textId="070019D3" w:rsidR="00372C85" w:rsidRPr="00845FB7" w:rsidRDefault="00372C85">
            <w:pPr>
              <w:spacing w:after="0" w:line="240" w:lineRule="auto"/>
              <w:jc w:val="right"/>
              <w:rPr>
                <w:rFonts w:eastAsia="Times New Roman" w:cs="Times New Roman"/>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352E8612" w14:textId="1D62401B" w:rsidR="00372C85" w:rsidRPr="00845FB7" w:rsidRDefault="00AF46A7">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60</w:t>
            </w:r>
            <w:r w:rsidR="0093492E" w:rsidRPr="00845FB7">
              <w:rPr>
                <w:rFonts w:eastAsia="Times New Roman" w:cs="Times New Roman"/>
                <w:color w:val="000000"/>
                <w:sz w:val="16"/>
                <w:szCs w:val="16"/>
                <w:lang w:val="en-GB"/>
              </w:rPr>
              <w:t>,000</w:t>
            </w:r>
          </w:p>
        </w:tc>
        <w:tc>
          <w:tcPr>
            <w:tcW w:w="389" w:type="pct"/>
            <w:tcBorders>
              <w:top w:val="nil"/>
              <w:left w:val="nil"/>
              <w:bottom w:val="single" w:sz="4" w:space="0" w:color="auto"/>
              <w:right w:val="single" w:sz="4" w:space="0" w:color="auto"/>
            </w:tcBorders>
            <w:noWrap/>
            <w:vAlign w:val="center"/>
          </w:tcPr>
          <w:p w14:paraId="54DA3CDA" w14:textId="670F6C31" w:rsidR="00372C85" w:rsidRPr="00845FB7" w:rsidRDefault="0093492E">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60,000</w:t>
            </w:r>
          </w:p>
        </w:tc>
        <w:tc>
          <w:tcPr>
            <w:tcW w:w="234" w:type="pct"/>
            <w:tcBorders>
              <w:top w:val="nil"/>
              <w:left w:val="nil"/>
              <w:bottom w:val="single" w:sz="4" w:space="0" w:color="auto"/>
              <w:right w:val="single" w:sz="4" w:space="0" w:color="auto"/>
            </w:tcBorders>
            <w:noWrap/>
            <w:vAlign w:val="center"/>
          </w:tcPr>
          <w:p w14:paraId="535D48A4"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CB8A66D"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12D57E30" w14:textId="77777777"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2356C211" w14:textId="64AC8CA2" w:rsidR="00372C85" w:rsidRPr="00845FB7" w:rsidRDefault="00372C85">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25FDCB8" w14:textId="50DC0481" w:rsidR="00EA092C" w:rsidRPr="00845FB7" w:rsidRDefault="00BD19DF" w:rsidP="001570EC">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60</w:t>
            </w:r>
            <w:r w:rsidR="00B00B67" w:rsidRPr="00845FB7">
              <w:rPr>
                <w:rFonts w:eastAsia="Times New Roman" w:cs="Times New Roman"/>
                <w:color w:val="000000"/>
                <w:sz w:val="16"/>
                <w:szCs w:val="16"/>
                <w:lang w:val="en-GB"/>
              </w:rPr>
              <w:t>,</w:t>
            </w:r>
            <w:r w:rsidRPr="00845FB7">
              <w:rPr>
                <w:rFonts w:eastAsia="Times New Roman" w:cs="Times New Roman"/>
                <w:color w:val="000000"/>
                <w:sz w:val="16"/>
                <w:szCs w:val="16"/>
                <w:lang w:val="en-GB"/>
              </w:rPr>
              <w:t>000</w:t>
            </w:r>
          </w:p>
        </w:tc>
        <w:tc>
          <w:tcPr>
            <w:tcW w:w="368" w:type="pct"/>
            <w:tcBorders>
              <w:top w:val="nil"/>
              <w:left w:val="nil"/>
              <w:bottom w:val="single" w:sz="4" w:space="0" w:color="auto"/>
              <w:right w:val="single" w:sz="4" w:space="0" w:color="auto"/>
            </w:tcBorders>
            <w:noWrap/>
            <w:vAlign w:val="center"/>
          </w:tcPr>
          <w:p w14:paraId="42A350D1" w14:textId="2EA3905B" w:rsidR="00EA092C" w:rsidRPr="00845FB7" w:rsidRDefault="00EA092C" w:rsidP="00EA092C">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60,000</w:t>
            </w:r>
          </w:p>
        </w:tc>
      </w:tr>
      <w:tr w:rsidR="002C3CAD" w:rsidRPr="00845FB7" w14:paraId="36AFDC25"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57ECB74A" w14:textId="557CB405" w:rsidR="002C3CAD" w:rsidRPr="00845FB7" w:rsidRDefault="002C3CAD" w:rsidP="002C3CAD">
            <w:pPr>
              <w:spacing w:after="0" w:line="240" w:lineRule="auto"/>
              <w:jc w:val="left"/>
              <w:rPr>
                <w:rFonts w:eastAsia="Times New Roman" w:cs="Times New Roman"/>
                <w:color w:val="000000" w:themeColor="text1"/>
                <w:sz w:val="16"/>
                <w:szCs w:val="16"/>
                <w:lang w:val="en-GB"/>
              </w:rPr>
            </w:pPr>
            <w:r w:rsidRPr="00845FB7">
              <w:rPr>
                <w:rFonts w:eastAsia="Times New Roman" w:cs="Times New Roman"/>
                <w:color w:val="000000" w:themeColor="text1"/>
                <w:sz w:val="16"/>
                <w:szCs w:val="16"/>
                <w:lang w:val="en-GB"/>
              </w:rPr>
              <w:t>Other Training</w:t>
            </w:r>
          </w:p>
        </w:tc>
        <w:tc>
          <w:tcPr>
            <w:tcW w:w="310" w:type="pct"/>
            <w:tcBorders>
              <w:top w:val="nil"/>
              <w:left w:val="nil"/>
              <w:bottom w:val="single" w:sz="4" w:space="0" w:color="auto"/>
              <w:right w:val="single" w:sz="4" w:space="0" w:color="auto"/>
            </w:tcBorders>
            <w:noWrap/>
            <w:vAlign w:val="center"/>
          </w:tcPr>
          <w:p w14:paraId="2F40770A"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7237659"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06802B9F"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E162CD4" w14:textId="0F551F9B" w:rsidR="002C3CAD" w:rsidRPr="00845FB7" w:rsidRDefault="002C3CAD" w:rsidP="002C3CAD">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40,000</w:t>
            </w:r>
          </w:p>
        </w:tc>
        <w:tc>
          <w:tcPr>
            <w:tcW w:w="310" w:type="pct"/>
            <w:tcBorders>
              <w:top w:val="nil"/>
              <w:left w:val="nil"/>
              <w:bottom w:val="single" w:sz="4" w:space="0" w:color="auto"/>
              <w:right w:val="single" w:sz="4" w:space="0" w:color="auto"/>
            </w:tcBorders>
            <w:noWrap/>
            <w:vAlign w:val="center"/>
          </w:tcPr>
          <w:p w14:paraId="33C2B874" w14:textId="77777777" w:rsidR="002C3CAD" w:rsidRPr="00845FB7" w:rsidRDefault="002C3CAD" w:rsidP="002C3CAD">
            <w:pPr>
              <w:spacing w:after="0" w:line="240" w:lineRule="auto"/>
              <w:jc w:val="right"/>
              <w:rPr>
                <w:rFonts w:eastAsia="Times New Roman" w:cs="Times New Roman"/>
                <w:color w:val="000000"/>
                <w:sz w:val="16"/>
                <w:szCs w:val="16"/>
                <w:lang w:val="en-GB"/>
              </w:rPr>
            </w:pPr>
          </w:p>
        </w:tc>
        <w:tc>
          <w:tcPr>
            <w:tcW w:w="389" w:type="pct"/>
            <w:tcBorders>
              <w:top w:val="nil"/>
              <w:left w:val="nil"/>
              <w:bottom w:val="single" w:sz="4" w:space="0" w:color="auto"/>
              <w:right w:val="single" w:sz="4" w:space="0" w:color="auto"/>
            </w:tcBorders>
            <w:noWrap/>
            <w:vAlign w:val="center"/>
          </w:tcPr>
          <w:p w14:paraId="502B024C" w14:textId="46099039"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40,000</w:t>
            </w:r>
          </w:p>
        </w:tc>
        <w:tc>
          <w:tcPr>
            <w:tcW w:w="234" w:type="pct"/>
            <w:tcBorders>
              <w:top w:val="nil"/>
              <w:left w:val="nil"/>
              <w:bottom w:val="single" w:sz="4" w:space="0" w:color="auto"/>
              <w:right w:val="single" w:sz="4" w:space="0" w:color="auto"/>
            </w:tcBorders>
            <w:noWrap/>
            <w:vAlign w:val="center"/>
          </w:tcPr>
          <w:p w14:paraId="1D03F461"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3BC2EDC1"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4027C7A6"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1231088" w14:textId="66A05EC3" w:rsidR="002C3CAD" w:rsidRPr="00845FB7" w:rsidRDefault="002C3CAD" w:rsidP="002C3CAD">
            <w:pPr>
              <w:spacing w:after="0" w:line="240" w:lineRule="auto"/>
              <w:jc w:val="right"/>
              <w:rPr>
                <w:rFonts w:eastAsia="Times New Roman" w:cs="Times New Roman"/>
                <w:color w:val="000000"/>
                <w:sz w:val="16"/>
                <w:szCs w:val="16"/>
                <w:lang w:val="en-GB"/>
              </w:rPr>
            </w:pPr>
            <w:r w:rsidRPr="00845FB7">
              <w:rPr>
                <w:rFonts w:eastAsia="Times New Roman" w:cs="Times New Roman"/>
                <w:color w:val="000000"/>
                <w:sz w:val="16"/>
                <w:szCs w:val="16"/>
                <w:lang w:val="en-GB"/>
              </w:rPr>
              <w:t>40,000</w:t>
            </w:r>
          </w:p>
        </w:tc>
        <w:tc>
          <w:tcPr>
            <w:tcW w:w="311" w:type="pct"/>
            <w:tcBorders>
              <w:top w:val="nil"/>
              <w:left w:val="nil"/>
              <w:bottom w:val="single" w:sz="4" w:space="0" w:color="auto"/>
              <w:right w:val="single" w:sz="4" w:space="0" w:color="auto"/>
            </w:tcBorders>
            <w:noWrap/>
            <w:vAlign w:val="center"/>
          </w:tcPr>
          <w:p w14:paraId="493E1A75"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68" w:type="pct"/>
            <w:tcBorders>
              <w:top w:val="nil"/>
              <w:left w:val="nil"/>
              <w:bottom w:val="single" w:sz="4" w:space="0" w:color="auto"/>
              <w:right w:val="single" w:sz="4" w:space="0" w:color="auto"/>
            </w:tcBorders>
            <w:noWrap/>
            <w:vAlign w:val="center"/>
          </w:tcPr>
          <w:p w14:paraId="6E89C74E" w14:textId="31604844"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40,000</w:t>
            </w:r>
          </w:p>
        </w:tc>
      </w:tr>
      <w:tr w:rsidR="002C3CAD" w:rsidRPr="00845FB7" w14:paraId="50AA27A0"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tcPr>
          <w:p w14:paraId="1B3DF2C2"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Component total</w:t>
            </w:r>
          </w:p>
        </w:tc>
        <w:tc>
          <w:tcPr>
            <w:tcW w:w="310" w:type="pct"/>
            <w:tcBorders>
              <w:top w:val="nil"/>
              <w:left w:val="nil"/>
              <w:bottom w:val="single" w:sz="4" w:space="0" w:color="auto"/>
              <w:right w:val="single" w:sz="4" w:space="0" w:color="auto"/>
            </w:tcBorders>
            <w:noWrap/>
            <w:vAlign w:val="center"/>
          </w:tcPr>
          <w:p w14:paraId="3296C9BB"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DC5C8D3"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07B621D8"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713D111D" w14:textId="411089F6"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180,000</w:t>
            </w:r>
          </w:p>
        </w:tc>
        <w:tc>
          <w:tcPr>
            <w:tcW w:w="310" w:type="pct"/>
            <w:tcBorders>
              <w:top w:val="nil"/>
              <w:left w:val="nil"/>
              <w:bottom w:val="single" w:sz="4" w:space="0" w:color="auto"/>
              <w:right w:val="single" w:sz="4" w:space="0" w:color="auto"/>
            </w:tcBorders>
            <w:noWrap/>
            <w:vAlign w:val="center"/>
          </w:tcPr>
          <w:p w14:paraId="4EC687D6" w14:textId="4E97DA8D"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200,000</w:t>
            </w:r>
          </w:p>
        </w:tc>
        <w:tc>
          <w:tcPr>
            <w:tcW w:w="389" w:type="pct"/>
            <w:tcBorders>
              <w:top w:val="nil"/>
              <w:left w:val="nil"/>
              <w:bottom w:val="single" w:sz="4" w:space="0" w:color="auto"/>
              <w:right w:val="single" w:sz="4" w:space="0" w:color="auto"/>
            </w:tcBorders>
            <w:noWrap/>
            <w:vAlign w:val="center"/>
          </w:tcPr>
          <w:p w14:paraId="3155F1C9" w14:textId="6A855DC4"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38</w:t>
            </w:r>
            <w:r w:rsidRPr="00845FB7" w:rsidDel="00F37231">
              <w:rPr>
                <w:rFonts w:eastAsia="Times New Roman" w:cs="Times New Roman"/>
                <w:b/>
                <w:bCs/>
                <w:color w:val="000000"/>
                <w:sz w:val="16"/>
                <w:szCs w:val="16"/>
                <w:lang w:val="en-GB"/>
              </w:rPr>
              <w:t>0</w:t>
            </w:r>
            <w:r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49298C14"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9EFAFDC"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5B3A6788"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6AA2B9B9" w14:textId="1E90C736"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180,000</w:t>
            </w:r>
          </w:p>
        </w:tc>
        <w:tc>
          <w:tcPr>
            <w:tcW w:w="311" w:type="pct"/>
            <w:tcBorders>
              <w:top w:val="nil"/>
              <w:left w:val="nil"/>
              <w:bottom w:val="single" w:sz="4" w:space="0" w:color="auto"/>
              <w:right w:val="single" w:sz="4" w:space="0" w:color="auto"/>
            </w:tcBorders>
            <w:noWrap/>
            <w:vAlign w:val="center"/>
          </w:tcPr>
          <w:p w14:paraId="7FBBEEEE" w14:textId="7888D7C8" w:rsidR="002C3CAD" w:rsidRPr="00845FB7" w:rsidRDefault="00317FD3"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200</w:t>
            </w:r>
            <w:r w:rsidR="002C3CAD" w:rsidRPr="00845FB7">
              <w:rPr>
                <w:rFonts w:eastAsia="Times New Roman" w:cs="Times New Roman"/>
                <w:b/>
                <w:bCs/>
                <w:color w:val="000000"/>
                <w:sz w:val="16"/>
                <w:szCs w:val="16"/>
                <w:lang w:val="en-GB"/>
              </w:rPr>
              <w:t>,000</w:t>
            </w:r>
          </w:p>
        </w:tc>
        <w:tc>
          <w:tcPr>
            <w:tcW w:w="368" w:type="pct"/>
            <w:tcBorders>
              <w:top w:val="nil"/>
              <w:left w:val="nil"/>
              <w:bottom w:val="single" w:sz="4" w:space="0" w:color="auto"/>
              <w:right w:val="single" w:sz="4" w:space="0" w:color="auto"/>
            </w:tcBorders>
            <w:noWrap/>
            <w:vAlign w:val="center"/>
          </w:tcPr>
          <w:p w14:paraId="67CA22E9" w14:textId="03746AEE" w:rsidR="002C3CAD" w:rsidRPr="00845FB7" w:rsidRDefault="00317FD3"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38</w:t>
            </w:r>
            <w:r w:rsidRPr="00845FB7" w:rsidDel="002600D5">
              <w:rPr>
                <w:rFonts w:eastAsia="Times New Roman" w:cs="Times New Roman"/>
                <w:b/>
                <w:bCs/>
                <w:color w:val="000000"/>
                <w:sz w:val="16"/>
                <w:szCs w:val="16"/>
                <w:lang w:val="en-GB"/>
              </w:rPr>
              <w:t>0</w:t>
            </w:r>
            <w:r w:rsidR="002C3CAD" w:rsidRPr="00845FB7">
              <w:rPr>
                <w:rFonts w:eastAsia="Times New Roman" w:cs="Times New Roman"/>
                <w:b/>
                <w:bCs/>
                <w:color w:val="000000"/>
                <w:sz w:val="16"/>
                <w:szCs w:val="16"/>
                <w:lang w:val="en-GB"/>
              </w:rPr>
              <w:t>,000</w:t>
            </w:r>
          </w:p>
        </w:tc>
      </w:tr>
      <w:tr w:rsidR="002C3CAD" w:rsidRPr="00845FB7" w14:paraId="7C6EC39A" w14:textId="77777777" w:rsidTr="0029720C">
        <w:trPr>
          <w:trHeight w:val="300"/>
        </w:trPr>
        <w:tc>
          <w:tcPr>
            <w:tcW w:w="1212" w:type="pct"/>
            <w:tcBorders>
              <w:top w:val="nil"/>
              <w:left w:val="single" w:sz="4" w:space="0" w:color="auto"/>
              <w:bottom w:val="single" w:sz="4" w:space="0" w:color="auto"/>
              <w:right w:val="single" w:sz="4" w:space="0" w:color="auto"/>
            </w:tcBorders>
            <w:noWrap/>
            <w:vAlign w:val="center"/>
            <w:hideMark/>
          </w:tcPr>
          <w:p w14:paraId="2ABEFCF1" w14:textId="77777777" w:rsidR="002C3CAD" w:rsidRPr="00845FB7" w:rsidRDefault="002C3CAD" w:rsidP="002C3CAD">
            <w:pPr>
              <w:spacing w:after="0" w:line="240" w:lineRule="auto"/>
              <w:jc w:val="lef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 xml:space="preserve">Grand Total </w:t>
            </w:r>
          </w:p>
        </w:tc>
        <w:tc>
          <w:tcPr>
            <w:tcW w:w="310" w:type="pct"/>
            <w:tcBorders>
              <w:top w:val="nil"/>
              <w:left w:val="nil"/>
              <w:bottom w:val="single" w:sz="4" w:space="0" w:color="auto"/>
              <w:right w:val="single" w:sz="4" w:space="0" w:color="auto"/>
            </w:tcBorders>
            <w:noWrap/>
            <w:vAlign w:val="center"/>
          </w:tcPr>
          <w:p w14:paraId="7BFA7EE4"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53E2ECC2"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2" w:type="pct"/>
            <w:tcBorders>
              <w:top w:val="nil"/>
              <w:left w:val="nil"/>
              <w:bottom w:val="single" w:sz="4" w:space="0" w:color="auto"/>
              <w:right w:val="single" w:sz="4" w:space="0" w:color="auto"/>
            </w:tcBorders>
            <w:noWrap/>
            <w:vAlign w:val="center"/>
          </w:tcPr>
          <w:p w14:paraId="43A1B91A"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2E46E021" w14:textId="5BF782BE" w:rsidR="002C3CAD" w:rsidRPr="00845FB7" w:rsidRDefault="00C66D4B"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770</w:t>
            </w:r>
            <w:r w:rsidR="002C3CAD" w:rsidRPr="00845FB7">
              <w:rPr>
                <w:rFonts w:eastAsia="Times New Roman" w:cs="Times New Roman"/>
                <w:b/>
                <w:bCs/>
                <w:color w:val="000000"/>
                <w:sz w:val="16"/>
                <w:szCs w:val="16"/>
                <w:lang w:val="en-GB"/>
              </w:rPr>
              <w:t>,000</w:t>
            </w:r>
          </w:p>
        </w:tc>
        <w:tc>
          <w:tcPr>
            <w:tcW w:w="310" w:type="pct"/>
            <w:tcBorders>
              <w:top w:val="nil"/>
              <w:left w:val="nil"/>
              <w:bottom w:val="single" w:sz="4" w:space="0" w:color="auto"/>
              <w:right w:val="single" w:sz="4" w:space="0" w:color="auto"/>
            </w:tcBorders>
            <w:noWrap/>
            <w:vAlign w:val="center"/>
          </w:tcPr>
          <w:p w14:paraId="701128FA" w14:textId="37E07E81" w:rsidR="002C3CAD" w:rsidRPr="00845FB7" w:rsidRDefault="00F37013"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750</w:t>
            </w:r>
            <w:r w:rsidR="002C3CAD" w:rsidRPr="00845FB7">
              <w:rPr>
                <w:rFonts w:eastAsia="Times New Roman" w:cs="Times New Roman"/>
                <w:b/>
                <w:bCs/>
                <w:color w:val="000000"/>
                <w:sz w:val="16"/>
                <w:szCs w:val="16"/>
                <w:lang w:val="en-GB"/>
              </w:rPr>
              <w:t>,000</w:t>
            </w:r>
          </w:p>
        </w:tc>
        <w:tc>
          <w:tcPr>
            <w:tcW w:w="389" w:type="pct"/>
            <w:tcBorders>
              <w:top w:val="nil"/>
              <w:left w:val="nil"/>
              <w:bottom w:val="single" w:sz="4" w:space="0" w:color="auto"/>
              <w:right w:val="single" w:sz="4" w:space="0" w:color="auto"/>
            </w:tcBorders>
            <w:noWrap/>
            <w:vAlign w:val="center"/>
          </w:tcPr>
          <w:p w14:paraId="5D5DFA9A" w14:textId="5CA04C18"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w:t>
            </w:r>
            <w:r w:rsidR="00F37013" w:rsidRPr="00845FB7">
              <w:rPr>
                <w:rFonts w:eastAsia="Times New Roman" w:cs="Times New Roman"/>
                <w:b/>
                <w:bCs/>
                <w:color w:val="000000"/>
                <w:sz w:val="16"/>
                <w:szCs w:val="16"/>
                <w:lang w:val="en-GB"/>
              </w:rPr>
              <w:t>520</w:t>
            </w:r>
            <w:r w:rsidRPr="00845FB7">
              <w:rPr>
                <w:rFonts w:eastAsia="Times New Roman" w:cs="Times New Roman"/>
                <w:b/>
                <w:bCs/>
                <w:color w:val="000000"/>
                <w:sz w:val="16"/>
                <w:szCs w:val="16"/>
                <w:lang w:val="en-GB"/>
              </w:rPr>
              <w:t>,000</w:t>
            </w:r>
          </w:p>
        </w:tc>
        <w:tc>
          <w:tcPr>
            <w:tcW w:w="234" w:type="pct"/>
            <w:tcBorders>
              <w:top w:val="nil"/>
              <w:left w:val="nil"/>
              <w:bottom w:val="single" w:sz="4" w:space="0" w:color="auto"/>
              <w:right w:val="single" w:sz="4" w:space="0" w:color="auto"/>
            </w:tcBorders>
            <w:noWrap/>
            <w:vAlign w:val="center"/>
          </w:tcPr>
          <w:p w14:paraId="7963C27B"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0328CF0A"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0" w:type="pct"/>
            <w:tcBorders>
              <w:top w:val="nil"/>
              <w:left w:val="nil"/>
              <w:bottom w:val="single" w:sz="4" w:space="0" w:color="auto"/>
              <w:right w:val="single" w:sz="4" w:space="0" w:color="auto"/>
            </w:tcBorders>
            <w:noWrap/>
            <w:vAlign w:val="center"/>
          </w:tcPr>
          <w:p w14:paraId="4F9B6AE7" w14:textId="77777777" w:rsidR="002C3CAD" w:rsidRPr="00845FB7" w:rsidRDefault="002C3CAD" w:rsidP="002C3CAD">
            <w:pPr>
              <w:spacing w:after="0" w:line="240" w:lineRule="auto"/>
              <w:jc w:val="right"/>
              <w:rPr>
                <w:rFonts w:eastAsia="Times New Roman" w:cs="Times New Roman"/>
                <w:b/>
                <w:bCs/>
                <w:color w:val="000000"/>
                <w:sz w:val="16"/>
                <w:szCs w:val="16"/>
                <w:lang w:val="en-GB"/>
              </w:rPr>
            </w:pPr>
          </w:p>
        </w:tc>
        <w:tc>
          <w:tcPr>
            <w:tcW w:w="311" w:type="pct"/>
            <w:tcBorders>
              <w:top w:val="nil"/>
              <w:left w:val="nil"/>
              <w:bottom w:val="single" w:sz="4" w:space="0" w:color="auto"/>
              <w:right w:val="single" w:sz="4" w:space="0" w:color="auto"/>
            </w:tcBorders>
            <w:noWrap/>
            <w:vAlign w:val="center"/>
          </w:tcPr>
          <w:p w14:paraId="18610992" w14:textId="01047ED4" w:rsidR="002C3CAD" w:rsidRPr="00845FB7" w:rsidRDefault="00AD2600"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770</w:t>
            </w:r>
            <w:r w:rsidR="002C3CAD" w:rsidRPr="00845FB7">
              <w:rPr>
                <w:rFonts w:eastAsia="Times New Roman" w:cs="Times New Roman"/>
                <w:b/>
                <w:bCs/>
                <w:color w:val="000000"/>
                <w:sz w:val="16"/>
                <w:szCs w:val="16"/>
                <w:lang w:val="en-GB"/>
              </w:rPr>
              <w:t>,000</w:t>
            </w:r>
          </w:p>
        </w:tc>
        <w:tc>
          <w:tcPr>
            <w:tcW w:w="311" w:type="pct"/>
            <w:tcBorders>
              <w:top w:val="nil"/>
              <w:left w:val="nil"/>
              <w:bottom w:val="single" w:sz="4" w:space="0" w:color="auto"/>
              <w:right w:val="single" w:sz="4" w:space="0" w:color="auto"/>
            </w:tcBorders>
            <w:noWrap/>
            <w:vAlign w:val="center"/>
          </w:tcPr>
          <w:p w14:paraId="5DB8F4DD" w14:textId="0FBB0606" w:rsidR="002C3CAD" w:rsidRPr="00845FB7" w:rsidRDefault="00AD2600"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750</w:t>
            </w:r>
            <w:r w:rsidR="002C3CAD" w:rsidRPr="00845FB7">
              <w:rPr>
                <w:rFonts w:eastAsia="Times New Roman" w:cs="Times New Roman"/>
                <w:b/>
                <w:bCs/>
                <w:color w:val="000000"/>
                <w:sz w:val="16"/>
                <w:szCs w:val="16"/>
                <w:lang w:val="en-GB"/>
              </w:rPr>
              <w:t>,000</w:t>
            </w:r>
          </w:p>
        </w:tc>
        <w:tc>
          <w:tcPr>
            <w:tcW w:w="368" w:type="pct"/>
            <w:tcBorders>
              <w:top w:val="nil"/>
              <w:left w:val="nil"/>
              <w:bottom w:val="single" w:sz="4" w:space="0" w:color="auto"/>
              <w:right w:val="single" w:sz="4" w:space="0" w:color="auto"/>
            </w:tcBorders>
            <w:noWrap/>
            <w:vAlign w:val="center"/>
          </w:tcPr>
          <w:p w14:paraId="1B969F6C" w14:textId="77E29CD7" w:rsidR="002C3CAD" w:rsidRPr="00845FB7" w:rsidRDefault="002C3CAD" w:rsidP="002C3CAD">
            <w:pPr>
              <w:spacing w:after="0" w:line="240" w:lineRule="auto"/>
              <w:jc w:val="right"/>
              <w:rPr>
                <w:rFonts w:eastAsia="Times New Roman" w:cs="Times New Roman"/>
                <w:b/>
                <w:bCs/>
                <w:color w:val="000000"/>
                <w:sz w:val="16"/>
                <w:szCs w:val="16"/>
                <w:lang w:val="en-GB"/>
              </w:rPr>
            </w:pPr>
            <w:r w:rsidRPr="00845FB7">
              <w:rPr>
                <w:rFonts w:eastAsia="Times New Roman" w:cs="Times New Roman"/>
                <w:b/>
                <w:bCs/>
                <w:color w:val="000000"/>
                <w:sz w:val="16"/>
                <w:szCs w:val="16"/>
                <w:lang w:val="en-GB"/>
              </w:rPr>
              <w:t>1,</w:t>
            </w:r>
            <w:r w:rsidR="00AD2600" w:rsidRPr="00845FB7">
              <w:rPr>
                <w:rFonts w:eastAsia="Times New Roman" w:cs="Times New Roman"/>
                <w:b/>
                <w:bCs/>
                <w:color w:val="000000"/>
                <w:sz w:val="16"/>
                <w:szCs w:val="16"/>
                <w:lang w:val="en-GB"/>
              </w:rPr>
              <w:t>520</w:t>
            </w:r>
            <w:r w:rsidRPr="00845FB7">
              <w:rPr>
                <w:rFonts w:eastAsia="Times New Roman" w:cs="Times New Roman"/>
                <w:b/>
                <w:bCs/>
                <w:color w:val="000000"/>
                <w:sz w:val="16"/>
                <w:szCs w:val="16"/>
                <w:lang w:val="en-GB"/>
              </w:rPr>
              <w:t>,000</w:t>
            </w:r>
          </w:p>
        </w:tc>
      </w:tr>
    </w:tbl>
    <w:p w14:paraId="3AA85AD9" w14:textId="4928CF80" w:rsidR="007B6CF2" w:rsidRPr="00845FB7" w:rsidRDefault="007B6CF2" w:rsidP="00F9588D">
      <w:pPr>
        <w:pStyle w:val="Heading3"/>
        <w:rPr>
          <w:bCs/>
          <w:sz w:val="24"/>
          <w:lang w:val="en-GB"/>
        </w:rPr>
      </w:pPr>
      <w:r w:rsidRPr="00845FB7">
        <w:rPr>
          <w:sz w:val="24"/>
          <w:lang w:val="en-GB"/>
        </w:rPr>
        <w:lastRenderedPageBreak/>
        <w:t>Overview of resources</w:t>
      </w:r>
    </w:p>
    <w:tbl>
      <w:tblPr>
        <w:tblW w:w="12145" w:type="dxa"/>
        <w:tblLook w:val="04A0" w:firstRow="1" w:lastRow="0" w:firstColumn="1" w:lastColumn="0" w:noHBand="0" w:noVBand="1"/>
      </w:tblPr>
      <w:tblGrid>
        <w:gridCol w:w="5665"/>
        <w:gridCol w:w="2070"/>
        <w:gridCol w:w="2070"/>
        <w:gridCol w:w="2340"/>
      </w:tblGrid>
      <w:tr w:rsidR="007B6CF2" w:rsidRPr="00845FB7" w14:paraId="3280AD74" w14:textId="77777777" w:rsidTr="00351E51">
        <w:trPr>
          <w:trHeight w:val="340"/>
        </w:trPr>
        <w:tc>
          <w:tcPr>
            <w:tcW w:w="5665" w:type="dxa"/>
            <w:tcBorders>
              <w:top w:val="single" w:sz="4" w:space="0" w:color="auto"/>
              <w:left w:val="single" w:sz="4" w:space="0" w:color="auto"/>
              <w:bottom w:val="single" w:sz="4" w:space="0" w:color="auto"/>
              <w:right w:val="single" w:sz="4" w:space="0" w:color="auto"/>
            </w:tcBorders>
            <w:noWrap/>
            <w:vAlign w:val="center"/>
            <w:hideMark/>
          </w:tcPr>
          <w:p w14:paraId="67B212C4" w14:textId="77777777" w:rsidR="007B6CF2" w:rsidRPr="00845FB7" w:rsidRDefault="007B6CF2" w:rsidP="007B6CF2">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Budget</w:t>
            </w:r>
          </w:p>
        </w:tc>
        <w:tc>
          <w:tcPr>
            <w:tcW w:w="2070" w:type="dxa"/>
            <w:tcBorders>
              <w:top w:val="single" w:sz="4" w:space="0" w:color="auto"/>
              <w:left w:val="nil"/>
              <w:bottom w:val="single" w:sz="4" w:space="0" w:color="auto"/>
              <w:right w:val="single" w:sz="4" w:space="0" w:color="auto"/>
            </w:tcBorders>
            <w:vAlign w:val="center"/>
            <w:hideMark/>
          </w:tcPr>
          <w:p w14:paraId="3586E489" w14:textId="02661D8D" w:rsidR="007B6CF2" w:rsidRPr="00845FB7" w:rsidRDefault="007B6CF2" w:rsidP="007B6CF2">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General </w:t>
            </w:r>
            <w:r w:rsidR="00FD439B" w:rsidRPr="00845FB7">
              <w:rPr>
                <w:rFonts w:eastAsia="Times New Roman" w:cs="Times New Roman"/>
                <w:b/>
                <w:bCs/>
                <w:color w:val="000000"/>
                <w:sz w:val="18"/>
                <w:szCs w:val="18"/>
                <w:lang w:val="en-GB"/>
              </w:rPr>
              <w:t>t</w:t>
            </w:r>
            <w:r w:rsidRPr="00845FB7">
              <w:rPr>
                <w:rFonts w:eastAsia="Times New Roman" w:cs="Times New Roman"/>
                <w:b/>
                <w:bCs/>
                <w:color w:val="000000"/>
                <w:sz w:val="18"/>
                <w:szCs w:val="18"/>
                <w:lang w:val="en-GB"/>
              </w:rPr>
              <w:t xml:space="preserve">rust </w:t>
            </w:r>
            <w:r w:rsidR="00FD439B" w:rsidRPr="00845FB7">
              <w:rPr>
                <w:rFonts w:eastAsia="Times New Roman" w:cs="Times New Roman"/>
                <w:b/>
                <w:bCs/>
                <w:color w:val="000000"/>
                <w:sz w:val="18"/>
                <w:szCs w:val="18"/>
                <w:lang w:val="en-GB"/>
              </w:rPr>
              <w:t>f</w:t>
            </w:r>
            <w:r w:rsidRPr="00845FB7">
              <w:rPr>
                <w:rFonts w:eastAsia="Times New Roman" w:cs="Times New Roman"/>
                <w:b/>
                <w:bCs/>
                <w:color w:val="000000"/>
                <w:sz w:val="18"/>
                <w:szCs w:val="18"/>
                <w:lang w:val="en-GB"/>
              </w:rPr>
              <w:t>und</w:t>
            </w:r>
          </w:p>
        </w:tc>
        <w:tc>
          <w:tcPr>
            <w:tcW w:w="2070" w:type="dxa"/>
            <w:tcBorders>
              <w:top w:val="single" w:sz="4" w:space="0" w:color="auto"/>
              <w:left w:val="nil"/>
              <w:bottom w:val="single" w:sz="4" w:space="0" w:color="auto"/>
              <w:right w:val="single" w:sz="4" w:space="0" w:color="auto"/>
            </w:tcBorders>
            <w:vAlign w:val="center"/>
            <w:hideMark/>
          </w:tcPr>
          <w:p w14:paraId="12FA34DD" w14:textId="51D5A475" w:rsidR="007B6CF2" w:rsidRPr="00845FB7" w:rsidRDefault="007B6CF2" w:rsidP="007B6CF2">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Special </w:t>
            </w:r>
            <w:r w:rsidR="00FD439B" w:rsidRPr="00845FB7">
              <w:rPr>
                <w:rFonts w:eastAsia="Times New Roman" w:cs="Times New Roman"/>
                <w:b/>
                <w:bCs/>
                <w:color w:val="000000"/>
                <w:sz w:val="18"/>
                <w:szCs w:val="18"/>
                <w:lang w:val="en-GB"/>
              </w:rPr>
              <w:t>t</w:t>
            </w:r>
            <w:r w:rsidRPr="00845FB7">
              <w:rPr>
                <w:rFonts w:eastAsia="Times New Roman" w:cs="Times New Roman"/>
                <w:b/>
                <w:bCs/>
                <w:color w:val="000000"/>
                <w:sz w:val="18"/>
                <w:szCs w:val="18"/>
                <w:lang w:val="en-GB"/>
              </w:rPr>
              <w:t xml:space="preserve">rust </w:t>
            </w:r>
            <w:r w:rsidR="00FD439B" w:rsidRPr="00845FB7">
              <w:rPr>
                <w:rFonts w:eastAsia="Times New Roman" w:cs="Times New Roman"/>
                <w:b/>
                <w:bCs/>
                <w:color w:val="000000"/>
                <w:sz w:val="18"/>
                <w:szCs w:val="18"/>
                <w:lang w:val="en-GB"/>
              </w:rPr>
              <w:t>f</w:t>
            </w:r>
            <w:r w:rsidRPr="00845FB7">
              <w:rPr>
                <w:rFonts w:eastAsia="Times New Roman" w:cs="Times New Roman"/>
                <w:b/>
                <w:bCs/>
                <w:color w:val="000000"/>
                <w:sz w:val="18"/>
                <w:szCs w:val="18"/>
                <w:lang w:val="en-GB"/>
              </w:rPr>
              <w:t>und</w:t>
            </w:r>
          </w:p>
        </w:tc>
        <w:tc>
          <w:tcPr>
            <w:tcW w:w="2340" w:type="dxa"/>
            <w:tcBorders>
              <w:top w:val="single" w:sz="4" w:space="0" w:color="auto"/>
              <w:left w:val="nil"/>
              <w:bottom w:val="single" w:sz="4" w:space="0" w:color="auto"/>
              <w:right w:val="single" w:sz="4" w:space="0" w:color="auto"/>
            </w:tcBorders>
            <w:vAlign w:val="center"/>
            <w:hideMark/>
          </w:tcPr>
          <w:p w14:paraId="23CAB4A4" w14:textId="6A9EFF12" w:rsidR="007B6CF2" w:rsidRPr="00845FB7" w:rsidRDefault="007B6CF2" w:rsidP="007B6CF2">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Total </w:t>
            </w:r>
            <w:r w:rsidR="00FD439B" w:rsidRPr="00845FB7">
              <w:rPr>
                <w:rFonts w:eastAsia="Times New Roman" w:cs="Times New Roman"/>
                <w:b/>
                <w:bCs/>
                <w:color w:val="000000"/>
                <w:sz w:val="18"/>
                <w:szCs w:val="18"/>
                <w:lang w:val="en-GB"/>
              </w:rPr>
              <w:t>c</w:t>
            </w:r>
            <w:r w:rsidRPr="00845FB7">
              <w:rPr>
                <w:rFonts w:eastAsia="Times New Roman" w:cs="Times New Roman"/>
                <w:b/>
                <w:bCs/>
                <w:color w:val="000000"/>
                <w:sz w:val="18"/>
                <w:szCs w:val="18"/>
                <w:lang w:val="en-GB"/>
              </w:rPr>
              <w:t>ontribution</w:t>
            </w:r>
          </w:p>
        </w:tc>
      </w:tr>
      <w:tr w:rsidR="007B6CF2" w:rsidRPr="00845FB7" w14:paraId="7A64F5F8" w14:textId="77777777" w:rsidTr="00F37323">
        <w:trPr>
          <w:trHeight w:val="340"/>
        </w:trPr>
        <w:tc>
          <w:tcPr>
            <w:tcW w:w="5665" w:type="dxa"/>
            <w:tcBorders>
              <w:top w:val="nil"/>
              <w:left w:val="single" w:sz="4" w:space="0" w:color="auto"/>
              <w:bottom w:val="single" w:sz="4" w:space="0" w:color="auto"/>
              <w:right w:val="single" w:sz="4" w:space="0" w:color="auto"/>
            </w:tcBorders>
            <w:noWrap/>
            <w:vAlign w:val="center"/>
            <w:hideMark/>
          </w:tcPr>
          <w:p w14:paraId="0D8B059F" w14:textId="18AF7628" w:rsidR="007B6CF2" w:rsidRPr="00845FB7" w:rsidRDefault="00DE7585" w:rsidP="007B6CF2">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2024</w:t>
            </w:r>
            <w:r w:rsidR="007B6CF2" w:rsidRPr="00845FB7">
              <w:rPr>
                <w:rFonts w:eastAsia="Times New Roman" w:cs="Times New Roman"/>
                <w:color w:val="000000"/>
                <w:sz w:val="18"/>
                <w:szCs w:val="18"/>
                <w:lang w:val="en-GB"/>
              </w:rPr>
              <w:t>-</w:t>
            </w:r>
            <w:r w:rsidRPr="00845FB7">
              <w:rPr>
                <w:rFonts w:eastAsia="Times New Roman" w:cs="Times New Roman"/>
                <w:color w:val="000000"/>
                <w:sz w:val="18"/>
                <w:szCs w:val="18"/>
                <w:lang w:val="en-GB"/>
              </w:rPr>
              <w:t xml:space="preserve">2025 </w:t>
            </w:r>
            <w:r w:rsidR="007B6CF2" w:rsidRPr="00845FB7">
              <w:rPr>
                <w:rFonts w:eastAsia="Times New Roman" w:cs="Times New Roman"/>
                <w:color w:val="000000"/>
                <w:sz w:val="18"/>
                <w:szCs w:val="18"/>
                <w:lang w:val="en-GB"/>
              </w:rPr>
              <w:t>approved</w:t>
            </w:r>
          </w:p>
        </w:tc>
        <w:tc>
          <w:tcPr>
            <w:tcW w:w="2070" w:type="dxa"/>
            <w:tcBorders>
              <w:top w:val="nil"/>
              <w:left w:val="nil"/>
              <w:bottom w:val="single" w:sz="4" w:space="0" w:color="auto"/>
              <w:right w:val="single" w:sz="4" w:space="0" w:color="auto"/>
            </w:tcBorders>
            <w:noWrap/>
            <w:vAlign w:val="center"/>
          </w:tcPr>
          <w:p w14:paraId="29636D5E" w14:textId="34C64ECD" w:rsidR="007B6CF2" w:rsidRPr="00845FB7" w:rsidRDefault="007B6CF2" w:rsidP="0052667E">
            <w:pPr>
              <w:spacing w:after="0" w:line="240" w:lineRule="auto"/>
              <w:rPr>
                <w:rFonts w:eastAsia="Times New Roman" w:cs="Times New Roman"/>
                <w:color w:val="000000"/>
                <w:sz w:val="18"/>
                <w:szCs w:val="18"/>
                <w:lang w:val="en-GB"/>
              </w:rPr>
            </w:pPr>
          </w:p>
        </w:tc>
        <w:tc>
          <w:tcPr>
            <w:tcW w:w="2070" w:type="dxa"/>
            <w:tcBorders>
              <w:top w:val="nil"/>
              <w:left w:val="nil"/>
              <w:bottom w:val="single" w:sz="4" w:space="0" w:color="auto"/>
              <w:right w:val="single" w:sz="4" w:space="0" w:color="auto"/>
            </w:tcBorders>
            <w:noWrap/>
            <w:vAlign w:val="center"/>
            <w:hideMark/>
          </w:tcPr>
          <w:p w14:paraId="6667895C" w14:textId="36C9D9ED" w:rsidR="007B6CF2" w:rsidRPr="00845FB7" w:rsidRDefault="004769F3" w:rsidP="009B385E">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1,520,000</w:t>
            </w:r>
          </w:p>
        </w:tc>
        <w:tc>
          <w:tcPr>
            <w:tcW w:w="2340" w:type="dxa"/>
            <w:tcBorders>
              <w:top w:val="nil"/>
              <w:left w:val="nil"/>
              <w:bottom w:val="single" w:sz="4" w:space="0" w:color="auto"/>
              <w:right w:val="single" w:sz="4" w:space="0" w:color="auto"/>
            </w:tcBorders>
            <w:noWrap/>
            <w:vAlign w:val="center"/>
            <w:hideMark/>
          </w:tcPr>
          <w:p w14:paraId="2D0D82F0" w14:textId="78BA2F90" w:rsidR="007B6CF2" w:rsidRPr="00845FB7" w:rsidRDefault="004769F3" w:rsidP="009B385E">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1,520,000</w:t>
            </w:r>
          </w:p>
        </w:tc>
      </w:tr>
      <w:tr w:rsidR="007B6CF2" w:rsidRPr="00845FB7" w14:paraId="31CF2E0E" w14:textId="77777777" w:rsidTr="007549F3">
        <w:trPr>
          <w:trHeight w:val="340"/>
        </w:trPr>
        <w:tc>
          <w:tcPr>
            <w:tcW w:w="5665" w:type="dxa"/>
            <w:tcBorders>
              <w:top w:val="nil"/>
              <w:left w:val="single" w:sz="4" w:space="0" w:color="auto"/>
              <w:bottom w:val="single" w:sz="4" w:space="0" w:color="auto"/>
              <w:right w:val="single" w:sz="4" w:space="0" w:color="auto"/>
            </w:tcBorders>
            <w:vAlign w:val="center"/>
            <w:hideMark/>
          </w:tcPr>
          <w:p w14:paraId="0E3D218F" w14:textId="62249D67" w:rsidR="007B6CF2" w:rsidRPr="00845FB7" w:rsidRDefault="00E2051A" w:rsidP="007B6CF2">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2026–2027</w:t>
            </w:r>
            <w:r w:rsidR="00DE7585" w:rsidRPr="00845FB7">
              <w:rPr>
                <w:rFonts w:eastAsia="Times New Roman" w:cs="Times New Roman"/>
                <w:color w:val="000000"/>
                <w:sz w:val="18"/>
                <w:szCs w:val="18"/>
                <w:lang w:val="en-GB"/>
              </w:rPr>
              <w:t xml:space="preserve"> </w:t>
            </w:r>
            <w:r w:rsidR="007B6CF2" w:rsidRPr="00845FB7">
              <w:rPr>
                <w:rFonts w:eastAsia="Times New Roman" w:cs="Times New Roman"/>
                <w:color w:val="000000"/>
                <w:sz w:val="18"/>
                <w:szCs w:val="18"/>
                <w:lang w:val="en-GB"/>
              </w:rPr>
              <w:t xml:space="preserve">requested in </w:t>
            </w:r>
            <w:r w:rsidR="00FD439B" w:rsidRPr="00845FB7">
              <w:rPr>
                <w:rFonts w:eastAsia="Times New Roman" w:cs="Times New Roman"/>
                <w:color w:val="000000"/>
                <w:sz w:val="18"/>
                <w:szCs w:val="18"/>
                <w:lang w:val="en-GB"/>
              </w:rPr>
              <w:t xml:space="preserve">the </w:t>
            </w:r>
            <w:r w:rsidR="007B6CF2" w:rsidRPr="00845FB7">
              <w:rPr>
                <w:rFonts w:eastAsia="Times New Roman" w:cs="Times New Roman"/>
                <w:color w:val="000000"/>
                <w:sz w:val="18"/>
                <w:szCs w:val="18"/>
                <w:lang w:val="en-GB"/>
              </w:rPr>
              <w:t>5</w:t>
            </w:r>
            <w:r w:rsidR="00FD439B" w:rsidRPr="00845FB7">
              <w:rPr>
                <w:rFonts w:eastAsia="Times New Roman" w:cs="Times New Roman"/>
                <w:color w:val="000000"/>
                <w:sz w:val="18"/>
                <w:szCs w:val="18"/>
                <w:lang w:val="en-GB"/>
              </w:rPr>
              <w:t xml:space="preserve"> per cent</w:t>
            </w:r>
            <w:r w:rsidR="007B6CF2" w:rsidRPr="00845FB7">
              <w:rPr>
                <w:rFonts w:eastAsia="Times New Roman" w:cs="Times New Roman"/>
                <w:color w:val="000000"/>
                <w:sz w:val="18"/>
                <w:szCs w:val="18"/>
                <w:lang w:val="en-GB"/>
              </w:rPr>
              <w:t xml:space="preserve"> scenario</w:t>
            </w:r>
          </w:p>
        </w:tc>
        <w:tc>
          <w:tcPr>
            <w:tcW w:w="2070" w:type="dxa"/>
            <w:tcBorders>
              <w:top w:val="nil"/>
              <w:left w:val="nil"/>
              <w:bottom w:val="single" w:sz="4" w:space="0" w:color="auto"/>
              <w:right w:val="single" w:sz="4" w:space="0" w:color="auto"/>
            </w:tcBorders>
            <w:noWrap/>
            <w:vAlign w:val="center"/>
          </w:tcPr>
          <w:p w14:paraId="5A3D252B" w14:textId="25D72C60" w:rsidR="007B6CF2" w:rsidRPr="00845FB7" w:rsidRDefault="007B6CF2" w:rsidP="007B6CF2">
            <w:pPr>
              <w:spacing w:after="0" w:line="240" w:lineRule="auto"/>
              <w:jc w:val="center"/>
              <w:rPr>
                <w:rFonts w:eastAsia="Times New Roman" w:cs="Times New Roman"/>
                <w:color w:val="000000"/>
                <w:sz w:val="18"/>
                <w:szCs w:val="18"/>
                <w:lang w:val="en-GB"/>
              </w:rPr>
            </w:pPr>
          </w:p>
        </w:tc>
        <w:tc>
          <w:tcPr>
            <w:tcW w:w="2070" w:type="dxa"/>
            <w:tcBorders>
              <w:top w:val="nil"/>
              <w:left w:val="nil"/>
              <w:bottom w:val="single" w:sz="4" w:space="0" w:color="auto"/>
              <w:right w:val="single" w:sz="4" w:space="0" w:color="auto"/>
            </w:tcBorders>
            <w:noWrap/>
            <w:vAlign w:val="center"/>
          </w:tcPr>
          <w:p w14:paraId="76C7C1A1" w14:textId="285DA374" w:rsidR="007B6CF2" w:rsidRPr="00845FB7" w:rsidRDefault="00944CCA" w:rsidP="00E034AB">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w:t>
            </w:r>
            <w:r w:rsidR="00F67223" w:rsidRPr="00845FB7">
              <w:rPr>
                <w:rFonts w:eastAsia="Times New Roman" w:cs="Times New Roman"/>
                <w:b/>
                <w:bCs/>
                <w:color w:val="000000"/>
                <w:sz w:val="18"/>
                <w:szCs w:val="18"/>
                <w:lang w:val="en-GB"/>
              </w:rPr>
              <w:t>520</w:t>
            </w:r>
            <w:r w:rsidRPr="00845FB7">
              <w:rPr>
                <w:rFonts w:eastAsia="Times New Roman" w:cs="Times New Roman"/>
                <w:b/>
                <w:bCs/>
                <w:color w:val="000000"/>
                <w:sz w:val="18"/>
                <w:szCs w:val="18"/>
                <w:lang w:val="en-GB"/>
              </w:rPr>
              <w:t>,000</w:t>
            </w:r>
          </w:p>
        </w:tc>
        <w:tc>
          <w:tcPr>
            <w:tcW w:w="2340" w:type="dxa"/>
            <w:tcBorders>
              <w:top w:val="nil"/>
              <w:left w:val="nil"/>
              <w:bottom w:val="single" w:sz="4" w:space="0" w:color="auto"/>
              <w:right w:val="single" w:sz="4" w:space="0" w:color="auto"/>
            </w:tcBorders>
            <w:noWrap/>
            <w:vAlign w:val="center"/>
          </w:tcPr>
          <w:p w14:paraId="685C239D" w14:textId="3F8DAF4C" w:rsidR="007B6CF2" w:rsidRPr="00845FB7" w:rsidRDefault="007C1183" w:rsidP="009B385E">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w:t>
            </w:r>
            <w:r w:rsidR="00F67223" w:rsidRPr="00845FB7">
              <w:rPr>
                <w:rFonts w:eastAsia="Times New Roman" w:cs="Times New Roman"/>
                <w:b/>
                <w:bCs/>
                <w:color w:val="000000"/>
                <w:sz w:val="18"/>
                <w:szCs w:val="18"/>
                <w:lang w:val="en-GB"/>
              </w:rPr>
              <w:t>520</w:t>
            </w:r>
            <w:r w:rsidRPr="00845FB7">
              <w:rPr>
                <w:rFonts w:eastAsia="Times New Roman" w:cs="Times New Roman"/>
                <w:b/>
                <w:bCs/>
                <w:color w:val="000000"/>
                <w:sz w:val="18"/>
                <w:szCs w:val="18"/>
                <w:lang w:val="en-GB"/>
              </w:rPr>
              <w:t>,000</w:t>
            </w:r>
          </w:p>
        </w:tc>
      </w:tr>
      <w:tr w:rsidR="007B6CF2" w:rsidRPr="00845FB7" w14:paraId="4E615594" w14:textId="77777777" w:rsidTr="007549F3">
        <w:trPr>
          <w:trHeight w:val="340"/>
        </w:trPr>
        <w:tc>
          <w:tcPr>
            <w:tcW w:w="5665" w:type="dxa"/>
            <w:tcBorders>
              <w:top w:val="nil"/>
              <w:left w:val="single" w:sz="4" w:space="0" w:color="auto"/>
              <w:bottom w:val="single" w:sz="4" w:space="0" w:color="auto"/>
              <w:right w:val="single" w:sz="4" w:space="0" w:color="auto"/>
            </w:tcBorders>
            <w:vAlign w:val="center"/>
            <w:hideMark/>
          </w:tcPr>
          <w:p w14:paraId="742697C3" w14:textId="643F9897" w:rsidR="007B6CF2" w:rsidRPr="00845FB7" w:rsidRDefault="00E2051A" w:rsidP="007B6CF2">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2026–2027</w:t>
            </w:r>
            <w:r w:rsidR="00DE7585" w:rsidRPr="00845FB7">
              <w:rPr>
                <w:rFonts w:eastAsia="Times New Roman" w:cs="Times New Roman"/>
                <w:color w:val="000000"/>
                <w:sz w:val="18"/>
                <w:szCs w:val="18"/>
                <w:lang w:val="en-GB"/>
              </w:rPr>
              <w:t xml:space="preserve"> </w:t>
            </w:r>
            <w:r w:rsidR="007B6CF2" w:rsidRPr="00845FB7">
              <w:rPr>
                <w:rFonts w:eastAsia="Times New Roman" w:cs="Times New Roman"/>
                <w:color w:val="000000"/>
                <w:sz w:val="18"/>
                <w:szCs w:val="18"/>
                <w:lang w:val="en-GB"/>
              </w:rPr>
              <w:t xml:space="preserve">requested in </w:t>
            </w:r>
            <w:r w:rsidR="00FD439B" w:rsidRPr="00845FB7">
              <w:rPr>
                <w:rFonts w:eastAsia="Times New Roman" w:cs="Times New Roman"/>
                <w:color w:val="000000"/>
                <w:sz w:val="18"/>
                <w:szCs w:val="18"/>
                <w:lang w:val="en-GB"/>
              </w:rPr>
              <w:t>the z</w:t>
            </w:r>
            <w:r w:rsidR="007B6CF2" w:rsidRPr="00845FB7">
              <w:rPr>
                <w:rFonts w:eastAsia="Times New Roman" w:cs="Times New Roman"/>
                <w:color w:val="000000"/>
                <w:sz w:val="18"/>
                <w:szCs w:val="18"/>
                <w:lang w:val="en-GB"/>
              </w:rPr>
              <w:t>ero nominal growth scenario</w:t>
            </w:r>
          </w:p>
        </w:tc>
        <w:tc>
          <w:tcPr>
            <w:tcW w:w="2070" w:type="dxa"/>
            <w:tcBorders>
              <w:top w:val="nil"/>
              <w:left w:val="nil"/>
              <w:bottom w:val="single" w:sz="4" w:space="0" w:color="auto"/>
              <w:right w:val="single" w:sz="4" w:space="0" w:color="auto"/>
            </w:tcBorders>
            <w:noWrap/>
            <w:vAlign w:val="center"/>
          </w:tcPr>
          <w:p w14:paraId="07991B64" w14:textId="30855739" w:rsidR="007B6CF2" w:rsidRPr="00845FB7" w:rsidRDefault="007B6CF2" w:rsidP="007B6CF2">
            <w:pPr>
              <w:spacing w:after="0" w:line="240" w:lineRule="auto"/>
              <w:jc w:val="center"/>
              <w:rPr>
                <w:rFonts w:eastAsia="Times New Roman" w:cs="Times New Roman"/>
                <w:color w:val="000000"/>
                <w:sz w:val="18"/>
                <w:szCs w:val="18"/>
                <w:lang w:val="en-GB"/>
              </w:rPr>
            </w:pPr>
          </w:p>
        </w:tc>
        <w:tc>
          <w:tcPr>
            <w:tcW w:w="2070" w:type="dxa"/>
            <w:tcBorders>
              <w:top w:val="nil"/>
              <w:left w:val="nil"/>
              <w:bottom w:val="single" w:sz="4" w:space="0" w:color="auto"/>
              <w:right w:val="single" w:sz="4" w:space="0" w:color="auto"/>
            </w:tcBorders>
            <w:noWrap/>
            <w:vAlign w:val="center"/>
          </w:tcPr>
          <w:p w14:paraId="17BC6F12" w14:textId="57D38BE2" w:rsidR="007B6CF2" w:rsidRPr="00845FB7" w:rsidRDefault="00944CCA" w:rsidP="009B385E">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w:t>
            </w:r>
            <w:r w:rsidR="00F67223" w:rsidRPr="00845FB7">
              <w:rPr>
                <w:rFonts w:eastAsia="Times New Roman" w:cs="Times New Roman"/>
                <w:b/>
                <w:bCs/>
                <w:color w:val="000000"/>
                <w:sz w:val="18"/>
                <w:szCs w:val="18"/>
                <w:lang w:val="en-GB"/>
              </w:rPr>
              <w:t>520</w:t>
            </w:r>
            <w:r w:rsidR="007C1183" w:rsidRPr="00845FB7">
              <w:rPr>
                <w:rFonts w:eastAsia="Times New Roman" w:cs="Times New Roman"/>
                <w:b/>
                <w:bCs/>
                <w:color w:val="000000"/>
                <w:sz w:val="18"/>
                <w:szCs w:val="18"/>
                <w:lang w:val="en-GB"/>
              </w:rPr>
              <w:t>,000</w:t>
            </w:r>
          </w:p>
        </w:tc>
        <w:tc>
          <w:tcPr>
            <w:tcW w:w="2340" w:type="dxa"/>
            <w:tcBorders>
              <w:top w:val="nil"/>
              <w:left w:val="nil"/>
              <w:bottom w:val="single" w:sz="4" w:space="0" w:color="auto"/>
              <w:right w:val="single" w:sz="4" w:space="0" w:color="auto"/>
            </w:tcBorders>
            <w:noWrap/>
            <w:vAlign w:val="center"/>
          </w:tcPr>
          <w:p w14:paraId="32FDD1AB" w14:textId="6BB2D2D0" w:rsidR="007B6CF2" w:rsidRPr="00845FB7" w:rsidRDefault="007C1183" w:rsidP="009B385E">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w:t>
            </w:r>
            <w:r w:rsidR="00F67223" w:rsidRPr="00845FB7">
              <w:rPr>
                <w:rFonts w:eastAsia="Times New Roman" w:cs="Times New Roman"/>
                <w:b/>
                <w:bCs/>
                <w:color w:val="000000"/>
                <w:sz w:val="18"/>
                <w:szCs w:val="18"/>
                <w:lang w:val="en-GB"/>
              </w:rPr>
              <w:t>520</w:t>
            </w:r>
            <w:r w:rsidRPr="00845FB7">
              <w:rPr>
                <w:rFonts w:eastAsia="Times New Roman" w:cs="Times New Roman"/>
                <w:b/>
                <w:bCs/>
                <w:color w:val="000000"/>
                <w:sz w:val="18"/>
                <w:szCs w:val="18"/>
                <w:lang w:val="en-GB"/>
              </w:rPr>
              <w:t>,000</w:t>
            </w:r>
          </w:p>
        </w:tc>
      </w:tr>
    </w:tbl>
    <w:p w14:paraId="1859EAC4" w14:textId="4C901C52" w:rsidR="00E723F8" w:rsidRPr="00845FB7" w:rsidRDefault="00E723F8" w:rsidP="00982EE8">
      <w:pPr>
        <w:rPr>
          <w:lang w:val="en-GB" w:eastAsia="en-GB"/>
        </w:rPr>
      </w:pPr>
    </w:p>
    <w:p w14:paraId="4F9B5BB1" w14:textId="16197057" w:rsidR="00E723F8" w:rsidRPr="00845FB7" w:rsidRDefault="00E723F8" w:rsidP="00982EE8">
      <w:pPr>
        <w:rPr>
          <w:lang w:val="en-GB" w:eastAsia="en-GB"/>
        </w:rPr>
      </w:pPr>
    </w:p>
    <w:p w14:paraId="20362051" w14:textId="2382AA72" w:rsidR="00E723F8" w:rsidRPr="00845FB7" w:rsidRDefault="00E723F8" w:rsidP="00982EE8">
      <w:pPr>
        <w:rPr>
          <w:lang w:val="en-GB" w:eastAsia="en-GB"/>
        </w:rPr>
        <w:sectPr w:rsidR="00E723F8" w:rsidRPr="00845FB7" w:rsidSect="00BD36F8">
          <w:headerReference w:type="first" r:id="rId37"/>
          <w:footerReference w:type="first" r:id="rId38"/>
          <w:pgSz w:w="16838" w:h="11906" w:orient="landscape" w:code="9"/>
          <w:pgMar w:top="907" w:right="992" w:bottom="1418" w:left="1418" w:header="539" w:footer="975" w:gutter="0"/>
          <w:cols w:space="708"/>
          <w:titlePg/>
          <w:docGrid w:linePitch="360"/>
        </w:sectPr>
      </w:pPr>
    </w:p>
    <w:p w14:paraId="5446BE79" w14:textId="0038C07E" w:rsidR="00790E7B" w:rsidRPr="00845FB7" w:rsidRDefault="00790E7B" w:rsidP="00790E7B">
      <w:pPr>
        <w:pStyle w:val="Heading1"/>
        <w:rPr>
          <w:szCs w:val="40"/>
          <w:lang w:val="en-GB"/>
        </w:rPr>
      </w:pPr>
      <w:r w:rsidRPr="00845FB7">
        <w:rPr>
          <w:b w:val="0"/>
          <w:noProof/>
          <w:szCs w:val="40"/>
          <w:lang w:val="en-GB" w:bidi="fr-FR"/>
        </w:rPr>
        <w:lastRenderedPageBreak/>
        <mc:AlternateContent>
          <mc:Choice Requires="wps">
            <w:drawing>
              <wp:anchor distT="0" distB="0" distL="114300" distR="114300" simplePos="0" relativeHeight="251658242" behindDoc="1" locked="0" layoutInCell="1" allowOverlap="1" wp14:anchorId="39060432" wp14:editId="087A0F30">
                <wp:simplePos x="0" y="0"/>
                <wp:positionH relativeFrom="page">
                  <wp:posOffset>812800</wp:posOffset>
                </wp:positionH>
                <wp:positionV relativeFrom="paragraph">
                  <wp:posOffset>-4445</wp:posOffset>
                </wp:positionV>
                <wp:extent cx="6591300" cy="633910"/>
                <wp:effectExtent l="0" t="0" r="0" b="0"/>
                <wp:wrapNone/>
                <wp:docPr id="4" name="Rectangle 4" descr="P1158#y1"/>
                <wp:cNvGraphicFramePr/>
                <a:graphic xmlns:a="http://schemas.openxmlformats.org/drawingml/2006/main">
                  <a:graphicData uri="http://schemas.microsoft.com/office/word/2010/wordprocessingShape">
                    <wps:wsp>
                      <wps:cNvSpPr/>
                      <wps:spPr>
                        <a:xfrm>
                          <a:off x="0" y="0"/>
                          <a:ext cx="6591300" cy="633910"/>
                        </a:xfrm>
                        <a:prstGeom prst="rect">
                          <a:avLst/>
                        </a:prstGeom>
                        <a:solidFill>
                          <a:srgbClr val="E8B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6CFC17E4">
              <v:rect id="Rectangle 4" style="position:absolute;margin-left:64pt;margin-top:-.35pt;width:519pt;height:49.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P1158#y1" o:spid="_x0000_s1026" fillcolor="#e8bc00" stroked="f" strokeweight="1pt" w14:anchorId="15103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">
                <w10:wrap anchorx="page"/>
              </v:rect>
            </w:pict>
          </mc:Fallback>
        </mc:AlternateContent>
      </w:r>
      <w:r w:rsidRPr="00845FB7">
        <w:rPr>
          <w:szCs w:val="40"/>
          <w:lang w:val="en-GB"/>
        </w:rPr>
        <w:t>Fact sheet C. Scientific and technical activities</w:t>
      </w:r>
    </w:p>
    <w:p w14:paraId="02BCE61E" w14:textId="35934876" w:rsidR="00BA1053" w:rsidRPr="00845FB7" w:rsidRDefault="00BA1053" w:rsidP="002E13C3">
      <w:pPr>
        <w:pStyle w:val="Heading2"/>
        <w:rPr>
          <w:rFonts w:cstheme="majorBidi"/>
          <w:color w:val="E8BC00"/>
          <w:sz w:val="36"/>
          <w:szCs w:val="36"/>
          <w:lang w:val="en-GB"/>
        </w:rPr>
      </w:pPr>
      <w:r w:rsidRPr="00845FB7">
        <w:rPr>
          <w:rFonts w:cstheme="majorBidi"/>
          <w:color w:val="E8BC00"/>
          <w:sz w:val="36"/>
          <w:szCs w:val="36"/>
          <w:lang w:val="en-GB"/>
        </w:rPr>
        <w:t xml:space="preserve">Activity 5. Scientific support to the States </w:t>
      </w:r>
      <w:r w:rsidR="00013BDE" w:rsidRPr="00845FB7">
        <w:rPr>
          <w:rFonts w:cstheme="majorBidi"/>
          <w:color w:val="E8BC00"/>
          <w:sz w:val="36"/>
          <w:szCs w:val="36"/>
          <w:lang w:val="en-GB"/>
        </w:rPr>
        <w:t>P</w:t>
      </w:r>
      <w:r w:rsidRPr="00845FB7">
        <w:rPr>
          <w:rFonts w:cstheme="majorBidi"/>
          <w:color w:val="E8BC00"/>
          <w:sz w:val="36"/>
          <w:szCs w:val="36"/>
          <w:lang w:val="en-GB"/>
        </w:rPr>
        <w:t>arties to the Minamata Convention</w:t>
      </w:r>
    </w:p>
    <w:p w14:paraId="23D4B01E" w14:textId="79297616" w:rsidR="00BA1053" w:rsidRPr="00845FB7" w:rsidRDefault="00BA1053" w:rsidP="00BA1053">
      <w:pPr>
        <w:pStyle w:val="Heading3"/>
        <w:rPr>
          <w:sz w:val="24"/>
          <w:lang w:val="en-GB"/>
        </w:rPr>
      </w:pPr>
      <w:r w:rsidRPr="00845FB7">
        <w:rPr>
          <w:sz w:val="24"/>
          <w:lang w:val="en-GB"/>
        </w:rPr>
        <w:t>Budget</w:t>
      </w:r>
    </w:p>
    <w:p w14:paraId="3175309D" w14:textId="12456318" w:rsidR="00BA1053" w:rsidRPr="00845FB7" w:rsidRDefault="00BA1053" w:rsidP="00BA1053">
      <w:pPr>
        <w:rPr>
          <w:rFonts w:cstheme="majorBidi"/>
          <w:szCs w:val="20"/>
          <w:lang w:val="en-GB"/>
        </w:rPr>
      </w:pPr>
      <w:r w:rsidRPr="00845FB7">
        <w:rPr>
          <w:rFonts w:cstheme="majorBidi"/>
          <w:szCs w:val="20"/>
          <w:lang w:val="en-GB"/>
        </w:rPr>
        <w:fldChar w:fldCharType="begin">
          <w:ffData>
            <w:name w:val=""/>
            <w:enabled w:val="0"/>
            <w:calcOnExit w:val="0"/>
            <w:checkBox>
              <w:sizeAuto/>
              <w:default w:val="0"/>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2E75D9"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2E75D9" w:rsidRPr="00845FB7">
        <w:rPr>
          <w:rFonts w:cstheme="majorBidi"/>
          <w:szCs w:val="20"/>
          <w:lang w:val="en-GB"/>
        </w:rPr>
        <w:t>Special Trust Fund</w:t>
      </w:r>
    </w:p>
    <w:p w14:paraId="697E5B93" w14:textId="77777777" w:rsidR="00502283" w:rsidRPr="00845FB7" w:rsidRDefault="00502283" w:rsidP="00502283">
      <w:pPr>
        <w:pStyle w:val="Heading3"/>
        <w:rPr>
          <w:sz w:val="24"/>
          <w:lang w:val="en-GB"/>
        </w:rPr>
      </w:pPr>
      <w:r w:rsidRPr="00845FB7">
        <w:rPr>
          <w:bCs/>
          <w:sz w:val="24"/>
          <w:lang w:val="en-GB"/>
        </w:rPr>
        <w:t>Reference</w:t>
      </w:r>
    </w:p>
    <w:p w14:paraId="2F8C0C7E" w14:textId="727575BE" w:rsidR="00502283" w:rsidRPr="00845FB7" w:rsidRDefault="00502283" w:rsidP="002A243F">
      <w:pPr>
        <w:spacing w:after="60"/>
        <w:ind w:left="2552" w:hanging="2552"/>
        <w:rPr>
          <w:lang w:val="en-GB"/>
        </w:rPr>
      </w:pPr>
      <w:r w:rsidRPr="00845FB7">
        <w:rPr>
          <w:rFonts w:cstheme="majorBidi"/>
          <w:b/>
          <w:bCs/>
          <w:szCs w:val="20"/>
          <w:lang w:val="en-GB"/>
        </w:rPr>
        <w:t>UNEP</w:t>
      </w:r>
      <w:r w:rsidR="006E7A26" w:rsidRPr="00845FB7">
        <w:rPr>
          <w:rFonts w:cstheme="majorBidi"/>
          <w:b/>
          <w:bCs/>
          <w:szCs w:val="20"/>
          <w:lang w:val="en-GB"/>
        </w:rPr>
        <w:t>/</w:t>
      </w:r>
      <w:r w:rsidRPr="00845FB7">
        <w:rPr>
          <w:rFonts w:cstheme="majorBidi"/>
          <w:b/>
          <w:bCs/>
          <w:szCs w:val="20"/>
          <w:lang w:val="en-GB"/>
        </w:rPr>
        <w:t>MC/COP.</w:t>
      </w:r>
      <w:r w:rsidR="0090520B" w:rsidRPr="00845FB7">
        <w:rPr>
          <w:rFonts w:cstheme="majorBidi"/>
          <w:b/>
          <w:bCs/>
          <w:szCs w:val="20"/>
          <w:lang w:val="en-GB"/>
        </w:rPr>
        <w:t>6</w:t>
      </w:r>
      <w:r w:rsidRPr="00845FB7">
        <w:rPr>
          <w:rFonts w:cstheme="majorBidi"/>
          <w:b/>
          <w:bCs/>
          <w:szCs w:val="20"/>
          <w:lang w:val="en-GB"/>
        </w:rPr>
        <w:t>/</w:t>
      </w:r>
      <w:r w:rsidR="0090520B" w:rsidRPr="00845FB7">
        <w:rPr>
          <w:rFonts w:cstheme="majorBidi"/>
          <w:b/>
          <w:bCs/>
          <w:szCs w:val="20"/>
          <w:lang w:val="en-GB"/>
        </w:rPr>
        <w:t>5</w:t>
      </w:r>
      <w:r w:rsidRPr="00845FB7">
        <w:rPr>
          <w:rFonts w:cstheme="majorBidi"/>
          <w:b/>
          <w:bCs/>
          <w:szCs w:val="20"/>
          <w:lang w:val="en-GB"/>
        </w:rPr>
        <w:t>:</w:t>
      </w:r>
      <w:r w:rsidRPr="00845FB7">
        <w:rPr>
          <w:rFonts w:cstheme="majorBidi"/>
          <w:szCs w:val="20"/>
          <w:lang w:val="en-GB"/>
        </w:rPr>
        <w:t xml:space="preserve"> </w:t>
      </w:r>
      <w:r w:rsidR="000269C0" w:rsidRPr="00845FB7">
        <w:rPr>
          <w:rFonts w:cstheme="majorBidi"/>
          <w:szCs w:val="20"/>
          <w:lang w:val="en-GB"/>
        </w:rPr>
        <w:tab/>
      </w:r>
      <w:r w:rsidR="00D1272D" w:rsidRPr="00845FB7">
        <w:rPr>
          <w:rFonts w:cstheme="majorBidi"/>
          <w:szCs w:val="20"/>
          <w:lang w:val="en-GB"/>
        </w:rPr>
        <w:t>Implementation of decision MC-5/2 on mercury supply sources and trade</w:t>
      </w:r>
    </w:p>
    <w:p w14:paraId="48B9F369" w14:textId="54F1D0BE" w:rsidR="00510A33" w:rsidRPr="00845FB7" w:rsidRDefault="00510A33" w:rsidP="002A243F">
      <w:pPr>
        <w:spacing w:after="60"/>
        <w:ind w:left="2552" w:hanging="2552"/>
        <w:rPr>
          <w:lang w:val="en-GB"/>
        </w:rPr>
      </w:pPr>
      <w:r w:rsidRPr="00845FB7">
        <w:rPr>
          <w:rFonts w:cstheme="majorBidi"/>
          <w:b/>
          <w:bCs/>
          <w:szCs w:val="20"/>
          <w:lang w:val="en-GB"/>
        </w:rPr>
        <w:t>UNEP</w:t>
      </w:r>
      <w:r w:rsidR="008C49DB" w:rsidRPr="00845FB7">
        <w:rPr>
          <w:rFonts w:cstheme="majorBidi"/>
          <w:b/>
          <w:bCs/>
          <w:szCs w:val="20"/>
          <w:lang w:val="en-GB"/>
        </w:rPr>
        <w:t>/MC/COP.</w:t>
      </w:r>
      <w:r w:rsidR="005A1CCB" w:rsidRPr="00845FB7">
        <w:rPr>
          <w:rFonts w:cstheme="majorBidi"/>
          <w:b/>
          <w:bCs/>
          <w:szCs w:val="20"/>
          <w:lang w:val="en-GB"/>
        </w:rPr>
        <w:t xml:space="preserve">6/5/Add.1: </w:t>
      </w:r>
      <w:r w:rsidR="000269C0" w:rsidRPr="00845FB7">
        <w:rPr>
          <w:rFonts w:cstheme="majorBidi"/>
          <w:b/>
          <w:bCs/>
          <w:szCs w:val="20"/>
          <w:lang w:val="en-GB"/>
        </w:rPr>
        <w:tab/>
      </w:r>
      <w:r w:rsidR="00B641B3" w:rsidRPr="00845FB7">
        <w:rPr>
          <w:rFonts w:cstheme="majorBidi"/>
          <w:szCs w:val="20"/>
          <w:lang w:val="en-GB"/>
        </w:rPr>
        <w:t>Study of the global supply, production, trade and use of mercury compounds</w:t>
      </w:r>
    </w:p>
    <w:p w14:paraId="12729224" w14:textId="03AFE978" w:rsidR="00146A83" w:rsidRPr="00845FB7" w:rsidRDefault="00537BF7" w:rsidP="007832E7">
      <w:pPr>
        <w:spacing w:after="60"/>
        <w:ind w:left="1701" w:hanging="1701"/>
        <w:rPr>
          <w:lang w:val="en-GB"/>
        </w:rPr>
      </w:pPr>
      <w:r w:rsidRPr="00845FB7">
        <w:rPr>
          <w:rFonts w:cstheme="majorBidi"/>
          <w:b/>
          <w:bCs/>
          <w:szCs w:val="20"/>
          <w:lang w:val="en-GB"/>
        </w:rPr>
        <w:t>UNEP/MC/COP.6/6:</w:t>
      </w:r>
      <w:r w:rsidRPr="00845FB7">
        <w:rPr>
          <w:rFonts w:cstheme="majorBidi"/>
          <w:szCs w:val="20"/>
          <w:lang w:val="en-GB"/>
        </w:rPr>
        <w:t xml:space="preserve"> </w:t>
      </w:r>
      <w:r w:rsidR="000269C0" w:rsidRPr="00845FB7">
        <w:rPr>
          <w:rFonts w:cstheme="majorBidi"/>
          <w:szCs w:val="20"/>
          <w:lang w:val="en-GB"/>
        </w:rPr>
        <w:tab/>
      </w:r>
      <w:r w:rsidR="000269C0" w:rsidRPr="00845FB7">
        <w:rPr>
          <w:rFonts w:cstheme="majorBidi"/>
          <w:szCs w:val="20"/>
          <w:lang w:val="en-GB"/>
        </w:rPr>
        <w:tab/>
      </w:r>
      <w:r w:rsidRPr="00845FB7">
        <w:rPr>
          <w:lang w:val="en-GB"/>
        </w:rPr>
        <w:t xml:space="preserve">Amendments </w:t>
      </w:r>
      <w:r w:rsidR="00146A83" w:rsidRPr="00845FB7">
        <w:rPr>
          <w:lang w:val="en-GB"/>
        </w:rPr>
        <w:t>to</w:t>
      </w:r>
      <w:r w:rsidRPr="00845FB7">
        <w:rPr>
          <w:lang w:val="en-GB"/>
        </w:rPr>
        <w:t xml:space="preserve"> Annex A</w:t>
      </w:r>
    </w:p>
    <w:p w14:paraId="02AD5ACF" w14:textId="41392576" w:rsidR="00825889" w:rsidRPr="00845FB7" w:rsidRDefault="00146A83" w:rsidP="007832E7">
      <w:pPr>
        <w:spacing w:after="60"/>
        <w:ind w:left="1701" w:hanging="1701"/>
        <w:rPr>
          <w:lang w:val="en-GB"/>
        </w:rPr>
      </w:pPr>
      <w:r w:rsidRPr="00845FB7">
        <w:rPr>
          <w:rFonts w:cstheme="majorBidi"/>
          <w:b/>
          <w:bCs/>
          <w:szCs w:val="20"/>
          <w:lang w:val="en-GB"/>
        </w:rPr>
        <w:t>UNEP/MC/COP.6/6/Add.1:</w:t>
      </w:r>
      <w:r w:rsidR="00D16A90" w:rsidRPr="00845FB7">
        <w:rPr>
          <w:rFonts w:cstheme="majorBidi"/>
          <w:b/>
          <w:bCs/>
          <w:szCs w:val="20"/>
          <w:lang w:val="en-GB"/>
        </w:rPr>
        <w:t xml:space="preserve"> </w:t>
      </w:r>
      <w:r w:rsidR="000269C0" w:rsidRPr="00845FB7">
        <w:rPr>
          <w:rFonts w:cstheme="majorBidi"/>
          <w:b/>
          <w:bCs/>
          <w:szCs w:val="20"/>
          <w:lang w:val="en-GB"/>
        </w:rPr>
        <w:tab/>
      </w:r>
      <w:r w:rsidR="003140AA" w:rsidRPr="00845FB7">
        <w:rPr>
          <w:rFonts w:cstheme="majorBidi"/>
          <w:szCs w:val="20"/>
          <w:lang w:val="en-GB"/>
        </w:rPr>
        <w:t>R</w:t>
      </w:r>
      <w:r w:rsidR="00537BF7" w:rsidRPr="00845FB7">
        <w:rPr>
          <w:lang w:val="en-GB"/>
        </w:rPr>
        <w:t xml:space="preserve">eport on cosmetics </w:t>
      </w:r>
      <w:r w:rsidR="00825889" w:rsidRPr="00845FB7">
        <w:rPr>
          <w:lang w:val="en-GB"/>
        </w:rPr>
        <w:t xml:space="preserve">listed in part I of annex A </w:t>
      </w:r>
    </w:p>
    <w:p w14:paraId="73E088DE" w14:textId="03522338" w:rsidR="00BA3A6D" w:rsidRPr="00845FB7" w:rsidRDefault="00825889" w:rsidP="002A243F">
      <w:pPr>
        <w:spacing w:after="60"/>
        <w:ind w:left="2552" w:hanging="2552"/>
        <w:rPr>
          <w:lang w:val="en-GB"/>
        </w:rPr>
      </w:pPr>
      <w:r w:rsidRPr="00845FB7">
        <w:rPr>
          <w:rFonts w:cstheme="majorBidi"/>
          <w:b/>
          <w:bCs/>
          <w:szCs w:val="20"/>
          <w:lang w:val="en-GB"/>
        </w:rPr>
        <w:t xml:space="preserve">UNEP/MC/COP.6/6/Add.2: </w:t>
      </w:r>
      <w:r w:rsidR="000269C0" w:rsidRPr="00845FB7">
        <w:rPr>
          <w:rFonts w:cstheme="majorBidi"/>
          <w:b/>
          <w:bCs/>
          <w:szCs w:val="20"/>
          <w:lang w:val="en-GB"/>
        </w:rPr>
        <w:tab/>
      </w:r>
      <w:r w:rsidR="00604D88" w:rsidRPr="00845FB7">
        <w:rPr>
          <w:rFonts w:cstheme="majorBidi"/>
          <w:szCs w:val="20"/>
          <w:lang w:val="en-GB"/>
        </w:rPr>
        <w:t>Consideration</w:t>
      </w:r>
      <w:r w:rsidR="00604D88" w:rsidRPr="00845FB7">
        <w:rPr>
          <w:lang w:val="en-GB"/>
        </w:rPr>
        <w:t xml:space="preserve"> of the feasibility of mercury-free alternatives for manufacturing</w:t>
      </w:r>
      <w:r w:rsidR="00537BF7" w:rsidRPr="00845FB7">
        <w:rPr>
          <w:lang w:val="en-GB"/>
        </w:rPr>
        <w:t xml:space="preserve"> vinyl chloride </w:t>
      </w:r>
      <w:r w:rsidR="00537BF7" w:rsidRPr="00845FB7">
        <w:rPr>
          <w:rFonts w:cstheme="majorBidi"/>
          <w:szCs w:val="20"/>
          <w:lang w:val="en-GB"/>
        </w:rPr>
        <w:t>monomer</w:t>
      </w:r>
      <w:r w:rsidR="00537BF7" w:rsidRPr="00845FB7">
        <w:rPr>
          <w:lang w:val="en-GB"/>
        </w:rPr>
        <w:t xml:space="preserve"> production   </w:t>
      </w:r>
    </w:p>
    <w:p w14:paraId="5947C61A" w14:textId="224B1ACC" w:rsidR="00604D88" w:rsidRPr="00845FB7" w:rsidRDefault="00604D88" w:rsidP="002A243F">
      <w:pPr>
        <w:spacing w:after="60"/>
        <w:ind w:left="2552" w:hanging="2552"/>
        <w:rPr>
          <w:lang w:val="en-GB"/>
        </w:rPr>
      </w:pPr>
      <w:r w:rsidRPr="00845FB7">
        <w:rPr>
          <w:rFonts w:cstheme="majorBidi"/>
          <w:b/>
          <w:bCs/>
          <w:szCs w:val="20"/>
          <w:lang w:val="en-GB"/>
        </w:rPr>
        <w:t>UNEP/MC/COP.6/6/Add.3:</w:t>
      </w:r>
      <w:r w:rsidR="0090662A" w:rsidRPr="00845FB7">
        <w:rPr>
          <w:rFonts w:cstheme="majorBidi"/>
          <w:b/>
          <w:bCs/>
          <w:szCs w:val="20"/>
          <w:lang w:val="en-GB"/>
        </w:rPr>
        <w:t xml:space="preserve"> </w:t>
      </w:r>
      <w:r w:rsidR="000269C0" w:rsidRPr="00845FB7">
        <w:rPr>
          <w:rFonts w:cstheme="majorBidi"/>
          <w:b/>
          <w:bCs/>
          <w:szCs w:val="20"/>
          <w:lang w:val="en-GB"/>
        </w:rPr>
        <w:tab/>
      </w:r>
      <w:r w:rsidR="0090662A" w:rsidRPr="00845FB7">
        <w:rPr>
          <w:rFonts w:cstheme="majorBidi"/>
          <w:szCs w:val="20"/>
          <w:lang w:val="en-GB"/>
        </w:rPr>
        <w:t xml:space="preserve">Extension of exemptions pursuant to </w:t>
      </w:r>
      <w:r w:rsidR="00DD1E0C" w:rsidRPr="00845FB7">
        <w:rPr>
          <w:rFonts w:cstheme="majorBidi"/>
          <w:szCs w:val="20"/>
          <w:lang w:val="en-GB"/>
        </w:rPr>
        <w:t>A</w:t>
      </w:r>
      <w:r w:rsidR="0090662A" w:rsidRPr="00845FB7">
        <w:rPr>
          <w:rFonts w:cstheme="majorBidi"/>
          <w:szCs w:val="20"/>
          <w:lang w:val="en-GB"/>
        </w:rPr>
        <w:t>rticle 6 of the Convention</w:t>
      </w:r>
    </w:p>
    <w:p w14:paraId="1406ED15" w14:textId="640A142A" w:rsidR="00CE6255" w:rsidRPr="00845FB7" w:rsidRDefault="00CE6255" w:rsidP="002A243F">
      <w:pPr>
        <w:spacing w:after="60"/>
        <w:ind w:left="2552" w:hanging="2552"/>
        <w:rPr>
          <w:lang w:val="en-GB"/>
        </w:rPr>
      </w:pPr>
      <w:r w:rsidRPr="00845FB7">
        <w:rPr>
          <w:rFonts w:cstheme="majorBidi"/>
          <w:b/>
          <w:bCs/>
          <w:szCs w:val="20"/>
          <w:lang w:val="en-GB"/>
        </w:rPr>
        <w:t>UNEP/MC/COP.6/7:</w:t>
      </w:r>
      <w:r w:rsidRPr="00845FB7">
        <w:rPr>
          <w:rFonts w:cstheme="majorBidi"/>
          <w:szCs w:val="20"/>
          <w:lang w:val="en-GB"/>
        </w:rPr>
        <w:t xml:space="preserve"> </w:t>
      </w:r>
      <w:r w:rsidR="000269C0" w:rsidRPr="00845FB7">
        <w:rPr>
          <w:rFonts w:cstheme="majorBidi"/>
          <w:szCs w:val="20"/>
          <w:lang w:val="en-GB"/>
        </w:rPr>
        <w:tab/>
      </w:r>
      <w:r w:rsidR="00231FB3" w:rsidRPr="00845FB7">
        <w:rPr>
          <w:rFonts w:cstheme="majorBidi"/>
          <w:szCs w:val="20"/>
          <w:lang w:val="en-GB"/>
        </w:rPr>
        <w:t xml:space="preserve">Matters for consideration by the Conference of the Parties pursuant to decision MC-5/7 on artisanal and small-scale gold mining  </w:t>
      </w:r>
    </w:p>
    <w:p w14:paraId="663A21CC" w14:textId="79AF0F12" w:rsidR="00CE6255" w:rsidRPr="00845FB7" w:rsidRDefault="00CE6255" w:rsidP="002A243F">
      <w:pPr>
        <w:spacing w:after="60"/>
        <w:ind w:left="2552" w:hanging="2552"/>
        <w:rPr>
          <w:lang w:val="en-GB"/>
        </w:rPr>
      </w:pPr>
      <w:r w:rsidRPr="00845FB7">
        <w:rPr>
          <w:rFonts w:cstheme="majorBidi"/>
          <w:b/>
          <w:bCs/>
          <w:szCs w:val="20"/>
          <w:lang w:val="en-GB"/>
        </w:rPr>
        <w:t>UNEP/MC/COP.6/</w:t>
      </w:r>
      <w:r w:rsidR="00231FB3" w:rsidRPr="00845FB7">
        <w:rPr>
          <w:rFonts w:cstheme="majorBidi"/>
          <w:b/>
          <w:bCs/>
          <w:szCs w:val="20"/>
          <w:lang w:val="en-GB"/>
        </w:rPr>
        <w:t>8</w:t>
      </w:r>
      <w:r w:rsidRPr="00845FB7">
        <w:rPr>
          <w:rFonts w:cstheme="majorBidi"/>
          <w:b/>
          <w:bCs/>
          <w:szCs w:val="20"/>
          <w:lang w:val="en-GB"/>
        </w:rPr>
        <w:t>:</w:t>
      </w:r>
      <w:r w:rsidRPr="00845FB7">
        <w:rPr>
          <w:rFonts w:cstheme="majorBidi"/>
          <w:szCs w:val="20"/>
          <w:lang w:val="en-GB"/>
        </w:rPr>
        <w:t xml:space="preserve"> </w:t>
      </w:r>
      <w:r w:rsidR="000269C0" w:rsidRPr="00845FB7">
        <w:rPr>
          <w:rFonts w:cstheme="majorBidi"/>
          <w:szCs w:val="20"/>
          <w:lang w:val="en-GB"/>
        </w:rPr>
        <w:tab/>
      </w:r>
      <w:r w:rsidR="00231FB3" w:rsidRPr="00845FB7">
        <w:rPr>
          <w:rFonts w:cstheme="majorBidi"/>
          <w:szCs w:val="20"/>
          <w:lang w:val="en-GB"/>
        </w:rPr>
        <w:t>Mercury waste</w:t>
      </w:r>
    </w:p>
    <w:p w14:paraId="60A9D9A5" w14:textId="597186E8" w:rsidR="00310028" w:rsidRDefault="00310028" w:rsidP="00AD24ED">
      <w:pPr>
        <w:spacing w:after="60"/>
        <w:ind w:left="2552" w:hanging="2552"/>
        <w:rPr>
          <w:rFonts w:cstheme="majorBidi"/>
          <w:b/>
          <w:bCs/>
        </w:rPr>
      </w:pPr>
      <w:r>
        <w:rPr>
          <w:rFonts w:cstheme="majorBidi"/>
          <w:b/>
          <w:bCs/>
        </w:rPr>
        <w:t>UNEP/MC/COP.6/17:</w:t>
      </w:r>
      <w:r>
        <w:rPr>
          <w:rFonts w:cstheme="majorBidi"/>
          <w:b/>
          <w:bCs/>
        </w:rPr>
        <w:tab/>
      </w:r>
      <w:r w:rsidR="00FE608E" w:rsidRPr="001C6184">
        <w:rPr>
          <w:rFonts w:cstheme="majorBidi"/>
        </w:rPr>
        <w:t>Identifying solutions in response to n</w:t>
      </w:r>
      <w:r w:rsidRPr="001C6184">
        <w:rPr>
          <w:rFonts w:cstheme="majorBidi"/>
        </w:rPr>
        <w:t xml:space="preserve">eeds and priorities of Indigenous </w:t>
      </w:r>
      <w:r w:rsidR="006C6BA4" w:rsidRPr="001C6184">
        <w:rPr>
          <w:rFonts w:cstheme="majorBidi"/>
        </w:rPr>
        <w:t>Peoples as</w:t>
      </w:r>
      <w:r w:rsidRPr="001C6184">
        <w:rPr>
          <w:rFonts w:cstheme="majorBidi"/>
        </w:rPr>
        <w:t xml:space="preserve"> well as local communities </w:t>
      </w:r>
    </w:p>
    <w:p w14:paraId="18E3D020" w14:textId="0A20C65B" w:rsidR="00723075" w:rsidRDefault="00723075" w:rsidP="002A243F">
      <w:pPr>
        <w:spacing w:after="60"/>
        <w:ind w:left="2552" w:hanging="2552"/>
        <w:rPr>
          <w:lang w:val="en-GB"/>
        </w:rPr>
      </w:pPr>
      <w:r w:rsidRPr="00845FB7">
        <w:rPr>
          <w:rFonts w:cstheme="majorBidi"/>
          <w:b/>
          <w:bCs/>
          <w:szCs w:val="20"/>
          <w:lang w:val="en-GB"/>
        </w:rPr>
        <w:t>UNEP/MC/COP</w:t>
      </w:r>
      <w:r w:rsidR="00040624" w:rsidRPr="00845FB7">
        <w:rPr>
          <w:rFonts w:cstheme="majorBidi"/>
          <w:b/>
          <w:bCs/>
          <w:szCs w:val="20"/>
          <w:lang w:val="en-GB"/>
        </w:rPr>
        <w:t>.</w:t>
      </w:r>
      <w:r w:rsidR="00040624" w:rsidRPr="00845FB7">
        <w:rPr>
          <w:b/>
          <w:bCs/>
          <w:lang w:val="en-GB"/>
        </w:rPr>
        <w:t>6/21:</w:t>
      </w:r>
      <w:r w:rsidR="00040624" w:rsidRPr="00845FB7">
        <w:rPr>
          <w:lang w:val="en-GB"/>
        </w:rPr>
        <w:t xml:space="preserve"> </w:t>
      </w:r>
      <w:r w:rsidR="000269C0" w:rsidRPr="00845FB7">
        <w:rPr>
          <w:lang w:val="en-GB"/>
        </w:rPr>
        <w:tab/>
      </w:r>
      <w:r w:rsidR="00040624" w:rsidRPr="00845FB7">
        <w:rPr>
          <w:rFonts w:cstheme="majorBidi"/>
          <w:szCs w:val="20"/>
          <w:lang w:val="en-GB"/>
        </w:rPr>
        <w:t>International</w:t>
      </w:r>
      <w:r w:rsidR="00040624" w:rsidRPr="00845FB7">
        <w:rPr>
          <w:lang w:val="en-GB"/>
        </w:rPr>
        <w:t xml:space="preserve"> cooperation and coordination</w:t>
      </w:r>
    </w:p>
    <w:p w14:paraId="1CF60419" w14:textId="77777777" w:rsidR="00DB5A81" w:rsidRPr="00845FB7" w:rsidRDefault="00DB5A81" w:rsidP="00DB5A81">
      <w:pPr>
        <w:spacing w:after="60" w:line="257" w:lineRule="auto"/>
        <w:ind w:left="2552" w:hanging="2552"/>
        <w:rPr>
          <w:rFonts w:eastAsia="Calibri" w:cs="Calibri"/>
          <w:szCs w:val="20"/>
          <w:lang w:val="en-GB"/>
        </w:rPr>
      </w:pPr>
      <w:r w:rsidRPr="00845FB7">
        <w:rPr>
          <w:rFonts w:cstheme="majorBidi"/>
          <w:b/>
          <w:bCs/>
          <w:lang w:val="en-GB"/>
        </w:rPr>
        <w:t>UNEP/MC/COP.6/INF/24:</w:t>
      </w:r>
      <w:r w:rsidRPr="00845FB7">
        <w:rPr>
          <w:szCs w:val="20"/>
          <w:lang w:val="en-GB"/>
        </w:rPr>
        <w:tab/>
      </w:r>
      <w:r w:rsidRPr="00845FB7">
        <w:rPr>
          <w:rFonts w:eastAsia="Calibri" w:cs="Calibri"/>
          <w:color w:val="000000" w:themeColor="text1"/>
          <w:szCs w:val="20"/>
          <w:lang w:val="en-GB"/>
        </w:rPr>
        <w:t xml:space="preserve">Report on the needs and priorities of Indigenous Peoples, as well as local communities, </w:t>
      </w:r>
      <w:proofErr w:type="gramStart"/>
      <w:r w:rsidRPr="00845FB7">
        <w:rPr>
          <w:rFonts w:eastAsia="Calibri" w:cs="Calibri"/>
          <w:color w:val="000000" w:themeColor="text1"/>
          <w:szCs w:val="20"/>
          <w:lang w:val="en-GB"/>
        </w:rPr>
        <w:t>with regard to</w:t>
      </w:r>
      <w:proofErr w:type="gramEnd"/>
      <w:r w:rsidRPr="00845FB7">
        <w:rPr>
          <w:rFonts w:eastAsia="Calibri" w:cs="Calibri"/>
          <w:color w:val="000000" w:themeColor="text1"/>
          <w:szCs w:val="20"/>
          <w:lang w:val="en-GB"/>
        </w:rPr>
        <w:t xml:space="preserve"> the effects of </w:t>
      </w:r>
      <w:r w:rsidRPr="00845FB7">
        <w:rPr>
          <w:rFonts w:eastAsia="Calibri" w:cs="Calibri"/>
          <w:szCs w:val="20"/>
          <w:lang w:val="en-GB"/>
        </w:rPr>
        <w:t>mercury</w:t>
      </w:r>
      <w:r w:rsidRPr="00845FB7">
        <w:rPr>
          <w:rFonts w:eastAsia="Calibri" w:cs="Calibri"/>
          <w:color w:val="000000" w:themeColor="text1"/>
          <w:szCs w:val="20"/>
          <w:lang w:val="en-GB"/>
        </w:rPr>
        <w:t xml:space="preserve"> on their health, livelihoods, culture and knowledge</w:t>
      </w:r>
    </w:p>
    <w:p w14:paraId="77D6CCFA" w14:textId="5DC0D8F6" w:rsidR="00BA1053" w:rsidRPr="00845FB7" w:rsidRDefault="00BA1053" w:rsidP="00BA1053">
      <w:pPr>
        <w:pStyle w:val="Heading3"/>
        <w:rPr>
          <w:sz w:val="24"/>
          <w:lang w:val="en-GB"/>
        </w:rPr>
      </w:pPr>
      <w:r w:rsidRPr="00845FB7">
        <w:rPr>
          <w:sz w:val="24"/>
          <w:lang w:val="en-GB"/>
        </w:rPr>
        <w:t>Mandate</w:t>
      </w:r>
    </w:p>
    <w:p w14:paraId="068279C7" w14:textId="2EC39ED1" w:rsidR="00BA1053" w:rsidRPr="00845FB7" w:rsidRDefault="00D43D9F" w:rsidP="00BD36F8">
      <w:pPr>
        <w:spacing w:after="60"/>
        <w:ind w:left="2127" w:hanging="2127"/>
        <w:rPr>
          <w:rFonts w:cstheme="majorBidi"/>
          <w:szCs w:val="20"/>
          <w:lang w:val="en-GB"/>
        </w:rPr>
      </w:pPr>
      <w:r w:rsidRPr="00845FB7">
        <w:rPr>
          <w:rFonts w:cstheme="majorBidi"/>
          <w:b/>
          <w:bCs/>
          <w:szCs w:val="20"/>
          <w:lang w:val="en-GB"/>
        </w:rPr>
        <w:t>Convention:</w:t>
      </w:r>
      <w:r w:rsidR="00BA1053" w:rsidRPr="00845FB7">
        <w:rPr>
          <w:rFonts w:cstheme="majorBidi"/>
          <w:szCs w:val="20"/>
          <w:lang w:val="en-GB"/>
        </w:rPr>
        <w:t xml:space="preserve"> </w:t>
      </w:r>
      <w:r w:rsidR="00DD1E0C" w:rsidRPr="00845FB7">
        <w:rPr>
          <w:rFonts w:cstheme="majorBidi"/>
          <w:szCs w:val="20"/>
          <w:lang w:val="en-GB"/>
        </w:rPr>
        <w:t>A</w:t>
      </w:r>
      <w:r w:rsidR="00BA1053" w:rsidRPr="00845FB7">
        <w:rPr>
          <w:rFonts w:cstheme="majorBidi"/>
          <w:szCs w:val="20"/>
          <w:lang w:val="en-GB"/>
        </w:rPr>
        <w:t>rticles 3, 4, 5, 7, 8, 9, 10, 11, 12, 16, 17, 19, 24</w:t>
      </w:r>
    </w:p>
    <w:p w14:paraId="56866A95" w14:textId="542104F0" w:rsidR="00BA1053" w:rsidRPr="00845FB7" w:rsidRDefault="00BA1053" w:rsidP="00BD36F8">
      <w:pPr>
        <w:spacing w:after="60"/>
        <w:ind w:left="2127" w:hanging="2127"/>
        <w:rPr>
          <w:rFonts w:cstheme="majorBidi"/>
          <w:szCs w:val="20"/>
          <w:lang w:val="en-GB"/>
        </w:rPr>
      </w:pPr>
      <w:r w:rsidRPr="00845FB7">
        <w:rPr>
          <w:rFonts w:cstheme="majorBidi"/>
          <w:b/>
          <w:bCs/>
          <w:szCs w:val="20"/>
          <w:lang w:val="en-GB"/>
        </w:rPr>
        <w:t xml:space="preserve">COP </w:t>
      </w:r>
      <w:r w:rsidR="00D43D9F" w:rsidRPr="00845FB7">
        <w:rPr>
          <w:rFonts w:cstheme="majorBidi"/>
          <w:b/>
          <w:bCs/>
          <w:szCs w:val="20"/>
          <w:lang w:val="en-GB"/>
        </w:rPr>
        <w:t>decision</w:t>
      </w:r>
      <w:r w:rsidR="00FD439B" w:rsidRPr="00845FB7">
        <w:rPr>
          <w:rFonts w:cstheme="majorBidi"/>
          <w:b/>
          <w:bCs/>
          <w:szCs w:val="20"/>
          <w:lang w:val="en-GB"/>
        </w:rPr>
        <w:t>(</w:t>
      </w:r>
      <w:r w:rsidR="00D43D9F" w:rsidRPr="00845FB7">
        <w:rPr>
          <w:rFonts w:cstheme="majorBidi"/>
          <w:b/>
          <w:bCs/>
          <w:szCs w:val="20"/>
          <w:lang w:val="en-GB"/>
        </w:rPr>
        <w:t>s</w:t>
      </w:r>
      <w:r w:rsidR="00FD439B" w:rsidRPr="00845FB7">
        <w:rPr>
          <w:rFonts w:cstheme="majorBidi"/>
          <w:b/>
          <w:bCs/>
          <w:szCs w:val="20"/>
          <w:lang w:val="en-GB"/>
        </w:rPr>
        <w:t>)</w:t>
      </w:r>
      <w:r w:rsidR="00D43D9F" w:rsidRPr="00845FB7">
        <w:rPr>
          <w:rFonts w:cstheme="majorBidi"/>
          <w:b/>
          <w:bCs/>
          <w:szCs w:val="20"/>
          <w:lang w:val="en-GB"/>
        </w:rPr>
        <w:t>:</w:t>
      </w:r>
      <w:r w:rsidRPr="00845FB7">
        <w:rPr>
          <w:rFonts w:cstheme="majorBidi"/>
          <w:szCs w:val="20"/>
          <w:lang w:val="en-GB"/>
        </w:rPr>
        <w:t xml:space="preserve"> MC-1/</w:t>
      </w:r>
      <w:r w:rsidR="00EB7AA2" w:rsidRPr="00845FB7">
        <w:rPr>
          <w:rFonts w:cstheme="majorBidi"/>
          <w:szCs w:val="20"/>
          <w:lang w:val="en-GB"/>
        </w:rPr>
        <w:t xml:space="preserve">2, </w:t>
      </w:r>
      <w:r w:rsidR="00C1377C" w:rsidRPr="00845FB7">
        <w:rPr>
          <w:rFonts w:cstheme="majorBidi"/>
          <w:szCs w:val="20"/>
          <w:lang w:val="en-GB"/>
        </w:rPr>
        <w:t xml:space="preserve">1-4, </w:t>
      </w:r>
      <w:r w:rsidR="00A54A3C" w:rsidRPr="00845FB7">
        <w:rPr>
          <w:rFonts w:cstheme="majorBidi"/>
          <w:szCs w:val="20"/>
          <w:lang w:val="en-GB"/>
        </w:rPr>
        <w:t>1/</w:t>
      </w:r>
      <w:r w:rsidR="00C1377C" w:rsidRPr="00845FB7">
        <w:rPr>
          <w:rFonts w:cstheme="majorBidi"/>
          <w:szCs w:val="20"/>
          <w:lang w:val="en-GB"/>
        </w:rPr>
        <w:t>13, 1/16</w:t>
      </w:r>
      <w:r w:rsidRPr="00845FB7">
        <w:rPr>
          <w:rFonts w:cstheme="majorBidi"/>
          <w:szCs w:val="20"/>
          <w:lang w:val="en-GB"/>
        </w:rPr>
        <w:t xml:space="preserve">, </w:t>
      </w:r>
      <w:r w:rsidR="00425545" w:rsidRPr="00845FB7">
        <w:rPr>
          <w:rFonts w:cstheme="majorBidi"/>
          <w:szCs w:val="20"/>
          <w:lang w:val="en-GB"/>
        </w:rPr>
        <w:t>2/6</w:t>
      </w:r>
      <w:r w:rsidRPr="00845FB7">
        <w:rPr>
          <w:rFonts w:cstheme="majorBidi"/>
          <w:szCs w:val="20"/>
          <w:lang w:val="en-GB"/>
        </w:rPr>
        <w:t xml:space="preserve">, 3/3, </w:t>
      </w:r>
      <w:r w:rsidR="009E3003" w:rsidRPr="00845FB7">
        <w:rPr>
          <w:rFonts w:cstheme="majorBidi"/>
          <w:szCs w:val="20"/>
          <w:lang w:val="en-GB"/>
        </w:rPr>
        <w:t xml:space="preserve">3/6, </w:t>
      </w:r>
      <w:r w:rsidR="00C476BD" w:rsidRPr="00845FB7">
        <w:rPr>
          <w:rFonts w:cstheme="majorBidi"/>
          <w:szCs w:val="20"/>
          <w:lang w:val="en-GB"/>
        </w:rPr>
        <w:t>4/4, 4/6</w:t>
      </w:r>
      <w:r w:rsidR="000E7068" w:rsidRPr="00845FB7">
        <w:rPr>
          <w:rFonts w:cstheme="majorBidi"/>
          <w:szCs w:val="20"/>
          <w:lang w:val="en-GB"/>
        </w:rPr>
        <w:t xml:space="preserve">, 5/2, 5/3, 5/4, 5/5, </w:t>
      </w:r>
      <w:r w:rsidR="00C95771" w:rsidRPr="00845FB7">
        <w:rPr>
          <w:rFonts w:cstheme="majorBidi"/>
          <w:szCs w:val="20"/>
          <w:lang w:val="en-GB"/>
        </w:rPr>
        <w:t xml:space="preserve">5/7, 5/8, </w:t>
      </w:r>
      <w:r w:rsidR="00693C1B" w:rsidRPr="00845FB7">
        <w:rPr>
          <w:rFonts w:cstheme="majorBidi"/>
          <w:szCs w:val="20"/>
          <w:lang w:val="en-GB"/>
        </w:rPr>
        <w:t>5/10</w:t>
      </w:r>
    </w:p>
    <w:p w14:paraId="7DB3C52B" w14:textId="63FAB6AF" w:rsidR="00BA1053" w:rsidRPr="00845FB7" w:rsidRDefault="00BA1053" w:rsidP="00BA1053">
      <w:pPr>
        <w:pStyle w:val="Heading3"/>
        <w:rPr>
          <w:sz w:val="24"/>
          <w:lang w:val="en-GB"/>
        </w:rPr>
      </w:pPr>
      <w:r w:rsidRPr="00845FB7">
        <w:rPr>
          <w:sz w:val="24"/>
          <w:lang w:val="en-GB"/>
        </w:rPr>
        <w:t>Background and rationale</w:t>
      </w:r>
    </w:p>
    <w:p w14:paraId="74A00A2A" w14:textId="7ED6F6D3" w:rsidR="00BA1053" w:rsidRPr="00845FB7" w:rsidRDefault="00BA1053" w:rsidP="00BD36F8">
      <w:pPr>
        <w:spacing w:after="120" w:line="276" w:lineRule="auto"/>
        <w:rPr>
          <w:rFonts w:cstheme="majorBidi"/>
          <w:szCs w:val="20"/>
          <w:lang w:val="en-GB"/>
        </w:rPr>
      </w:pPr>
      <w:r w:rsidRPr="00845FB7">
        <w:rPr>
          <w:rFonts w:cstheme="majorBidi"/>
          <w:szCs w:val="20"/>
          <w:lang w:val="en-GB"/>
        </w:rPr>
        <w:t xml:space="preserve">Scientific knowledge forms the basis for </w:t>
      </w:r>
      <w:r w:rsidR="00672724" w:rsidRPr="00845FB7">
        <w:rPr>
          <w:rFonts w:cstheme="majorBidi"/>
          <w:szCs w:val="20"/>
          <w:lang w:val="en-GB"/>
        </w:rPr>
        <w:t>P</w:t>
      </w:r>
      <w:r w:rsidRPr="00845FB7">
        <w:rPr>
          <w:rFonts w:cstheme="majorBidi"/>
          <w:szCs w:val="20"/>
          <w:lang w:val="en-GB"/>
        </w:rPr>
        <w:t xml:space="preserve">arties to take effective action to protect human health and the environment from mercury. Implementation of the control measures under the Convention relies on the development and dissemination of mercury-free technologies for products and processes, best available techniques and best environmental practice (BAT/BEP) for controlling emissions and releases and other mercury management technologies. The </w:t>
      </w:r>
      <w:r w:rsidR="00672724" w:rsidRPr="00845FB7">
        <w:rPr>
          <w:rFonts w:cstheme="majorBidi"/>
          <w:szCs w:val="20"/>
          <w:lang w:val="en-GB"/>
        </w:rPr>
        <w:t>S</w:t>
      </w:r>
      <w:r w:rsidRPr="00845FB7">
        <w:rPr>
          <w:rFonts w:cstheme="majorBidi"/>
          <w:szCs w:val="20"/>
          <w:lang w:val="en-GB"/>
        </w:rPr>
        <w:t xml:space="preserve">ecretariat is tasked with providing scientific and technical support to the </w:t>
      </w:r>
      <w:r w:rsidR="00672724" w:rsidRPr="00845FB7">
        <w:rPr>
          <w:rFonts w:cstheme="majorBidi"/>
          <w:szCs w:val="20"/>
          <w:lang w:val="en-GB"/>
        </w:rPr>
        <w:t>P</w:t>
      </w:r>
      <w:r w:rsidRPr="00845FB7">
        <w:rPr>
          <w:rFonts w:cstheme="majorBidi"/>
          <w:szCs w:val="20"/>
          <w:lang w:val="en-GB"/>
        </w:rPr>
        <w:t>arties.</w:t>
      </w:r>
    </w:p>
    <w:p w14:paraId="3AB2DDBA" w14:textId="2C60B53D" w:rsidR="00BA1053" w:rsidRPr="00845FB7" w:rsidRDefault="00BA1053" w:rsidP="00BD36F8">
      <w:pPr>
        <w:spacing w:after="120" w:line="276" w:lineRule="auto"/>
        <w:rPr>
          <w:rFonts w:cstheme="majorBidi"/>
          <w:szCs w:val="20"/>
          <w:lang w:val="en-GB"/>
        </w:rPr>
      </w:pPr>
      <w:r w:rsidRPr="00845FB7">
        <w:rPr>
          <w:rFonts w:cstheme="majorBidi"/>
          <w:szCs w:val="20"/>
          <w:lang w:val="en-GB"/>
        </w:rPr>
        <w:t xml:space="preserve">Article 19 provides that </w:t>
      </w:r>
      <w:r w:rsidR="00672724" w:rsidRPr="00845FB7">
        <w:rPr>
          <w:rFonts w:cstheme="majorBidi"/>
          <w:szCs w:val="20"/>
          <w:lang w:val="en-GB"/>
        </w:rPr>
        <w:t>P</w:t>
      </w:r>
      <w:r w:rsidRPr="00845FB7">
        <w:rPr>
          <w:rFonts w:cstheme="majorBidi"/>
          <w:szCs w:val="20"/>
          <w:lang w:val="en-GB"/>
        </w:rPr>
        <w:t xml:space="preserve">arties shall endeavour to cooperate to develop and improve: </w:t>
      </w:r>
    </w:p>
    <w:p w14:paraId="7AF0F4C5" w14:textId="77777777" w:rsidR="00BA1053" w:rsidRPr="00845FB7" w:rsidRDefault="00BA1053" w:rsidP="00BD36F8">
      <w:pPr>
        <w:pStyle w:val="ListParagraph"/>
        <w:numPr>
          <w:ilvl w:val="0"/>
          <w:numId w:val="9"/>
        </w:numPr>
        <w:spacing w:after="120" w:line="276" w:lineRule="auto"/>
        <w:rPr>
          <w:rFonts w:cstheme="majorBidi"/>
          <w:szCs w:val="20"/>
          <w:lang w:val="en-GB"/>
        </w:rPr>
      </w:pPr>
      <w:r w:rsidRPr="00845FB7">
        <w:rPr>
          <w:rFonts w:cstheme="majorBidi"/>
          <w:szCs w:val="20"/>
          <w:lang w:val="en-GB"/>
        </w:rPr>
        <w:t>mercury inventories</w:t>
      </w:r>
    </w:p>
    <w:p w14:paraId="08EB1F5B" w14:textId="77777777" w:rsidR="00BA1053" w:rsidRPr="00845FB7" w:rsidRDefault="00BA1053" w:rsidP="00BD36F8">
      <w:pPr>
        <w:pStyle w:val="ListParagraph"/>
        <w:numPr>
          <w:ilvl w:val="0"/>
          <w:numId w:val="9"/>
        </w:numPr>
        <w:spacing w:after="120" w:line="276" w:lineRule="auto"/>
        <w:rPr>
          <w:rFonts w:cstheme="majorBidi"/>
          <w:szCs w:val="20"/>
          <w:lang w:val="en-GB"/>
        </w:rPr>
      </w:pPr>
      <w:r w:rsidRPr="00845FB7">
        <w:rPr>
          <w:rFonts w:cstheme="majorBidi"/>
          <w:szCs w:val="20"/>
          <w:lang w:val="en-GB"/>
        </w:rPr>
        <w:t>modelling and monitoring of mercury in the environment</w:t>
      </w:r>
    </w:p>
    <w:p w14:paraId="3F1EAE37" w14:textId="77777777" w:rsidR="00BA1053" w:rsidRPr="00845FB7" w:rsidRDefault="00BA1053" w:rsidP="00BD36F8">
      <w:pPr>
        <w:pStyle w:val="ListParagraph"/>
        <w:numPr>
          <w:ilvl w:val="0"/>
          <w:numId w:val="9"/>
        </w:numPr>
        <w:spacing w:after="120" w:line="276" w:lineRule="auto"/>
        <w:rPr>
          <w:rFonts w:cstheme="majorBidi"/>
          <w:szCs w:val="20"/>
          <w:lang w:val="en-GB"/>
        </w:rPr>
      </w:pPr>
      <w:r w:rsidRPr="00845FB7">
        <w:rPr>
          <w:rFonts w:cstheme="majorBidi"/>
          <w:szCs w:val="20"/>
          <w:lang w:val="en-GB"/>
        </w:rPr>
        <w:lastRenderedPageBreak/>
        <w:t>health and environmental impact assessment of mercury</w:t>
      </w:r>
    </w:p>
    <w:p w14:paraId="170E4AC0" w14:textId="77777777" w:rsidR="00BA1053" w:rsidRPr="00845FB7" w:rsidRDefault="00BA1053" w:rsidP="00BD36F8">
      <w:pPr>
        <w:pStyle w:val="ListParagraph"/>
        <w:numPr>
          <w:ilvl w:val="0"/>
          <w:numId w:val="9"/>
        </w:numPr>
        <w:spacing w:after="120" w:line="276" w:lineRule="auto"/>
        <w:rPr>
          <w:rFonts w:cstheme="majorBidi"/>
          <w:szCs w:val="20"/>
          <w:lang w:val="en-GB"/>
        </w:rPr>
      </w:pPr>
      <w:r w:rsidRPr="00845FB7">
        <w:rPr>
          <w:rFonts w:cstheme="majorBidi"/>
          <w:szCs w:val="20"/>
          <w:lang w:val="en-GB"/>
        </w:rPr>
        <w:t>information on the environmental fate and transport of mercury</w:t>
      </w:r>
    </w:p>
    <w:p w14:paraId="1A566844" w14:textId="77777777" w:rsidR="00BA1053" w:rsidRPr="00845FB7" w:rsidRDefault="00BA1053" w:rsidP="00BD36F8">
      <w:pPr>
        <w:pStyle w:val="ListParagraph"/>
        <w:numPr>
          <w:ilvl w:val="0"/>
          <w:numId w:val="9"/>
        </w:numPr>
        <w:spacing w:after="120" w:line="276" w:lineRule="auto"/>
        <w:rPr>
          <w:rFonts w:cstheme="majorBidi"/>
          <w:szCs w:val="20"/>
          <w:lang w:val="en-GB"/>
        </w:rPr>
      </w:pPr>
      <w:r w:rsidRPr="00845FB7">
        <w:rPr>
          <w:rFonts w:cstheme="majorBidi"/>
          <w:szCs w:val="20"/>
          <w:lang w:val="en-GB"/>
        </w:rPr>
        <w:t xml:space="preserve">information on commerce and trade in mercury, and </w:t>
      </w:r>
    </w:p>
    <w:p w14:paraId="7FEABB3C" w14:textId="77777777" w:rsidR="00BA1053" w:rsidRPr="00845FB7" w:rsidRDefault="00BA1053" w:rsidP="00BD36F8">
      <w:pPr>
        <w:pStyle w:val="ListParagraph"/>
        <w:numPr>
          <w:ilvl w:val="0"/>
          <w:numId w:val="9"/>
        </w:numPr>
        <w:spacing w:after="120" w:line="276" w:lineRule="auto"/>
        <w:rPr>
          <w:rFonts w:cstheme="majorBidi"/>
          <w:szCs w:val="20"/>
          <w:lang w:val="en-GB"/>
        </w:rPr>
      </w:pPr>
      <w:r w:rsidRPr="00845FB7">
        <w:rPr>
          <w:rFonts w:cstheme="majorBidi"/>
          <w:szCs w:val="20"/>
          <w:lang w:val="en-GB"/>
        </w:rPr>
        <w:t>information and research on mercury-free products and processes, best available techniques, etc.</w:t>
      </w:r>
    </w:p>
    <w:p w14:paraId="6B1DF863" w14:textId="4A909DAE" w:rsidR="00BA1053" w:rsidRPr="00845FB7" w:rsidRDefault="00BA1053" w:rsidP="00BD36F8">
      <w:pPr>
        <w:spacing w:after="120" w:line="276" w:lineRule="auto"/>
        <w:rPr>
          <w:rFonts w:cstheme="majorBidi"/>
          <w:szCs w:val="20"/>
          <w:lang w:val="en-GB"/>
        </w:rPr>
      </w:pPr>
      <w:r w:rsidRPr="00845FB7">
        <w:rPr>
          <w:rFonts w:cstheme="majorBidi"/>
          <w:szCs w:val="20"/>
          <w:lang w:val="en-GB"/>
        </w:rPr>
        <w:t xml:space="preserve">Research, development and monitoring promoted by </w:t>
      </w:r>
      <w:r w:rsidR="006313A9" w:rsidRPr="00845FB7">
        <w:rPr>
          <w:rFonts w:cstheme="majorBidi"/>
          <w:szCs w:val="20"/>
          <w:lang w:val="en-GB"/>
        </w:rPr>
        <w:t>P</w:t>
      </w:r>
      <w:r w:rsidRPr="00845FB7">
        <w:rPr>
          <w:rFonts w:cstheme="majorBidi"/>
          <w:szCs w:val="20"/>
          <w:lang w:val="en-GB"/>
        </w:rPr>
        <w:t xml:space="preserve">arties pursuant to </w:t>
      </w:r>
      <w:r w:rsidR="00DD1E0C" w:rsidRPr="00845FB7">
        <w:rPr>
          <w:rFonts w:cstheme="majorBidi"/>
          <w:szCs w:val="20"/>
          <w:lang w:val="en-GB"/>
        </w:rPr>
        <w:t>A</w:t>
      </w:r>
      <w:r w:rsidRPr="00845FB7">
        <w:rPr>
          <w:rFonts w:cstheme="majorBidi"/>
          <w:szCs w:val="20"/>
          <w:lang w:val="en-GB"/>
        </w:rPr>
        <w:t xml:space="preserve">rticle 19 has contributed to the development of technical guidance and tools for implementing measures to reduce emissions and releases of mercury and exposure to it. The Conference of the Parties has developed such guidance through the establishment of group of experts with scientific and technical expertise, and so </w:t>
      </w:r>
      <w:proofErr w:type="gramStart"/>
      <w:r w:rsidRPr="00845FB7">
        <w:rPr>
          <w:rFonts w:cstheme="majorBidi"/>
          <w:szCs w:val="20"/>
          <w:lang w:val="en-GB"/>
        </w:rPr>
        <w:t>far</w:t>
      </w:r>
      <w:proofErr w:type="gramEnd"/>
      <w:r w:rsidRPr="00845FB7">
        <w:rPr>
          <w:rFonts w:cstheme="majorBidi"/>
          <w:szCs w:val="20"/>
          <w:lang w:val="en-GB"/>
        </w:rPr>
        <w:t xml:space="preserve"> adopted guidance on the development of ASGM national action plans, inventories</w:t>
      </w:r>
      <w:r w:rsidR="00A92681" w:rsidRPr="00845FB7">
        <w:rPr>
          <w:rFonts w:cstheme="majorBidi"/>
          <w:szCs w:val="20"/>
          <w:lang w:val="en-GB"/>
        </w:rPr>
        <w:t xml:space="preserve"> and</w:t>
      </w:r>
      <w:r w:rsidRPr="00845FB7">
        <w:rPr>
          <w:rFonts w:cstheme="majorBidi"/>
          <w:szCs w:val="20"/>
          <w:lang w:val="en-GB"/>
        </w:rPr>
        <w:t xml:space="preserve"> BAT/BEP on mercury emissions</w:t>
      </w:r>
      <w:r w:rsidR="00A92681" w:rsidRPr="00845FB7">
        <w:rPr>
          <w:rFonts w:cstheme="majorBidi"/>
          <w:szCs w:val="20"/>
          <w:lang w:val="en-GB"/>
        </w:rPr>
        <w:t xml:space="preserve"> and releases</w:t>
      </w:r>
      <w:r w:rsidRPr="00845FB7">
        <w:rPr>
          <w:rFonts w:cstheme="majorBidi"/>
          <w:szCs w:val="20"/>
          <w:lang w:val="en-GB"/>
        </w:rPr>
        <w:t xml:space="preserve">, interim storage and the management of contaminated sites. </w:t>
      </w:r>
      <w:r w:rsidR="00AD2A73" w:rsidRPr="00845FB7">
        <w:rPr>
          <w:rFonts w:cstheme="majorBidi"/>
          <w:szCs w:val="20"/>
          <w:lang w:val="en-GB"/>
        </w:rPr>
        <w:t>The Con</w:t>
      </w:r>
      <w:r w:rsidR="009222CF" w:rsidRPr="00845FB7">
        <w:rPr>
          <w:rFonts w:cstheme="majorBidi"/>
          <w:szCs w:val="20"/>
          <w:lang w:val="en-GB"/>
        </w:rPr>
        <w:t xml:space="preserve">ference of the Parties also </w:t>
      </w:r>
      <w:r w:rsidR="00BB5808" w:rsidRPr="00845FB7">
        <w:rPr>
          <w:rFonts w:cstheme="majorBidi"/>
          <w:szCs w:val="20"/>
          <w:lang w:val="en-GB"/>
        </w:rPr>
        <w:t xml:space="preserve">requested the </w:t>
      </w:r>
      <w:r w:rsidR="001D58FB" w:rsidRPr="00845FB7">
        <w:rPr>
          <w:rFonts w:cstheme="majorBidi"/>
          <w:szCs w:val="20"/>
          <w:lang w:val="en-GB"/>
        </w:rPr>
        <w:t>S</w:t>
      </w:r>
      <w:r w:rsidR="00BB5808" w:rsidRPr="00845FB7">
        <w:rPr>
          <w:rFonts w:cstheme="majorBidi"/>
          <w:szCs w:val="20"/>
          <w:lang w:val="en-GB"/>
        </w:rPr>
        <w:t>ecretariat to update t</w:t>
      </w:r>
      <w:r w:rsidRPr="00845FB7">
        <w:rPr>
          <w:rFonts w:cstheme="majorBidi"/>
          <w:szCs w:val="20"/>
          <w:lang w:val="en-GB"/>
        </w:rPr>
        <w:t xml:space="preserve">hese guidance and tools </w:t>
      </w:r>
      <w:r w:rsidR="00AE1503" w:rsidRPr="00845FB7">
        <w:rPr>
          <w:rFonts w:cstheme="majorBidi"/>
          <w:szCs w:val="20"/>
          <w:lang w:val="en-GB"/>
        </w:rPr>
        <w:t xml:space="preserve">to address specific matters such as ASGM tailings and trade </w:t>
      </w:r>
      <w:r w:rsidR="0031231C" w:rsidRPr="00845FB7">
        <w:rPr>
          <w:rFonts w:cstheme="majorBidi"/>
          <w:szCs w:val="20"/>
          <w:lang w:val="en-GB"/>
        </w:rPr>
        <w:t>of mercury from primary mining</w:t>
      </w:r>
      <w:r w:rsidRPr="00845FB7">
        <w:rPr>
          <w:rFonts w:cstheme="majorBidi"/>
          <w:szCs w:val="20"/>
          <w:lang w:val="en-GB"/>
        </w:rPr>
        <w:t>.</w:t>
      </w:r>
      <w:r w:rsidR="00D85C25" w:rsidRPr="00845FB7">
        <w:rPr>
          <w:rFonts w:cstheme="majorBidi"/>
          <w:szCs w:val="20"/>
          <w:lang w:val="en-GB"/>
        </w:rPr>
        <w:t xml:space="preserve"> </w:t>
      </w:r>
      <w:proofErr w:type="gramStart"/>
      <w:r w:rsidR="00905416" w:rsidRPr="00845FB7">
        <w:rPr>
          <w:rFonts w:cstheme="majorBidi"/>
          <w:szCs w:val="20"/>
          <w:lang w:val="en-GB"/>
        </w:rPr>
        <w:t>With regard to</w:t>
      </w:r>
      <w:proofErr w:type="gramEnd"/>
      <w:r w:rsidR="00905416" w:rsidRPr="00845FB7">
        <w:rPr>
          <w:rFonts w:cstheme="majorBidi"/>
          <w:szCs w:val="20"/>
          <w:lang w:val="en-GB"/>
        </w:rPr>
        <w:t xml:space="preserve"> </w:t>
      </w:r>
      <w:r w:rsidR="00DD1E0C" w:rsidRPr="00845FB7">
        <w:rPr>
          <w:rFonts w:cstheme="majorBidi"/>
          <w:szCs w:val="20"/>
          <w:lang w:val="en-GB"/>
        </w:rPr>
        <w:t>A</w:t>
      </w:r>
      <w:r w:rsidR="00905416" w:rsidRPr="00845FB7">
        <w:rPr>
          <w:rFonts w:cstheme="majorBidi"/>
          <w:szCs w:val="20"/>
          <w:lang w:val="en-GB"/>
        </w:rPr>
        <w:t xml:space="preserve">rticle 11 (mercury waste), the </w:t>
      </w:r>
      <w:r w:rsidR="001D58FB" w:rsidRPr="00845FB7">
        <w:rPr>
          <w:rFonts w:cstheme="majorBidi"/>
          <w:szCs w:val="20"/>
          <w:lang w:val="en-GB"/>
        </w:rPr>
        <w:t>S</w:t>
      </w:r>
      <w:r w:rsidR="00905416" w:rsidRPr="00845FB7">
        <w:rPr>
          <w:rFonts w:cstheme="majorBidi"/>
          <w:szCs w:val="20"/>
          <w:lang w:val="en-GB"/>
        </w:rPr>
        <w:t xml:space="preserve">ecretariat </w:t>
      </w:r>
      <w:r w:rsidR="001E240E" w:rsidRPr="00845FB7">
        <w:rPr>
          <w:rFonts w:cstheme="majorBidi"/>
          <w:szCs w:val="20"/>
          <w:lang w:val="en-GB"/>
        </w:rPr>
        <w:t xml:space="preserve">cooperates with the Basel Convention </w:t>
      </w:r>
      <w:r w:rsidR="00844A88" w:rsidRPr="00845FB7">
        <w:rPr>
          <w:rFonts w:cstheme="majorBidi"/>
          <w:szCs w:val="20"/>
          <w:lang w:val="en-GB"/>
        </w:rPr>
        <w:t>S</w:t>
      </w:r>
      <w:r w:rsidR="001E240E" w:rsidRPr="00845FB7">
        <w:rPr>
          <w:rFonts w:cstheme="majorBidi"/>
          <w:szCs w:val="20"/>
          <w:lang w:val="en-GB"/>
        </w:rPr>
        <w:t>ecretariat to update the technical guidelines</w:t>
      </w:r>
      <w:r w:rsidR="006A5E04" w:rsidRPr="00845FB7">
        <w:rPr>
          <w:rFonts w:cstheme="majorBidi"/>
          <w:szCs w:val="20"/>
          <w:lang w:val="en-GB"/>
        </w:rPr>
        <w:t>.</w:t>
      </w:r>
    </w:p>
    <w:p w14:paraId="77CED716" w14:textId="216B27AA" w:rsidR="00BA1053" w:rsidRPr="00845FB7" w:rsidRDefault="00BA1053" w:rsidP="00BD36F8">
      <w:pPr>
        <w:spacing w:after="120" w:line="276" w:lineRule="auto"/>
        <w:rPr>
          <w:rFonts w:cstheme="majorBidi"/>
          <w:szCs w:val="20"/>
          <w:lang w:val="en-GB"/>
        </w:rPr>
      </w:pPr>
      <w:r w:rsidRPr="00845FB7">
        <w:rPr>
          <w:rFonts w:cstheme="majorBidi"/>
          <w:szCs w:val="20"/>
          <w:lang w:val="en-GB"/>
        </w:rPr>
        <w:t>Scientific communities contribute to scientific and technical knowledge to implement the Convention. The International Conference on Mercury as a Global Pollutant (ICMGP</w:t>
      </w:r>
      <w:r w:rsidR="00A453F9" w:rsidRPr="00845FB7">
        <w:rPr>
          <w:rFonts w:cstheme="majorBidi"/>
          <w:szCs w:val="20"/>
          <w:lang w:val="en-GB"/>
        </w:rPr>
        <w:t>), established</w:t>
      </w:r>
      <w:r w:rsidRPr="00845FB7">
        <w:rPr>
          <w:rFonts w:cstheme="majorBidi"/>
          <w:szCs w:val="20"/>
          <w:lang w:val="en-GB"/>
        </w:rPr>
        <w:t xml:space="preserve"> in </w:t>
      </w:r>
      <w:r w:rsidR="00A453F9" w:rsidRPr="00845FB7">
        <w:rPr>
          <w:rFonts w:cstheme="majorBidi"/>
          <w:szCs w:val="20"/>
          <w:lang w:val="en-GB"/>
        </w:rPr>
        <w:t>1990, has</w:t>
      </w:r>
      <w:r w:rsidRPr="00845FB7">
        <w:rPr>
          <w:rFonts w:cstheme="majorBidi"/>
          <w:szCs w:val="20"/>
          <w:lang w:val="en-GB"/>
        </w:rPr>
        <w:t xml:space="preserve"> contributed to increase scientific knowledge that has underpinned the development and implementation of the Minamata Convention, together with existing academic societies and institutions. The </w:t>
      </w:r>
      <w:r w:rsidR="006313A9" w:rsidRPr="00845FB7">
        <w:rPr>
          <w:rFonts w:cstheme="majorBidi"/>
          <w:szCs w:val="20"/>
          <w:lang w:val="en-GB"/>
        </w:rPr>
        <w:t>S</w:t>
      </w:r>
      <w:r w:rsidRPr="00845FB7">
        <w:rPr>
          <w:rFonts w:cstheme="majorBidi"/>
          <w:szCs w:val="20"/>
          <w:lang w:val="en-GB"/>
        </w:rPr>
        <w:t xml:space="preserve">ecretariat facilitates the cooperation among </w:t>
      </w:r>
      <w:r w:rsidR="006313A9" w:rsidRPr="00845FB7">
        <w:rPr>
          <w:rFonts w:cstheme="majorBidi"/>
          <w:szCs w:val="20"/>
          <w:lang w:val="en-GB"/>
        </w:rPr>
        <w:t>P</w:t>
      </w:r>
      <w:r w:rsidRPr="00845FB7">
        <w:rPr>
          <w:rFonts w:cstheme="majorBidi"/>
          <w:szCs w:val="20"/>
          <w:lang w:val="en-GB"/>
        </w:rPr>
        <w:t xml:space="preserve">arties, with the scientific communities and with broad stakeholders to provide scientific and technical support to </w:t>
      </w:r>
      <w:r w:rsidR="00336189" w:rsidRPr="00845FB7">
        <w:rPr>
          <w:rFonts w:cstheme="majorBidi"/>
          <w:szCs w:val="20"/>
          <w:lang w:val="en-GB"/>
        </w:rPr>
        <w:t>P</w:t>
      </w:r>
      <w:r w:rsidRPr="00845FB7">
        <w:rPr>
          <w:rFonts w:cstheme="majorBidi"/>
          <w:szCs w:val="20"/>
          <w:lang w:val="en-GB"/>
        </w:rPr>
        <w:t xml:space="preserve">arties in implementing the Convention. </w:t>
      </w:r>
    </w:p>
    <w:p w14:paraId="551E6133" w14:textId="07B9B2C5" w:rsidR="00BA1053" w:rsidRPr="00845FB7" w:rsidRDefault="00BA1053" w:rsidP="00BA1053">
      <w:pPr>
        <w:pStyle w:val="Heading3"/>
        <w:rPr>
          <w:sz w:val="24"/>
          <w:lang w:val="en-GB"/>
        </w:rPr>
      </w:pPr>
      <w:r w:rsidRPr="00845FB7">
        <w:rPr>
          <w:sz w:val="24"/>
          <w:lang w:val="en-GB"/>
        </w:rPr>
        <w:t>Outcomes and activities</w:t>
      </w:r>
    </w:p>
    <w:p w14:paraId="0983C543" w14:textId="6A58E4D8" w:rsidR="00BA1053" w:rsidRPr="00845FB7" w:rsidRDefault="00BA1053" w:rsidP="00BD36F8">
      <w:pPr>
        <w:pStyle w:val="Heading2"/>
        <w:spacing w:before="120" w:after="120"/>
        <w:rPr>
          <w:rFonts w:cstheme="majorBidi"/>
          <w:sz w:val="28"/>
          <w:szCs w:val="28"/>
          <w:lang w:val="en-GB"/>
        </w:rPr>
      </w:pPr>
      <w:r w:rsidRPr="00845FB7">
        <w:rPr>
          <w:rFonts w:cstheme="majorBidi"/>
          <w:sz w:val="28"/>
          <w:szCs w:val="28"/>
          <w:lang w:val="en-GB"/>
        </w:rPr>
        <w:t>Component 5.1. Improvement in methods for mercury inventories</w:t>
      </w:r>
    </w:p>
    <w:p w14:paraId="1F3345C0" w14:textId="77777777" w:rsidR="00BA1053" w:rsidRPr="00845FB7" w:rsidRDefault="00BA1053" w:rsidP="00BD36F8">
      <w:pPr>
        <w:spacing w:before="240"/>
        <w:rPr>
          <w:rFonts w:cstheme="majorBidi"/>
          <w:b/>
          <w:bCs/>
          <w:szCs w:val="20"/>
          <w:lang w:val="en-GB" w:eastAsia="en-GB"/>
        </w:rPr>
      </w:pPr>
      <w:r w:rsidRPr="00845FB7">
        <w:rPr>
          <w:rFonts w:cstheme="majorBidi"/>
          <w:b/>
          <w:bCs/>
          <w:lang w:val="en-GB" w:eastAsia="en-GB"/>
        </w:rPr>
        <w:t>OUTCOMES</w:t>
      </w:r>
    </w:p>
    <w:p w14:paraId="0D07A940" w14:textId="77777777" w:rsidR="00BA1053" w:rsidRPr="00845FB7" w:rsidRDefault="00BA1053" w:rsidP="00BD36F8">
      <w:pPr>
        <w:spacing w:after="60"/>
        <w:rPr>
          <w:rFonts w:cstheme="majorBidi"/>
          <w:szCs w:val="20"/>
          <w:lang w:val="en-GB" w:eastAsia="en-GB"/>
        </w:rPr>
      </w:pPr>
      <w:r w:rsidRPr="00845FB7">
        <w:rPr>
          <w:rFonts w:cstheme="majorBidi"/>
          <w:szCs w:val="20"/>
          <w:lang w:val="en-GB" w:eastAsia="en-GB"/>
        </w:rPr>
        <w:t>Parties are supported for developing inventories of mercury supply, stock, trade, use, emissions, releases and disposal.</w:t>
      </w:r>
    </w:p>
    <w:p w14:paraId="79F4AF33" w14:textId="77777777" w:rsidR="00BA1053" w:rsidRPr="00845FB7" w:rsidRDefault="00BA1053" w:rsidP="00BD36F8">
      <w:pPr>
        <w:spacing w:before="240"/>
        <w:rPr>
          <w:rFonts w:cstheme="majorBidi"/>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(subject to the availability of resources)</w:t>
      </w:r>
    </w:p>
    <w:p w14:paraId="3AF22526" w14:textId="6C1844D7" w:rsidR="00BA1053" w:rsidRPr="00845FB7" w:rsidRDefault="00BA1053"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Compile and disseminate information on statistical data, emission and release factors, technological assumptions and other technical information from various sources for the development of mercury inventories</w:t>
      </w:r>
      <w:r w:rsidR="0095477D" w:rsidRPr="00845FB7">
        <w:rPr>
          <w:rFonts w:cstheme="majorBidi"/>
          <w:szCs w:val="20"/>
          <w:lang w:val="en-GB" w:eastAsia="en-GB"/>
        </w:rPr>
        <w:t>;</w:t>
      </w:r>
    </w:p>
    <w:p w14:paraId="7687F2C0" w14:textId="3C77DDA7" w:rsidR="00BA1053" w:rsidRPr="00845FB7" w:rsidRDefault="00BA1053"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Keep under review the existing guidance and tools including the stocks guidance under Article 3, guidance </w:t>
      </w:r>
      <w:r w:rsidR="0066052C" w:rsidRPr="00845FB7">
        <w:rPr>
          <w:rFonts w:cstheme="majorBidi"/>
          <w:szCs w:val="20"/>
          <w:lang w:val="en-GB" w:eastAsia="en-GB"/>
        </w:rPr>
        <w:t xml:space="preserve">on ASGM national action plans </w:t>
      </w:r>
      <w:r w:rsidRPr="00845FB7">
        <w:rPr>
          <w:rFonts w:cstheme="majorBidi"/>
          <w:szCs w:val="20"/>
          <w:lang w:val="en-GB" w:eastAsia="en-GB"/>
        </w:rPr>
        <w:t xml:space="preserve">under </w:t>
      </w:r>
      <w:r w:rsidR="00DD1E0C" w:rsidRPr="00845FB7">
        <w:rPr>
          <w:rFonts w:cstheme="majorBidi"/>
          <w:szCs w:val="20"/>
          <w:lang w:val="en-GB" w:eastAsia="en-GB"/>
        </w:rPr>
        <w:t>A</w:t>
      </w:r>
      <w:r w:rsidRPr="00845FB7">
        <w:rPr>
          <w:rFonts w:cstheme="majorBidi"/>
          <w:szCs w:val="20"/>
          <w:lang w:val="en-GB" w:eastAsia="en-GB"/>
        </w:rPr>
        <w:t xml:space="preserve">rticle 7 and inventory guidance under </w:t>
      </w:r>
      <w:r w:rsidR="00DD1E0C" w:rsidRPr="00845FB7">
        <w:rPr>
          <w:rFonts w:cstheme="majorBidi"/>
          <w:szCs w:val="20"/>
          <w:lang w:val="en-GB" w:eastAsia="en-GB"/>
        </w:rPr>
        <w:t>A</w:t>
      </w:r>
      <w:r w:rsidRPr="00845FB7">
        <w:rPr>
          <w:rFonts w:cstheme="majorBidi"/>
          <w:szCs w:val="20"/>
          <w:lang w:val="en-GB" w:eastAsia="en-GB"/>
        </w:rPr>
        <w:t>rticles 8 and 9, and make available supplementary practical information on mercury inventories</w:t>
      </w:r>
      <w:r w:rsidR="0095477D" w:rsidRPr="00845FB7">
        <w:rPr>
          <w:rFonts w:cstheme="majorBidi"/>
          <w:szCs w:val="20"/>
          <w:lang w:val="en-GB" w:eastAsia="en-GB"/>
        </w:rPr>
        <w:t>;</w:t>
      </w:r>
    </w:p>
    <w:p w14:paraId="5878A8AF" w14:textId="77777777" w:rsidR="00BA1053" w:rsidRPr="00845FB7" w:rsidRDefault="00BA1053"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Convene online scientific and technical workshops on mercury inventories.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BA1053" w:rsidRPr="00845FB7" w14:paraId="6D5BE330" w14:textId="77777777" w:rsidTr="00E723F8">
        <w:tc>
          <w:tcPr>
            <w:tcW w:w="4508" w:type="dxa"/>
          </w:tcPr>
          <w:p w14:paraId="27EC2202" w14:textId="77777777"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6CBDBB7A" w14:textId="77777777" w:rsidR="00BA1053" w:rsidRPr="00845FB7" w:rsidRDefault="00BA1053"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Technical information supplementing the inventory guidance and tools available on the Convention website.</w:t>
            </w:r>
          </w:p>
        </w:tc>
        <w:tc>
          <w:tcPr>
            <w:tcW w:w="4508" w:type="dxa"/>
          </w:tcPr>
          <w:p w14:paraId="10A85EB6" w14:textId="68D17A47"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26462DE8" w14:textId="77777777" w:rsidR="00BA1053" w:rsidRPr="00845FB7" w:rsidRDefault="00BA1053"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Convention website.</w:t>
            </w:r>
          </w:p>
        </w:tc>
      </w:tr>
    </w:tbl>
    <w:p w14:paraId="79279455" w14:textId="120BB476" w:rsidR="00BA1053" w:rsidRPr="00845FB7" w:rsidRDefault="00BA1053" w:rsidP="00BD36F8">
      <w:pPr>
        <w:pStyle w:val="Heading2"/>
        <w:spacing w:before="360" w:after="120"/>
        <w:rPr>
          <w:rFonts w:cstheme="majorBidi"/>
          <w:sz w:val="28"/>
          <w:szCs w:val="28"/>
          <w:lang w:val="en-GB"/>
        </w:rPr>
      </w:pPr>
      <w:r w:rsidRPr="00845FB7">
        <w:rPr>
          <w:rFonts w:cstheme="majorBidi"/>
          <w:sz w:val="28"/>
          <w:szCs w:val="28"/>
          <w:lang w:val="en-GB"/>
        </w:rPr>
        <w:t>Component 5.2. Information exchange on modelling and monitoring</w:t>
      </w:r>
    </w:p>
    <w:p w14:paraId="7E72704B" w14:textId="77777777" w:rsidR="00BA1053" w:rsidRPr="00845FB7" w:rsidRDefault="00BA1053" w:rsidP="00BD36F8">
      <w:pPr>
        <w:spacing w:before="240"/>
        <w:rPr>
          <w:rFonts w:cstheme="majorBidi"/>
          <w:b/>
          <w:bCs/>
          <w:szCs w:val="20"/>
          <w:lang w:val="en-GB" w:eastAsia="en-GB"/>
        </w:rPr>
      </w:pPr>
      <w:r w:rsidRPr="00845FB7">
        <w:rPr>
          <w:rFonts w:cstheme="majorBidi"/>
          <w:b/>
          <w:bCs/>
          <w:lang w:val="en-GB" w:eastAsia="en-GB"/>
        </w:rPr>
        <w:t>OUTCOMES</w:t>
      </w:r>
    </w:p>
    <w:p w14:paraId="074AF159" w14:textId="77777777" w:rsidR="00BA1053" w:rsidRPr="00845FB7" w:rsidRDefault="00BA1053" w:rsidP="00BD36F8">
      <w:pPr>
        <w:spacing w:after="60"/>
        <w:rPr>
          <w:rFonts w:cstheme="majorBidi"/>
          <w:szCs w:val="20"/>
          <w:lang w:val="en-GB" w:eastAsia="en-GB"/>
        </w:rPr>
      </w:pPr>
      <w:r w:rsidRPr="00845FB7">
        <w:rPr>
          <w:rFonts w:cstheme="majorBidi"/>
          <w:szCs w:val="20"/>
          <w:lang w:val="en-GB" w:eastAsia="en-GB"/>
        </w:rPr>
        <w:t>Parties share information on the presence and movement of mercury in the environment and human populations obtained through monitoring and modelling.</w:t>
      </w:r>
    </w:p>
    <w:p w14:paraId="61199FCC" w14:textId="77777777" w:rsidR="00BA1053" w:rsidRPr="00845FB7" w:rsidRDefault="00BA1053" w:rsidP="00BD36F8">
      <w:pPr>
        <w:spacing w:before="240"/>
        <w:rPr>
          <w:rFonts w:cstheme="majorBidi"/>
          <w:szCs w:val="20"/>
          <w:lang w:val="en-GB" w:eastAsia="en-GB"/>
        </w:rPr>
      </w:pPr>
      <w:r w:rsidRPr="00845FB7">
        <w:rPr>
          <w:rFonts w:cstheme="majorBidi"/>
          <w:b/>
          <w:bCs/>
          <w:lang w:val="en-GB" w:eastAsia="en-GB"/>
        </w:rPr>
        <w:lastRenderedPageBreak/>
        <w:t>ACTIVITIES</w:t>
      </w:r>
      <w:r w:rsidRPr="00845FB7">
        <w:rPr>
          <w:rFonts w:cstheme="majorBidi"/>
          <w:b/>
          <w:bCs/>
          <w:szCs w:val="20"/>
          <w:lang w:val="en-GB" w:eastAsia="en-GB"/>
        </w:rPr>
        <w:t xml:space="preserve"> </w:t>
      </w:r>
      <w:r w:rsidRPr="00845FB7">
        <w:rPr>
          <w:rFonts w:cstheme="majorBidi"/>
          <w:szCs w:val="20"/>
          <w:lang w:val="en-GB" w:eastAsia="en-GB"/>
        </w:rPr>
        <w:t>(subject to the availability of resources)</w:t>
      </w:r>
    </w:p>
    <w:p w14:paraId="2F14455A" w14:textId="3AEC5F8B" w:rsidR="00BA1053" w:rsidRPr="00845FB7" w:rsidRDefault="00BA1053"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Compile and disseminate information on global, regional, national and local monitoring of mercury</w:t>
      </w:r>
      <w:r w:rsidR="0095477D" w:rsidRPr="00845FB7">
        <w:rPr>
          <w:rFonts w:cstheme="majorBidi"/>
          <w:szCs w:val="20"/>
          <w:lang w:val="en-GB" w:eastAsia="en-GB"/>
        </w:rPr>
        <w:t>;</w:t>
      </w:r>
    </w:p>
    <w:p w14:paraId="37B56B48" w14:textId="6694E30A" w:rsidR="00BA1053" w:rsidRPr="00845FB7" w:rsidRDefault="00BA1053"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Compile and disseminate information on the modelling of the movement of mercury in the environment and human and ecological exposure to it</w:t>
      </w:r>
      <w:r w:rsidR="0095477D" w:rsidRPr="00845FB7">
        <w:rPr>
          <w:rFonts w:cstheme="majorBidi"/>
          <w:szCs w:val="20"/>
          <w:lang w:val="en-GB" w:eastAsia="en-GB"/>
        </w:rPr>
        <w:t>;</w:t>
      </w:r>
    </w:p>
    <w:p w14:paraId="46E5BAE3" w14:textId="63707FFE" w:rsidR="000B48F6" w:rsidRPr="00845FB7" w:rsidRDefault="000B48F6"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Contribute to monitoring efforts </w:t>
      </w:r>
      <w:r w:rsidR="008E46DC" w:rsidRPr="00845FB7">
        <w:rPr>
          <w:rFonts w:cstheme="majorBidi"/>
          <w:szCs w:val="20"/>
          <w:lang w:val="en-GB" w:eastAsia="en-GB"/>
        </w:rPr>
        <w:t xml:space="preserve">and monitoring framework including indicators </w:t>
      </w:r>
      <w:r w:rsidRPr="00845FB7">
        <w:rPr>
          <w:rFonts w:cstheme="majorBidi"/>
          <w:szCs w:val="20"/>
          <w:lang w:val="en-GB" w:eastAsia="en-GB"/>
        </w:rPr>
        <w:t>under the Kunming-Montreal Global Biodiversity Framework</w:t>
      </w:r>
      <w:r w:rsidR="00215940" w:rsidRPr="00845FB7">
        <w:rPr>
          <w:rFonts w:cstheme="majorBidi"/>
          <w:szCs w:val="20"/>
          <w:lang w:val="en-GB" w:eastAsia="en-GB"/>
        </w:rPr>
        <w:t xml:space="preserve">, </w:t>
      </w:r>
      <w:proofErr w:type="gramStart"/>
      <w:r w:rsidR="00215940" w:rsidRPr="00845FB7">
        <w:rPr>
          <w:rFonts w:cstheme="majorBidi"/>
          <w:szCs w:val="20"/>
          <w:lang w:val="en-GB" w:eastAsia="en-GB"/>
        </w:rPr>
        <w:t>in particular under</w:t>
      </w:r>
      <w:proofErr w:type="gramEnd"/>
      <w:r w:rsidR="00215940" w:rsidRPr="00845FB7">
        <w:rPr>
          <w:rFonts w:cstheme="majorBidi"/>
          <w:szCs w:val="20"/>
          <w:lang w:val="en-GB" w:eastAsia="en-GB"/>
        </w:rPr>
        <w:t xml:space="preserve"> its Target 7.</w:t>
      </w:r>
    </w:p>
    <w:p w14:paraId="45E17DFA" w14:textId="77777777" w:rsidR="00BA1053" w:rsidRPr="00845FB7" w:rsidRDefault="00BA1053"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Convene online scientific and technical workshops on mercury monitoring and modelling.</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BA1053" w:rsidRPr="00845FB7" w14:paraId="4813BDDE" w14:textId="77777777" w:rsidTr="00E723F8">
        <w:tc>
          <w:tcPr>
            <w:tcW w:w="4508" w:type="dxa"/>
          </w:tcPr>
          <w:p w14:paraId="0C6DF36B" w14:textId="17AD6342"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71200524" w14:textId="77777777" w:rsidR="00BA1053" w:rsidRPr="00845FB7" w:rsidRDefault="00BA1053" w:rsidP="00BD36F8">
            <w:pPr>
              <w:pStyle w:val="ListParagraph"/>
              <w:numPr>
                <w:ilvl w:val="0"/>
                <w:numId w:val="5"/>
              </w:numPr>
              <w:spacing w:after="60"/>
              <w:ind w:left="714" w:hanging="357"/>
              <w:contextualSpacing w:val="0"/>
              <w:rPr>
                <w:rFonts w:cstheme="majorBidi"/>
                <w:b/>
                <w:bCs/>
                <w:szCs w:val="20"/>
                <w:lang w:val="en-GB" w:eastAsia="en-GB"/>
              </w:rPr>
            </w:pPr>
            <w:r w:rsidRPr="00845FB7">
              <w:rPr>
                <w:rFonts w:cstheme="majorBidi"/>
                <w:szCs w:val="20"/>
                <w:lang w:val="en-GB" w:eastAsia="en-GB"/>
              </w:rPr>
              <w:t>Scientific information on mercury monitoring and modelling available on the Convention website.</w:t>
            </w:r>
          </w:p>
        </w:tc>
        <w:tc>
          <w:tcPr>
            <w:tcW w:w="4508" w:type="dxa"/>
          </w:tcPr>
          <w:p w14:paraId="5D70D047" w14:textId="23EC2CCE"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4BF31905" w14:textId="77777777" w:rsidR="00BA1053" w:rsidRPr="00845FB7" w:rsidRDefault="00BA1053"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Convention website.</w:t>
            </w:r>
          </w:p>
        </w:tc>
      </w:tr>
    </w:tbl>
    <w:p w14:paraId="3867BA73" w14:textId="367FB281" w:rsidR="00BA1053" w:rsidRPr="00845FB7" w:rsidRDefault="00BA1053" w:rsidP="00BD36F8">
      <w:pPr>
        <w:pStyle w:val="Heading2"/>
        <w:spacing w:before="360" w:after="120"/>
        <w:jc w:val="left"/>
        <w:rPr>
          <w:rFonts w:cstheme="majorBidi"/>
          <w:sz w:val="28"/>
          <w:szCs w:val="28"/>
          <w:lang w:val="en-GB"/>
        </w:rPr>
      </w:pPr>
      <w:r w:rsidRPr="00845FB7">
        <w:rPr>
          <w:rFonts w:cstheme="majorBidi"/>
          <w:sz w:val="28"/>
          <w:szCs w:val="28"/>
          <w:lang w:val="en-GB"/>
        </w:rPr>
        <w:t>Component 5.3. Assessment of health, environmental and socio-economic impact of mercury</w:t>
      </w:r>
    </w:p>
    <w:p w14:paraId="7E68AE95" w14:textId="77777777" w:rsidR="00BA1053" w:rsidRPr="00845FB7" w:rsidRDefault="00BA1053" w:rsidP="00BD36F8">
      <w:pPr>
        <w:spacing w:before="240"/>
        <w:rPr>
          <w:rFonts w:cstheme="majorBidi"/>
          <w:b/>
          <w:bCs/>
          <w:szCs w:val="20"/>
          <w:lang w:val="en-GB" w:eastAsia="en-GB"/>
        </w:rPr>
      </w:pPr>
      <w:r w:rsidRPr="00845FB7">
        <w:rPr>
          <w:rFonts w:cstheme="majorBidi"/>
          <w:b/>
          <w:bCs/>
          <w:lang w:val="en-GB" w:eastAsia="en-GB"/>
        </w:rPr>
        <w:t>OUTCOMES</w:t>
      </w:r>
    </w:p>
    <w:p w14:paraId="10FE7E0C" w14:textId="454AC876" w:rsidR="00BA1053" w:rsidRPr="00845FB7" w:rsidRDefault="00BA1053" w:rsidP="00BD36F8">
      <w:pPr>
        <w:spacing w:after="60"/>
        <w:rPr>
          <w:rFonts w:cstheme="majorBidi"/>
          <w:szCs w:val="20"/>
          <w:lang w:val="en-GB" w:eastAsia="en-GB"/>
        </w:rPr>
      </w:pPr>
      <w:r w:rsidRPr="00845FB7">
        <w:rPr>
          <w:rFonts w:cstheme="majorBidi"/>
          <w:szCs w:val="20"/>
          <w:lang w:val="en-GB" w:eastAsia="en-GB"/>
        </w:rPr>
        <w:t>Parties share the scientific understanding on the health, environmental and socio-economic impact of mercury.</w:t>
      </w:r>
    </w:p>
    <w:p w14:paraId="21766A4A" w14:textId="6CE6C110" w:rsidR="004E1E29" w:rsidRPr="00845FB7" w:rsidRDefault="004E1E29" w:rsidP="00BD36F8">
      <w:pPr>
        <w:spacing w:after="60"/>
        <w:rPr>
          <w:rFonts w:cstheme="majorBidi"/>
          <w:szCs w:val="20"/>
          <w:lang w:val="en-GB" w:eastAsia="en-GB"/>
        </w:rPr>
      </w:pPr>
      <w:r w:rsidRPr="00845FB7">
        <w:rPr>
          <w:rFonts w:cstheme="majorBidi"/>
          <w:szCs w:val="20"/>
          <w:lang w:val="en-GB" w:eastAsia="en-GB"/>
        </w:rPr>
        <w:t xml:space="preserve">Parties are supported </w:t>
      </w:r>
      <w:r w:rsidR="00BA0C54" w:rsidRPr="00845FB7">
        <w:rPr>
          <w:rFonts w:cstheme="majorBidi"/>
          <w:szCs w:val="20"/>
          <w:lang w:val="en-GB" w:eastAsia="en-GB"/>
        </w:rPr>
        <w:t xml:space="preserve">in the </w:t>
      </w:r>
      <w:r w:rsidR="004012DA" w:rsidRPr="00845FB7">
        <w:rPr>
          <w:rFonts w:cstheme="majorBidi"/>
          <w:szCs w:val="20"/>
          <w:lang w:val="en-GB" w:eastAsia="en-GB"/>
        </w:rPr>
        <w:t xml:space="preserve">effective engagement and participation of </w:t>
      </w:r>
      <w:r w:rsidR="006549A8">
        <w:rPr>
          <w:rFonts w:cstheme="majorBidi"/>
          <w:szCs w:val="20"/>
          <w:lang w:val="en-GB" w:eastAsia="en-GB"/>
        </w:rPr>
        <w:t>I</w:t>
      </w:r>
      <w:r w:rsidR="004012DA" w:rsidRPr="00845FB7">
        <w:rPr>
          <w:rFonts w:cstheme="majorBidi"/>
          <w:szCs w:val="20"/>
          <w:lang w:val="en-GB" w:eastAsia="en-GB"/>
        </w:rPr>
        <w:t xml:space="preserve">ndigenous </w:t>
      </w:r>
      <w:r w:rsidR="006549A8">
        <w:rPr>
          <w:rFonts w:cstheme="majorBidi"/>
          <w:szCs w:val="20"/>
          <w:lang w:val="en-GB" w:eastAsia="en-GB"/>
        </w:rPr>
        <w:t>P</w:t>
      </w:r>
      <w:r w:rsidR="004012DA" w:rsidRPr="00845FB7">
        <w:rPr>
          <w:rFonts w:cstheme="majorBidi"/>
          <w:szCs w:val="20"/>
          <w:lang w:val="en-GB" w:eastAsia="en-GB"/>
        </w:rPr>
        <w:t>eoples</w:t>
      </w:r>
      <w:r w:rsidR="00C64C9C">
        <w:rPr>
          <w:rFonts w:cstheme="majorBidi"/>
          <w:szCs w:val="20"/>
          <w:lang w:val="en-GB" w:eastAsia="en-GB"/>
        </w:rPr>
        <w:t xml:space="preserve"> and of</w:t>
      </w:r>
      <w:r w:rsidR="004012DA" w:rsidRPr="00845FB7">
        <w:rPr>
          <w:rFonts w:cstheme="majorBidi"/>
          <w:szCs w:val="20"/>
          <w:lang w:val="en-GB" w:eastAsia="en-GB"/>
        </w:rPr>
        <w:t xml:space="preserve"> local communities </w:t>
      </w:r>
      <w:r w:rsidR="00605D11">
        <w:rPr>
          <w:rFonts w:cstheme="majorBidi"/>
          <w:szCs w:val="20"/>
          <w:lang w:val="en-GB" w:eastAsia="en-GB"/>
        </w:rPr>
        <w:t xml:space="preserve">and </w:t>
      </w:r>
      <w:proofErr w:type="gramStart"/>
      <w:r w:rsidR="00FB616F" w:rsidRPr="00845FB7">
        <w:rPr>
          <w:rFonts w:cstheme="majorBidi"/>
          <w:szCs w:val="20"/>
          <w:lang w:val="en-GB" w:eastAsia="en-GB"/>
        </w:rPr>
        <w:t xml:space="preserve">in </w:t>
      </w:r>
      <w:r w:rsidR="00B0203D">
        <w:rPr>
          <w:rFonts w:cstheme="majorBidi"/>
          <w:szCs w:val="20"/>
          <w:lang w:val="en-GB" w:eastAsia="en-GB"/>
        </w:rPr>
        <w:t xml:space="preserve"> identifying</w:t>
      </w:r>
      <w:proofErr w:type="gramEnd"/>
      <w:r w:rsidR="00B0203D">
        <w:rPr>
          <w:rFonts w:cstheme="majorBidi"/>
          <w:szCs w:val="20"/>
          <w:lang w:val="en-GB" w:eastAsia="en-GB"/>
        </w:rPr>
        <w:t xml:space="preserve"> possible solutions to the </w:t>
      </w:r>
      <w:r w:rsidR="0099724F">
        <w:rPr>
          <w:rFonts w:cstheme="majorBidi"/>
          <w:szCs w:val="20"/>
          <w:lang w:val="en-GB" w:eastAsia="en-GB"/>
        </w:rPr>
        <w:t>effects of mercury on their health, livelihoods, culture and knowledge</w:t>
      </w:r>
      <w:r w:rsidR="00FB616F" w:rsidRPr="00845FB7">
        <w:rPr>
          <w:rFonts w:cstheme="majorBidi"/>
          <w:szCs w:val="20"/>
          <w:lang w:val="en-GB" w:eastAsia="en-GB"/>
        </w:rPr>
        <w:t>.</w:t>
      </w:r>
    </w:p>
    <w:p w14:paraId="0E3645D7" w14:textId="77777777" w:rsidR="00BA1053" w:rsidRPr="00845FB7" w:rsidRDefault="00BA1053" w:rsidP="00BD36F8">
      <w:pPr>
        <w:spacing w:before="240"/>
        <w:rPr>
          <w:rFonts w:cstheme="majorBidi"/>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(subject to the availability of resources)</w:t>
      </w:r>
    </w:p>
    <w:p w14:paraId="5321F46A" w14:textId="234EB6A3" w:rsidR="00BA1053" w:rsidRPr="00845FB7" w:rsidRDefault="00BA1053"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 xml:space="preserve">Compile and disseminate information on the human, environmental and socio-economic </w:t>
      </w:r>
      <w:r w:rsidR="00A453F9" w:rsidRPr="00845FB7">
        <w:rPr>
          <w:rFonts w:cstheme="majorBidi"/>
          <w:szCs w:val="20"/>
          <w:lang w:val="en-GB" w:eastAsia="en-GB"/>
        </w:rPr>
        <w:t>impact of</w:t>
      </w:r>
      <w:r w:rsidRPr="00845FB7">
        <w:rPr>
          <w:rFonts w:cstheme="majorBidi"/>
          <w:szCs w:val="20"/>
          <w:lang w:val="en-GB" w:eastAsia="en-GB"/>
        </w:rPr>
        <w:t xml:space="preserve"> mercury in the environment, exposure and risk assessment and public health measures</w:t>
      </w:r>
      <w:r w:rsidR="008B3A0F" w:rsidRPr="00845FB7">
        <w:rPr>
          <w:rFonts w:cstheme="majorBidi"/>
          <w:szCs w:val="20"/>
          <w:lang w:val="en-GB" w:eastAsia="en-GB"/>
        </w:rPr>
        <w:t>;</w:t>
      </w:r>
    </w:p>
    <w:p w14:paraId="1B2DC8C8" w14:textId="52C4D519" w:rsidR="00BA1053" w:rsidRPr="00845FB7" w:rsidRDefault="00BA1053" w:rsidP="00BD36F8">
      <w:pPr>
        <w:pStyle w:val="ListParagraph"/>
        <w:numPr>
          <w:ilvl w:val="0"/>
          <w:numId w:val="3"/>
        </w:numPr>
        <w:spacing w:after="60"/>
        <w:ind w:left="714" w:hanging="357"/>
        <w:contextualSpacing w:val="0"/>
        <w:rPr>
          <w:rFonts w:cstheme="majorBidi"/>
          <w:szCs w:val="20"/>
          <w:lang w:val="en-GB"/>
        </w:rPr>
      </w:pPr>
      <w:r w:rsidRPr="00845FB7">
        <w:rPr>
          <w:rFonts w:cstheme="majorBidi"/>
          <w:szCs w:val="20"/>
          <w:lang w:val="en-GB" w:eastAsia="en-GB"/>
        </w:rPr>
        <w:t>Convene online scientific and technical workshops on health and environmental risk of mercury</w:t>
      </w:r>
      <w:r w:rsidR="008B3A0F" w:rsidRPr="00845FB7">
        <w:rPr>
          <w:rFonts w:cstheme="majorBidi"/>
          <w:szCs w:val="20"/>
          <w:lang w:val="en-GB" w:eastAsia="en-GB"/>
        </w:rPr>
        <w:t>;</w:t>
      </w:r>
    </w:p>
    <w:p w14:paraId="41A05975" w14:textId="56452892" w:rsidR="002E7F24" w:rsidRPr="00845FB7" w:rsidRDefault="00D367BF" w:rsidP="00473AE7">
      <w:pPr>
        <w:pStyle w:val="ListParagraph"/>
        <w:numPr>
          <w:ilvl w:val="0"/>
          <w:numId w:val="3"/>
        </w:numPr>
        <w:spacing w:after="60"/>
        <w:ind w:left="714" w:hanging="357"/>
        <w:contextualSpacing w:val="0"/>
        <w:rPr>
          <w:rStyle w:val="normaltextrun"/>
          <w:rFonts w:cstheme="majorBidi"/>
          <w:szCs w:val="20"/>
          <w:lang w:val="en-GB"/>
        </w:rPr>
      </w:pPr>
      <w:r w:rsidRPr="00845FB7">
        <w:rPr>
          <w:rStyle w:val="normaltextrun"/>
          <w:szCs w:val="20"/>
          <w:lang w:val="en-GB"/>
        </w:rPr>
        <w:t xml:space="preserve">Gather </w:t>
      </w:r>
      <w:r w:rsidR="00D27998" w:rsidRPr="00845FB7">
        <w:rPr>
          <w:rStyle w:val="normaltextrun"/>
          <w:szCs w:val="20"/>
          <w:lang w:val="en-GB"/>
        </w:rPr>
        <w:t xml:space="preserve">further </w:t>
      </w:r>
      <w:r w:rsidRPr="00845FB7">
        <w:rPr>
          <w:rStyle w:val="normaltextrun"/>
          <w:szCs w:val="20"/>
          <w:lang w:val="en-GB"/>
        </w:rPr>
        <w:t xml:space="preserve">knowledge </w:t>
      </w:r>
      <w:proofErr w:type="gramStart"/>
      <w:r w:rsidR="002E7F24" w:rsidRPr="00845FB7">
        <w:rPr>
          <w:rStyle w:val="normaltextrun"/>
          <w:szCs w:val="20"/>
          <w:lang w:val="en-GB"/>
        </w:rPr>
        <w:t>with regard to</w:t>
      </w:r>
      <w:proofErr w:type="gramEnd"/>
      <w:r w:rsidR="002E7F24" w:rsidRPr="00845FB7">
        <w:rPr>
          <w:rStyle w:val="normaltextrun"/>
          <w:szCs w:val="20"/>
          <w:lang w:val="en-GB"/>
        </w:rPr>
        <w:t xml:space="preserve"> the needs and priorities</w:t>
      </w:r>
      <w:r w:rsidRPr="00845FB7">
        <w:rPr>
          <w:rStyle w:val="normaltextrun"/>
          <w:szCs w:val="20"/>
          <w:lang w:val="en-GB"/>
        </w:rPr>
        <w:t xml:space="preserve"> of Indigenous Peoples and </w:t>
      </w:r>
      <w:r w:rsidR="009C6CE3">
        <w:rPr>
          <w:rStyle w:val="normaltextrun"/>
          <w:szCs w:val="20"/>
          <w:lang w:val="en-GB"/>
        </w:rPr>
        <w:t>of</w:t>
      </w:r>
      <w:r w:rsidR="009C6CE3" w:rsidRPr="00845FB7">
        <w:rPr>
          <w:rStyle w:val="normaltextrun"/>
          <w:szCs w:val="20"/>
          <w:lang w:val="en-GB"/>
        </w:rPr>
        <w:t xml:space="preserve"> </w:t>
      </w:r>
      <w:r w:rsidRPr="00845FB7">
        <w:rPr>
          <w:rStyle w:val="normaltextrun"/>
          <w:szCs w:val="20"/>
          <w:lang w:val="en-GB"/>
        </w:rPr>
        <w:t>local communities</w:t>
      </w:r>
      <w:r w:rsidR="00473AE7">
        <w:rPr>
          <w:rStyle w:val="normaltextrun"/>
          <w:szCs w:val="20"/>
          <w:lang w:val="en-GB"/>
        </w:rPr>
        <w:t xml:space="preserve">, </w:t>
      </w:r>
      <w:r w:rsidR="00473AE7" w:rsidRPr="00473AE7">
        <w:rPr>
          <w:szCs w:val="20"/>
          <w:lang w:val="en-GB"/>
        </w:rPr>
        <w:t>with regard to the effects of mercury</w:t>
      </w:r>
      <w:r w:rsidR="002E7F24" w:rsidRPr="00845FB7">
        <w:rPr>
          <w:rStyle w:val="normaltextrun"/>
          <w:szCs w:val="20"/>
          <w:lang w:val="en-GB"/>
        </w:rPr>
        <w:t xml:space="preserve"> </w:t>
      </w:r>
      <w:r w:rsidR="00AA46F9" w:rsidRPr="00AA46F9">
        <w:rPr>
          <w:rStyle w:val="normaltextrun"/>
          <w:szCs w:val="20"/>
          <w:lang w:val="en-GB"/>
        </w:rPr>
        <w:t>on their health, livelihoods, culture and knowledge</w:t>
      </w:r>
      <w:r w:rsidR="009C6CE3">
        <w:rPr>
          <w:rStyle w:val="normaltextrun"/>
          <w:szCs w:val="20"/>
          <w:lang w:val="en-GB"/>
        </w:rPr>
        <w:t>,</w:t>
      </w:r>
      <w:r w:rsidR="002948BA">
        <w:rPr>
          <w:rStyle w:val="normaltextrun"/>
          <w:szCs w:val="20"/>
          <w:lang w:val="en-GB"/>
        </w:rPr>
        <w:t xml:space="preserve"> with a view </w:t>
      </w:r>
      <w:r w:rsidR="005878CD">
        <w:rPr>
          <w:rStyle w:val="normaltextrun"/>
          <w:szCs w:val="20"/>
          <w:lang w:val="en-GB"/>
        </w:rPr>
        <w:t>to future work on identifying possible solutions</w:t>
      </w:r>
      <w:r w:rsidR="001D58FB" w:rsidRPr="00845FB7">
        <w:rPr>
          <w:rStyle w:val="normaltextrun"/>
          <w:szCs w:val="20"/>
          <w:lang w:val="en-GB"/>
        </w:rPr>
        <w:t>;</w:t>
      </w:r>
    </w:p>
    <w:p w14:paraId="64D7A4E1" w14:textId="21053B2E" w:rsidR="00215940" w:rsidRPr="00845FB7" w:rsidRDefault="00215940" w:rsidP="00BD36F8">
      <w:pPr>
        <w:pStyle w:val="ListParagraph"/>
        <w:numPr>
          <w:ilvl w:val="0"/>
          <w:numId w:val="3"/>
        </w:numPr>
        <w:spacing w:after="60"/>
        <w:ind w:left="714" w:hanging="357"/>
        <w:contextualSpacing w:val="0"/>
        <w:rPr>
          <w:rStyle w:val="normaltextrun"/>
          <w:lang w:val="en-GB"/>
        </w:rPr>
      </w:pPr>
      <w:r w:rsidRPr="00845FB7">
        <w:rPr>
          <w:rStyle w:val="normaltextrun"/>
          <w:szCs w:val="20"/>
          <w:lang w:val="en-GB"/>
        </w:rPr>
        <w:t>Support and carry out studies on the impact</w:t>
      </w:r>
      <w:r w:rsidR="00084C35" w:rsidRPr="00845FB7">
        <w:rPr>
          <w:rStyle w:val="normaltextrun"/>
          <w:szCs w:val="20"/>
          <w:lang w:val="en-GB"/>
        </w:rPr>
        <w:t>s</w:t>
      </w:r>
      <w:r w:rsidRPr="00845FB7">
        <w:rPr>
          <w:rStyle w:val="normaltextrun"/>
          <w:szCs w:val="20"/>
          <w:lang w:val="en-GB"/>
        </w:rPr>
        <w:t xml:space="preserve"> of mercury pollution on </w:t>
      </w:r>
      <w:r w:rsidR="00084C35" w:rsidRPr="00845FB7">
        <w:rPr>
          <w:rStyle w:val="normaltextrun"/>
          <w:szCs w:val="20"/>
          <w:lang w:val="en-GB"/>
        </w:rPr>
        <w:t>ecosystems</w:t>
      </w:r>
      <w:r w:rsidR="001D58FB" w:rsidRPr="00845FB7">
        <w:rPr>
          <w:rStyle w:val="normaltextrun"/>
          <w:szCs w:val="20"/>
          <w:lang w:val="en-GB"/>
        </w:rPr>
        <w:t>, and on Indigenous Peoples and on local communities;</w:t>
      </w:r>
      <w:r w:rsidR="00084C35" w:rsidRPr="00845FB7">
        <w:rPr>
          <w:rStyle w:val="normaltextrun"/>
          <w:szCs w:val="20"/>
          <w:lang w:val="en-GB"/>
        </w:rPr>
        <w:t xml:space="preserve"> </w:t>
      </w:r>
    </w:p>
    <w:p w14:paraId="3453B62D" w14:textId="77777777" w:rsidR="00DB6D77" w:rsidRPr="00845FB7" w:rsidRDefault="00DB6D77" w:rsidP="00DB6D77">
      <w:pPr>
        <w:pStyle w:val="ListParagraph"/>
        <w:numPr>
          <w:ilvl w:val="0"/>
          <w:numId w:val="3"/>
        </w:numPr>
        <w:spacing w:after="60"/>
        <w:ind w:left="714" w:hanging="357"/>
        <w:contextualSpacing w:val="0"/>
        <w:rPr>
          <w:rFonts w:cstheme="majorBidi"/>
          <w:szCs w:val="20"/>
          <w:lang w:val="en-GB"/>
        </w:rPr>
      </w:pPr>
      <w:r w:rsidRPr="00845FB7">
        <w:rPr>
          <w:rFonts w:cstheme="majorBidi"/>
          <w:szCs w:val="20"/>
          <w:lang w:val="en-GB" w:eastAsia="en-GB"/>
        </w:rPr>
        <w:t>Collaborate with International Panel on Biodiversity and Ecosystem Services (IPBES) with regard its future assessments on pollution and biodiversity;</w:t>
      </w:r>
    </w:p>
    <w:p w14:paraId="5747CF14" w14:textId="7CA777B0" w:rsidR="007D19AB" w:rsidRPr="00845FB7" w:rsidRDefault="009E3D5B" w:rsidP="00BD36F8">
      <w:pPr>
        <w:pStyle w:val="ListParagraph"/>
        <w:numPr>
          <w:ilvl w:val="0"/>
          <w:numId w:val="3"/>
        </w:numPr>
        <w:spacing w:after="60"/>
        <w:ind w:left="714" w:hanging="357"/>
        <w:contextualSpacing w:val="0"/>
        <w:rPr>
          <w:rFonts w:cstheme="majorBidi"/>
          <w:szCs w:val="20"/>
          <w:lang w:val="en-GB"/>
        </w:rPr>
      </w:pPr>
      <w:r w:rsidRPr="00845FB7">
        <w:rPr>
          <w:rFonts w:cstheme="majorBidi"/>
          <w:szCs w:val="20"/>
          <w:lang w:val="en-GB"/>
        </w:rPr>
        <w:t xml:space="preserve">Support efforts to raise awareness among </w:t>
      </w:r>
      <w:r w:rsidR="005F5DF9" w:rsidRPr="00845FB7">
        <w:rPr>
          <w:rFonts w:cstheme="majorBidi"/>
          <w:szCs w:val="20"/>
          <w:lang w:val="en-GB"/>
        </w:rPr>
        <w:t>I</w:t>
      </w:r>
      <w:r w:rsidR="001D58FB" w:rsidRPr="00845FB7">
        <w:rPr>
          <w:rFonts w:cstheme="majorBidi"/>
          <w:szCs w:val="20"/>
          <w:lang w:val="en-GB"/>
        </w:rPr>
        <w:t>ndigenous Peoples, local communities</w:t>
      </w:r>
      <w:r w:rsidR="00B74DCE" w:rsidRPr="00845FB7">
        <w:rPr>
          <w:rFonts w:cstheme="majorBidi"/>
          <w:szCs w:val="20"/>
          <w:lang w:val="en-GB"/>
        </w:rPr>
        <w:t xml:space="preserve"> and other </w:t>
      </w:r>
      <w:proofErr w:type="gramStart"/>
      <w:r w:rsidR="00B74DCE" w:rsidRPr="00845FB7">
        <w:rPr>
          <w:rFonts w:cstheme="majorBidi"/>
          <w:szCs w:val="20"/>
          <w:lang w:val="en-GB"/>
        </w:rPr>
        <w:t>stakeholders</w:t>
      </w:r>
      <w:r w:rsidR="001D58FB" w:rsidRPr="00845FB7">
        <w:rPr>
          <w:rFonts w:cstheme="majorBidi"/>
          <w:szCs w:val="20"/>
          <w:lang w:val="en-GB"/>
        </w:rPr>
        <w:t xml:space="preserve"> </w:t>
      </w:r>
      <w:r w:rsidRPr="00845FB7">
        <w:rPr>
          <w:rFonts w:cstheme="majorBidi"/>
          <w:szCs w:val="20"/>
          <w:lang w:val="en-GB"/>
        </w:rPr>
        <w:t xml:space="preserve"> of</w:t>
      </w:r>
      <w:proofErr w:type="gramEnd"/>
      <w:r w:rsidRPr="00845FB7">
        <w:rPr>
          <w:rFonts w:cstheme="majorBidi"/>
          <w:szCs w:val="20"/>
          <w:lang w:val="en-GB"/>
        </w:rPr>
        <w:t xml:space="preserve"> the risks associated with mercury use in ASGM.</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5529"/>
        <w:gridCol w:w="3487"/>
      </w:tblGrid>
      <w:tr w:rsidR="00BA1053" w:rsidRPr="00845FB7" w14:paraId="2642F17C" w14:textId="77777777" w:rsidTr="00BD36F8">
        <w:tc>
          <w:tcPr>
            <w:tcW w:w="5529" w:type="dxa"/>
          </w:tcPr>
          <w:p w14:paraId="2E57C420" w14:textId="099F78AA"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766C19F6" w14:textId="45E4CBD4" w:rsidR="00BA1053" w:rsidRPr="00845FB7" w:rsidRDefault="00BA1053" w:rsidP="00BD36F8">
            <w:pPr>
              <w:pStyle w:val="ListParagraph"/>
              <w:numPr>
                <w:ilvl w:val="0"/>
                <w:numId w:val="5"/>
              </w:numPr>
              <w:spacing w:after="60"/>
              <w:ind w:left="714" w:hanging="357"/>
              <w:contextualSpacing w:val="0"/>
              <w:rPr>
                <w:rFonts w:cstheme="majorBidi"/>
                <w:b/>
                <w:bCs/>
                <w:szCs w:val="20"/>
                <w:lang w:val="en-GB" w:eastAsia="en-GB"/>
              </w:rPr>
            </w:pPr>
            <w:r w:rsidRPr="00845FB7">
              <w:rPr>
                <w:rFonts w:cstheme="majorBidi"/>
                <w:szCs w:val="20"/>
                <w:lang w:val="en-GB" w:eastAsia="en-GB"/>
              </w:rPr>
              <w:t>Scientific information on the health and environmental impact of mercury available on the Convention website.</w:t>
            </w:r>
          </w:p>
          <w:p w14:paraId="4FB736C1" w14:textId="112B5749" w:rsidR="00C23C11" w:rsidRPr="00845FB7" w:rsidRDefault="00C23C11"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lang w:val="en-GB" w:eastAsia="en-GB"/>
              </w:rPr>
              <w:t xml:space="preserve">Reports, recordings and other outcomes of activities to </w:t>
            </w:r>
            <w:r w:rsidR="00BC79A5" w:rsidRPr="00845FB7">
              <w:rPr>
                <w:rFonts w:cstheme="majorBidi"/>
                <w:lang w:val="en-GB" w:eastAsia="en-GB"/>
              </w:rPr>
              <w:t>engage I</w:t>
            </w:r>
            <w:r w:rsidR="001D58FB" w:rsidRPr="00845FB7">
              <w:rPr>
                <w:rFonts w:cstheme="majorBidi"/>
                <w:lang w:val="en-GB" w:eastAsia="en-GB"/>
              </w:rPr>
              <w:t xml:space="preserve">ndigenous Peoples </w:t>
            </w:r>
            <w:proofErr w:type="gramStart"/>
            <w:r w:rsidR="00BC79A5" w:rsidRPr="00845FB7">
              <w:rPr>
                <w:rFonts w:cstheme="majorBidi"/>
                <w:lang w:val="en-GB" w:eastAsia="en-GB"/>
              </w:rPr>
              <w:t xml:space="preserve">and </w:t>
            </w:r>
            <w:r w:rsidR="001D58FB" w:rsidRPr="00845FB7">
              <w:rPr>
                <w:rFonts w:cstheme="majorBidi"/>
                <w:lang w:val="en-GB" w:eastAsia="en-GB"/>
              </w:rPr>
              <w:t>also</w:t>
            </w:r>
            <w:proofErr w:type="gramEnd"/>
            <w:r w:rsidR="001D58FB" w:rsidRPr="00845FB7">
              <w:rPr>
                <w:rFonts w:cstheme="majorBidi"/>
                <w:lang w:val="en-GB" w:eastAsia="en-GB"/>
              </w:rPr>
              <w:t xml:space="preserve"> local communities</w:t>
            </w:r>
            <w:r w:rsidR="00BC79A5" w:rsidRPr="00845FB7">
              <w:rPr>
                <w:rFonts w:cstheme="majorBidi"/>
                <w:lang w:val="en-GB" w:eastAsia="en-GB"/>
              </w:rPr>
              <w:t xml:space="preserve"> </w:t>
            </w:r>
            <w:r w:rsidR="00281AB5" w:rsidRPr="00845FB7">
              <w:rPr>
                <w:rFonts w:cstheme="majorBidi"/>
                <w:lang w:val="en-GB" w:eastAsia="en-GB"/>
              </w:rPr>
              <w:t xml:space="preserve">with regard to their priorities </w:t>
            </w:r>
            <w:r w:rsidR="001E1DA3" w:rsidRPr="00845FB7">
              <w:rPr>
                <w:rFonts w:cstheme="majorBidi"/>
                <w:lang w:val="en-GB" w:eastAsia="en-GB"/>
              </w:rPr>
              <w:t>in relation to the use of mercury in ASGM</w:t>
            </w:r>
            <w:r w:rsidR="006C4351" w:rsidRPr="00845FB7">
              <w:rPr>
                <w:rFonts w:cstheme="majorBidi"/>
                <w:lang w:val="en-GB" w:eastAsia="en-GB"/>
              </w:rPr>
              <w:t>.</w:t>
            </w:r>
          </w:p>
          <w:p w14:paraId="75B093FE" w14:textId="055BE6EF" w:rsidR="006C4351" w:rsidRPr="00845FB7" w:rsidRDefault="009E30FB"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Awareness raising materials targeting I</w:t>
            </w:r>
            <w:r w:rsidR="001D58FB" w:rsidRPr="00845FB7">
              <w:rPr>
                <w:rFonts w:cstheme="majorBidi"/>
                <w:szCs w:val="20"/>
                <w:lang w:val="en-GB" w:eastAsia="en-GB"/>
              </w:rPr>
              <w:t xml:space="preserve">ndigenous Peoples, </w:t>
            </w:r>
            <w:r w:rsidR="00B74DCE" w:rsidRPr="00845FB7">
              <w:rPr>
                <w:rFonts w:cstheme="majorBidi"/>
                <w:szCs w:val="20"/>
                <w:lang w:val="en-GB" w:eastAsia="en-GB"/>
              </w:rPr>
              <w:t>loc</w:t>
            </w:r>
            <w:r w:rsidR="001D58FB" w:rsidRPr="00845FB7">
              <w:rPr>
                <w:rFonts w:cstheme="majorBidi"/>
                <w:szCs w:val="20"/>
                <w:lang w:val="en-GB" w:eastAsia="en-GB"/>
              </w:rPr>
              <w:t>al communities</w:t>
            </w:r>
            <w:r w:rsidR="00B74DCE" w:rsidRPr="00845FB7">
              <w:rPr>
                <w:rFonts w:cstheme="majorBidi"/>
                <w:szCs w:val="20"/>
                <w:lang w:val="en-GB" w:eastAsia="en-GB"/>
              </w:rPr>
              <w:t xml:space="preserve"> and other groups</w:t>
            </w:r>
            <w:r w:rsidR="001D58FB" w:rsidRPr="00845FB7">
              <w:rPr>
                <w:rFonts w:cstheme="majorBidi"/>
                <w:szCs w:val="20"/>
                <w:lang w:val="en-GB" w:eastAsia="en-GB"/>
              </w:rPr>
              <w:t xml:space="preserve"> </w:t>
            </w:r>
            <w:r w:rsidRPr="00845FB7">
              <w:rPr>
                <w:rFonts w:cstheme="majorBidi"/>
                <w:szCs w:val="20"/>
                <w:lang w:val="en-GB" w:eastAsia="en-GB"/>
              </w:rPr>
              <w:t>in relation to the use of mercury in ASGM.</w:t>
            </w:r>
          </w:p>
          <w:p w14:paraId="780BBA24" w14:textId="0E1EFF7D" w:rsidR="00BA1053" w:rsidRPr="00845FB7" w:rsidRDefault="00270508"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lastRenderedPageBreak/>
              <w:t>Publications on the impact of mercury on ecosystems</w:t>
            </w:r>
            <w:r w:rsidR="001D58FB" w:rsidRPr="00845FB7">
              <w:rPr>
                <w:rFonts w:cstheme="majorBidi"/>
                <w:szCs w:val="20"/>
                <w:lang w:val="en-GB" w:eastAsia="en-GB"/>
              </w:rPr>
              <w:t>, Indigenous Peoples and local communities</w:t>
            </w:r>
            <w:r w:rsidRPr="00845FB7">
              <w:rPr>
                <w:rFonts w:cstheme="majorBidi"/>
                <w:szCs w:val="20"/>
                <w:lang w:val="en-GB" w:eastAsia="en-GB"/>
              </w:rPr>
              <w:t>.</w:t>
            </w:r>
          </w:p>
        </w:tc>
        <w:tc>
          <w:tcPr>
            <w:tcW w:w="3487" w:type="dxa"/>
          </w:tcPr>
          <w:p w14:paraId="5A7F4002" w14:textId="706B87B0"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lastRenderedPageBreak/>
              <w:t xml:space="preserve">MEANS OF VERIFICATION </w:t>
            </w:r>
          </w:p>
          <w:p w14:paraId="5EC77E3E" w14:textId="77777777" w:rsidR="00BA1053" w:rsidRPr="00845FB7" w:rsidRDefault="00BA1053"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Convention website.</w:t>
            </w:r>
          </w:p>
        </w:tc>
      </w:tr>
    </w:tbl>
    <w:p w14:paraId="7136D72B" w14:textId="62917631" w:rsidR="00BA1053" w:rsidRPr="00845FB7" w:rsidRDefault="00BA1053" w:rsidP="00C70A9F">
      <w:pPr>
        <w:pStyle w:val="Heading2"/>
        <w:keepNext/>
        <w:spacing w:before="360" w:after="120"/>
        <w:rPr>
          <w:rFonts w:cstheme="majorBidi"/>
          <w:sz w:val="28"/>
          <w:szCs w:val="28"/>
          <w:lang w:val="en-GB"/>
        </w:rPr>
      </w:pPr>
      <w:r w:rsidRPr="00845FB7">
        <w:rPr>
          <w:rFonts w:cstheme="majorBidi"/>
          <w:sz w:val="28"/>
          <w:szCs w:val="28"/>
          <w:lang w:val="en-GB"/>
        </w:rPr>
        <w:t>Component 5.4. Information exchange in mercury reduction technologies</w:t>
      </w:r>
    </w:p>
    <w:p w14:paraId="5FE98481" w14:textId="77777777" w:rsidR="00BA1053" w:rsidRPr="00845FB7" w:rsidRDefault="00BA1053" w:rsidP="00BD36F8">
      <w:pPr>
        <w:spacing w:before="240"/>
        <w:rPr>
          <w:rFonts w:cstheme="majorBidi"/>
          <w:b/>
          <w:bCs/>
          <w:szCs w:val="20"/>
          <w:lang w:val="en-GB" w:eastAsia="en-GB"/>
        </w:rPr>
      </w:pPr>
      <w:r w:rsidRPr="00845FB7">
        <w:rPr>
          <w:rFonts w:cstheme="majorBidi"/>
          <w:b/>
          <w:bCs/>
          <w:lang w:val="en-GB" w:eastAsia="en-GB"/>
        </w:rPr>
        <w:t>OUTCOMES</w:t>
      </w:r>
    </w:p>
    <w:p w14:paraId="1C8D3AAF" w14:textId="77777777" w:rsidR="00BA1053" w:rsidRPr="00845FB7" w:rsidRDefault="00BA1053" w:rsidP="00BD36F8">
      <w:pPr>
        <w:spacing w:after="60"/>
        <w:rPr>
          <w:rFonts w:cstheme="majorBidi"/>
          <w:szCs w:val="20"/>
          <w:lang w:val="en-GB" w:eastAsia="en-GB"/>
        </w:rPr>
      </w:pPr>
      <w:r w:rsidRPr="00845FB7">
        <w:rPr>
          <w:rFonts w:cstheme="majorBidi"/>
          <w:szCs w:val="20"/>
          <w:lang w:val="en-GB" w:eastAsia="en-GB"/>
        </w:rPr>
        <w:t>Parties are supported with technologies to reduce and eliminate the use, emission and releases of mercury.</w:t>
      </w:r>
    </w:p>
    <w:p w14:paraId="7110FBAD" w14:textId="77777777" w:rsidR="00BA1053" w:rsidRPr="00845FB7" w:rsidRDefault="00BA1053" w:rsidP="00BD36F8">
      <w:pPr>
        <w:spacing w:before="240"/>
        <w:rPr>
          <w:rFonts w:cstheme="majorBidi"/>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(subject to the availability of resources)</w:t>
      </w:r>
    </w:p>
    <w:p w14:paraId="51CBCA13" w14:textId="7476DFDF" w:rsidR="00BA1053" w:rsidRPr="00845FB7" w:rsidRDefault="00BC39A3"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Collect and disseminate technical information on</w:t>
      </w:r>
      <w:r w:rsidR="00BA1053" w:rsidRPr="00845FB7">
        <w:rPr>
          <w:rFonts w:cstheme="majorBidi"/>
          <w:szCs w:val="20"/>
          <w:lang w:val="en-GB" w:eastAsia="en-GB"/>
        </w:rPr>
        <w:t xml:space="preserve"> non-mercury alternatives to products and processes using mercury</w:t>
      </w:r>
      <w:r w:rsidR="008B3A0F" w:rsidRPr="00845FB7">
        <w:rPr>
          <w:rFonts w:cstheme="majorBidi"/>
          <w:szCs w:val="20"/>
          <w:lang w:val="en-GB" w:eastAsia="en-GB"/>
        </w:rPr>
        <w:t>;</w:t>
      </w:r>
    </w:p>
    <w:p w14:paraId="1214259A" w14:textId="7148BED4" w:rsidR="00BA1053" w:rsidRPr="00845FB7" w:rsidRDefault="00047FA2"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 xml:space="preserve">Collect </w:t>
      </w:r>
      <w:r w:rsidR="00A334BF" w:rsidRPr="00845FB7">
        <w:rPr>
          <w:rFonts w:cstheme="majorBidi"/>
          <w:szCs w:val="20"/>
          <w:lang w:val="en-GB" w:eastAsia="en-GB"/>
        </w:rPr>
        <w:t xml:space="preserve">and disseminate </w:t>
      </w:r>
      <w:r w:rsidR="00183B71" w:rsidRPr="00845FB7">
        <w:rPr>
          <w:rFonts w:cstheme="majorBidi"/>
          <w:szCs w:val="20"/>
          <w:lang w:val="en-GB" w:eastAsia="en-GB"/>
        </w:rPr>
        <w:t xml:space="preserve">Parties’ experience in using </w:t>
      </w:r>
      <w:r w:rsidR="00BA1053" w:rsidRPr="00845FB7">
        <w:rPr>
          <w:rFonts w:cstheme="majorBidi"/>
          <w:szCs w:val="20"/>
          <w:lang w:val="en-GB" w:eastAsia="en-GB"/>
        </w:rPr>
        <w:t xml:space="preserve">the technical guidance to implement the Convention including the ASGM NAP guidance under </w:t>
      </w:r>
      <w:r w:rsidR="00DD1E0C" w:rsidRPr="00845FB7">
        <w:rPr>
          <w:rFonts w:cstheme="majorBidi"/>
          <w:szCs w:val="20"/>
          <w:lang w:val="en-GB" w:eastAsia="en-GB"/>
        </w:rPr>
        <w:t>A</w:t>
      </w:r>
      <w:r w:rsidR="00BA1053" w:rsidRPr="00845FB7">
        <w:rPr>
          <w:rFonts w:cstheme="majorBidi"/>
          <w:szCs w:val="20"/>
          <w:lang w:val="en-GB" w:eastAsia="en-GB"/>
        </w:rPr>
        <w:t>rticle 7, BAT/BEP guidance under Article</w:t>
      </w:r>
      <w:r w:rsidR="00F7421F" w:rsidRPr="00845FB7">
        <w:rPr>
          <w:rFonts w:cstheme="majorBidi"/>
          <w:szCs w:val="20"/>
          <w:lang w:val="en-GB" w:eastAsia="en-GB"/>
        </w:rPr>
        <w:t>s</w:t>
      </w:r>
      <w:r w:rsidR="00BA1053" w:rsidRPr="00845FB7">
        <w:rPr>
          <w:rFonts w:cstheme="majorBidi"/>
          <w:szCs w:val="20"/>
          <w:lang w:val="en-GB" w:eastAsia="en-GB"/>
        </w:rPr>
        <w:t xml:space="preserve"> 8</w:t>
      </w:r>
      <w:r w:rsidR="00F7421F" w:rsidRPr="00845FB7">
        <w:rPr>
          <w:rFonts w:cstheme="majorBidi"/>
          <w:szCs w:val="20"/>
          <w:lang w:val="en-GB" w:eastAsia="en-GB"/>
        </w:rPr>
        <w:t xml:space="preserve"> and 9</w:t>
      </w:r>
      <w:r w:rsidR="00BA1053" w:rsidRPr="00845FB7">
        <w:rPr>
          <w:rFonts w:cstheme="majorBidi"/>
          <w:szCs w:val="20"/>
          <w:lang w:val="en-GB" w:eastAsia="en-GB"/>
        </w:rPr>
        <w:t xml:space="preserve">, interim storage guidance under Article 10, contaminated site guidance under Article 12, </w:t>
      </w:r>
      <w:r w:rsidR="009B4257" w:rsidRPr="00845FB7">
        <w:rPr>
          <w:rFonts w:cstheme="majorBidi"/>
          <w:szCs w:val="20"/>
          <w:lang w:val="en-GB" w:eastAsia="en-GB"/>
        </w:rPr>
        <w:t xml:space="preserve">and update the guidance </w:t>
      </w:r>
      <w:r w:rsidR="00BA1053" w:rsidRPr="00845FB7">
        <w:rPr>
          <w:rFonts w:cstheme="majorBidi"/>
          <w:szCs w:val="20"/>
          <w:lang w:val="en-GB" w:eastAsia="en-GB"/>
        </w:rPr>
        <w:t>as new knowledge becomes available</w:t>
      </w:r>
      <w:r w:rsidR="008B3A0F" w:rsidRPr="00845FB7">
        <w:rPr>
          <w:rFonts w:cstheme="majorBidi"/>
          <w:szCs w:val="20"/>
          <w:lang w:val="en-GB" w:eastAsia="en-GB"/>
        </w:rPr>
        <w:t>;</w:t>
      </w:r>
      <w:r w:rsidR="00BA1053" w:rsidRPr="00845FB7">
        <w:rPr>
          <w:rFonts w:cstheme="majorBidi"/>
          <w:szCs w:val="20"/>
          <w:lang w:val="en-GB" w:eastAsia="en-GB"/>
        </w:rPr>
        <w:t xml:space="preserve"> </w:t>
      </w:r>
    </w:p>
    <w:p w14:paraId="15433F4F" w14:textId="48DC4A8E" w:rsidR="00913796" w:rsidRPr="00845FB7" w:rsidRDefault="00913796"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 xml:space="preserve">Cooperate with the Basel Convention </w:t>
      </w:r>
      <w:r w:rsidR="00844A88" w:rsidRPr="00845FB7">
        <w:rPr>
          <w:rFonts w:cstheme="majorBidi"/>
          <w:szCs w:val="20"/>
          <w:lang w:val="en-GB" w:eastAsia="en-GB"/>
        </w:rPr>
        <w:t>S</w:t>
      </w:r>
      <w:r w:rsidRPr="00845FB7">
        <w:rPr>
          <w:rFonts w:cstheme="majorBidi"/>
          <w:szCs w:val="20"/>
          <w:lang w:val="en-GB" w:eastAsia="en-GB"/>
        </w:rPr>
        <w:t xml:space="preserve">ecretariat to update the technical guidelines on the environmentally sound management of mercury waste and </w:t>
      </w:r>
      <w:r w:rsidR="0091012D" w:rsidRPr="00845FB7">
        <w:rPr>
          <w:rFonts w:cstheme="majorBidi"/>
          <w:szCs w:val="20"/>
          <w:lang w:val="en-GB" w:eastAsia="en-GB"/>
        </w:rPr>
        <w:t>other technical tools on mercury waste management.</w:t>
      </w:r>
    </w:p>
    <w:p w14:paraId="29F35199" w14:textId="4F79CD50" w:rsidR="00BA1053" w:rsidRPr="00845FB7" w:rsidRDefault="00BA1053"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Compile and disseminate technical information supplementing the existing technical guidance</w:t>
      </w:r>
      <w:r w:rsidR="008B3A0F" w:rsidRPr="00845FB7">
        <w:rPr>
          <w:rFonts w:cstheme="majorBidi"/>
          <w:szCs w:val="20"/>
          <w:lang w:val="en-GB" w:eastAsia="en-GB"/>
        </w:rPr>
        <w:t>;</w:t>
      </w:r>
    </w:p>
    <w:p w14:paraId="768E2D73" w14:textId="70314F50" w:rsidR="00BA1053" w:rsidRPr="00845FB7" w:rsidRDefault="00BA1053"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 xml:space="preserve">Convene online technical workshops to support the </w:t>
      </w:r>
      <w:r w:rsidR="00CC2E63" w:rsidRPr="00845FB7">
        <w:rPr>
          <w:rFonts w:cstheme="majorBidi"/>
          <w:szCs w:val="20"/>
          <w:lang w:val="en-GB" w:eastAsia="en-GB"/>
        </w:rPr>
        <w:t>P</w:t>
      </w:r>
      <w:r w:rsidRPr="00845FB7">
        <w:rPr>
          <w:rFonts w:cstheme="majorBidi"/>
          <w:szCs w:val="20"/>
          <w:lang w:val="en-GB" w:eastAsia="en-GB"/>
        </w:rPr>
        <w:t>arties in using the technical guidance.</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BA1053" w:rsidRPr="00845FB7" w14:paraId="62887231" w14:textId="77777777" w:rsidTr="00E723F8">
        <w:tc>
          <w:tcPr>
            <w:tcW w:w="4508" w:type="dxa"/>
          </w:tcPr>
          <w:p w14:paraId="112EF9EB" w14:textId="7A0568E6"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0ADCBB73" w14:textId="77777777" w:rsidR="00BA1053" w:rsidRPr="00845FB7" w:rsidRDefault="00BA1053" w:rsidP="00BD36F8">
            <w:pPr>
              <w:pStyle w:val="ListParagraph"/>
              <w:numPr>
                <w:ilvl w:val="0"/>
                <w:numId w:val="5"/>
              </w:numPr>
              <w:spacing w:after="60"/>
              <w:ind w:left="714" w:hanging="357"/>
              <w:contextualSpacing w:val="0"/>
              <w:rPr>
                <w:rFonts w:cstheme="majorBidi"/>
                <w:b/>
                <w:bCs/>
                <w:szCs w:val="20"/>
                <w:lang w:val="en-GB" w:eastAsia="en-GB"/>
              </w:rPr>
            </w:pPr>
            <w:r w:rsidRPr="00845FB7">
              <w:rPr>
                <w:rFonts w:cstheme="majorBidi"/>
                <w:szCs w:val="20"/>
                <w:lang w:val="en-GB" w:eastAsia="en-GB"/>
              </w:rPr>
              <w:t>Updated technical information on the reduction and elimination of mercury use, emissions and releases available on the Convention website.</w:t>
            </w:r>
          </w:p>
        </w:tc>
        <w:tc>
          <w:tcPr>
            <w:tcW w:w="4508" w:type="dxa"/>
          </w:tcPr>
          <w:p w14:paraId="6680EFCB" w14:textId="35282CD6"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6896214D" w14:textId="77777777" w:rsidR="00BA1053" w:rsidRPr="00845FB7" w:rsidRDefault="00BA1053"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Convention website.</w:t>
            </w:r>
          </w:p>
        </w:tc>
      </w:tr>
    </w:tbl>
    <w:p w14:paraId="2791BF3C" w14:textId="46940F1C" w:rsidR="00BA1053" w:rsidRPr="00845FB7" w:rsidRDefault="00BA1053" w:rsidP="00BD36F8">
      <w:pPr>
        <w:pStyle w:val="Heading2"/>
        <w:spacing w:before="360" w:after="120"/>
        <w:rPr>
          <w:rFonts w:cstheme="majorBidi"/>
          <w:sz w:val="28"/>
          <w:szCs w:val="28"/>
          <w:lang w:val="en-GB"/>
        </w:rPr>
      </w:pPr>
      <w:r w:rsidRPr="00845FB7">
        <w:rPr>
          <w:rFonts w:cstheme="majorBidi"/>
          <w:sz w:val="28"/>
          <w:szCs w:val="28"/>
          <w:lang w:val="en-GB"/>
        </w:rPr>
        <w:t>Component 5.5. Cross-cutting scientific and technical activities</w:t>
      </w:r>
    </w:p>
    <w:p w14:paraId="1D6216D3" w14:textId="77777777" w:rsidR="00BA1053" w:rsidRPr="00845FB7" w:rsidRDefault="00BA1053" w:rsidP="00BD36F8">
      <w:pPr>
        <w:spacing w:before="240"/>
        <w:rPr>
          <w:rFonts w:cstheme="majorBidi"/>
          <w:b/>
          <w:bCs/>
          <w:szCs w:val="20"/>
          <w:lang w:val="en-GB" w:eastAsia="en-GB"/>
        </w:rPr>
      </w:pPr>
      <w:r w:rsidRPr="00845FB7">
        <w:rPr>
          <w:rFonts w:cstheme="majorBidi"/>
          <w:b/>
          <w:bCs/>
          <w:lang w:val="en-GB" w:eastAsia="en-GB"/>
        </w:rPr>
        <w:t>OUTCOMES</w:t>
      </w:r>
    </w:p>
    <w:p w14:paraId="57124EB4" w14:textId="77777777" w:rsidR="00BA1053" w:rsidRPr="00845FB7" w:rsidRDefault="00BA1053" w:rsidP="00BD36F8">
      <w:pPr>
        <w:spacing w:after="60"/>
        <w:rPr>
          <w:rFonts w:cstheme="majorBidi"/>
          <w:szCs w:val="20"/>
          <w:lang w:val="en-GB" w:eastAsia="en-GB"/>
        </w:rPr>
      </w:pPr>
      <w:r w:rsidRPr="00845FB7">
        <w:rPr>
          <w:rFonts w:cstheme="majorBidi"/>
          <w:szCs w:val="20"/>
          <w:lang w:val="en-GB" w:eastAsia="en-GB"/>
        </w:rPr>
        <w:t>Parties cooperate in developing scientific and technical knowledge and tools, including socioeconomic sciences.</w:t>
      </w:r>
    </w:p>
    <w:p w14:paraId="7462361D" w14:textId="77777777" w:rsidR="00BA1053" w:rsidRPr="00845FB7" w:rsidRDefault="00BA1053" w:rsidP="00BD36F8">
      <w:pPr>
        <w:spacing w:before="240"/>
        <w:rPr>
          <w:rFonts w:cstheme="majorBidi"/>
          <w:szCs w:val="20"/>
          <w:lang w:val="en-GB" w:eastAsia="en-GB"/>
        </w:rPr>
      </w:pPr>
      <w:r w:rsidRPr="00845FB7">
        <w:rPr>
          <w:rFonts w:cstheme="majorBidi"/>
          <w:b/>
          <w:bCs/>
          <w:lang w:val="en-GB" w:eastAsia="en-GB"/>
        </w:rPr>
        <w:t>ACTIVITIES</w:t>
      </w:r>
      <w:r w:rsidRPr="00845FB7">
        <w:rPr>
          <w:rFonts w:cstheme="majorBidi"/>
          <w:b/>
          <w:bCs/>
          <w:szCs w:val="20"/>
          <w:lang w:val="en-GB" w:eastAsia="en-GB"/>
        </w:rPr>
        <w:t xml:space="preserve"> </w:t>
      </w:r>
      <w:r w:rsidRPr="00845FB7">
        <w:rPr>
          <w:rFonts w:cstheme="majorBidi"/>
          <w:szCs w:val="20"/>
          <w:lang w:val="en-GB" w:eastAsia="en-GB"/>
        </w:rPr>
        <w:t>(subject to the availability of resources)</w:t>
      </w:r>
    </w:p>
    <w:p w14:paraId="054DC04E" w14:textId="0A5A0C3A" w:rsidR="00BA1053" w:rsidRPr="00845FB7" w:rsidRDefault="00BA1053"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 xml:space="preserve">Provide overall and cross-cutting support to the </w:t>
      </w:r>
      <w:r w:rsidR="00CC2E63" w:rsidRPr="00845FB7">
        <w:rPr>
          <w:rFonts w:cstheme="majorBidi"/>
          <w:szCs w:val="20"/>
          <w:lang w:val="en-GB" w:eastAsia="en-GB"/>
        </w:rPr>
        <w:t>P</w:t>
      </w:r>
      <w:r w:rsidRPr="00845FB7">
        <w:rPr>
          <w:rFonts w:cstheme="majorBidi"/>
          <w:szCs w:val="20"/>
          <w:lang w:val="en-GB" w:eastAsia="en-GB"/>
        </w:rPr>
        <w:t>arties in developing and sharing scientific and technical knowledge and tools</w:t>
      </w:r>
      <w:r w:rsidR="00F76AF6" w:rsidRPr="00845FB7">
        <w:rPr>
          <w:rFonts w:cstheme="majorBidi"/>
          <w:szCs w:val="20"/>
          <w:lang w:val="en-GB" w:eastAsia="en-GB"/>
        </w:rPr>
        <w:t>;</w:t>
      </w:r>
    </w:p>
    <w:p w14:paraId="70F1C560" w14:textId="07BDC7C4" w:rsidR="00BA1053" w:rsidRPr="00845FB7" w:rsidRDefault="00BA1053"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Convene online technical workshops on cross-cutting scientific and technical issues related to the Convention, including link with other environmental and sustainable development agenda and socioeconomic and behavioural sciences</w:t>
      </w:r>
      <w:r w:rsidR="00F76AF6" w:rsidRPr="00845FB7">
        <w:rPr>
          <w:rFonts w:cstheme="majorBidi"/>
          <w:szCs w:val="20"/>
          <w:lang w:val="en-GB" w:eastAsia="en-GB"/>
        </w:rPr>
        <w:t>;</w:t>
      </w:r>
    </w:p>
    <w:p w14:paraId="38D9EEF0" w14:textId="7C23496C" w:rsidR="00AA2ED6" w:rsidRPr="00845FB7" w:rsidRDefault="002460F7"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 xml:space="preserve">Conduct </w:t>
      </w:r>
      <w:r w:rsidR="00AA2ED6" w:rsidRPr="00845FB7">
        <w:rPr>
          <w:rFonts w:cstheme="majorBidi"/>
          <w:szCs w:val="20"/>
          <w:lang w:val="en-GB" w:eastAsia="en-GB"/>
        </w:rPr>
        <w:t xml:space="preserve">a scoping study on possible areas where the strengthening of the science-policy interface would advance implementation of the Convention </w:t>
      </w:r>
    </w:p>
    <w:p w14:paraId="040E9A9C" w14:textId="1FFB6B2F" w:rsidR="0075087D" w:rsidRPr="00845FB7" w:rsidRDefault="00BA1053" w:rsidP="00BD36F8">
      <w:pPr>
        <w:pStyle w:val="ListParagraph"/>
        <w:numPr>
          <w:ilvl w:val="0"/>
          <w:numId w:val="3"/>
        </w:numPr>
        <w:spacing w:after="60"/>
        <w:ind w:left="714" w:hanging="357"/>
        <w:contextualSpacing w:val="0"/>
        <w:rPr>
          <w:rFonts w:cstheme="majorBidi"/>
          <w:szCs w:val="20"/>
          <w:lang w:val="en-GB" w:eastAsia="en-GB"/>
        </w:rPr>
      </w:pPr>
      <w:r w:rsidRPr="00845FB7">
        <w:rPr>
          <w:rFonts w:cstheme="majorBidi"/>
          <w:szCs w:val="20"/>
          <w:lang w:val="en-GB" w:eastAsia="en-GB"/>
        </w:rPr>
        <w:t xml:space="preserve">Convene a scientific and technical workshop on overarching topics related to mercury, inviting relevant experts from all the five UN regions and observers. This may take place </w:t>
      </w:r>
      <w:proofErr w:type="gramStart"/>
      <w:r w:rsidRPr="00845FB7">
        <w:rPr>
          <w:rFonts w:cstheme="majorBidi"/>
          <w:szCs w:val="20"/>
          <w:lang w:val="en-GB" w:eastAsia="en-GB"/>
        </w:rPr>
        <w:t>back to back</w:t>
      </w:r>
      <w:proofErr w:type="gramEnd"/>
      <w:r w:rsidRPr="00845FB7">
        <w:rPr>
          <w:rFonts w:cstheme="majorBidi"/>
          <w:szCs w:val="20"/>
          <w:lang w:val="en-GB" w:eastAsia="en-GB"/>
        </w:rPr>
        <w:t xml:space="preserve"> with the meeting of the International Conference on Mercury as Global Pollutants (ICMGP) to be held in </w:t>
      </w:r>
      <w:r w:rsidR="003A656B" w:rsidRPr="00845FB7">
        <w:rPr>
          <w:rFonts w:cstheme="majorBidi"/>
          <w:szCs w:val="20"/>
          <w:lang w:val="en-GB" w:eastAsia="en-GB"/>
        </w:rPr>
        <w:t>H</w:t>
      </w:r>
      <w:r w:rsidR="00CE500F" w:rsidRPr="00845FB7">
        <w:rPr>
          <w:rFonts w:cstheme="majorBidi"/>
          <w:szCs w:val="20"/>
          <w:lang w:val="en-GB" w:eastAsia="en-GB"/>
        </w:rPr>
        <w:t>yderabad</w:t>
      </w:r>
      <w:r w:rsidRPr="00845FB7">
        <w:rPr>
          <w:rFonts w:cstheme="majorBidi"/>
          <w:szCs w:val="20"/>
          <w:lang w:val="en-GB" w:eastAsia="en-GB"/>
        </w:rPr>
        <w:t xml:space="preserve"> in </w:t>
      </w:r>
      <w:r w:rsidR="00CE500F" w:rsidRPr="00845FB7">
        <w:rPr>
          <w:rFonts w:cstheme="majorBidi"/>
          <w:szCs w:val="20"/>
          <w:lang w:val="en-GB" w:eastAsia="en-GB"/>
        </w:rPr>
        <w:t xml:space="preserve">October </w:t>
      </w:r>
      <w:r w:rsidR="007E1BE3" w:rsidRPr="00845FB7">
        <w:rPr>
          <w:rFonts w:cstheme="majorBidi"/>
          <w:szCs w:val="20"/>
          <w:lang w:val="en-GB" w:eastAsia="en-GB"/>
        </w:rPr>
        <w:t>202</w:t>
      </w:r>
      <w:r w:rsidR="00CE500F" w:rsidRPr="00845FB7">
        <w:rPr>
          <w:rFonts w:cstheme="majorBidi"/>
          <w:szCs w:val="20"/>
          <w:lang w:val="en-GB" w:eastAsia="en-GB"/>
        </w:rPr>
        <w:t>6</w:t>
      </w:r>
      <w:r w:rsidR="0075087D" w:rsidRPr="00845FB7">
        <w:rPr>
          <w:rFonts w:cstheme="majorBidi"/>
          <w:szCs w:val="20"/>
          <w:lang w:val="en-GB" w:eastAsia="en-GB"/>
        </w:rPr>
        <w:t>;</w:t>
      </w:r>
    </w:p>
    <w:p w14:paraId="433AC472" w14:textId="3961B380" w:rsidR="00BA1053" w:rsidRPr="00845FB7" w:rsidRDefault="0001044D" w:rsidP="002460F7">
      <w:pPr>
        <w:pStyle w:val="ListParagraph"/>
        <w:numPr>
          <w:ilvl w:val="0"/>
          <w:numId w:val="3"/>
        </w:numPr>
        <w:spacing w:after="60"/>
        <w:ind w:left="714" w:hanging="357"/>
        <w:contextualSpacing w:val="0"/>
        <w:rPr>
          <w:rFonts w:cstheme="majorBidi"/>
          <w:szCs w:val="20"/>
          <w:lang w:val="en-GB" w:eastAsia="en-GB"/>
        </w:rPr>
      </w:pPr>
      <w:r w:rsidRPr="00845FB7">
        <w:rPr>
          <w:color w:val="000000" w:themeColor="text1"/>
          <w:lang w:val="en-GB"/>
        </w:rPr>
        <w:t>Compile and synthesize information gathered</w:t>
      </w:r>
      <w:r w:rsidR="0075087D" w:rsidRPr="00845FB7">
        <w:rPr>
          <w:color w:val="000000" w:themeColor="text1"/>
          <w:lang w:val="en-GB"/>
        </w:rPr>
        <w:t xml:space="preserve"> </w:t>
      </w:r>
      <w:r w:rsidRPr="00845FB7">
        <w:rPr>
          <w:color w:val="000000" w:themeColor="text1"/>
          <w:lang w:val="en-GB"/>
        </w:rPr>
        <w:t>from Parties and other stakeholders on</w:t>
      </w:r>
      <w:r w:rsidR="0075087D" w:rsidRPr="00845FB7">
        <w:rPr>
          <w:color w:val="000000" w:themeColor="text1"/>
          <w:lang w:val="en-GB"/>
        </w:rPr>
        <w:t xml:space="preserve"> their experience</w:t>
      </w:r>
      <w:r w:rsidR="00647BDF" w:rsidRPr="00845FB7">
        <w:rPr>
          <w:color w:val="000000" w:themeColor="text1"/>
          <w:lang w:val="en-GB"/>
        </w:rPr>
        <w:t xml:space="preserve"> </w:t>
      </w:r>
      <w:r w:rsidR="00202CBD" w:rsidRPr="00845FB7">
        <w:rPr>
          <w:color w:val="000000" w:themeColor="text1"/>
          <w:lang w:val="en-GB"/>
        </w:rPr>
        <w:t xml:space="preserve">to (i) promote research on the impacts of mercury on biodiversity and ecosystem </w:t>
      </w:r>
      <w:r w:rsidR="00202CBD" w:rsidRPr="00845FB7">
        <w:rPr>
          <w:color w:val="000000" w:themeColor="text1"/>
          <w:lang w:val="en-GB"/>
        </w:rPr>
        <w:lastRenderedPageBreak/>
        <w:t>functions and services, (ii) share their experience gained in promoting coordination and integration of biodiversity- and mercury-related priorities during through policy development and implementation, including lessons learned and challenges faced, and (iii) disseminate information on actions that can generate co</w:t>
      </w:r>
      <w:r w:rsidR="001A6380" w:rsidRPr="00845FB7">
        <w:rPr>
          <w:color w:val="000000" w:themeColor="text1"/>
          <w:lang w:val="en-GB"/>
        </w:rPr>
        <w:t>-</w:t>
      </w:r>
      <w:r w:rsidR="00202CBD" w:rsidRPr="00845FB7">
        <w:rPr>
          <w:color w:val="000000" w:themeColor="text1"/>
          <w:lang w:val="en-GB"/>
        </w:rPr>
        <w:t>benefits to the Minamata Convention and the Kunming Montreal Global Biodiversity Framework</w:t>
      </w:r>
      <w:r w:rsidR="0075087D" w:rsidRPr="00845FB7">
        <w:rPr>
          <w:color w:val="000000" w:themeColor="text1"/>
          <w:lang w:val="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BA1053" w:rsidRPr="00845FB7" w14:paraId="39D58D49" w14:textId="77777777" w:rsidTr="00E723F8">
        <w:tc>
          <w:tcPr>
            <w:tcW w:w="4508" w:type="dxa"/>
          </w:tcPr>
          <w:p w14:paraId="4D3172D4" w14:textId="7ABD2EB9"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7D0F1883" w14:textId="77777777" w:rsidR="00BA1053" w:rsidRPr="00845FB7" w:rsidRDefault="00BA1053"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The scientific and technical work under the Convention is carried out in a good overall coordination;</w:t>
            </w:r>
          </w:p>
          <w:p w14:paraId="25D426FD" w14:textId="77777777" w:rsidR="00BA1053" w:rsidRPr="00845FB7" w:rsidRDefault="00BA1053"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Parties receive timely scientific and technical advice.</w:t>
            </w:r>
          </w:p>
          <w:p w14:paraId="472C5034" w14:textId="3BEC2069" w:rsidR="00BA1053" w:rsidRPr="00845FB7" w:rsidRDefault="002460F7"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Scoping study on science-policy interface</w:t>
            </w:r>
            <w:r w:rsidR="00723075" w:rsidRPr="00845FB7">
              <w:rPr>
                <w:rFonts w:cstheme="majorBidi"/>
                <w:szCs w:val="20"/>
                <w:lang w:val="en-GB" w:eastAsia="en-GB"/>
              </w:rPr>
              <w:t>.</w:t>
            </w:r>
          </w:p>
        </w:tc>
        <w:tc>
          <w:tcPr>
            <w:tcW w:w="4508" w:type="dxa"/>
          </w:tcPr>
          <w:p w14:paraId="4834DA20" w14:textId="47818D05" w:rsidR="00BA1053" w:rsidRPr="00845FB7" w:rsidRDefault="00BA1053"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2EA0E481" w14:textId="5307695A" w:rsidR="00BA1053" w:rsidRPr="00845FB7" w:rsidRDefault="00BA1053"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Convention website</w:t>
            </w:r>
            <w:r w:rsidR="00F76AF6" w:rsidRPr="00845FB7">
              <w:rPr>
                <w:rFonts w:cstheme="majorBidi"/>
                <w:szCs w:val="20"/>
                <w:lang w:val="en-GB" w:eastAsia="en-GB"/>
              </w:rPr>
              <w:t>;</w:t>
            </w:r>
          </w:p>
          <w:p w14:paraId="5F734890" w14:textId="77777777" w:rsidR="00672A66" w:rsidRPr="00845FB7" w:rsidRDefault="00BA1053"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Workshop report</w:t>
            </w:r>
          </w:p>
          <w:p w14:paraId="6D6AEB66" w14:textId="36529D7B" w:rsidR="00BA1053" w:rsidRPr="00845FB7" w:rsidRDefault="00672A66" w:rsidP="00BD36F8">
            <w:pPr>
              <w:pStyle w:val="ListParagraph"/>
              <w:numPr>
                <w:ilvl w:val="0"/>
                <w:numId w:val="5"/>
              </w:numPr>
              <w:spacing w:after="60"/>
              <w:ind w:left="714" w:hanging="357"/>
              <w:contextualSpacing w:val="0"/>
              <w:rPr>
                <w:rFonts w:cstheme="majorBidi"/>
                <w:szCs w:val="20"/>
                <w:lang w:val="en-GB" w:eastAsia="en-GB"/>
              </w:rPr>
            </w:pPr>
            <w:r w:rsidRPr="00845FB7">
              <w:rPr>
                <w:rFonts w:cstheme="majorBidi"/>
                <w:szCs w:val="20"/>
                <w:lang w:val="en-GB" w:eastAsia="en-GB"/>
              </w:rPr>
              <w:t>COP documents.</w:t>
            </w:r>
          </w:p>
        </w:tc>
      </w:tr>
    </w:tbl>
    <w:p w14:paraId="5099EC48" w14:textId="011CB500" w:rsidR="00BA1053" w:rsidRPr="00845FB7" w:rsidRDefault="00BA1053" w:rsidP="00BA1053">
      <w:pPr>
        <w:pStyle w:val="Heading3"/>
        <w:rPr>
          <w:sz w:val="24"/>
          <w:lang w:val="en-GB"/>
        </w:rPr>
      </w:pPr>
      <w:r w:rsidRPr="00845FB7">
        <w:rPr>
          <w:sz w:val="24"/>
          <w:lang w:val="en-GB"/>
        </w:rPr>
        <w:t>Partners</w:t>
      </w:r>
    </w:p>
    <w:p w14:paraId="3C0A59ED" w14:textId="133B12B5" w:rsidR="00BA1053" w:rsidRPr="00845FB7" w:rsidRDefault="00BA1053" w:rsidP="00BD36F8">
      <w:pPr>
        <w:spacing w:after="60" w:line="276" w:lineRule="auto"/>
        <w:rPr>
          <w:rFonts w:cstheme="majorBidi"/>
          <w:szCs w:val="20"/>
          <w:lang w:val="en-GB"/>
        </w:rPr>
      </w:pPr>
      <w:r w:rsidRPr="00845FB7">
        <w:rPr>
          <w:rFonts w:cstheme="majorBidi"/>
          <w:szCs w:val="20"/>
          <w:lang w:val="en-GB"/>
        </w:rPr>
        <w:t xml:space="preserve">UNEP Global Mercury Partnership, </w:t>
      </w:r>
      <w:r w:rsidR="00CF7B2A" w:rsidRPr="00845FB7">
        <w:rPr>
          <w:rFonts w:cstheme="majorBidi"/>
          <w:szCs w:val="20"/>
          <w:lang w:val="en-GB"/>
        </w:rPr>
        <w:t xml:space="preserve">UNEP Chemicals and Health Branch and Science Division, </w:t>
      </w:r>
      <w:r w:rsidR="001F508C" w:rsidRPr="00845FB7">
        <w:rPr>
          <w:rFonts w:cstheme="majorBidi"/>
          <w:szCs w:val="20"/>
          <w:lang w:val="en-GB"/>
        </w:rPr>
        <w:t xml:space="preserve">Basel, Rotterdam and Stockholm Convention </w:t>
      </w:r>
      <w:r w:rsidR="00844A88" w:rsidRPr="00845FB7">
        <w:rPr>
          <w:rFonts w:cstheme="majorBidi"/>
          <w:szCs w:val="20"/>
          <w:lang w:val="en-GB"/>
        </w:rPr>
        <w:t>S</w:t>
      </w:r>
      <w:r w:rsidR="001F508C" w:rsidRPr="00845FB7">
        <w:rPr>
          <w:rFonts w:cstheme="majorBidi"/>
          <w:szCs w:val="20"/>
          <w:lang w:val="en-GB"/>
        </w:rPr>
        <w:t xml:space="preserve">ecretariat, </w:t>
      </w:r>
      <w:r w:rsidR="00D57F5B" w:rsidRPr="00845FB7">
        <w:rPr>
          <w:rFonts w:cstheme="majorBidi"/>
          <w:szCs w:val="20"/>
          <w:lang w:val="en-GB"/>
        </w:rPr>
        <w:t xml:space="preserve">Science-Policy Panel on </w:t>
      </w:r>
      <w:r w:rsidR="00D12228" w:rsidRPr="00845FB7">
        <w:rPr>
          <w:rFonts w:cstheme="majorBidi"/>
          <w:szCs w:val="20"/>
          <w:lang w:val="en-GB"/>
        </w:rPr>
        <w:t xml:space="preserve">Chemicals, Waste and Pollution, </w:t>
      </w:r>
      <w:r w:rsidRPr="00845FB7">
        <w:rPr>
          <w:rFonts w:cstheme="majorBidi"/>
          <w:szCs w:val="20"/>
          <w:lang w:val="en-GB"/>
        </w:rPr>
        <w:t xml:space="preserve">intergovernmental organizations including the IOMC participating organizations, scientific bodies including ICMGP, other multilateral environmental agreements, </w:t>
      </w:r>
      <w:r w:rsidR="00D708FE" w:rsidRPr="00845FB7">
        <w:rPr>
          <w:lang w:val="en-GB"/>
        </w:rPr>
        <w:t>Basel and Stockholm Convention Regional Centres,</w:t>
      </w:r>
      <w:r w:rsidR="00D708FE" w:rsidRPr="00845FB7">
        <w:rPr>
          <w:rFonts w:cstheme="majorBidi"/>
          <w:szCs w:val="20"/>
          <w:lang w:val="en-GB"/>
        </w:rPr>
        <w:t xml:space="preserve"> </w:t>
      </w:r>
      <w:r w:rsidRPr="00845FB7">
        <w:rPr>
          <w:rFonts w:cstheme="majorBidi"/>
          <w:szCs w:val="20"/>
          <w:lang w:val="en-GB"/>
        </w:rPr>
        <w:t>national and international institutions, non-governmental organizations.</w:t>
      </w:r>
    </w:p>
    <w:p w14:paraId="7428B5C8" w14:textId="33F02F2A" w:rsidR="00BA1053" w:rsidRPr="00845FB7" w:rsidRDefault="00BA1053" w:rsidP="00BA1053">
      <w:pPr>
        <w:pStyle w:val="Heading3"/>
        <w:rPr>
          <w:sz w:val="24"/>
          <w:lang w:val="en-GB"/>
        </w:rPr>
      </w:pPr>
      <w:r w:rsidRPr="00845FB7">
        <w:rPr>
          <w:sz w:val="24"/>
          <w:lang w:val="en-GB"/>
        </w:rPr>
        <w:t>Socio-economic aspects</w:t>
      </w:r>
    </w:p>
    <w:p w14:paraId="58D2ADF2" w14:textId="77777777" w:rsidR="00BA1053" w:rsidRPr="00845FB7" w:rsidRDefault="00BA1053"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Scientific and technical activities under the Convention address the following targets set out in the 2030 Agenda for Sustainable Development:</w:t>
      </w:r>
    </w:p>
    <w:p w14:paraId="2567F329" w14:textId="77777777" w:rsidR="00BA1053" w:rsidRPr="00845FB7" w:rsidRDefault="00BA1053" w:rsidP="00BD36F8">
      <w:pPr>
        <w:pStyle w:val="ListParagraph"/>
        <w:numPr>
          <w:ilvl w:val="0"/>
          <w:numId w:val="8"/>
        </w:numPr>
        <w:spacing w:after="120" w:line="276" w:lineRule="auto"/>
        <w:contextualSpacing w:val="0"/>
        <w:rPr>
          <w:rFonts w:cstheme="majorBidi"/>
          <w:szCs w:val="20"/>
          <w:lang w:val="en-GB"/>
        </w:rPr>
      </w:pPr>
      <w:r w:rsidRPr="00845FB7">
        <w:rPr>
          <w:rFonts w:cstheme="majorBidi"/>
          <w:szCs w:val="20"/>
          <w:lang w:val="en-GB"/>
        </w:rPr>
        <w:t xml:space="preserve">Target 3.9: By 2030, substantially reduce the number of deaths and illnesses from hazardous chemicals and air, water and soil pollution and contamination </w:t>
      </w:r>
    </w:p>
    <w:p w14:paraId="1FE821FF" w14:textId="77777777" w:rsidR="00BA1053" w:rsidRPr="00845FB7" w:rsidRDefault="00BA1053" w:rsidP="00BD36F8">
      <w:pPr>
        <w:pStyle w:val="ListParagraph"/>
        <w:numPr>
          <w:ilvl w:val="0"/>
          <w:numId w:val="8"/>
        </w:numPr>
        <w:spacing w:after="120" w:line="276" w:lineRule="auto"/>
        <w:contextualSpacing w:val="0"/>
        <w:rPr>
          <w:rFonts w:cstheme="majorBidi"/>
          <w:szCs w:val="20"/>
          <w:lang w:val="en-GB"/>
        </w:rPr>
      </w:pPr>
      <w:r w:rsidRPr="00845FB7">
        <w:rPr>
          <w:rFonts w:cstheme="majorBidi"/>
          <w:szCs w:val="20"/>
          <w:lang w:val="en-GB"/>
        </w:rPr>
        <w:t xml:space="preserve">Target 6.3: By 2030, improve water quality by reducing pollution, eliminating dumping and minimizing release of hazardous chemicals and materials, halving the proportion of untreated wastewater and substantially increasing recycling and safe reuse globally </w:t>
      </w:r>
    </w:p>
    <w:p w14:paraId="276CECA9" w14:textId="77777777" w:rsidR="00BA1053" w:rsidRPr="00845FB7" w:rsidRDefault="00BA1053" w:rsidP="00BD36F8">
      <w:pPr>
        <w:pStyle w:val="ListParagraph"/>
        <w:numPr>
          <w:ilvl w:val="0"/>
          <w:numId w:val="8"/>
        </w:numPr>
        <w:spacing w:after="120" w:line="276" w:lineRule="auto"/>
        <w:contextualSpacing w:val="0"/>
        <w:rPr>
          <w:rFonts w:cstheme="majorBidi"/>
          <w:szCs w:val="20"/>
          <w:lang w:val="en-GB"/>
        </w:rPr>
      </w:pPr>
      <w:r w:rsidRPr="00845FB7">
        <w:rPr>
          <w:rFonts w:cstheme="majorBidi"/>
          <w:szCs w:val="20"/>
          <w:lang w:val="en-GB"/>
        </w:rPr>
        <w:t xml:space="preserve">Target 12.4: By 2020, achieve the environmentally sound management of chemicals and all wastes throughout their life cycle, in accordance with agreed international frameworks, and significantly reduce their release to air, water and soil </w:t>
      </w:r>
      <w:proofErr w:type="gramStart"/>
      <w:r w:rsidRPr="00845FB7">
        <w:rPr>
          <w:rFonts w:cstheme="majorBidi"/>
          <w:szCs w:val="20"/>
          <w:lang w:val="en-GB"/>
        </w:rPr>
        <w:t>in order to</w:t>
      </w:r>
      <w:proofErr w:type="gramEnd"/>
      <w:r w:rsidRPr="00845FB7">
        <w:rPr>
          <w:rFonts w:cstheme="majorBidi"/>
          <w:szCs w:val="20"/>
          <w:lang w:val="en-GB"/>
        </w:rPr>
        <w:t xml:space="preserve"> minimize their adverse impacts on human health and the environment.</w:t>
      </w:r>
    </w:p>
    <w:p w14:paraId="5DF5BA7E" w14:textId="77777777" w:rsidR="00295364" w:rsidRPr="00845FB7" w:rsidRDefault="008234C6" w:rsidP="002A243F">
      <w:pPr>
        <w:spacing w:after="120" w:line="276" w:lineRule="auto"/>
        <w:ind w:left="360"/>
        <w:rPr>
          <w:rFonts w:cstheme="majorBidi"/>
          <w:lang w:val="en-GB"/>
        </w:rPr>
        <w:sectPr w:rsidR="00295364" w:rsidRPr="00845FB7" w:rsidSect="008234C6">
          <w:footerReference w:type="default" r:id="rId39"/>
          <w:headerReference w:type="first" r:id="rId40"/>
          <w:footerReference w:type="first" r:id="rId41"/>
          <w:pgSz w:w="11906" w:h="16838" w:code="9"/>
          <w:pgMar w:top="907" w:right="992" w:bottom="1418" w:left="1418" w:header="539" w:footer="975" w:gutter="0"/>
          <w:cols w:space="708"/>
          <w:titlePg/>
          <w:docGrid w:linePitch="360"/>
        </w:sectPr>
      </w:pPr>
      <w:r w:rsidRPr="00845FB7">
        <w:rPr>
          <w:rFonts w:cstheme="majorBidi"/>
          <w:b/>
          <w:bCs/>
          <w:lang w:val="en-GB"/>
        </w:rPr>
        <w:t xml:space="preserve">Populations in vulnerable situations: </w:t>
      </w:r>
      <w:r w:rsidRPr="00845FB7">
        <w:rPr>
          <w:rFonts w:cstheme="majorBidi"/>
          <w:lang w:val="en-GB"/>
        </w:rPr>
        <w:t>The capacity-building and technical assistance programme of the Minamata Convention will give due consideration to the differential needs of, and risks and impacts on, men and women as well as to unique challenges faced by populations vulnerable to mercury exposure. The programme will promote a multi-stakeholder approach to raise awareness of the linkages between mercury exposure and the effects on human health.</w:t>
      </w:r>
    </w:p>
    <w:p w14:paraId="4FC5024B" w14:textId="46628828" w:rsidR="00E723F8" w:rsidRPr="00845FB7" w:rsidRDefault="00E723F8" w:rsidP="00F9588D">
      <w:pPr>
        <w:pStyle w:val="Heading3"/>
        <w:rPr>
          <w:sz w:val="24"/>
          <w:lang w:val="en-GB"/>
        </w:rPr>
      </w:pPr>
      <w:r w:rsidRPr="00845FB7">
        <w:rPr>
          <w:sz w:val="24"/>
          <w:lang w:val="en-GB"/>
        </w:rPr>
        <w:lastRenderedPageBreak/>
        <w:t>Resources requirements</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6"/>
        <w:gridCol w:w="747"/>
        <w:gridCol w:w="756"/>
        <w:gridCol w:w="853"/>
        <w:gridCol w:w="1005"/>
        <w:gridCol w:w="1005"/>
        <w:gridCol w:w="1158"/>
        <w:gridCol w:w="721"/>
        <w:gridCol w:w="706"/>
        <w:gridCol w:w="853"/>
        <w:gridCol w:w="991"/>
        <w:gridCol w:w="958"/>
        <w:gridCol w:w="1076"/>
        <w:gridCol w:w="9"/>
      </w:tblGrid>
      <w:tr w:rsidR="00636DE0" w:rsidRPr="00C70A9F" w14:paraId="3B81F681" w14:textId="77777777" w:rsidTr="002301E6">
        <w:trPr>
          <w:gridAfter w:val="1"/>
          <w:wAfter w:w="3" w:type="pct"/>
          <w:trHeight w:val="300"/>
        </w:trPr>
        <w:tc>
          <w:tcPr>
            <w:tcW w:w="1302" w:type="pct"/>
            <w:vMerge w:val="restart"/>
            <w:noWrap/>
            <w:vAlign w:val="center"/>
            <w:hideMark/>
          </w:tcPr>
          <w:p w14:paraId="53F5D31B" w14:textId="77777777"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Activity/Output</w:t>
            </w:r>
          </w:p>
        </w:tc>
        <w:tc>
          <w:tcPr>
            <w:tcW w:w="1885" w:type="pct"/>
            <w:gridSpan w:val="6"/>
            <w:noWrap/>
            <w:vAlign w:val="center"/>
            <w:hideMark/>
          </w:tcPr>
          <w:p w14:paraId="18B0A72D" w14:textId="4F720420"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w:t>
            </w:r>
            <w:r w:rsidR="00F76AF6" w:rsidRPr="00C70A9F">
              <w:rPr>
                <w:rFonts w:eastAsia="Times New Roman" w:cstheme="majorBidi"/>
                <w:b/>
                <w:bCs/>
                <w:color w:val="000000"/>
                <w:sz w:val="16"/>
                <w:szCs w:val="16"/>
                <w:lang w:val="en-GB"/>
              </w:rPr>
              <w:t xml:space="preserve"> per cent</w:t>
            </w:r>
            <w:r w:rsidRPr="00C70A9F">
              <w:rPr>
                <w:rFonts w:eastAsia="Times New Roman" w:cstheme="majorBidi"/>
                <w:b/>
                <w:bCs/>
                <w:color w:val="000000"/>
                <w:sz w:val="16"/>
                <w:szCs w:val="16"/>
                <w:lang w:val="en-GB"/>
              </w:rPr>
              <w:t xml:space="preserve"> scenario (</w:t>
            </w:r>
            <w:r w:rsidR="00E2051A" w:rsidRPr="00C70A9F">
              <w:rPr>
                <w:rFonts w:eastAsia="Times New Roman" w:cstheme="majorBidi"/>
                <w:b/>
                <w:bCs/>
                <w:color w:val="000000"/>
                <w:sz w:val="16"/>
                <w:szCs w:val="16"/>
                <w:lang w:val="en-GB"/>
              </w:rPr>
              <w:t>2026–2027</w:t>
            </w:r>
            <w:r w:rsidRPr="00C70A9F">
              <w:rPr>
                <w:rFonts w:eastAsia="Times New Roman" w:cstheme="majorBidi"/>
                <w:b/>
                <w:bCs/>
                <w:color w:val="000000"/>
                <w:sz w:val="16"/>
                <w:szCs w:val="16"/>
                <w:lang w:val="en-GB"/>
              </w:rPr>
              <w:t>)</w:t>
            </w:r>
          </w:p>
        </w:tc>
        <w:tc>
          <w:tcPr>
            <w:tcW w:w="1810" w:type="pct"/>
            <w:gridSpan w:val="6"/>
            <w:noWrap/>
            <w:vAlign w:val="center"/>
            <w:hideMark/>
          </w:tcPr>
          <w:p w14:paraId="4C0A2032" w14:textId="18004198"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Zero nominal growth scenario (</w:t>
            </w:r>
            <w:r w:rsidR="00E2051A" w:rsidRPr="00C70A9F">
              <w:rPr>
                <w:rFonts w:eastAsia="Times New Roman" w:cstheme="majorBidi"/>
                <w:b/>
                <w:bCs/>
                <w:color w:val="000000"/>
                <w:sz w:val="16"/>
                <w:szCs w:val="16"/>
                <w:lang w:val="en-GB"/>
              </w:rPr>
              <w:t>2026–2027</w:t>
            </w:r>
            <w:r w:rsidRPr="00C70A9F">
              <w:rPr>
                <w:rFonts w:eastAsia="Times New Roman" w:cstheme="majorBidi"/>
                <w:b/>
                <w:bCs/>
                <w:color w:val="000000"/>
                <w:sz w:val="16"/>
                <w:szCs w:val="16"/>
                <w:lang w:val="en-GB"/>
              </w:rPr>
              <w:t>)</w:t>
            </w:r>
          </w:p>
        </w:tc>
      </w:tr>
      <w:tr w:rsidR="00636DE0" w:rsidRPr="00C70A9F" w14:paraId="1BEB0D42" w14:textId="77777777" w:rsidTr="00AE7357">
        <w:trPr>
          <w:trHeight w:val="300"/>
        </w:trPr>
        <w:tc>
          <w:tcPr>
            <w:tcW w:w="1302" w:type="pct"/>
            <w:vMerge/>
            <w:vAlign w:val="center"/>
            <w:hideMark/>
          </w:tcPr>
          <w:p w14:paraId="03DA92A0" w14:textId="77777777" w:rsidR="00E723F8" w:rsidRPr="00C70A9F" w:rsidRDefault="00E723F8" w:rsidP="00BD36F8">
            <w:pPr>
              <w:spacing w:after="60" w:line="240" w:lineRule="auto"/>
              <w:jc w:val="left"/>
              <w:rPr>
                <w:rFonts w:eastAsia="Times New Roman" w:cstheme="majorBidi"/>
                <w:b/>
                <w:bCs/>
                <w:color w:val="000000"/>
                <w:sz w:val="16"/>
                <w:szCs w:val="16"/>
                <w:lang w:val="en-GB"/>
              </w:rPr>
            </w:pPr>
          </w:p>
        </w:tc>
        <w:tc>
          <w:tcPr>
            <w:tcW w:w="804" w:type="pct"/>
            <w:gridSpan w:val="3"/>
            <w:vAlign w:val="center"/>
            <w:hideMark/>
          </w:tcPr>
          <w:p w14:paraId="7337BCD8" w14:textId="75A0353B"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General </w:t>
            </w:r>
            <w:r w:rsidR="00F76AF6" w:rsidRPr="00C70A9F">
              <w:rPr>
                <w:rFonts w:eastAsia="Times New Roman" w:cstheme="majorBidi"/>
                <w:b/>
                <w:bCs/>
                <w:color w:val="000000"/>
                <w:sz w:val="16"/>
                <w:szCs w:val="16"/>
                <w:lang w:val="en-GB"/>
              </w:rPr>
              <w:t>t</w:t>
            </w:r>
            <w:r w:rsidRPr="00C70A9F">
              <w:rPr>
                <w:rFonts w:eastAsia="Times New Roman" w:cstheme="majorBidi"/>
                <w:b/>
                <w:bCs/>
                <w:color w:val="000000"/>
                <w:sz w:val="16"/>
                <w:szCs w:val="16"/>
                <w:lang w:val="en-GB"/>
              </w:rPr>
              <w:t xml:space="preserve">rust </w:t>
            </w:r>
            <w:r w:rsidR="00F76AF6" w:rsidRPr="00C70A9F">
              <w:rPr>
                <w:rFonts w:eastAsia="Times New Roman" w:cstheme="majorBidi"/>
                <w:b/>
                <w:bCs/>
                <w:color w:val="000000"/>
                <w:sz w:val="16"/>
                <w:szCs w:val="16"/>
                <w:lang w:val="en-GB"/>
              </w:rPr>
              <w:t>f</w:t>
            </w:r>
            <w:r w:rsidRPr="00C70A9F">
              <w:rPr>
                <w:rFonts w:eastAsia="Times New Roman" w:cstheme="majorBidi"/>
                <w:b/>
                <w:bCs/>
                <w:color w:val="000000"/>
                <w:sz w:val="16"/>
                <w:szCs w:val="16"/>
                <w:lang w:val="en-GB"/>
              </w:rPr>
              <w:t>und</w:t>
            </w:r>
          </w:p>
        </w:tc>
        <w:tc>
          <w:tcPr>
            <w:tcW w:w="1081" w:type="pct"/>
            <w:gridSpan w:val="3"/>
            <w:vAlign w:val="center"/>
            <w:hideMark/>
          </w:tcPr>
          <w:p w14:paraId="3C549791" w14:textId="01E113E1"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Special </w:t>
            </w:r>
            <w:r w:rsidR="00F76AF6" w:rsidRPr="00C70A9F">
              <w:rPr>
                <w:rFonts w:eastAsia="Times New Roman" w:cstheme="majorBidi"/>
                <w:b/>
                <w:bCs/>
                <w:color w:val="000000"/>
                <w:sz w:val="16"/>
                <w:szCs w:val="16"/>
                <w:lang w:val="en-GB"/>
              </w:rPr>
              <w:t>t</w:t>
            </w:r>
            <w:r w:rsidRPr="00C70A9F">
              <w:rPr>
                <w:rFonts w:eastAsia="Times New Roman" w:cstheme="majorBidi"/>
                <w:b/>
                <w:bCs/>
                <w:color w:val="000000"/>
                <w:sz w:val="16"/>
                <w:szCs w:val="16"/>
                <w:lang w:val="en-GB"/>
              </w:rPr>
              <w:t xml:space="preserve">rust </w:t>
            </w:r>
            <w:r w:rsidR="00F76AF6" w:rsidRPr="00C70A9F">
              <w:rPr>
                <w:rFonts w:eastAsia="Times New Roman" w:cstheme="majorBidi"/>
                <w:b/>
                <w:bCs/>
                <w:color w:val="000000"/>
                <w:sz w:val="16"/>
                <w:szCs w:val="16"/>
                <w:lang w:val="en-GB"/>
              </w:rPr>
              <w:t>f</w:t>
            </w:r>
            <w:r w:rsidRPr="00C70A9F">
              <w:rPr>
                <w:rFonts w:eastAsia="Times New Roman" w:cstheme="majorBidi"/>
                <w:b/>
                <w:bCs/>
                <w:color w:val="000000"/>
                <w:sz w:val="16"/>
                <w:szCs w:val="16"/>
                <w:lang w:val="en-GB"/>
              </w:rPr>
              <w:t>und</w:t>
            </w:r>
          </w:p>
        </w:tc>
        <w:tc>
          <w:tcPr>
            <w:tcW w:w="778" w:type="pct"/>
            <w:gridSpan w:val="3"/>
            <w:vAlign w:val="center"/>
            <w:hideMark/>
          </w:tcPr>
          <w:p w14:paraId="14475B23" w14:textId="51D9BD1F"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General </w:t>
            </w:r>
            <w:r w:rsidR="00F76AF6" w:rsidRPr="00C70A9F">
              <w:rPr>
                <w:rFonts w:eastAsia="Times New Roman" w:cstheme="majorBidi"/>
                <w:b/>
                <w:bCs/>
                <w:color w:val="000000"/>
                <w:sz w:val="16"/>
                <w:szCs w:val="16"/>
                <w:lang w:val="en-GB"/>
              </w:rPr>
              <w:t>t</w:t>
            </w:r>
            <w:r w:rsidRPr="00C70A9F">
              <w:rPr>
                <w:rFonts w:eastAsia="Times New Roman" w:cstheme="majorBidi"/>
                <w:b/>
                <w:bCs/>
                <w:color w:val="000000"/>
                <w:sz w:val="16"/>
                <w:szCs w:val="16"/>
                <w:lang w:val="en-GB"/>
              </w:rPr>
              <w:t xml:space="preserve">rust </w:t>
            </w:r>
            <w:r w:rsidR="00F76AF6" w:rsidRPr="00C70A9F">
              <w:rPr>
                <w:rFonts w:eastAsia="Times New Roman" w:cstheme="majorBidi"/>
                <w:b/>
                <w:bCs/>
                <w:color w:val="000000"/>
                <w:sz w:val="16"/>
                <w:szCs w:val="16"/>
                <w:lang w:val="en-GB"/>
              </w:rPr>
              <w:t>f</w:t>
            </w:r>
            <w:r w:rsidRPr="00C70A9F">
              <w:rPr>
                <w:rFonts w:eastAsia="Times New Roman" w:cstheme="majorBidi"/>
                <w:b/>
                <w:bCs/>
                <w:color w:val="000000"/>
                <w:sz w:val="16"/>
                <w:szCs w:val="16"/>
                <w:lang w:val="en-GB"/>
              </w:rPr>
              <w:t>und</w:t>
            </w:r>
          </w:p>
        </w:tc>
        <w:tc>
          <w:tcPr>
            <w:tcW w:w="1035" w:type="pct"/>
            <w:gridSpan w:val="4"/>
            <w:vAlign w:val="center"/>
            <w:hideMark/>
          </w:tcPr>
          <w:p w14:paraId="10800FCE" w14:textId="7B69A485"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Special </w:t>
            </w:r>
            <w:r w:rsidR="00F76AF6" w:rsidRPr="00C70A9F">
              <w:rPr>
                <w:rFonts w:eastAsia="Times New Roman" w:cstheme="majorBidi"/>
                <w:b/>
                <w:bCs/>
                <w:color w:val="000000"/>
                <w:sz w:val="16"/>
                <w:szCs w:val="16"/>
                <w:lang w:val="en-GB"/>
              </w:rPr>
              <w:t>t</w:t>
            </w:r>
            <w:r w:rsidRPr="00C70A9F">
              <w:rPr>
                <w:rFonts w:eastAsia="Times New Roman" w:cstheme="majorBidi"/>
                <w:b/>
                <w:bCs/>
                <w:color w:val="000000"/>
                <w:sz w:val="16"/>
                <w:szCs w:val="16"/>
                <w:lang w:val="en-GB"/>
              </w:rPr>
              <w:t xml:space="preserve">rust </w:t>
            </w:r>
            <w:r w:rsidR="00F76AF6" w:rsidRPr="00C70A9F">
              <w:rPr>
                <w:rFonts w:eastAsia="Times New Roman" w:cstheme="majorBidi"/>
                <w:b/>
                <w:bCs/>
                <w:color w:val="000000"/>
                <w:sz w:val="16"/>
                <w:szCs w:val="16"/>
                <w:lang w:val="en-GB"/>
              </w:rPr>
              <w:t>f</w:t>
            </w:r>
            <w:r w:rsidRPr="00C70A9F">
              <w:rPr>
                <w:rFonts w:eastAsia="Times New Roman" w:cstheme="majorBidi"/>
                <w:b/>
                <w:bCs/>
                <w:color w:val="000000"/>
                <w:sz w:val="16"/>
                <w:szCs w:val="16"/>
                <w:lang w:val="en-GB"/>
              </w:rPr>
              <w:t>und</w:t>
            </w:r>
          </w:p>
        </w:tc>
      </w:tr>
      <w:tr w:rsidR="00AE7357" w:rsidRPr="00C70A9F" w14:paraId="64EC53D9" w14:textId="77777777" w:rsidTr="00AE7357">
        <w:trPr>
          <w:trHeight w:val="480"/>
        </w:trPr>
        <w:tc>
          <w:tcPr>
            <w:tcW w:w="1302" w:type="pct"/>
            <w:noWrap/>
            <w:vAlign w:val="center"/>
            <w:hideMark/>
          </w:tcPr>
          <w:p w14:paraId="23685207" w14:textId="77777777"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w:t>
            </w:r>
          </w:p>
        </w:tc>
        <w:tc>
          <w:tcPr>
            <w:tcW w:w="255" w:type="pct"/>
            <w:vAlign w:val="center"/>
            <w:hideMark/>
          </w:tcPr>
          <w:p w14:paraId="741FA118" w14:textId="28D85FED"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6</w:t>
            </w:r>
          </w:p>
        </w:tc>
        <w:tc>
          <w:tcPr>
            <w:tcW w:w="258" w:type="pct"/>
            <w:vAlign w:val="center"/>
            <w:hideMark/>
          </w:tcPr>
          <w:p w14:paraId="7C740BA7" w14:textId="100E8C67"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7</w:t>
            </w:r>
          </w:p>
        </w:tc>
        <w:tc>
          <w:tcPr>
            <w:tcW w:w="291" w:type="pct"/>
            <w:vAlign w:val="center"/>
            <w:hideMark/>
          </w:tcPr>
          <w:p w14:paraId="0AF00247" w14:textId="4672EA01"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Total </w:t>
            </w:r>
            <w:r w:rsidRPr="00C70A9F">
              <w:rPr>
                <w:rFonts w:eastAsia="Times New Roman" w:cstheme="majorBidi"/>
                <w:b/>
                <w:bCs/>
                <w:color w:val="000000"/>
                <w:sz w:val="16"/>
                <w:szCs w:val="16"/>
                <w:lang w:val="en-GB"/>
              </w:rPr>
              <w:br/>
              <w:t>(</w:t>
            </w:r>
            <w:r w:rsidR="00E2051A" w:rsidRPr="00C70A9F">
              <w:rPr>
                <w:rFonts w:eastAsia="Times New Roman" w:cstheme="majorBidi"/>
                <w:b/>
                <w:bCs/>
                <w:color w:val="000000"/>
                <w:sz w:val="16"/>
                <w:szCs w:val="16"/>
                <w:lang w:val="en-GB"/>
              </w:rPr>
              <w:t>2026–2027</w:t>
            </w:r>
            <w:r w:rsidRPr="00C70A9F">
              <w:rPr>
                <w:rFonts w:eastAsia="Times New Roman" w:cstheme="majorBidi"/>
                <w:b/>
                <w:bCs/>
                <w:color w:val="000000"/>
                <w:sz w:val="16"/>
                <w:szCs w:val="16"/>
                <w:lang w:val="en-GB"/>
              </w:rPr>
              <w:t>)</w:t>
            </w:r>
          </w:p>
        </w:tc>
        <w:tc>
          <w:tcPr>
            <w:tcW w:w="343" w:type="pct"/>
            <w:vAlign w:val="center"/>
            <w:hideMark/>
          </w:tcPr>
          <w:p w14:paraId="349413F8" w14:textId="151DC37E"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6</w:t>
            </w:r>
          </w:p>
        </w:tc>
        <w:tc>
          <w:tcPr>
            <w:tcW w:w="343" w:type="pct"/>
            <w:vAlign w:val="center"/>
            <w:hideMark/>
          </w:tcPr>
          <w:p w14:paraId="2FCED115" w14:textId="2048FEF6"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7</w:t>
            </w:r>
          </w:p>
        </w:tc>
        <w:tc>
          <w:tcPr>
            <w:tcW w:w="395" w:type="pct"/>
            <w:vAlign w:val="center"/>
            <w:hideMark/>
          </w:tcPr>
          <w:p w14:paraId="2C37F11D" w14:textId="17E66C4B"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Total </w:t>
            </w:r>
            <w:r w:rsidRPr="00C70A9F">
              <w:rPr>
                <w:rFonts w:eastAsia="Times New Roman" w:cstheme="majorBidi"/>
                <w:b/>
                <w:bCs/>
                <w:color w:val="000000"/>
                <w:sz w:val="16"/>
                <w:szCs w:val="16"/>
                <w:lang w:val="en-GB"/>
              </w:rPr>
              <w:br/>
              <w:t>(</w:t>
            </w:r>
            <w:r w:rsidR="00E2051A" w:rsidRPr="00C70A9F">
              <w:rPr>
                <w:rFonts w:eastAsia="Times New Roman" w:cstheme="majorBidi"/>
                <w:b/>
                <w:bCs/>
                <w:color w:val="000000"/>
                <w:sz w:val="16"/>
                <w:szCs w:val="16"/>
                <w:lang w:val="en-GB"/>
              </w:rPr>
              <w:t>2026–2027</w:t>
            </w:r>
            <w:r w:rsidRPr="00C70A9F">
              <w:rPr>
                <w:rFonts w:eastAsia="Times New Roman" w:cstheme="majorBidi"/>
                <w:b/>
                <w:bCs/>
                <w:color w:val="000000"/>
                <w:sz w:val="16"/>
                <w:szCs w:val="16"/>
                <w:lang w:val="en-GB"/>
              </w:rPr>
              <w:t>)</w:t>
            </w:r>
          </w:p>
        </w:tc>
        <w:tc>
          <w:tcPr>
            <w:tcW w:w="246" w:type="pct"/>
            <w:vAlign w:val="center"/>
            <w:hideMark/>
          </w:tcPr>
          <w:p w14:paraId="7929C13F" w14:textId="0648F8EA"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6</w:t>
            </w:r>
          </w:p>
        </w:tc>
        <w:tc>
          <w:tcPr>
            <w:tcW w:w="241" w:type="pct"/>
            <w:vAlign w:val="center"/>
            <w:hideMark/>
          </w:tcPr>
          <w:p w14:paraId="51E77450" w14:textId="7B5A1021"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7</w:t>
            </w:r>
          </w:p>
        </w:tc>
        <w:tc>
          <w:tcPr>
            <w:tcW w:w="291" w:type="pct"/>
            <w:vAlign w:val="center"/>
            <w:hideMark/>
          </w:tcPr>
          <w:p w14:paraId="37660697" w14:textId="7655448C"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Total </w:t>
            </w:r>
            <w:r w:rsidRPr="00C70A9F">
              <w:rPr>
                <w:rFonts w:eastAsia="Times New Roman" w:cstheme="majorBidi"/>
                <w:b/>
                <w:bCs/>
                <w:color w:val="000000"/>
                <w:sz w:val="16"/>
                <w:szCs w:val="16"/>
                <w:lang w:val="en-GB"/>
              </w:rPr>
              <w:br/>
              <w:t>(</w:t>
            </w:r>
            <w:r w:rsidR="00E2051A" w:rsidRPr="00C70A9F">
              <w:rPr>
                <w:rFonts w:eastAsia="Times New Roman" w:cstheme="majorBidi"/>
                <w:b/>
                <w:bCs/>
                <w:color w:val="000000"/>
                <w:sz w:val="16"/>
                <w:szCs w:val="16"/>
                <w:lang w:val="en-GB"/>
              </w:rPr>
              <w:t>2026–2027</w:t>
            </w:r>
            <w:r w:rsidRPr="00C70A9F">
              <w:rPr>
                <w:rFonts w:eastAsia="Times New Roman" w:cstheme="majorBidi"/>
                <w:b/>
                <w:bCs/>
                <w:color w:val="000000"/>
                <w:sz w:val="16"/>
                <w:szCs w:val="16"/>
                <w:lang w:val="en-GB"/>
              </w:rPr>
              <w:t>)</w:t>
            </w:r>
          </w:p>
        </w:tc>
        <w:tc>
          <w:tcPr>
            <w:tcW w:w="338" w:type="pct"/>
            <w:vAlign w:val="center"/>
            <w:hideMark/>
          </w:tcPr>
          <w:p w14:paraId="6017AD6A" w14:textId="68188B02"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6</w:t>
            </w:r>
          </w:p>
        </w:tc>
        <w:tc>
          <w:tcPr>
            <w:tcW w:w="327" w:type="pct"/>
            <w:vAlign w:val="center"/>
            <w:hideMark/>
          </w:tcPr>
          <w:p w14:paraId="07649E31" w14:textId="19EFE714"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202</w:t>
            </w:r>
            <w:r w:rsidR="002301E6" w:rsidRPr="00C70A9F">
              <w:rPr>
                <w:rFonts w:eastAsia="Times New Roman" w:cstheme="majorBidi"/>
                <w:b/>
                <w:bCs/>
                <w:color w:val="000000"/>
                <w:sz w:val="16"/>
                <w:szCs w:val="16"/>
                <w:lang w:val="en-GB"/>
              </w:rPr>
              <w:t>7</w:t>
            </w:r>
          </w:p>
        </w:tc>
        <w:tc>
          <w:tcPr>
            <w:tcW w:w="370" w:type="pct"/>
            <w:gridSpan w:val="2"/>
            <w:vAlign w:val="center"/>
            <w:hideMark/>
          </w:tcPr>
          <w:p w14:paraId="3A1579BE" w14:textId="1A2046F1" w:rsidR="00E723F8" w:rsidRPr="00C70A9F" w:rsidRDefault="00E723F8" w:rsidP="00BD36F8">
            <w:pPr>
              <w:spacing w:after="60" w:line="240" w:lineRule="auto"/>
              <w:jc w:val="center"/>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Total </w:t>
            </w:r>
            <w:r w:rsidRPr="00C70A9F">
              <w:rPr>
                <w:rFonts w:eastAsia="Times New Roman" w:cstheme="majorBidi"/>
                <w:b/>
                <w:bCs/>
                <w:color w:val="000000"/>
                <w:sz w:val="16"/>
                <w:szCs w:val="16"/>
                <w:lang w:val="en-GB"/>
              </w:rPr>
              <w:br/>
              <w:t>(</w:t>
            </w:r>
            <w:r w:rsidR="00E2051A" w:rsidRPr="00C70A9F">
              <w:rPr>
                <w:rFonts w:eastAsia="Times New Roman" w:cstheme="majorBidi"/>
                <w:b/>
                <w:bCs/>
                <w:color w:val="000000"/>
                <w:sz w:val="16"/>
                <w:szCs w:val="16"/>
                <w:lang w:val="en-GB"/>
              </w:rPr>
              <w:t>2026–2027</w:t>
            </w:r>
            <w:r w:rsidRPr="00C70A9F">
              <w:rPr>
                <w:rFonts w:eastAsia="Times New Roman" w:cstheme="majorBidi"/>
                <w:b/>
                <w:bCs/>
                <w:color w:val="000000"/>
                <w:sz w:val="16"/>
                <w:szCs w:val="16"/>
                <w:lang w:val="en-GB"/>
              </w:rPr>
              <w:t>)</w:t>
            </w:r>
          </w:p>
        </w:tc>
      </w:tr>
      <w:tr w:rsidR="0053720F" w:rsidRPr="00C70A9F" w14:paraId="5F4C50E6" w14:textId="77777777" w:rsidTr="00BD36F8">
        <w:trPr>
          <w:trHeight w:val="300"/>
        </w:trPr>
        <w:tc>
          <w:tcPr>
            <w:tcW w:w="5000" w:type="pct"/>
            <w:gridSpan w:val="14"/>
            <w:noWrap/>
            <w:vAlign w:val="center"/>
            <w:hideMark/>
          </w:tcPr>
          <w:p w14:paraId="5959A643" w14:textId="143D9CB7" w:rsidR="00E723F8" w:rsidRPr="00C70A9F" w:rsidRDefault="000961F2" w:rsidP="00BD36F8">
            <w:pPr>
              <w:spacing w:after="60" w:line="240" w:lineRule="auto"/>
              <w:jc w:val="lef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5. Scientific support to the </w:t>
            </w:r>
            <w:r w:rsidR="00AE24F8" w:rsidRPr="00C70A9F">
              <w:rPr>
                <w:rFonts w:eastAsia="Times New Roman" w:cstheme="majorBidi"/>
                <w:b/>
                <w:bCs/>
                <w:color w:val="000000"/>
                <w:sz w:val="16"/>
                <w:szCs w:val="16"/>
                <w:lang w:val="en-GB"/>
              </w:rPr>
              <w:t>P</w:t>
            </w:r>
            <w:r w:rsidRPr="00C70A9F">
              <w:rPr>
                <w:rFonts w:eastAsia="Times New Roman" w:cstheme="majorBidi"/>
                <w:b/>
                <w:bCs/>
                <w:color w:val="000000"/>
                <w:sz w:val="16"/>
                <w:szCs w:val="16"/>
                <w:lang w:val="en-GB"/>
              </w:rPr>
              <w:t>arties to the Minamata Convention</w:t>
            </w:r>
          </w:p>
        </w:tc>
      </w:tr>
      <w:tr w:rsidR="00161EDF" w:rsidRPr="00C70A9F" w14:paraId="07A4FA95" w14:textId="77777777" w:rsidTr="00BD36F8">
        <w:trPr>
          <w:trHeight w:val="300"/>
        </w:trPr>
        <w:tc>
          <w:tcPr>
            <w:tcW w:w="5000" w:type="pct"/>
            <w:gridSpan w:val="14"/>
            <w:noWrap/>
            <w:vAlign w:val="center"/>
          </w:tcPr>
          <w:p w14:paraId="24A922B3" w14:textId="04BFDFC6" w:rsidR="00161EDF" w:rsidRPr="00C70A9F" w:rsidRDefault="00161EDF" w:rsidP="00BD36F8">
            <w:pPr>
              <w:spacing w:after="60" w:line="240" w:lineRule="auto"/>
              <w:jc w:val="lef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5.1. Improvement in methods for mercury inventories</w:t>
            </w:r>
          </w:p>
        </w:tc>
      </w:tr>
      <w:tr w:rsidR="00AE7357" w:rsidRPr="00C70A9F" w14:paraId="2078216D" w14:textId="77777777" w:rsidTr="00AE7357">
        <w:trPr>
          <w:trHeight w:val="377"/>
        </w:trPr>
        <w:tc>
          <w:tcPr>
            <w:tcW w:w="1302" w:type="pct"/>
            <w:vAlign w:val="center"/>
            <w:hideMark/>
          </w:tcPr>
          <w:p w14:paraId="0DC86B5D" w14:textId="7E364BDA" w:rsidR="00E723F8" w:rsidRPr="00C70A9F" w:rsidRDefault="00E723F8" w:rsidP="00BD36F8">
            <w:pPr>
              <w:spacing w:after="60" w:line="240" w:lineRule="auto"/>
              <w:jc w:val="left"/>
              <w:rPr>
                <w:rFonts w:eastAsia="Times New Roman" w:cstheme="majorBidi"/>
                <w:sz w:val="16"/>
                <w:szCs w:val="16"/>
                <w:lang w:val="en-GB"/>
              </w:rPr>
            </w:pPr>
            <w:r w:rsidRPr="00C70A9F">
              <w:rPr>
                <w:rFonts w:eastAsia="Times New Roman" w:cstheme="majorBidi"/>
                <w:sz w:val="16"/>
                <w:szCs w:val="16"/>
                <w:lang w:val="en-GB"/>
              </w:rPr>
              <w:t>Expert support</w:t>
            </w:r>
            <w:r w:rsidR="00653E59" w:rsidRPr="00C70A9F">
              <w:rPr>
                <w:rFonts w:eastAsia="Times New Roman" w:cstheme="majorBidi"/>
                <w:sz w:val="16"/>
                <w:szCs w:val="16"/>
                <w:lang w:val="en-GB"/>
              </w:rPr>
              <w:t xml:space="preserve"> on mercury inventories</w:t>
            </w:r>
          </w:p>
        </w:tc>
        <w:tc>
          <w:tcPr>
            <w:tcW w:w="255" w:type="pct"/>
            <w:noWrap/>
            <w:vAlign w:val="center"/>
          </w:tcPr>
          <w:p w14:paraId="5CCB8029" w14:textId="77777777" w:rsidR="00E723F8" w:rsidRPr="00C70A9F" w:rsidRDefault="00E723F8"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060099A3" w14:textId="77777777" w:rsidR="00E723F8" w:rsidRPr="00C70A9F" w:rsidRDefault="00E723F8"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6012B58A" w14:textId="77777777" w:rsidR="00E723F8" w:rsidRPr="00C70A9F" w:rsidRDefault="00E723F8"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48CB593B" w14:textId="77777777" w:rsidR="00E723F8" w:rsidRPr="00C70A9F" w:rsidRDefault="00E723F8"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43" w:type="pct"/>
            <w:noWrap/>
            <w:vAlign w:val="center"/>
          </w:tcPr>
          <w:p w14:paraId="3C2B0E11" w14:textId="77777777" w:rsidR="00E723F8" w:rsidRPr="00C70A9F" w:rsidRDefault="00E723F8"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95" w:type="pct"/>
            <w:noWrap/>
            <w:vAlign w:val="center"/>
          </w:tcPr>
          <w:p w14:paraId="5AC76FA6" w14:textId="77777777" w:rsidR="00E723F8" w:rsidRPr="00C70A9F" w:rsidRDefault="00E723F8"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c>
          <w:tcPr>
            <w:tcW w:w="246" w:type="pct"/>
            <w:noWrap/>
            <w:vAlign w:val="center"/>
          </w:tcPr>
          <w:p w14:paraId="30132C77" w14:textId="77777777" w:rsidR="00E723F8" w:rsidRPr="00C70A9F" w:rsidRDefault="00E723F8" w:rsidP="00BD36F8">
            <w:pPr>
              <w:spacing w:after="60" w:line="240" w:lineRule="auto"/>
              <w:jc w:val="right"/>
              <w:rPr>
                <w:rFonts w:eastAsia="Times New Roman" w:cstheme="majorBidi"/>
                <w:color w:val="000000"/>
                <w:sz w:val="16"/>
                <w:szCs w:val="16"/>
                <w:lang w:val="en-GB"/>
              </w:rPr>
            </w:pPr>
          </w:p>
        </w:tc>
        <w:tc>
          <w:tcPr>
            <w:tcW w:w="241" w:type="pct"/>
            <w:noWrap/>
            <w:vAlign w:val="center"/>
          </w:tcPr>
          <w:p w14:paraId="6A9DA00E" w14:textId="77777777" w:rsidR="00E723F8" w:rsidRPr="00C70A9F" w:rsidRDefault="00E723F8"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3C121639" w14:textId="77777777" w:rsidR="00E723F8" w:rsidRPr="00C70A9F" w:rsidRDefault="00E723F8" w:rsidP="00BD36F8">
            <w:pPr>
              <w:spacing w:after="60" w:line="240" w:lineRule="auto"/>
              <w:jc w:val="right"/>
              <w:rPr>
                <w:rFonts w:eastAsia="Times New Roman" w:cstheme="majorBidi"/>
                <w:color w:val="000000"/>
                <w:sz w:val="16"/>
                <w:szCs w:val="16"/>
                <w:lang w:val="en-GB"/>
              </w:rPr>
            </w:pPr>
          </w:p>
        </w:tc>
        <w:tc>
          <w:tcPr>
            <w:tcW w:w="338" w:type="pct"/>
            <w:noWrap/>
            <w:vAlign w:val="center"/>
          </w:tcPr>
          <w:p w14:paraId="1CEB5A15" w14:textId="77777777" w:rsidR="00E723F8" w:rsidRPr="00C70A9F" w:rsidRDefault="00E723F8"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27" w:type="pct"/>
            <w:noWrap/>
            <w:vAlign w:val="center"/>
          </w:tcPr>
          <w:p w14:paraId="0BEB9526" w14:textId="77777777" w:rsidR="00E723F8" w:rsidRPr="00C70A9F" w:rsidRDefault="00E723F8"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70" w:type="pct"/>
            <w:gridSpan w:val="2"/>
            <w:noWrap/>
            <w:vAlign w:val="center"/>
          </w:tcPr>
          <w:p w14:paraId="67C58B26" w14:textId="77777777" w:rsidR="00E723F8" w:rsidRPr="00C70A9F" w:rsidRDefault="00E723F8"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r>
      <w:tr w:rsidR="00AE7357" w:rsidRPr="00C70A9F" w14:paraId="779B16FF" w14:textId="77777777" w:rsidTr="00AE7357">
        <w:trPr>
          <w:trHeight w:val="377"/>
        </w:trPr>
        <w:tc>
          <w:tcPr>
            <w:tcW w:w="1302" w:type="pct"/>
            <w:vAlign w:val="center"/>
          </w:tcPr>
          <w:p w14:paraId="55971E27" w14:textId="1D60A2D1" w:rsidR="00387AB1" w:rsidRPr="00C70A9F" w:rsidRDefault="00387AB1" w:rsidP="00BD36F8">
            <w:pPr>
              <w:spacing w:after="60" w:line="240" w:lineRule="auto"/>
              <w:jc w:val="right"/>
              <w:rPr>
                <w:rFonts w:eastAsia="Times New Roman" w:cstheme="majorBidi"/>
                <w:sz w:val="16"/>
                <w:szCs w:val="16"/>
                <w:lang w:val="en-GB"/>
              </w:rPr>
            </w:pPr>
            <w:r w:rsidRPr="00C70A9F">
              <w:rPr>
                <w:rFonts w:eastAsia="Times New Roman" w:cstheme="majorBidi"/>
                <w:b/>
                <w:bCs/>
                <w:sz w:val="16"/>
                <w:szCs w:val="16"/>
                <w:lang w:val="en-GB"/>
              </w:rPr>
              <w:t>Component total</w:t>
            </w:r>
          </w:p>
        </w:tc>
        <w:tc>
          <w:tcPr>
            <w:tcW w:w="255" w:type="pct"/>
            <w:noWrap/>
            <w:vAlign w:val="center"/>
          </w:tcPr>
          <w:p w14:paraId="216CB3F5"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62408628"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6067A9A9"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03E49F46" w14:textId="5FFFAD1E"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43" w:type="pct"/>
            <w:noWrap/>
            <w:vAlign w:val="center"/>
          </w:tcPr>
          <w:p w14:paraId="74BF02F7" w14:textId="7EDBB7D0"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95" w:type="pct"/>
            <w:noWrap/>
            <w:vAlign w:val="center"/>
          </w:tcPr>
          <w:p w14:paraId="5EE1A2F5" w14:textId="68869B74"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c>
          <w:tcPr>
            <w:tcW w:w="246" w:type="pct"/>
            <w:noWrap/>
            <w:vAlign w:val="center"/>
          </w:tcPr>
          <w:p w14:paraId="11357A22"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41" w:type="pct"/>
            <w:noWrap/>
            <w:vAlign w:val="center"/>
          </w:tcPr>
          <w:p w14:paraId="4B9B17C2"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17EB4A2A"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38" w:type="pct"/>
            <w:noWrap/>
            <w:vAlign w:val="center"/>
          </w:tcPr>
          <w:p w14:paraId="3888FB2F" w14:textId="23115028"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27" w:type="pct"/>
            <w:noWrap/>
            <w:vAlign w:val="center"/>
          </w:tcPr>
          <w:p w14:paraId="7A191050" w14:textId="675A5F65"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70" w:type="pct"/>
            <w:gridSpan w:val="2"/>
            <w:noWrap/>
            <w:vAlign w:val="center"/>
          </w:tcPr>
          <w:p w14:paraId="2E93CFE4" w14:textId="40C5E8E6"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r>
      <w:tr w:rsidR="0053720F" w:rsidRPr="00C70A9F" w14:paraId="11A97830" w14:textId="77777777" w:rsidTr="00BD36F8">
        <w:trPr>
          <w:trHeight w:val="300"/>
        </w:trPr>
        <w:tc>
          <w:tcPr>
            <w:tcW w:w="5000" w:type="pct"/>
            <w:gridSpan w:val="14"/>
            <w:noWrap/>
            <w:vAlign w:val="center"/>
            <w:hideMark/>
          </w:tcPr>
          <w:p w14:paraId="3BA7064C" w14:textId="77777777" w:rsidR="00387AB1" w:rsidRPr="00C70A9F" w:rsidRDefault="00387AB1" w:rsidP="00BD36F8">
            <w:pPr>
              <w:spacing w:after="60" w:line="240" w:lineRule="auto"/>
              <w:jc w:val="lef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5.2 Information exchange on modelling and monitoring</w:t>
            </w:r>
          </w:p>
        </w:tc>
      </w:tr>
      <w:tr w:rsidR="00AE7357" w:rsidRPr="00C70A9F" w14:paraId="726EAAE5" w14:textId="77777777" w:rsidTr="00AE7357">
        <w:trPr>
          <w:trHeight w:val="377"/>
        </w:trPr>
        <w:tc>
          <w:tcPr>
            <w:tcW w:w="1302" w:type="pct"/>
            <w:vAlign w:val="center"/>
            <w:hideMark/>
          </w:tcPr>
          <w:p w14:paraId="2D749677" w14:textId="27D7AACE" w:rsidR="00387AB1" w:rsidRPr="00C70A9F" w:rsidRDefault="00387AB1" w:rsidP="00BD36F8">
            <w:pPr>
              <w:spacing w:after="60" w:line="240" w:lineRule="auto"/>
              <w:jc w:val="left"/>
              <w:rPr>
                <w:rFonts w:eastAsia="Times New Roman" w:cstheme="majorBidi"/>
                <w:sz w:val="16"/>
                <w:szCs w:val="16"/>
                <w:lang w:val="en-GB"/>
              </w:rPr>
            </w:pPr>
            <w:r w:rsidRPr="00C70A9F">
              <w:rPr>
                <w:rFonts w:eastAsia="Times New Roman" w:cstheme="majorBidi"/>
                <w:sz w:val="16"/>
                <w:szCs w:val="16"/>
                <w:lang w:val="en-GB"/>
              </w:rPr>
              <w:t>Expert support</w:t>
            </w:r>
            <w:r w:rsidR="00653E59" w:rsidRPr="00C70A9F">
              <w:rPr>
                <w:rFonts w:eastAsia="Times New Roman" w:cstheme="majorBidi"/>
                <w:sz w:val="16"/>
                <w:szCs w:val="16"/>
                <w:lang w:val="en-GB"/>
              </w:rPr>
              <w:t xml:space="preserve"> on </w:t>
            </w:r>
            <w:r w:rsidR="00E25757" w:rsidRPr="00C70A9F">
              <w:rPr>
                <w:rFonts w:eastAsia="Times New Roman" w:cstheme="majorBidi"/>
                <w:sz w:val="16"/>
                <w:szCs w:val="16"/>
                <w:lang w:val="en-GB"/>
              </w:rPr>
              <w:t>modelling and monitoring</w:t>
            </w:r>
          </w:p>
        </w:tc>
        <w:tc>
          <w:tcPr>
            <w:tcW w:w="255" w:type="pct"/>
            <w:noWrap/>
            <w:vAlign w:val="center"/>
          </w:tcPr>
          <w:p w14:paraId="6CBD2294"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2EE46F51"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0C8F5178"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7135104E"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43" w:type="pct"/>
            <w:noWrap/>
            <w:vAlign w:val="center"/>
          </w:tcPr>
          <w:p w14:paraId="1BBF6485"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95" w:type="pct"/>
            <w:noWrap/>
            <w:vAlign w:val="center"/>
          </w:tcPr>
          <w:p w14:paraId="187FF040"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c>
          <w:tcPr>
            <w:tcW w:w="246" w:type="pct"/>
            <w:noWrap/>
            <w:vAlign w:val="center"/>
          </w:tcPr>
          <w:p w14:paraId="7F3087FC"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41" w:type="pct"/>
            <w:noWrap/>
            <w:vAlign w:val="center"/>
          </w:tcPr>
          <w:p w14:paraId="03DDCC5B"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6EF571A2"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38" w:type="pct"/>
            <w:noWrap/>
            <w:vAlign w:val="center"/>
          </w:tcPr>
          <w:p w14:paraId="591544FE"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27" w:type="pct"/>
            <w:noWrap/>
            <w:vAlign w:val="center"/>
          </w:tcPr>
          <w:p w14:paraId="2004A8E8"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70" w:type="pct"/>
            <w:gridSpan w:val="2"/>
            <w:noWrap/>
            <w:vAlign w:val="center"/>
          </w:tcPr>
          <w:p w14:paraId="6DD07D95"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r>
      <w:tr w:rsidR="00AE7357" w:rsidRPr="00C70A9F" w14:paraId="05CC0120" w14:textId="77777777" w:rsidTr="00AE7357">
        <w:trPr>
          <w:trHeight w:val="377"/>
        </w:trPr>
        <w:tc>
          <w:tcPr>
            <w:tcW w:w="1302" w:type="pct"/>
            <w:vAlign w:val="center"/>
          </w:tcPr>
          <w:p w14:paraId="0147EBAF" w14:textId="206057CF" w:rsidR="00387AB1" w:rsidRPr="00C70A9F" w:rsidRDefault="00387AB1" w:rsidP="00BD36F8">
            <w:pPr>
              <w:spacing w:after="60" w:line="240" w:lineRule="auto"/>
              <w:jc w:val="right"/>
              <w:rPr>
                <w:rFonts w:eastAsia="Times New Roman" w:cstheme="majorBidi"/>
                <w:sz w:val="16"/>
                <w:szCs w:val="16"/>
                <w:lang w:val="en-GB"/>
              </w:rPr>
            </w:pPr>
            <w:r w:rsidRPr="00C70A9F">
              <w:rPr>
                <w:rFonts w:eastAsia="Times New Roman" w:cstheme="majorBidi"/>
                <w:b/>
                <w:bCs/>
                <w:sz w:val="16"/>
                <w:szCs w:val="16"/>
                <w:lang w:val="en-GB"/>
              </w:rPr>
              <w:t>Component total</w:t>
            </w:r>
          </w:p>
        </w:tc>
        <w:tc>
          <w:tcPr>
            <w:tcW w:w="255" w:type="pct"/>
            <w:noWrap/>
            <w:vAlign w:val="center"/>
          </w:tcPr>
          <w:p w14:paraId="3F295A70"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307F4791"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1DE9528E"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1B10D300" w14:textId="1BA6730B"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w:t>
            </w:r>
            <w:r w:rsidR="00BB0D87" w:rsidRPr="00C70A9F">
              <w:rPr>
                <w:rFonts w:eastAsia="Times New Roman" w:cstheme="majorBidi"/>
                <w:b/>
                <w:bCs/>
                <w:color w:val="000000"/>
                <w:sz w:val="16"/>
                <w:szCs w:val="16"/>
                <w:lang w:val="en-GB"/>
              </w:rPr>
              <w:t>,000</w:t>
            </w:r>
          </w:p>
        </w:tc>
        <w:tc>
          <w:tcPr>
            <w:tcW w:w="343" w:type="pct"/>
            <w:noWrap/>
            <w:vAlign w:val="center"/>
          </w:tcPr>
          <w:p w14:paraId="6F7B706D" w14:textId="7D762F6F"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95" w:type="pct"/>
            <w:noWrap/>
            <w:vAlign w:val="center"/>
          </w:tcPr>
          <w:p w14:paraId="6D950619" w14:textId="6B770E2C"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c>
          <w:tcPr>
            <w:tcW w:w="246" w:type="pct"/>
            <w:noWrap/>
            <w:vAlign w:val="center"/>
          </w:tcPr>
          <w:p w14:paraId="0917DAB5"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41" w:type="pct"/>
            <w:noWrap/>
            <w:vAlign w:val="center"/>
          </w:tcPr>
          <w:p w14:paraId="732DFB56"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46100B2D"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38" w:type="pct"/>
            <w:noWrap/>
            <w:vAlign w:val="center"/>
          </w:tcPr>
          <w:p w14:paraId="70899DC7" w14:textId="426DECA1"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27" w:type="pct"/>
            <w:noWrap/>
            <w:vAlign w:val="center"/>
          </w:tcPr>
          <w:p w14:paraId="6A76D2BA" w14:textId="19047C40"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70" w:type="pct"/>
            <w:gridSpan w:val="2"/>
            <w:noWrap/>
            <w:vAlign w:val="center"/>
          </w:tcPr>
          <w:p w14:paraId="6B7F1816" w14:textId="3FAB651C"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r>
      <w:tr w:rsidR="0053720F" w:rsidRPr="00C70A9F" w14:paraId="64531474" w14:textId="77777777" w:rsidTr="00BD36F8">
        <w:trPr>
          <w:trHeight w:val="300"/>
        </w:trPr>
        <w:tc>
          <w:tcPr>
            <w:tcW w:w="5000" w:type="pct"/>
            <w:gridSpan w:val="14"/>
            <w:noWrap/>
            <w:vAlign w:val="center"/>
            <w:hideMark/>
          </w:tcPr>
          <w:p w14:paraId="1A9F1771" w14:textId="77777777" w:rsidR="00387AB1" w:rsidRPr="00C70A9F" w:rsidRDefault="00387AB1" w:rsidP="00BD36F8">
            <w:pPr>
              <w:spacing w:after="60" w:line="240" w:lineRule="auto"/>
              <w:jc w:val="lef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5.3 Assessment of health, environmental and socio-economic impact of mercury</w:t>
            </w:r>
          </w:p>
        </w:tc>
      </w:tr>
      <w:tr w:rsidR="00AE7357" w:rsidRPr="00C70A9F" w14:paraId="2E3C49F2" w14:textId="77777777" w:rsidTr="00AE7357">
        <w:trPr>
          <w:trHeight w:val="377"/>
        </w:trPr>
        <w:tc>
          <w:tcPr>
            <w:tcW w:w="1302" w:type="pct"/>
            <w:vAlign w:val="center"/>
            <w:hideMark/>
          </w:tcPr>
          <w:p w14:paraId="62448E24" w14:textId="407BEC13" w:rsidR="00387AB1" w:rsidRPr="00C70A9F" w:rsidRDefault="00387AB1" w:rsidP="00BD36F8">
            <w:pPr>
              <w:spacing w:after="60" w:line="240" w:lineRule="auto"/>
              <w:jc w:val="left"/>
              <w:rPr>
                <w:rFonts w:eastAsia="Times New Roman" w:cstheme="majorBidi"/>
                <w:sz w:val="16"/>
                <w:szCs w:val="16"/>
                <w:lang w:val="en-GB"/>
              </w:rPr>
            </w:pPr>
            <w:r w:rsidRPr="00C70A9F">
              <w:rPr>
                <w:rFonts w:eastAsia="Times New Roman" w:cstheme="majorBidi"/>
                <w:sz w:val="16"/>
                <w:szCs w:val="16"/>
                <w:lang w:val="en-GB"/>
              </w:rPr>
              <w:t>Expert support</w:t>
            </w:r>
            <w:r w:rsidR="00E25757" w:rsidRPr="00C70A9F">
              <w:rPr>
                <w:rFonts w:eastAsia="Times New Roman" w:cstheme="majorBidi"/>
                <w:sz w:val="16"/>
                <w:szCs w:val="16"/>
                <w:lang w:val="en-GB"/>
              </w:rPr>
              <w:t xml:space="preserve"> on impact assessment</w:t>
            </w:r>
            <w:r w:rsidR="00DA43C1" w:rsidRPr="00C70A9F">
              <w:rPr>
                <w:rFonts w:eastAsia="Times New Roman" w:cstheme="majorBidi"/>
                <w:sz w:val="16"/>
                <w:szCs w:val="16"/>
                <w:lang w:val="en-GB"/>
              </w:rPr>
              <w:t xml:space="preserve"> and </w:t>
            </w:r>
            <w:r w:rsidR="009423DA" w:rsidRPr="00C70A9F">
              <w:rPr>
                <w:rFonts w:eastAsia="Times New Roman" w:cstheme="majorBidi"/>
                <w:sz w:val="16"/>
                <w:szCs w:val="16"/>
                <w:lang w:val="en-GB"/>
              </w:rPr>
              <w:t>on effective engagement</w:t>
            </w:r>
            <w:r w:rsidR="00EC4534" w:rsidRPr="00C70A9F">
              <w:rPr>
                <w:rFonts w:eastAsia="Times New Roman" w:cstheme="majorBidi"/>
                <w:sz w:val="16"/>
                <w:szCs w:val="16"/>
                <w:lang w:val="en-GB"/>
              </w:rPr>
              <w:t xml:space="preserve"> and participation of </w:t>
            </w:r>
            <w:r w:rsidR="00C22EC6">
              <w:rPr>
                <w:rFonts w:eastAsia="Times New Roman" w:cstheme="majorBidi"/>
                <w:sz w:val="16"/>
                <w:szCs w:val="16"/>
                <w:lang w:val="en-GB"/>
              </w:rPr>
              <w:t>I</w:t>
            </w:r>
            <w:r w:rsidR="00EC4534" w:rsidRPr="00C70A9F">
              <w:rPr>
                <w:rFonts w:eastAsia="Times New Roman" w:cstheme="majorBidi"/>
                <w:sz w:val="16"/>
                <w:szCs w:val="16"/>
                <w:lang w:val="en-GB"/>
              </w:rPr>
              <w:t xml:space="preserve">ndigenous </w:t>
            </w:r>
            <w:r w:rsidR="00C22EC6">
              <w:rPr>
                <w:rFonts w:eastAsia="Times New Roman" w:cstheme="majorBidi"/>
                <w:sz w:val="16"/>
                <w:szCs w:val="16"/>
                <w:lang w:val="en-GB"/>
              </w:rPr>
              <w:t>P</w:t>
            </w:r>
            <w:r w:rsidR="00EC4534" w:rsidRPr="00C70A9F">
              <w:rPr>
                <w:rFonts w:eastAsia="Times New Roman" w:cstheme="majorBidi"/>
                <w:sz w:val="16"/>
                <w:szCs w:val="16"/>
                <w:lang w:val="en-GB"/>
              </w:rPr>
              <w:t xml:space="preserve">eoples and </w:t>
            </w:r>
            <w:r w:rsidR="00C22EC6">
              <w:rPr>
                <w:rFonts w:eastAsia="Times New Roman" w:cstheme="majorBidi"/>
                <w:sz w:val="16"/>
                <w:szCs w:val="16"/>
                <w:lang w:val="en-GB"/>
              </w:rPr>
              <w:t xml:space="preserve">of </w:t>
            </w:r>
            <w:r w:rsidR="00EC4534" w:rsidRPr="00C70A9F">
              <w:rPr>
                <w:rFonts w:eastAsia="Times New Roman" w:cstheme="majorBidi"/>
                <w:sz w:val="16"/>
                <w:szCs w:val="16"/>
                <w:lang w:val="en-GB"/>
              </w:rPr>
              <w:t>local communities</w:t>
            </w:r>
          </w:p>
        </w:tc>
        <w:tc>
          <w:tcPr>
            <w:tcW w:w="255" w:type="pct"/>
            <w:noWrap/>
            <w:vAlign w:val="center"/>
          </w:tcPr>
          <w:p w14:paraId="7B0DD969"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5D5A8548"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74B809F9"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53638819" w14:textId="1E9AF40E" w:rsidR="00387AB1" w:rsidRPr="00C70A9F" w:rsidRDefault="002301E6"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75</w:t>
            </w:r>
            <w:r w:rsidR="00387AB1" w:rsidRPr="00C70A9F">
              <w:rPr>
                <w:rFonts w:eastAsia="Times New Roman" w:cstheme="majorBidi"/>
                <w:color w:val="000000"/>
                <w:sz w:val="16"/>
                <w:szCs w:val="16"/>
                <w:lang w:val="en-GB"/>
              </w:rPr>
              <w:t>,000</w:t>
            </w:r>
          </w:p>
        </w:tc>
        <w:tc>
          <w:tcPr>
            <w:tcW w:w="343" w:type="pct"/>
            <w:noWrap/>
            <w:vAlign w:val="center"/>
          </w:tcPr>
          <w:p w14:paraId="2C68FDA0" w14:textId="733B583E" w:rsidR="00387AB1" w:rsidRPr="00C70A9F" w:rsidRDefault="002301E6"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75</w:t>
            </w:r>
            <w:r w:rsidR="00387AB1" w:rsidRPr="00C70A9F">
              <w:rPr>
                <w:rFonts w:eastAsia="Times New Roman" w:cstheme="majorBidi"/>
                <w:color w:val="000000"/>
                <w:sz w:val="16"/>
                <w:szCs w:val="16"/>
                <w:lang w:val="en-GB"/>
              </w:rPr>
              <w:t>,000</w:t>
            </w:r>
          </w:p>
        </w:tc>
        <w:tc>
          <w:tcPr>
            <w:tcW w:w="395" w:type="pct"/>
            <w:noWrap/>
            <w:vAlign w:val="center"/>
          </w:tcPr>
          <w:p w14:paraId="52D6B519" w14:textId="708E1287"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w:t>
            </w:r>
            <w:r w:rsidR="002301E6" w:rsidRPr="00C70A9F">
              <w:rPr>
                <w:rFonts w:eastAsia="Times New Roman" w:cstheme="majorBidi"/>
                <w:b/>
                <w:bCs/>
                <w:color w:val="000000"/>
                <w:sz w:val="16"/>
                <w:szCs w:val="16"/>
                <w:lang w:val="en-GB"/>
              </w:rPr>
              <w:t>5</w:t>
            </w:r>
            <w:r w:rsidRPr="00C70A9F">
              <w:rPr>
                <w:rFonts w:eastAsia="Times New Roman" w:cstheme="majorBidi"/>
                <w:b/>
                <w:bCs/>
                <w:color w:val="000000"/>
                <w:sz w:val="16"/>
                <w:szCs w:val="16"/>
                <w:lang w:val="en-GB"/>
              </w:rPr>
              <w:t>0,000</w:t>
            </w:r>
          </w:p>
        </w:tc>
        <w:tc>
          <w:tcPr>
            <w:tcW w:w="246" w:type="pct"/>
            <w:noWrap/>
            <w:vAlign w:val="center"/>
          </w:tcPr>
          <w:p w14:paraId="11EE4EFC" w14:textId="1A00AD63" w:rsidR="00387AB1" w:rsidRPr="00C70A9F" w:rsidRDefault="00387AB1" w:rsidP="00BD36F8">
            <w:pPr>
              <w:spacing w:after="60" w:line="240" w:lineRule="auto"/>
              <w:jc w:val="right"/>
              <w:rPr>
                <w:rFonts w:eastAsia="Times New Roman" w:cstheme="majorBidi"/>
                <w:color w:val="000000"/>
                <w:sz w:val="16"/>
                <w:szCs w:val="16"/>
                <w:lang w:val="en-GB"/>
              </w:rPr>
            </w:pPr>
          </w:p>
        </w:tc>
        <w:tc>
          <w:tcPr>
            <w:tcW w:w="241" w:type="pct"/>
            <w:noWrap/>
            <w:vAlign w:val="center"/>
          </w:tcPr>
          <w:p w14:paraId="7E58D749"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3147FF23" w14:textId="30D96D52" w:rsidR="00387AB1" w:rsidRPr="00C70A9F" w:rsidRDefault="00387AB1" w:rsidP="00BD36F8">
            <w:pPr>
              <w:spacing w:after="60" w:line="240" w:lineRule="auto"/>
              <w:jc w:val="right"/>
              <w:rPr>
                <w:rFonts w:eastAsia="Times New Roman" w:cstheme="majorBidi"/>
                <w:color w:val="000000"/>
                <w:sz w:val="16"/>
                <w:szCs w:val="16"/>
                <w:lang w:val="en-GB"/>
              </w:rPr>
            </w:pPr>
          </w:p>
        </w:tc>
        <w:tc>
          <w:tcPr>
            <w:tcW w:w="338" w:type="pct"/>
            <w:noWrap/>
            <w:vAlign w:val="center"/>
          </w:tcPr>
          <w:p w14:paraId="32139FAF" w14:textId="4C739F5D" w:rsidR="00387AB1" w:rsidRPr="00C70A9F" w:rsidRDefault="002301E6"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75</w:t>
            </w:r>
            <w:r w:rsidR="00387AB1" w:rsidRPr="00C70A9F">
              <w:rPr>
                <w:rFonts w:eastAsia="Times New Roman" w:cstheme="majorBidi"/>
                <w:color w:val="000000"/>
                <w:sz w:val="16"/>
                <w:szCs w:val="16"/>
                <w:lang w:val="en-GB"/>
              </w:rPr>
              <w:t>,000</w:t>
            </w:r>
          </w:p>
        </w:tc>
        <w:tc>
          <w:tcPr>
            <w:tcW w:w="327" w:type="pct"/>
            <w:noWrap/>
            <w:vAlign w:val="center"/>
          </w:tcPr>
          <w:p w14:paraId="35E1B85E" w14:textId="37B5FEB1" w:rsidR="00387AB1" w:rsidRPr="00C70A9F" w:rsidRDefault="002301E6"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75</w:t>
            </w:r>
            <w:r w:rsidR="00387AB1" w:rsidRPr="00C70A9F">
              <w:rPr>
                <w:rFonts w:eastAsia="Times New Roman" w:cstheme="majorBidi"/>
                <w:color w:val="000000"/>
                <w:sz w:val="16"/>
                <w:szCs w:val="16"/>
                <w:lang w:val="en-GB"/>
              </w:rPr>
              <w:t>,000</w:t>
            </w:r>
          </w:p>
        </w:tc>
        <w:tc>
          <w:tcPr>
            <w:tcW w:w="370" w:type="pct"/>
            <w:gridSpan w:val="2"/>
            <w:noWrap/>
            <w:vAlign w:val="center"/>
          </w:tcPr>
          <w:p w14:paraId="2F6AC60A" w14:textId="31898362"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w:t>
            </w:r>
            <w:r w:rsidR="002301E6" w:rsidRPr="00C70A9F">
              <w:rPr>
                <w:rFonts w:eastAsia="Times New Roman" w:cstheme="majorBidi"/>
                <w:b/>
                <w:bCs/>
                <w:color w:val="000000"/>
                <w:sz w:val="16"/>
                <w:szCs w:val="16"/>
                <w:lang w:val="en-GB"/>
              </w:rPr>
              <w:t>5</w:t>
            </w:r>
            <w:r w:rsidRPr="00C70A9F">
              <w:rPr>
                <w:rFonts w:eastAsia="Times New Roman" w:cstheme="majorBidi"/>
                <w:b/>
                <w:bCs/>
                <w:color w:val="000000"/>
                <w:sz w:val="16"/>
                <w:szCs w:val="16"/>
                <w:lang w:val="en-GB"/>
              </w:rPr>
              <w:t>0,000</w:t>
            </w:r>
          </w:p>
        </w:tc>
      </w:tr>
      <w:tr w:rsidR="00AE7357" w:rsidRPr="00C70A9F" w14:paraId="2E25B308" w14:textId="77777777" w:rsidTr="00AE7357">
        <w:trPr>
          <w:trHeight w:val="377"/>
        </w:trPr>
        <w:tc>
          <w:tcPr>
            <w:tcW w:w="1302" w:type="pct"/>
            <w:vAlign w:val="center"/>
          </w:tcPr>
          <w:p w14:paraId="3184D6CF" w14:textId="3F4FA6A1" w:rsidR="00387AB1" w:rsidRPr="00C70A9F" w:rsidRDefault="00387AB1" w:rsidP="00BD36F8">
            <w:pPr>
              <w:spacing w:after="60" w:line="240" w:lineRule="auto"/>
              <w:jc w:val="right"/>
              <w:rPr>
                <w:rFonts w:eastAsia="Times New Roman" w:cstheme="majorBidi"/>
                <w:sz w:val="16"/>
                <w:szCs w:val="16"/>
                <w:lang w:val="en-GB"/>
              </w:rPr>
            </w:pPr>
            <w:r w:rsidRPr="00C70A9F">
              <w:rPr>
                <w:rFonts w:eastAsia="Times New Roman" w:cstheme="majorBidi"/>
                <w:b/>
                <w:bCs/>
                <w:sz w:val="16"/>
                <w:szCs w:val="16"/>
                <w:lang w:val="en-GB"/>
              </w:rPr>
              <w:t>Component total</w:t>
            </w:r>
          </w:p>
        </w:tc>
        <w:tc>
          <w:tcPr>
            <w:tcW w:w="255" w:type="pct"/>
            <w:noWrap/>
            <w:vAlign w:val="center"/>
          </w:tcPr>
          <w:p w14:paraId="50319E16"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1A8A987F"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52090632"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3F3F7FA2" w14:textId="554994C7" w:rsidR="00387AB1" w:rsidRPr="00C70A9F" w:rsidRDefault="00AE735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75</w:t>
            </w:r>
            <w:r w:rsidR="00BB0D87" w:rsidRPr="00C70A9F">
              <w:rPr>
                <w:rFonts w:eastAsia="Times New Roman" w:cstheme="majorBidi"/>
                <w:b/>
                <w:bCs/>
                <w:color w:val="000000"/>
                <w:sz w:val="16"/>
                <w:szCs w:val="16"/>
                <w:lang w:val="en-GB"/>
              </w:rPr>
              <w:t>,000</w:t>
            </w:r>
          </w:p>
        </w:tc>
        <w:tc>
          <w:tcPr>
            <w:tcW w:w="343" w:type="pct"/>
            <w:noWrap/>
            <w:vAlign w:val="center"/>
          </w:tcPr>
          <w:p w14:paraId="02105108" w14:textId="0043C6DD" w:rsidR="00387AB1" w:rsidRPr="00C70A9F" w:rsidRDefault="00AE735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75</w:t>
            </w:r>
            <w:r w:rsidR="00BB0D87" w:rsidRPr="00C70A9F">
              <w:rPr>
                <w:rFonts w:eastAsia="Times New Roman" w:cstheme="majorBidi"/>
                <w:b/>
                <w:bCs/>
                <w:color w:val="000000"/>
                <w:sz w:val="16"/>
                <w:szCs w:val="16"/>
                <w:lang w:val="en-GB"/>
              </w:rPr>
              <w:t>,000</w:t>
            </w:r>
          </w:p>
        </w:tc>
        <w:tc>
          <w:tcPr>
            <w:tcW w:w="395" w:type="pct"/>
            <w:noWrap/>
            <w:vAlign w:val="center"/>
          </w:tcPr>
          <w:p w14:paraId="470157F4" w14:textId="5EE92D8C"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w:t>
            </w:r>
            <w:r w:rsidR="00AE7357" w:rsidRPr="00C70A9F">
              <w:rPr>
                <w:rFonts w:eastAsia="Times New Roman" w:cstheme="majorBidi"/>
                <w:b/>
                <w:bCs/>
                <w:color w:val="000000"/>
                <w:sz w:val="16"/>
                <w:szCs w:val="16"/>
                <w:lang w:val="en-GB"/>
              </w:rPr>
              <w:t>5</w:t>
            </w:r>
            <w:r w:rsidRPr="00C70A9F">
              <w:rPr>
                <w:rFonts w:eastAsia="Times New Roman" w:cstheme="majorBidi"/>
                <w:b/>
                <w:bCs/>
                <w:color w:val="000000"/>
                <w:sz w:val="16"/>
                <w:szCs w:val="16"/>
                <w:lang w:val="en-GB"/>
              </w:rPr>
              <w:t>0,000</w:t>
            </w:r>
          </w:p>
        </w:tc>
        <w:tc>
          <w:tcPr>
            <w:tcW w:w="246" w:type="pct"/>
            <w:noWrap/>
            <w:vAlign w:val="center"/>
          </w:tcPr>
          <w:p w14:paraId="19980064"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41" w:type="pct"/>
            <w:noWrap/>
            <w:vAlign w:val="center"/>
          </w:tcPr>
          <w:p w14:paraId="7753B126"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60C0012E"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38" w:type="pct"/>
            <w:noWrap/>
            <w:vAlign w:val="center"/>
          </w:tcPr>
          <w:p w14:paraId="40FA1DA6" w14:textId="01C483A0" w:rsidR="00387AB1" w:rsidRPr="00C70A9F" w:rsidRDefault="00AE735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75</w:t>
            </w:r>
            <w:r w:rsidR="00BB0D87" w:rsidRPr="00C70A9F">
              <w:rPr>
                <w:rFonts w:eastAsia="Times New Roman" w:cstheme="majorBidi"/>
                <w:b/>
                <w:bCs/>
                <w:color w:val="000000"/>
                <w:sz w:val="16"/>
                <w:szCs w:val="16"/>
                <w:lang w:val="en-GB"/>
              </w:rPr>
              <w:t>,000</w:t>
            </w:r>
          </w:p>
        </w:tc>
        <w:tc>
          <w:tcPr>
            <w:tcW w:w="327" w:type="pct"/>
            <w:noWrap/>
            <w:vAlign w:val="center"/>
          </w:tcPr>
          <w:p w14:paraId="56503E46" w14:textId="256A3945" w:rsidR="00387AB1" w:rsidRPr="00C70A9F" w:rsidRDefault="00AE735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75</w:t>
            </w:r>
            <w:r w:rsidR="00BB0D87" w:rsidRPr="00C70A9F">
              <w:rPr>
                <w:rFonts w:eastAsia="Times New Roman" w:cstheme="majorBidi"/>
                <w:b/>
                <w:bCs/>
                <w:color w:val="000000"/>
                <w:sz w:val="16"/>
                <w:szCs w:val="16"/>
                <w:lang w:val="en-GB"/>
              </w:rPr>
              <w:t>,000</w:t>
            </w:r>
          </w:p>
        </w:tc>
        <w:tc>
          <w:tcPr>
            <w:tcW w:w="370" w:type="pct"/>
            <w:gridSpan w:val="2"/>
            <w:noWrap/>
            <w:vAlign w:val="center"/>
          </w:tcPr>
          <w:p w14:paraId="5F71DC85" w14:textId="4653DC92"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w:t>
            </w:r>
            <w:r w:rsidR="00AE7357" w:rsidRPr="00C70A9F">
              <w:rPr>
                <w:rFonts w:eastAsia="Times New Roman" w:cstheme="majorBidi"/>
                <w:b/>
                <w:bCs/>
                <w:color w:val="000000"/>
                <w:sz w:val="16"/>
                <w:szCs w:val="16"/>
                <w:lang w:val="en-GB"/>
              </w:rPr>
              <w:t>5</w:t>
            </w:r>
            <w:r w:rsidRPr="00C70A9F">
              <w:rPr>
                <w:rFonts w:eastAsia="Times New Roman" w:cstheme="majorBidi"/>
                <w:b/>
                <w:bCs/>
                <w:color w:val="000000"/>
                <w:sz w:val="16"/>
                <w:szCs w:val="16"/>
                <w:lang w:val="en-GB"/>
              </w:rPr>
              <w:t>0,000</w:t>
            </w:r>
          </w:p>
        </w:tc>
      </w:tr>
      <w:tr w:rsidR="0053720F" w:rsidRPr="00C70A9F" w14:paraId="0B47A646" w14:textId="77777777" w:rsidTr="00BD36F8">
        <w:trPr>
          <w:trHeight w:val="300"/>
        </w:trPr>
        <w:tc>
          <w:tcPr>
            <w:tcW w:w="5000" w:type="pct"/>
            <w:gridSpan w:val="14"/>
            <w:noWrap/>
            <w:vAlign w:val="center"/>
            <w:hideMark/>
          </w:tcPr>
          <w:p w14:paraId="59ED9A5C" w14:textId="77777777" w:rsidR="00387AB1" w:rsidRPr="00C70A9F" w:rsidRDefault="00387AB1" w:rsidP="00BD36F8">
            <w:pPr>
              <w:spacing w:after="60" w:line="240" w:lineRule="auto"/>
              <w:jc w:val="lef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5.4 Information exchange in mercury reduction technologies</w:t>
            </w:r>
          </w:p>
        </w:tc>
      </w:tr>
      <w:tr w:rsidR="00AE7357" w:rsidRPr="00C70A9F" w14:paraId="2804EA12" w14:textId="77777777" w:rsidTr="00AE7357">
        <w:trPr>
          <w:trHeight w:val="377"/>
        </w:trPr>
        <w:tc>
          <w:tcPr>
            <w:tcW w:w="1302" w:type="pct"/>
            <w:vAlign w:val="center"/>
            <w:hideMark/>
          </w:tcPr>
          <w:p w14:paraId="56C27FA7" w14:textId="0820D3B5" w:rsidR="00387AB1" w:rsidRPr="00C70A9F" w:rsidRDefault="00387AB1" w:rsidP="00BD36F8">
            <w:pPr>
              <w:spacing w:after="60" w:line="240" w:lineRule="auto"/>
              <w:jc w:val="left"/>
              <w:rPr>
                <w:rFonts w:eastAsia="Times New Roman" w:cstheme="majorBidi"/>
                <w:sz w:val="16"/>
                <w:szCs w:val="16"/>
                <w:lang w:val="en-GB"/>
              </w:rPr>
            </w:pPr>
            <w:r w:rsidRPr="00C70A9F">
              <w:rPr>
                <w:rFonts w:eastAsia="Times New Roman" w:cstheme="majorBidi"/>
                <w:sz w:val="16"/>
                <w:szCs w:val="16"/>
                <w:lang w:val="en-GB"/>
              </w:rPr>
              <w:t>Expert support</w:t>
            </w:r>
            <w:r w:rsidR="00994A8D" w:rsidRPr="00C70A9F">
              <w:rPr>
                <w:rFonts w:eastAsia="Times New Roman" w:cstheme="majorBidi"/>
                <w:sz w:val="16"/>
                <w:szCs w:val="16"/>
                <w:lang w:val="en-GB"/>
              </w:rPr>
              <w:t xml:space="preserve"> on mercury reduction technologies</w:t>
            </w:r>
          </w:p>
        </w:tc>
        <w:tc>
          <w:tcPr>
            <w:tcW w:w="255" w:type="pct"/>
            <w:noWrap/>
            <w:vAlign w:val="center"/>
          </w:tcPr>
          <w:p w14:paraId="7EA81AA8"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12139BF1"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1552183D"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09788BAB"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43" w:type="pct"/>
            <w:noWrap/>
            <w:vAlign w:val="center"/>
          </w:tcPr>
          <w:p w14:paraId="7092D8BD"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95" w:type="pct"/>
            <w:noWrap/>
            <w:vAlign w:val="center"/>
          </w:tcPr>
          <w:p w14:paraId="4C91BEA6"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c>
          <w:tcPr>
            <w:tcW w:w="246" w:type="pct"/>
            <w:noWrap/>
            <w:vAlign w:val="center"/>
          </w:tcPr>
          <w:p w14:paraId="0E4BC70A"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41" w:type="pct"/>
            <w:noWrap/>
            <w:vAlign w:val="center"/>
          </w:tcPr>
          <w:p w14:paraId="0C1F9138"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3212C8DE"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38" w:type="pct"/>
            <w:noWrap/>
            <w:vAlign w:val="center"/>
          </w:tcPr>
          <w:p w14:paraId="15B0B6FB"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27" w:type="pct"/>
            <w:noWrap/>
            <w:vAlign w:val="center"/>
          </w:tcPr>
          <w:p w14:paraId="376875DA"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50,000</w:t>
            </w:r>
          </w:p>
        </w:tc>
        <w:tc>
          <w:tcPr>
            <w:tcW w:w="370" w:type="pct"/>
            <w:gridSpan w:val="2"/>
            <w:noWrap/>
            <w:vAlign w:val="center"/>
          </w:tcPr>
          <w:p w14:paraId="3D7E0EA7"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r>
      <w:tr w:rsidR="00AE7357" w:rsidRPr="00C70A9F" w14:paraId="618B3802" w14:textId="77777777" w:rsidTr="00AE7357">
        <w:trPr>
          <w:trHeight w:val="377"/>
        </w:trPr>
        <w:tc>
          <w:tcPr>
            <w:tcW w:w="1302" w:type="pct"/>
            <w:vAlign w:val="center"/>
          </w:tcPr>
          <w:p w14:paraId="4FCE7590" w14:textId="488DAE09" w:rsidR="00387AB1" w:rsidRPr="00C70A9F" w:rsidRDefault="00387AB1" w:rsidP="00BD36F8">
            <w:pPr>
              <w:spacing w:after="60" w:line="240" w:lineRule="auto"/>
              <w:jc w:val="right"/>
              <w:rPr>
                <w:rFonts w:eastAsia="Times New Roman" w:cstheme="majorBidi"/>
                <w:sz w:val="16"/>
                <w:szCs w:val="16"/>
                <w:lang w:val="en-GB"/>
              </w:rPr>
            </w:pPr>
            <w:r w:rsidRPr="00C70A9F">
              <w:rPr>
                <w:rFonts w:eastAsia="Times New Roman" w:cstheme="majorBidi"/>
                <w:b/>
                <w:bCs/>
                <w:sz w:val="16"/>
                <w:szCs w:val="16"/>
                <w:lang w:val="en-GB"/>
              </w:rPr>
              <w:t>Component total</w:t>
            </w:r>
          </w:p>
        </w:tc>
        <w:tc>
          <w:tcPr>
            <w:tcW w:w="255" w:type="pct"/>
            <w:noWrap/>
            <w:vAlign w:val="center"/>
          </w:tcPr>
          <w:p w14:paraId="3E810388"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767159A9"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75899FC1"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3BC29697" w14:textId="59A06CB1"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43" w:type="pct"/>
            <w:noWrap/>
            <w:vAlign w:val="center"/>
          </w:tcPr>
          <w:p w14:paraId="3317F2DA" w14:textId="55DEAF44"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95" w:type="pct"/>
            <w:noWrap/>
            <w:vAlign w:val="center"/>
          </w:tcPr>
          <w:p w14:paraId="38CC606D" w14:textId="749C2F47"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c>
          <w:tcPr>
            <w:tcW w:w="246" w:type="pct"/>
            <w:noWrap/>
            <w:vAlign w:val="center"/>
          </w:tcPr>
          <w:p w14:paraId="139BF72A"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41" w:type="pct"/>
            <w:noWrap/>
            <w:vAlign w:val="center"/>
          </w:tcPr>
          <w:p w14:paraId="6165B742"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1634573D"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38" w:type="pct"/>
            <w:noWrap/>
            <w:vAlign w:val="center"/>
          </w:tcPr>
          <w:p w14:paraId="71038717" w14:textId="1C5D15E4"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27" w:type="pct"/>
            <w:noWrap/>
            <w:vAlign w:val="center"/>
          </w:tcPr>
          <w:p w14:paraId="2F626595" w14:textId="7DBD5190"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50,000</w:t>
            </w:r>
          </w:p>
        </w:tc>
        <w:tc>
          <w:tcPr>
            <w:tcW w:w="370" w:type="pct"/>
            <w:gridSpan w:val="2"/>
            <w:noWrap/>
            <w:vAlign w:val="center"/>
          </w:tcPr>
          <w:p w14:paraId="6CDFD214" w14:textId="1521C988" w:rsidR="00387AB1" w:rsidRPr="00C70A9F" w:rsidRDefault="00BB0D87"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r>
      <w:tr w:rsidR="0053720F" w:rsidRPr="00C70A9F" w14:paraId="5F0D6918" w14:textId="77777777" w:rsidTr="00BD36F8">
        <w:trPr>
          <w:trHeight w:val="300"/>
        </w:trPr>
        <w:tc>
          <w:tcPr>
            <w:tcW w:w="5000" w:type="pct"/>
            <w:gridSpan w:val="14"/>
            <w:noWrap/>
            <w:vAlign w:val="center"/>
            <w:hideMark/>
          </w:tcPr>
          <w:p w14:paraId="5F94805D" w14:textId="77777777" w:rsidR="00387AB1" w:rsidRPr="00C70A9F" w:rsidRDefault="00387AB1" w:rsidP="00BD36F8">
            <w:pPr>
              <w:spacing w:after="60" w:line="240" w:lineRule="auto"/>
              <w:jc w:val="lef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5.5 Cross-cutting scientific and technical activities</w:t>
            </w:r>
          </w:p>
        </w:tc>
      </w:tr>
      <w:tr w:rsidR="00AE7357" w:rsidRPr="00C70A9F" w14:paraId="580AF6FA" w14:textId="77777777" w:rsidTr="00AE7357">
        <w:trPr>
          <w:trHeight w:val="377"/>
        </w:trPr>
        <w:tc>
          <w:tcPr>
            <w:tcW w:w="1302" w:type="pct"/>
            <w:vAlign w:val="center"/>
            <w:hideMark/>
          </w:tcPr>
          <w:p w14:paraId="20859A7B" w14:textId="77777777" w:rsidR="00387AB1" w:rsidRPr="00C70A9F" w:rsidRDefault="00387AB1" w:rsidP="00BD36F8">
            <w:pPr>
              <w:spacing w:after="60" w:line="240" w:lineRule="auto"/>
              <w:jc w:val="left"/>
              <w:rPr>
                <w:rFonts w:eastAsia="Times New Roman" w:cstheme="majorBidi"/>
                <w:sz w:val="16"/>
                <w:szCs w:val="16"/>
                <w:lang w:val="en-GB"/>
              </w:rPr>
            </w:pPr>
            <w:r w:rsidRPr="00C70A9F">
              <w:rPr>
                <w:rFonts w:eastAsia="Times New Roman" w:cstheme="majorBidi"/>
                <w:sz w:val="16"/>
                <w:szCs w:val="16"/>
                <w:lang w:val="en-GB"/>
              </w:rPr>
              <w:t>Scientific and technical expert</w:t>
            </w:r>
          </w:p>
        </w:tc>
        <w:tc>
          <w:tcPr>
            <w:tcW w:w="255" w:type="pct"/>
            <w:noWrap/>
            <w:vAlign w:val="center"/>
          </w:tcPr>
          <w:p w14:paraId="40843594"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2B0840E3"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76AE214C"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114062D7" w14:textId="4109A084"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4</w:t>
            </w:r>
            <w:r w:rsidR="00AE7357" w:rsidRPr="00C70A9F">
              <w:rPr>
                <w:rFonts w:eastAsia="Times New Roman" w:cstheme="majorBidi"/>
                <w:color w:val="000000"/>
                <w:sz w:val="16"/>
                <w:szCs w:val="16"/>
                <w:lang w:val="en-GB"/>
              </w:rPr>
              <w:t>7</w:t>
            </w:r>
            <w:r w:rsidRPr="00C70A9F">
              <w:rPr>
                <w:rFonts w:eastAsia="Times New Roman" w:cstheme="majorBidi"/>
                <w:color w:val="000000"/>
                <w:sz w:val="16"/>
                <w:szCs w:val="16"/>
                <w:lang w:val="en-GB"/>
              </w:rPr>
              <w:t>0,000</w:t>
            </w:r>
          </w:p>
        </w:tc>
        <w:tc>
          <w:tcPr>
            <w:tcW w:w="343" w:type="pct"/>
            <w:noWrap/>
            <w:vAlign w:val="center"/>
          </w:tcPr>
          <w:p w14:paraId="6E1C79E4"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400,000</w:t>
            </w:r>
          </w:p>
        </w:tc>
        <w:tc>
          <w:tcPr>
            <w:tcW w:w="395" w:type="pct"/>
            <w:noWrap/>
            <w:vAlign w:val="center"/>
          </w:tcPr>
          <w:p w14:paraId="557D0AFA" w14:textId="139C6D60"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8</w:t>
            </w:r>
            <w:r w:rsidR="00AE7357" w:rsidRPr="00C70A9F">
              <w:rPr>
                <w:rFonts w:eastAsia="Times New Roman" w:cstheme="majorBidi"/>
                <w:b/>
                <w:bCs/>
                <w:color w:val="000000"/>
                <w:sz w:val="16"/>
                <w:szCs w:val="16"/>
                <w:lang w:val="en-GB"/>
              </w:rPr>
              <w:t>7</w:t>
            </w:r>
            <w:r w:rsidRPr="00C70A9F">
              <w:rPr>
                <w:rFonts w:eastAsia="Times New Roman" w:cstheme="majorBidi"/>
                <w:b/>
                <w:bCs/>
                <w:color w:val="000000"/>
                <w:sz w:val="16"/>
                <w:szCs w:val="16"/>
                <w:lang w:val="en-GB"/>
              </w:rPr>
              <w:t>0,000</w:t>
            </w:r>
          </w:p>
        </w:tc>
        <w:tc>
          <w:tcPr>
            <w:tcW w:w="246" w:type="pct"/>
            <w:noWrap/>
            <w:vAlign w:val="center"/>
          </w:tcPr>
          <w:p w14:paraId="391AE912"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41" w:type="pct"/>
            <w:noWrap/>
            <w:vAlign w:val="center"/>
          </w:tcPr>
          <w:p w14:paraId="586C1F9E"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4705E68F"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38" w:type="pct"/>
            <w:noWrap/>
            <w:vAlign w:val="center"/>
          </w:tcPr>
          <w:p w14:paraId="486AE6F2" w14:textId="6A3DC2F5" w:rsidR="00387AB1" w:rsidRPr="00C70A9F" w:rsidRDefault="00BF5B33"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4</w:t>
            </w:r>
            <w:r w:rsidR="00AE7357" w:rsidRPr="00C70A9F">
              <w:rPr>
                <w:rFonts w:eastAsia="Times New Roman" w:cstheme="majorBidi"/>
                <w:color w:val="000000"/>
                <w:sz w:val="16"/>
                <w:szCs w:val="16"/>
                <w:lang w:val="en-GB"/>
              </w:rPr>
              <w:t>7</w:t>
            </w:r>
            <w:r w:rsidRPr="00C70A9F">
              <w:rPr>
                <w:rFonts w:eastAsia="Times New Roman" w:cstheme="majorBidi"/>
                <w:color w:val="000000"/>
                <w:sz w:val="16"/>
                <w:szCs w:val="16"/>
                <w:lang w:val="en-GB"/>
              </w:rPr>
              <w:t>0,000</w:t>
            </w:r>
          </w:p>
        </w:tc>
        <w:tc>
          <w:tcPr>
            <w:tcW w:w="327" w:type="pct"/>
            <w:noWrap/>
            <w:vAlign w:val="center"/>
          </w:tcPr>
          <w:p w14:paraId="482ABA70"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400,000</w:t>
            </w:r>
          </w:p>
        </w:tc>
        <w:tc>
          <w:tcPr>
            <w:tcW w:w="370" w:type="pct"/>
            <w:gridSpan w:val="2"/>
            <w:noWrap/>
            <w:vAlign w:val="center"/>
          </w:tcPr>
          <w:p w14:paraId="2A3F4370" w14:textId="62F74FC1"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8</w:t>
            </w:r>
            <w:r w:rsidR="00AE7357" w:rsidRPr="00C70A9F">
              <w:rPr>
                <w:rFonts w:eastAsia="Times New Roman" w:cstheme="majorBidi"/>
                <w:b/>
                <w:bCs/>
                <w:color w:val="000000"/>
                <w:sz w:val="16"/>
                <w:szCs w:val="16"/>
                <w:lang w:val="en-GB"/>
              </w:rPr>
              <w:t>7</w:t>
            </w:r>
            <w:r w:rsidRPr="00C70A9F">
              <w:rPr>
                <w:rFonts w:eastAsia="Times New Roman" w:cstheme="majorBidi"/>
                <w:b/>
                <w:bCs/>
                <w:color w:val="000000"/>
                <w:sz w:val="16"/>
                <w:szCs w:val="16"/>
                <w:lang w:val="en-GB"/>
              </w:rPr>
              <w:t>0,000</w:t>
            </w:r>
          </w:p>
        </w:tc>
      </w:tr>
      <w:tr w:rsidR="00AE7357" w:rsidRPr="00C70A9F" w14:paraId="0E5C1AF8" w14:textId="77777777" w:rsidTr="00AE7357">
        <w:trPr>
          <w:trHeight w:val="377"/>
        </w:trPr>
        <w:tc>
          <w:tcPr>
            <w:tcW w:w="1302" w:type="pct"/>
            <w:vAlign w:val="center"/>
          </w:tcPr>
          <w:p w14:paraId="37B1C61D" w14:textId="4933EAFB" w:rsidR="00387AB1" w:rsidRPr="00C70A9F" w:rsidRDefault="00387AB1" w:rsidP="00BD36F8">
            <w:pPr>
              <w:spacing w:after="60" w:line="240" w:lineRule="auto"/>
              <w:jc w:val="left"/>
              <w:rPr>
                <w:rFonts w:eastAsia="Times New Roman" w:cstheme="majorBidi"/>
                <w:sz w:val="16"/>
                <w:szCs w:val="16"/>
                <w:lang w:val="en-GB"/>
              </w:rPr>
            </w:pPr>
            <w:r w:rsidRPr="00C70A9F">
              <w:rPr>
                <w:rFonts w:eastAsia="Times New Roman" w:cstheme="majorBidi"/>
                <w:sz w:val="16"/>
                <w:szCs w:val="16"/>
                <w:lang w:val="en-GB"/>
              </w:rPr>
              <w:t>Technical workshop</w:t>
            </w:r>
            <w:r w:rsidR="002140A0" w:rsidRPr="00C70A9F">
              <w:rPr>
                <w:rFonts w:eastAsia="Times New Roman" w:cstheme="majorBidi"/>
                <w:sz w:val="16"/>
                <w:szCs w:val="16"/>
                <w:lang w:val="en-GB"/>
              </w:rPr>
              <w:t>s</w:t>
            </w:r>
            <w:r w:rsidRPr="00C70A9F">
              <w:rPr>
                <w:rFonts w:eastAsia="Times New Roman" w:cstheme="majorBidi"/>
                <w:sz w:val="16"/>
                <w:szCs w:val="16"/>
                <w:lang w:val="en-GB"/>
              </w:rPr>
              <w:t xml:space="preserve"> on cross-cutting scientific issues</w:t>
            </w:r>
            <w:r w:rsidR="004A1AE6" w:rsidRPr="00C70A9F">
              <w:rPr>
                <w:rFonts w:eastAsia="Times New Roman" w:cstheme="majorBidi"/>
                <w:sz w:val="16"/>
                <w:szCs w:val="16"/>
                <w:lang w:val="en-GB"/>
              </w:rPr>
              <w:t xml:space="preserve"> and expert support </w:t>
            </w:r>
            <w:r w:rsidR="00796AF9" w:rsidRPr="00C70A9F">
              <w:rPr>
                <w:rFonts w:eastAsia="Times New Roman" w:cstheme="majorBidi"/>
                <w:sz w:val="16"/>
                <w:szCs w:val="16"/>
                <w:lang w:val="en-GB"/>
              </w:rPr>
              <w:t xml:space="preserve">related to </w:t>
            </w:r>
            <w:r w:rsidR="00B75952" w:rsidRPr="00C70A9F">
              <w:rPr>
                <w:rFonts w:eastAsia="Times New Roman" w:cstheme="majorBidi"/>
                <w:sz w:val="16"/>
                <w:szCs w:val="16"/>
                <w:lang w:val="en-GB"/>
              </w:rPr>
              <w:t>G</w:t>
            </w:r>
            <w:r w:rsidR="00A91278" w:rsidRPr="00C70A9F">
              <w:rPr>
                <w:rFonts w:eastAsia="Times New Roman" w:cstheme="majorBidi"/>
                <w:sz w:val="16"/>
                <w:szCs w:val="16"/>
                <w:lang w:val="en-GB"/>
              </w:rPr>
              <w:t xml:space="preserve">lobal </w:t>
            </w:r>
            <w:r w:rsidR="00B75952" w:rsidRPr="00C70A9F">
              <w:rPr>
                <w:rFonts w:eastAsia="Times New Roman" w:cstheme="majorBidi"/>
                <w:sz w:val="16"/>
                <w:szCs w:val="16"/>
                <w:lang w:val="en-GB"/>
              </w:rPr>
              <w:t>B</w:t>
            </w:r>
            <w:r w:rsidR="0053402D" w:rsidRPr="00C70A9F">
              <w:rPr>
                <w:rFonts w:eastAsia="Times New Roman" w:cstheme="majorBidi"/>
                <w:sz w:val="16"/>
                <w:szCs w:val="16"/>
                <w:lang w:val="en-GB"/>
              </w:rPr>
              <w:t xml:space="preserve">iodiversity </w:t>
            </w:r>
            <w:r w:rsidR="00B75952" w:rsidRPr="00C70A9F">
              <w:rPr>
                <w:rFonts w:eastAsia="Times New Roman" w:cstheme="majorBidi"/>
                <w:sz w:val="16"/>
                <w:szCs w:val="16"/>
                <w:lang w:val="en-GB"/>
              </w:rPr>
              <w:t>F</w:t>
            </w:r>
            <w:r w:rsidR="0053402D" w:rsidRPr="00C70A9F">
              <w:rPr>
                <w:rFonts w:eastAsia="Times New Roman" w:cstheme="majorBidi"/>
                <w:sz w:val="16"/>
                <w:szCs w:val="16"/>
                <w:lang w:val="en-GB"/>
              </w:rPr>
              <w:t>ramework</w:t>
            </w:r>
          </w:p>
        </w:tc>
        <w:tc>
          <w:tcPr>
            <w:tcW w:w="255" w:type="pct"/>
            <w:noWrap/>
            <w:vAlign w:val="center"/>
          </w:tcPr>
          <w:p w14:paraId="3A0A1297"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58" w:type="pct"/>
            <w:noWrap/>
            <w:vAlign w:val="center"/>
          </w:tcPr>
          <w:p w14:paraId="2F77EC58"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26B2BC5E"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43" w:type="pct"/>
            <w:noWrap/>
            <w:vAlign w:val="center"/>
          </w:tcPr>
          <w:p w14:paraId="31F1382B" w14:textId="77777777" w:rsidR="00387AB1" w:rsidRPr="00C70A9F" w:rsidRDefault="00387AB1"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100,000</w:t>
            </w:r>
          </w:p>
        </w:tc>
        <w:tc>
          <w:tcPr>
            <w:tcW w:w="343" w:type="pct"/>
            <w:noWrap/>
            <w:vAlign w:val="center"/>
          </w:tcPr>
          <w:p w14:paraId="0E04912E"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95" w:type="pct"/>
            <w:noWrap/>
            <w:vAlign w:val="center"/>
          </w:tcPr>
          <w:p w14:paraId="60425718"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c>
          <w:tcPr>
            <w:tcW w:w="246" w:type="pct"/>
            <w:noWrap/>
            <w:vAlign w:val="center"/>
          </w:tcPr>
          <w:p w14:paraId="6C141533" w14:textId="69B6861C" w:rsidR="00387AB1" w:rsidRPr="00C70A9F" w:rsidRDefault="00387AB1" w:rsidP="00BD36F8">
            <w:pPr>
              <w:spacing w:after="60" w:line="240" w:lineRule="auto"/>
              <w:jc w:val="right"/>
              <w:rPr>
                <w:rFonts w:eastAsia="Times New Roman" w:cstheme="majorBidi"/>
                <w:color w:val="000000"/>
                <w:sz w:val="16"/>
                <w:szCs w:val="16"/>
                <w:lang w:val="en-GB"/>
              </w:rPr>
            </w:pPr>
          </w:p>
        </w:tc>
        <w:tc>
          <w:tcPr>
            <w:tcW w:w="241" w:type="pct"/>
            <w:noWrap/>
            <w:vAlign w:val="center"/>
          </w:tcPr>
          <w:p w14:paraId="597E2B6E" w14:textId="4AC71D5A" w:rsidR="00387AB1" w:rsidRPr="00C70A9F" w:rsidRDefault="00387AB1" w:rsidP="00BD36F8">
            <w:pPr>
              <w:spacing w:after="60" w:line="240" w:lineRule="auto"/>
              <w:jc w:val="right"/>
              <w:rPr>
                <w:rFonts w:eastAsia="Times New Roman" w:cstheme="majorBidi"/>
                <w:color w:val="000000"/>
                <w:sz w:val="16"/>
                <w:szCs w:val="16"/>
                <w:lang w:val="en-GB"/>
              </w:rPr>
            </w:pPr>
          </w:p>
        </w:tc>
        <w:tc>
          <w:tcPr>
            <w:tcW w:w="291" w:type="pct"/>
            <w:noWrap/>
            <w:vAlign w:val="center"/>
          </w:tcPr>
          <w:p w14:paraId="5854F5FF"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38" w:type="pct"/>
            <w:noWrap/>
            <w:vAlign w:val="center"/>
          </w:tcPr>
          <w:p w14:paraId="4E6E2C13" w14:textId="41297F4B" w:rsidR="00387AB1" w:rsidRPr="00C70A9F" w:rsidRDefault="00BF5B33" w:rsidP="00BD36F8">
            <w:pPr>
              <w:spacing w:after="60" w:line="240" w:lineRule="auto"/>
              <w:jc w:val="right"/>
              <w:rPr>
                <w:rFonts w:eastAsia="Times New Roman" w:cstheme="majorBidi"/>
                <w:color w:val="000000"/>
                <w:sz w:val="16"/>
                <w:szCs w:val="16"/>
                <w:lang w:val="en-GB"/>
              </w:rPr>
            </w:pPr>
            <w:r w:rsidRPr="00C70A9F">
              <w:rPr>
                <w:rFonts w:eastAsia="Times New Roman" w:cstheme="majorBidi"/>
                <w:color w:val="000000"/>
                <w:sz w:val="16"/>
                <w:szCs w:val="16"/>
                <w:lang w:val="en-GB"/>
              </w:rPr>
              <w:t>1</w:t>
            </w:r>
            <w:r w:rsidR="00387AB1" w:rsidRPr="00C70A9F">
              <w:rPr>
                <w:rFonts w:eastAsia="Times New Roman" w:cstheme="majorBidi"/>
                <w:color w:val="000000"/>
                <w:sz w:val="16"/>
                <w:szCs w:val="16"/>
                <w:lang w:val="en-GB"/>
              </w:rPr>
              <w:t>00,000</w:t>
            </w:r>
          </w:p>
        </w:tc>
        <w:tc>
          <w:tcPr>
            <w:tcW w:w="327" w:type="pct"/>
            <w:noWrap/>
            <w:vAlign w:val="center"/>
          </w:tcPr>
          <w:p w14:paraId="739DB914" w14:textId="77777777" w:rsidR="00387AB1" w:rsidRPr="00C70A9F" w:rsidRDefault="00387AB1" w:rsidP="00BD36F8">
            <w:pPr>
              <w:spacing w:after="60" w:line="240" w:lineRule="auto"/>
              <w:jc w:val="right"/>
              <w:rPr>
                <w:rFonts w:eastAsia="Times New Roman" w:cstheme="majorBidi"/>
                <w:color w:val="000000"/>
                <w:sz w:val="16"/>
                <w:szCs w:val="16"/>
                <w:lang w:val="en-GB"/>
              </w:rPr>
            </w:pPr>
          </w:p>
        </w:tc>
        <w:tc>
          <w:tcPr>
            <w:tcW w:w="370" w:type="pct"/>
            <w:gridSpan w:val="2"/>
            <w:noWrap/>
            <w:vAlign w:val="center"/>
          </w:tcPr>
          <w:p w14:paraId="04D22EDA" w14:textId="64D0AB91"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100,000</w:t>
            </w:r>
          </w:p>
        </w:tc>
      </w:tr>
      <w:tr w:rsidR="00AE7357" w:rsidRPr="00C70A9F" w14:paraId="27DA572C" w14:textId="77777777" w:rsidTr="00AE7357">
        <w:trPr>
          <w:trHeight w:val="300"/>
        </w:trPr>
        <w:tc>
          <w:tcPr>
            <w:tcW w:w="1302" w:type="pct"/>
            <w:vAlign w:val="center"/>
          </w:tcPr>
          <w:p w14:paraId="7E83514A" w14:textId="77777777" w:rsidR="00387AB1" w:rsidRPr="00C70A9F" w:rsidRDefault="00387AB1" w:rsidP="00BD36F8">
            <w:pPr>
              <w:spacing w:after="60" w:line="240" w:lineRule="auto"/>
              <w:jc w:val="right"/>
              <w:rPr>
                <w:rFonts w:eastAsia="Times New Roman" w:cstheme="majorBidi"/>
                <w:b/>
                <w:bCs/>
                <w:sz w:val="16"/>
                <w:szCs w:val="16"/>
                <w:lang w:val="en-GB"/>
              </w:rPr>
            </w:pPr>
            <w:r w:rsidRPr="00C70A9F">
              <w:rPr>
                <w:rFonts w:eastAsia="Times New Roman" w:cstheme="majorBidi"/>
                <w:b/>
                <w:bCs/>
                <w:sz w:val="16"/>
                <w:szCs w:val="16"/>
                <w:lang w:val="en-GB"/>
              </w:rPr>
              <w:t>Component total</w:t>
            </w:r>
          </w:p>
        </w:tc>
        <w:tc>
          <w:tcPr>
            <w:tcW w:w="255" w:type="pct"/>
            <w:noWrap/>
            <w:vAlign w:val="center"/>
          </w:tcPr>
          <w:p w14:paraId="0ED282BD"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58" w:type="pct"/>
            <w:noWrap/>
            <w:vAlign w:val="center"/>
          </w:tcPr>
          <w:p w14:paraId="3CEE5411"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1E1BEDFD"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43" w:type="pct"/>
            <w:noWrap/>
            <w:vAlign w:val="center"/>
          </w:tcPr>
          <w:p w14:paraId="3085C646" w14:textId="0F3E4744"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w:t>
            </w:r>
            <w:r w:rsidR="001204CB" w:rsidRPr="00C70A9F">
              <w:rPr>
                <w:rFonts w:eastAsia="Times New Roman" w:cstheme="majorBidi"/>
                <w:b/>
                <w:bCs/>
                <w:color w:val="000000"/>
                <w:sz w:val="16"/>
                <w:szCs w:val="16"/>
                <w:lang w:val="en-GB"/>
              </w:rPr>
              <w:t>7</w:t>
            </w:r>
            <w:r w:rsidRPr="00C70A9F">
              <w:rPr>
                <w:rFonts w:eastAsia="Times New Roman" w:cstheme="majorBidi"/>
                <w:b/>
                <w:bCs/>
                <w:color w:val="000000"/>
                <w:sz w:val="16"/>
                <w:szCs w:val="16"/>
                <w:lang w:val="en-GB"/>
              </w:rPr>
              <w:t>0,000</w:t>
            </w:r>
          </w:p>
        </w:tc>
        <w:tc>
          <w:tcPr>
            <w:tcW w:w="343" w:type="pct"/>
            <w:noWrap/>
            <w:vAlign w:val="center"/>
          </w:tcPr>
          <w:p w14:paraId="17142A39" w14:textId="5B723B81"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400,000</w:t>
            </w:r>
          </w:p>
        </w:tc>
        <w:tc>
          <w:tcPr>
            <w:tcW w:w="395" w:type="pct"/>
            <w:noWrap/>
            <w:vAlign w:val="center"/>
          </w:tcPr>
          <w:p w14:paraId="7BA4886C" w14:textId="6340C26F"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9</w:t>
            </w:r>
            <w:r w:rsidR="001204CB" w:rsidRPr="00C70A9F">
              <w:rPr>
                <w:rFonts w:eastAsia="Times New Roman" w:cstheme="majorBidi"/>
                <w:b/>
                <w:bCs/>
                <w:color w:val="000000"/>
                <w:sz w:val="16"/>
                <w:szCs w:val="16"/>
                <w:lang w:val="en-GB"/>
              </w:rPr>
              <w:t>7</w:t>
            </w:r>
            <w:r w:rsidRPr="00C70A9F">
              <w:rPr>
                <w:rFonts w:eastAsia="Times New Roman" w:cstheme="majorBidi"/>
                <w:b/>
                <w:bCs/>
                <w:color w:val="000000"/>
                <w:sz w:val="16"/>
                <w:szCs w:val="16"/>
                <w:lang w:val="en-GB"/>
              </w:rPr>
              <w:t>0,000</w:t>
            </w:r>
          </w:p>
        </w:tc>
        <w:tc>
          <w:tcPr>
            <w:tcW w:w="246" w:type="pct"/>
            <w:noWrap/>
            <w:vAlign w:val="center"/>
          </w:tcPr>
          <w:p w14:paraId="72128E84"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41" w:type="pct"/>
            <w:noWrap/>
            <w:vAlign w:val="center"/>
          </w:tcPr>
          <w:p w14:paraId="4CF264C0"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0A0FEAE7"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38" w:type="pct"/>
            <w:noWrap/>
            <w:vAlign w:val="center"/>
          </w:tcPr>
          <w:p w14:paraId="1FB34888" w14:textId="46700825"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5</w:t>
            </w:r>
            <w:r w:rsidR="001204CB" w:rsidRPr="00C70A9F">
              <w:rPr>
                <w:rFonts w:eastAsia="Times New Roman" w:cstheme="majorBidi"/>
                <w:b/>
                <w:bCs/>
                <w:color w:val="000000"/>
                <w:sz w:val="16"/>
                <w:szCs w:val="16"/>
                <w:lang w:val="en-GB"/>
              </w:rPr>
              <w:t>7</w:t>
            </w:r>
            <w:r w:rsidRPr="00C70A9F">
              <w:rPr>
                <w:rFonts w:eastAsia="Times New Roman" w:cstheme="majorBidi"/>
                <w:b/>
                <w:bCs/>
                <w:color w:val="000000"/>
                <w:sz w:val="16"/>
                <w:szCs w:val="16"/>
                <w:lang w:val="en-GB"/>
              </w:rPr>
              <w:t>0,000</w:t>
            </w:r>
          </w:p>
        </w:tc>
        <w:tc>
          <w:tcPr>
            <w:tcW w:w="327" w:type="pct"/>
            <w:noWrap/>
            <w:vAlign w:val="center"/>
          </w:tcPr>
          <w:p w14:paraId="3BF24E1E" w14:textId="3DC72F68"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400,000</w:t>
            </w:r>
          </w:p>
        </w:tc>
        <w:tc>
          <w:tcPr>
            <w:tcW w:w="370" w:type="pct"/>
            <w:gridSpan w:val="2"/>
            <w:noWrap/>
            <w:vAlign w:val="center"/>
          </w:tcPr>
          <w:p w14:paraId="59AB9E07" w14:textId="52F55BE4"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9</w:t>
            </w:r>
            <w:r w:rsidR="001204CB" w:rsidRPr="00C70A9F">
              <w:rPr>
                <w:rFonts w:eastAsia="Times New Roman" w:cstheme="majorBidi"/>
                <w:b/>
                <w:bCs/>
                <w:color w:val="000000"/>
                <w:sz w:val="16"/>
                <w:szCs w:val="16"/>
                <w:lang w:val="en-GB"/>
              </w:rPr>
              <w:t>7</w:t>
            </w:r>
            <w:r w:rsidRPr="00C70A9F">
              <w:rPr>
                <w:rFonts w:eastAsia="Times New Roman" w:cstheme="majorBidi"/>
                <w:b/>
                <w:bCs/>
                <w:color w:val="000000"/>
                <w:sz w:val="16"/>
                <w:szCs w:val="16"/>
                <w:lang w:val="en-GB"/>
              </w:rPr>
              <w:t>0,000</w:t>
            </w:r>
          </w:p>
        </w:tc>
      </w:tr>
      <w:tr w:rsidR="00AE7357" w:rsidRPr="00C70A9F" w14:paraId="4CAEBA19" w14:textId="77777777" w:rsidTr="00AE7357">
        <w:trPr>
          <w:trHeight w:val="300"/>
        </w:trPr>
        <w:tc>
          <w:tcPr>
            <w:tcW w:w="1302" w:type="pct"/>
            <w:noWrap/>
            <w:vAlign w:val="center"/>
            <w:hideMark/>
          </w:tcPr>
          <w:p w14:paraId="7E4F0AA6"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 xml:space="preserve">Grand Total </w:t>
            </w:r>
          </w:p>
        </w:tc>
        <w:tc>
          <w:tcPr>
            <w:tcW w:w="255" w:type="pct"/>
            <w:noWrap/>
            <w:vAlign w:val="center"/>
          </w:tcPr>
          <w:p w14:paraId="39587013"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58" w:type="pct"/>
            <w:noWrap/>
            <w:vAlign w:val="center"/>
          </w:tcPr>
          <w:p w14:paraId="10D066CA"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26041DB7"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43" w:type="pct"/>
            <w:noWrap/>
            <w:vAlign w:val="center"/>
          </w:tcPr>
          <w:p w14:paraId="06F4B027" w14:textId="21B66D86"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7</w:t>
            </w:r>
            <w:r w:rsidR="007533D1" w:rsidRPr="00C70A9F">
              <w:rPr>
                <w:rFonts w:eastAsia="Times New Roman" w:cstheme="majorBidi"/>
                <w:b/>
                <w:bCs/>
                <w:color w:val="000000"/>
                <w:sz w:val="16"/>
                <w:szCs w:val="16"/>
                <w:lang w:val="en-GB"/>
              </w:rPr>
              <w:t>95</w:t>
            </w:r>
            <w:r w:rsidRPr="00C70A9F">
              <w:rPr>
                <w:rFonts w:eastAsia="Times New Roman" w:cstheme="majorBidi"/>
                <w:b/>
                <w:bCs/>
                <w:color w:val="000000"/>
                <w:sz w:val="16"/>
                <w:szCs w:val="16"/>
                <w:lang w:val="en-GB"/>
              </w:rPr>
              <w:t>,000</w:t>
            </w:r>
          </w:p>
        </w:tc>
        <w:tc>
          <w:tcPr>
            <w:tcW w:w="343" w:type="pct"/>
            <w:noWrap/>
            <w:vAlign w:val="center"/>
          </w:tcPr>
          <w:p w14:paraId="74168442" w14:textId="4F8999E1"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6</w:t>
            </w:r>
            <w:r w:rsidR="008976AD" w:rsidRPr="00C70A9F">
              <w:rPr>
                <w:rFonts w:eastAsia="Times New Roman" w:cstheme="majorBidi"/>
                <w:b/>
                <w:bCs/>
                <w:color w:val="000000"/>
                <w:sz w:val="16"/>
                <w:szCs w:val="16"/>
                <w:lang w:val="en-GB"/>
              </w:rPr>
              <w:t>25</w:t>
            </w:r>
            <w:r w:rsidRPr="00C70A9F">
              <w:rPr>
                <w:rFonts w:eastAsia="Times New Roman" w:cstheme="majorBidi"/>
                <w:b/>
                <w:bCs/>
                <w:color w:val="000000"/>
                <w:sz w:val="16"/>
                <w:szCs w:val="16"/>
                <w:lang w:val="en-GB"/>
              </w:rPr>
              <w:t>,000</w:t>
            </w:r>
          </w:p>
        </w:tc>
        <w:tc>
          <w:tcPr>
            <w:tcW w:w="395" w:type="pct"/>
            <w:noWrap/>
            <w:vAlign w:val="center"/>
          </w:tcPr>
          <w:p w14:paraId="1EDCCBBE" w14:textId="269CFD86"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w:t>
            </w:r>
            <w:r w:rsidR="008976AD" w:rsidRPr="00C70A9F">
              <w:rPr>
                <w:rFonts w:eastAsia="Times New Roman" w:cstheme="majorBidi"/>
                <w:b/>
                <w:bCs/>
                <w:color w:val="000000"/>
                <w:sz w:val="16"/>
                <w:szCs w:val="16"/>
                <w:lang w:val="en-GB"/>
              </w:rPr>
              <w:t>42</w:t>
            </w:r>
            <w:r w:rsidRPr="00C70A9F">
              <w:rPr>
                <w:rFonts w:eastAsia="Times New Roman" w:cstheme="majorBidi"/>
                <w:b/>
                <w:bCs/>
                <w:color w:val="000000"/>
                <w:sz w:val="16"/>
                <w:szCs w:val="16"/>
                <w:lang w:val="en-GB"/>
              </w:rPr>
              <w:t>0,000</w:t>
            </w:r>
          </w:p>
        </w:tc>
        <w:tc>
          <w:tcPr>
            <w:tcW w:w="246" w:type="pct"/>
            <w:noWrap/>
            <w:vAlign w:val="center"/>
          </w:tcPr>
          <w:p w14:paraId="178103EE"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41" w:type="pct"/>
            <w:noWrap/>
            <w:vAlign w:val="center"/>
          </w:tcPr>
          <w:p w14:paraId="4B807503"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291" w:type="pct"/>
            <w:noWrap/>
            <w:vAlign w:val="center"/>
          </w:tcPr>
          <w:p w14:paraId="1A15CCBC" w14:textId="77777777" w:rsidR="00387AB1" w:rsidRPr="00C70A9F" w:rsidRDefault="00387AB1" w:rsidP="00BD36F8">
            <w:pPr>
              <w:spacing w:after="60" w:line="240" w:lineRule="auto"/>
              <w:jc w:val="right"/>
              <w:rPr>
                <w:rFonts w:eastAsia="Times New Roman" w:cstheme="majorBidi"/>
                <w:b/>
                <w:bCs/>
                <w:color w:val="000000"/>
                <w:sz w:val="16"/>
                <w:szCs w:val="16"/>
                <w:lang w:val="en-GB"/>
              </w:rPr>
            </w:pPr>
          </w:p>
        </w:tc>
        <w:tc>
          <w:tcPr>
            <w:tcW w:w="338" w:type="pct"/>
            <w:noWrap/>
            <w:vAlign w:val="center"/>
          </w:tcPr>
          <w:p w14:paraId="515BF734" w14:textId="580D35CC"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7</w:t>
            </w:r>
            <w:r w:rsidR="008976AD" w:rsidRPr="00C70A9F">
              <w:rPr>
                <w:rFonts w:eastAsia="Times New Roman" w:cstheme="majorBidi"/>
                <w:b/>
                <w:bCs/>
                <w:color w:val="000000"/>
                <w:sz w:val="16"/>
                <w:szCs w:val="16"/>
                <w:lang w:val="en-GB"/>
              </w:rPr>
              <w:t>95</w:t>
            </w:r>
            <w:r w:rsidRPr="00C70A9F">
              <w:rPr>
                <w:rFonts w:eastAsia="Times New Roman" w:cstheme="majorBidi"/>
                <w:b/>
                <w:bCs/>
                <w:color w:val="000000"/>
                <w:sz w:val="16"/>
                <w:szCs w:val="16"/>
                <w:lang w:val="en-GB"/>
              </w:rPr>
              <w:t>,000</w:t>
            </w:r>
          </w:p>
        </w:tc>
        <w:tc>
          <w:tcPr>
            <w:tcW w:w="327" w:type="pct"/>
            <w:noWrap/>
            <w:vAlign w:val="center"/>
          </w:tcPr>
          <w:p w14:paraId="5027547D" w14:textId="604B0B48"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6</w:t>
            </w:r>
            <w:r w:rsidR="008976AD" w:rsidRPr="00C70A9F">
              <w:rPr>
                <w:rFonts w:eastAsia="Times New Roman" w:cstheme="majorBidi"/>
                <w:b/>
                <w:bCs/>
                <w:color w:val="000000"/>
                <w:sz w:val="16"/>
                <w:szCs w:val="16"/>
                <w:lang w:val="en-GB"/>
              </w:rPr>
              <w:t>25</w:t>
            </w:r>
            <w:r w:rsidRPr="00C70A9F">
              <w:rPr>
                <w:rFonts w:eastAsia="Times New Roman" w:cstheme="majorBidi"/>
                <w:b/>
                <w:bCs/>
                <w:color w:val="000000"/>
                <w:sz w:val="16"/>
                <w:szCs w:val="16"/>
                <w:lang w:val="en-GB"/>
              </w:rPr>
              <w:t>,000</w:t>
            </w:r>
          </w:p>
        </w:tc>
        <w:tc>
          <w:tcPr>
            <w:tcW w:w="370" w:type="pct"/>
            <w:gridSpan w:val="2"/>
            <w:noWrap/>
            <w:vAlign w:val="center"/>
          </w:tcPr>
          <w:p w14:paraId="0FE12E02" w14:textId="7696D0FE" w:rsidR="00387AB1" w:rsidRPr="00C70A9F" w:rsidRDefault="00387AB1" w:rsidP="00BD36F8">
            <w:pPr>
              <w:spacing w:after="60" w:line="240" w:lineRule="auto"/>
              <w:jc w:val="right"/>
              <w:rPr>
                <w:rFonts w:eastAsia="Times New Roman" w:cstheme="majorBidi"/>
                <w:b/>
                <w:bCs/>
                <w:color w:val="000000"/>
                <w:sz w:val="16"/>
                <w:szCs w:val="16"/>
                <w:lang w:val="en-GB"/>
              </w:rPr>
            </w:pPr>
            <w:r w:rsidRPr="00C70A9F">
              <w:rPr>
                <w:rFonts w:eastAsia="Times New Roman" w:cstheme="majorBidi"/>
                <w:b/>
                <w:bCs/>
                <w:color w:val="000000"/>
                <w:sz w:val="16"/>
                <w:szCs w:val="16"/>
                <w:lang w:val="en-GB"/>
              </w:rPr>
              <w:t>1,</w:t>
            </w:r>
            <w:r w:rsidR="008976AD" w:rsidRPr="00C70A9F">
              <w:rPr>
                <w:rFonts w:eastAsia="Times New Roman" w:cstheme="majorBidi"/>
                <w:b/>
                <w:bCs/>
                <w:color w:val="000000"/>
                <w:sz w:val="16"/>
                <w:szCs w:val="16"/>
                <w:lang w:val="en-GB"/>
              </w:rPr>
              <w:t>42</w:t>
            </w:r>
            <w:r w:rsidRPr="00C70A9F">
              <w:rPr>
                <w:rFonts w:eastAsia="Times New Roman" w:cstheme="majorBidi"/>
                <w:b/>
                <w:bCs/>
                <w:color w:val="000000"/>
                <w:sz w:val="16"/>
                <w:szCs w:val="16"/>
                <w:lang w:val="en-GB"/>
              </w:rPr>
              <w:t>0,000</w:t>
            </w:r>
          </w:p>
        </w:tc>
      </w:tr>
    </w:tbl>
    <w:p w14:paraId="662633D6" w14:textId="45F3E259" w:rsidR="00E723F8" w:rsidRPr="00845FB7" w:rsidRDefault="00E723F8" w:rsidP="00F9588D">
      <w:pPr>
        <w:pStyle w:val="Heading3"/>
        <w:rPr>
          <w:sz w:val="24"/>
          <w:lang w:val="en-GB"/>
        </w:rPr>
      </w:pPr>
      <w:r w:rsidRPr="00845FB7">
        <w:rPr>
          <w:sz w:val="24"/>
          <w:lang w:val="en-GB"/>
        </w:rPr>
        <w:lastRenderedPageBreak/>
        <w:t>Overview of resources</w:t>
      </w:r>
    </w:p>
    <w:tbl>
      <w:tblPr>
        <w:tblStyle w:val="TableGridLight"/>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90"/>
        <w:gridCol w:w="2160"/>
        <w:gridCol w:w="1980"/>
      </w:tblGrid>
      <w:tr w:rsidR="00E723F8" w:rsidRPr="00845FB7" w14:paraId="36281B5B" w14:textId="77777777" w:rsidTr="00BD36F8">
        <w:trPr>
          <w:trHeight w:val="340"/>
        </w:trPr>
        <w:tc>
          <w:tcPr>
            <w:tcW w:w="4815" w:type="dxa"/>
            <w:noWrap/>
            <w:hideMark/>
          </w:tcPr>
          <w:p w14:paraId="629F8204" w14:textId="77777777" w:rsidR="00E723F8" w:rsidRPr="00845FB7" w:rsidRDefault="00E723F8" w:rsidP="00E723F8">
            <w:pPr>
              <w:rPr>
                <w:rFonts w:cstheme="majorBidi"/>
                <w:b/>
                <w:bCs/>
                <w:sz w:val="18"/>
                <w:szCs w:val="18"/>
                <w:lang w:val="en-GB"/>
              </w:rPr>
            </w:pPr>
            <w:r w:rsidRPr="00845FB7">
              <w:rPr>
                <w:rFonts w:cstheme="majorBidi"/>
                <w:b/>
                <w:bCs/>
                <w:sz w:val="18"/>
                <w:szCs w:val="18"/>
                <w:lang w:val="en-GB"/>
              </w:rPr>
              <w:t>Budget</w:t>
            </w:r>
          </w:p>
        </w:tc>
        <w:tc>
          <w:tcPr>
            <w:tcW w:w="2290" w:type="dxa"/>
            <w:hideMark/>
          </w:tcPr>
          <w:p w14:paraId="1C4BB52A" w14:textId="14809FB3" w:rsidR="00E723F8" w:rsidRPr="00845FB7" w:rsidRDefault="00E723F8" w:rsidP="00E723F8">
            <w:pPr>
              <w:rPr>
                <w:rFonts w:cstheme="majorBidi"/>
                <w:b/>
                <w:bCs/>
                <w:sz w:val="18"/>
                <w:szCs w:val="18"/>
                <w:lang w:val="en-GB"/>
              </w:rPr>
            </w:pPr>
            <w:r w:rsidRPr="00845FB7">
              <w:rPr>
                <w:rFonts w:cstheme="majorBidi"/>
                <w:b/>
                <w:bCs/>
                <w:sz w:val="18"/>
                <w:szCs w:val="18"/>
                <w:lang w:val="en-GB"/>
              </w:rPr>
              <w:t xml:space="preserve">General </w:t>
            </w:r>
            <w:r w:rsidR="00D1195A" w:rsidRPr="00845FB7">
              <w:rPr>
                <w:rFonts w:cstheme="majorBidi"/>
                <w:b/>
                <w:bCs/>
                <w:sz w:val="18"/>
                <w:szCs w:val="18"/>
                <w:lang w:val="en-GB"/>
              </w:rPr>
              <w:t>t</w:t>
            </w:r>
            <w:r w:rsidRPr="00845FB7">
              <w:rPr>
                <w:rFonts w:cstheme="majorBidi"/>
                <w:b/>
                <w:bCs/>
                <w:sz w:val="18"/>
                <w:szCs w:val="18"/>
                <w:lang w:val="en-GB"/>
              </w:rPr>
              <w:t xml:space="preserve">rust </w:t>
            </w:r>
            <w:r w:rsidR="00D1195A" w:rsidRPr="00845FB7">
              <w:rPr>
                <w:rFonts w:cstheme="majorBidi"/>
                <w:b/>
                <w:bCs/>
                <w:sz w:val="18"/>
                <w:szCs w:val="18"/>
                <w:lang w:val="en-GB"/>
              </w:rPr>
              <w:t>f</w:t>
            </w:r>
            <w:r w:rsidRPr="00845FB7">
              <w:rPr>
                <w:rFonts w:cstheme="majorBidi"/>
                <w:b/>
                <w:bCs/>
                <w:sz w:val="18"/>
                <w:szCs w:val="18"/>
                <w:lang w:val="en-GB"/>
              </w:rPr>
              <w:t>und</w:t>
            </w:r>
          </w:p>
        </w:tc>
        <w:tc>
          <w:tcPr>
            <w:tcW w:w="2160" w:type="dxa"/>
            <w:hideMark/>
          </w:tcPr>
          <w:p w14:paraId="1F71BA57" w14:textId="4980EBAE" w:rsidR="00E723F8" w:rsidRPr="00845FB7" w:rsidRDefault="00E723F8" w:rsidP="00E723F8">
            <w:pPr>
              <w:rPr>
                <w:rFonts w:cstheme="majorBidi"/>
                <w:b/>
                <w:bCs/>
                <w:sz w:val="18"/>
                <w:szCs w:val="18"/>
                <w:lang w:val="en-GB"/>
              </w:rPr>
            </w:pPr>
            <w:r w:rsidRPr="00845FB7">
              <w:rPr>
                <w:rFonts w:cstheme="majorBidi"/>
                <w:b/>
                <w:bCs/>
                <w:sz w:val="18"/>
                <w:szCs w:val="18"/>
                <w:lang w:val="en-GB"/>
              </w:rPr>
              <w:t xml:space="preserve">Special </w:t>
            </w:r>
            <w:r w:rsidR="00D1195A" w:rsidRPr="00845FB7">
              <w:rPr>
                <w:rFonts w:cstheme="majorBidi"/>
                <w:b/>
                <w:bCs/>
                <w:sz w:val="18"/>
                <w:szCs w:val="18"/>
                <w:lang w:val="en-GB"/>
              </w:rPr>
              <w:t>t</w:t>
            </w:r>
            <w:r w:rsidRPr="00845FB7">
              <w:rPr>
                <w:rFonts w:cstheme="majorBidi"/>
                <w:b/>
                <w:bCs/>
                <w:sz w:val="18"/>
                <w:szCs w:val="18"/>
                <w:lang w:val="en-GB"/>
              </w:rPr>
              <w:t xml:space="preserve">rust </w:t>
            </w:r>
            <w:r w:rsidR="00D1195A" w:rsidRPr="00845FB7">
              <w:rPr>
                <w:rFonts w:cstheme="majorBidi"/>
                <w:b/>
                <w:bCs/>
                <w:sz w:val="18"/>
                <w:szCs w:val="18"/>
                <w:lang w:val="en-GB"/>
              </w:rPr>
              <w:t>f</w:t>
            </w:r>
            <w:r w:rsidRPr="00845FB7">
              <w:rPr>
                <w:rFonts w:cstheme="majorBidi"/>
                <w:b/>
                <w:bCs/>
                <w:sz w:val="18"/>
                <w:szCs w:val="18"/>
                <w:lang w:val="en-GB"/>
              </w:rPr>
              <w:t>und</w:t>
            </w:r>
          </w:p>
        </w:tc>
        <w:tc>
          <w:tcPr>
            <w:tcW w:w="1980" w:type="dxa"/>
            <w:hideMark/>
          </w:tcPr>
          <w:p w14:paraId="69066A47" w14:textId="5BA24BAF" w:rsidR="00E723F8" w:rsidRPr="00845FB7" w:rsidRDefault="00E723F8" w:rsidP="00E723F8">
            <w:pPr>
              <w:rPr>
                <w:rFonts w:cstheme="majorBidi"/>
                <w:b/>
                <w:bCs/>
                <w:sz w:val="18"/>
                <w:szCs w:val="18"/>
                <w:lang w:val="en-GB"/>
              </w:rPr>
            </w:pPr>
            <w:r w:rsidRPr="00845FB7">
              <w:rPr>
                <w:rFonts w:cstheme="majorBidi"/>
                <w:b/>
                <w:bCs/>
                <w:sz w:val="18"/>
                <w:szCs w:val="18"/>
                <w:lang w:val="en-GB"/>
              </w:rPr>
              <w:t xml:space="preserve">Total </w:t>
            </w:r>
            <w:r w:rsidR="00D1195A" w:rsidRPr="00845FB7">
              <w:rPr>
                <w:rFonts w:cstheme="majorBidi"/>
                <w:b/>
                <w:bCs/>
                <w:sz w:val="18"/>
                <w:szCs w:val="18"/>
                <w:lang w:val="en-GB"/>
              </w:rPr>
              <w:t>c</w:t>
            </w:r>
            <w:r w:rsidRPr="00845FB7">
              <w:rPr>
                <w:rFonts w:cstheme="majorBidi"/>
                <w:b/>
                <w:bCs/>
                <w:sz w:val="18"/>
                <w:szCs w:val="18"/>
                <w:lang w:val="en-GB"/>
              </w:rPr>
              <w:t>ontribution</w:t>
            </w:r>
          </w:p>
        </w:tc>
      </w:tr>
      <w:tr w:rsidR="00E723F8" w:rsidRPr="00845FB7" w14:paraId="6607495D" w14:textId="77777777" w:rsidTr="00BD36F8">
        <w:trPr>
          <w:trHeight w:val="340"/>
        </w:trPr>
        <w:tc>
          <w:tcPr>
            <w:tcW w:w="4815" w:type="dxa"/>
            <w:noWrap/>
            <w:hideMark/>
          </w:tcPr>
          <w:p w14:paraId="3BAE4BAC" w14:textId="3C9274A6" w:rsidR="00E723F8" w:rsidRPr="00845FB7" w:rsidRDefault="00E723F8" w:rsidP="00E723F8">
            <w:pPr>
              <w:rPr>
                <w:rFonts w:cstheme="majorBidi"/>
                <w:sz w:val="18"/>
                <w:szCs w:val="18"/>
                <w:lang w:val="en-GB"/>
              </w:rPr>
            </w:pPr>
            <w:r w:rsidRPr="00845FB7">
              <w:rPr>
                <w:rFonts w:cstheme="majorBidi"/>
                <w:sz w:val="18"/>
                <w:szCs w:val="18"/>
                <w:lang w:val="en-GB"/>
              </w:rPr>
              <w:t>202</w:t>
            </w:r>
            <w:r w:rsidR="00D22C42" w:rsidRPr="00845FB7">
              <w:rPr>
                <w:rFonts w:cstheme="majorBidi"/>
                <w:sz w:val="18"/>
                <w:szCs w:val="18"/>
                <w:lang w:val="en-GB"/>
              </w:rPr>
              <w:t>4</w:t>
            </w:r>
            <w:r w:rsidRPr="00845FB7">
              <w:rPr>
                <w:rFonts w:cstheme="majorBidi"/>
                <w:sz w:val="18"/>
                <w:szCs w:val="18"/>
                <w:lang w:val="en-GB"/>
              </w:rPr>
              <w:t>-202</w:t>
            </w:r>
            <w:r w:rsidR="00D22C42" w:rsidRPr="00845FB7">
              <w:rPr>
                <w:rFonts w:cstheme="majorBidi"/>
                <w:sz w:val="18"/>
                <w:szCs w:val="18"/>
                <w:lang w:val="en-GB"/>
              </w:rPr>
              <w:t>5</w:t>
            </w:r>
            <w:r w:rsidRPr="00845FB7">
              <w:rPr>
                <w:rFonts w:cstheme="majorBidi"/>
                <w:sz w:val="18"/>
                <w:szCs w:val="18"/>
                <w:lang w:val="en-GB"/>
              </w:rPr>
              <w:t xml:space="preserve"> approved</w:t>
            </w:r>
          </w:p>
        </w:tc>
        <w:tc>
          <w:tcPr>
            <w:tcW w:w="2290" w:type="dxa"/>
            <w:noWrap/>
          </w:tcPr>
          <w:p w14:paraId="2899E89E" w14:textId="284EAEAC" w:rsidR="00E723F8" w:rsidRPr="00845FB7" w:rsidRDefault="00B8186B" w:rsidP="00E723F8">
            <w:pPr>
              <w:jc w:val="right"/>
              <w:rPr>
                <w:rFonts w:cstheme="majorBidi"/>
                <w:b/>
                <w:bCs/>
                <w:sz w:val="18"/>
                <w:szCs w:val="18"/>
                <w:lang w:val="en-GB"/>
              </w:rPr>
            </w:pPr>
            <w:r w:rsidRPr="00845FB7">
              <w:rPr>
                <w:rFonts w:cstheme="majorBidi"/>
                <w:b/>
                <w:bCs/>
                <w:sz w:val="18"/>
                <w:szCs w:val="18"/>
                <w:lang w:val="en-GB"/>
              </w:rPr>
              <w:t>0</w:t>
            </w:r>
          </w:p>
        </w:tc>
        <w:tc>
          <w:tcPr>
            <w:tcW w:w="2160" w:type="dxa"/>
            <w:noWrap/>
          </w:tcPr>
          <w:p w14:paraId="337DB4CA" w14:textId="403A33CF" w:rsidR="00E723F8" w:rsidRPr="00845FB7" w:rsidRDefault="00E723F8" w:rsidP="00E723F8">
            <w:pPr>
              <w:jc w:val="right"/>
              <w:rPr>
                <w:rFonts w:cstheme="majorBidi"/>
                <w:b/>
                <w:bCs/>
                <w:sz w:val="18"/>
                <w:szCs w:val="18"/>
                <w:lang w:val="en-GB"/>
              </w:rPr>
            </w:pPr>
            <w:r w:rsidRPr="00845FB7">
              <w:rPr>
                <w:rFonts w:cstheme="majorBidi"/>
                <w:b/>
                <w:bCs/>
                <w:sz w:val="18"/>
                <w:szCs w:val="18"/>
                <w:lang w:val="en-GB"/>
              </w:rPr>
              <w:t>1,</w:t>
            </w:r>
            <w:r w:rsidR="00977025" w:rsidRPr="00845FB7">
              <w:rPr>
                <w:rFonts w:cstheme="majorBidi"/>
                <w:b/>
                <w:bCs/>
                <w:sz w:val="18"/>
                <w:szCs w:val="18"/>
                <w:lang w:val="en-GB"/>
              </w:rPr>
              <w:t>42</w:t>
            </w:r>
            <w:r w:rsidR="005D7723" w:rsidRPr="00845FB7">
              <w:rPr>
                <w:rFonts w:cstheme="majorBidi"/>
                <w:b/>
                <w:bCs/>
                <w:sz w:val="18"/>
                <w:szCs w:val="18"/>
                <w:lang w:val="en-GB"/>
              </w:rPr>
              <w:t>0</w:t>
            </w:r>
            <w:r w:rsidRPr="00845FB7">
              <w:rPr>
                <w:rFonts w:cstheme="majorBidi"/>
                <w:b/>
                <w:bCs/>
                <w:sz w:val="18"/>
                <w:szCs w:val="18"/>
                <w:lang w:val="en-GB"/>
              </w:rPr>
              <w:t>,000</w:t>
            </w:r>
          </w:p>
        </w:tc>
        <w:tc>
          <w:tcPr>
            <w:tcW w:w="1980" w:type="dxa"/>
            <w:noWrap/>
          </w:tcPr>
          <w:p w14:paraId="788D767B" w14:textId="00D8AFC4" w:rsidR="00E723F8" w:rsidRPr="00845FB7" w:rsidRDefault="00E723F8" w:rsidP="00E723F8">
            <w:pPr>
              <w:jc w:val="right"/>
              <w:rPr>
                <w:rFonts w:cstheme="majorBidi"/>
                <w:b/>
                <w:bCs/>
                <w:sz w:val="18"/>
                <w:szCs w:val="18"/>
                <w:lang w:val="en-GB"/>
              </w:rPr>
            </w:pPr>
            <w:r w:rsidRPr="00845FB7">
              <w:rPr>
                <w:rFonts w:cstheme="majorBidi"/>
                <w:b/>
                <w:bCs/>
                <w:sz w:val="18"/>
                <w:szCs w:val="18"/>
                <w:lang w:val="en-GB"/>
              </w:rPr>
              <w:t>1,</w:t>
            </w:r>
            <w:r w:rsidR="00977025" w:rsidRPr="00845FB7">
              <w:rPr>
                <w:rFonts w:cstheme="majorBidi"/>
                <w:b/>
                <w:bCs/>
                <w:sz w:val="18"/>
                <w:szCs w:val="18"/>
                <w:lang w:val="en-GB"/>
              </w:rPr>
              <w:t>42</w:t>
            </w:r>
            <w:r w:rsidR="005D7723" w:rsidRPr="00845FB7">
              <w:rPr>
                <w:rFonts w:cstheme="majorBidi"/>
                <w:b/>
                <w:bCs/>
                <w:sz w:val="18"/>
                <w:szCs w:val="18"/>
                <w:lang w:val="en-GB"/>
              </w:rPr>
              <w:t>0</w:t>
            </w:r>
            <w:r w:rsidRPr="00845FB7">
              <w:rPr>
                <w:rFonts w:cstheme="majorBidi"/>
                <w:b/>
                <w:bCs/>
                <w:sz w:val="18"/>
                <w:szCs w:val="18"/>
                <w:lang w:val="en-GB"/>
              </w:rPr>
              <w:t>,000</w:t>
            </w:r>
          </w:p>
        </w:tc>
      </w:tr>
      <w:tr w:rsidR="00E723F8" w:rsidRPr="00845FB7" w14:paraId="49188E8E" w14:textId="77777777" w:rsidTr="00BD36F8">
        <w:trPr>
          <w:trHeight w:val="340"/>
        </w:trPr>
        <w:tc>
          <w:tcPr>
            <w:tcW w:w="4815" w:type="dxa"/>
            <w:hideMark/>
          </w:tcPr>
          <w:p w14:paraId="40965837" w14:textId="4CC3567B" w:rsidR="00E723F8" w:rsidRPr="00845FB7" w:rsidRDefault="00E2051A" w:rsidP="00E723F8">
            <w:pPr>
              <w:rPr>
                <w:rFonts w:cstheme="majorBidi"/>
                <w:sz w:val="18"/>
                <w:szCs w:val="18"/>
                <w:lang w:val="en-GB"/>
              </w:rPr>
            </w:pPr>
            <w:r w:rsidRPr="00845FB7">
              <w:rPr>
                <w:rFonts w:cstheme="majorBidi"/>
                <w:sz w:val="18"/>
                <w:szCs w:val="18"/>
                <w:lang w:val="en-GB"/>
              </w:rPr>
              <w:t>2026–2027</w:t>
            </w:r>
            <w:r w:rsidR="00E723F8" w:rsidRPr="00845FB7">
              <w:rPr>
                <w:rFonts w:cstheme="majorBidi"/>
                <w:sz w:val="18"/>
                <w:szCs w:val="18"/>
                <w:lang w:val="en-GB"/>
              </w:rPr>
              <w:t xml:space="preserve"> requested in </w:t>
            </w:r>
            <w:r w:rsidR="00D1195A" w:rsidRPr="00845FB7">
              <w:rPr>
                <w:rFonts w:cstheme="majorBidi"/>
                <w:sz w:val="18"/>
                <w:szCs w:val="18"/>
                <w:lang w:val="en-GB"/>
              </w:rPr>
              <w:t xml:space="preserve">the </w:t>
            </w:r>
            <w:r w:rsidR="004605CA" w:rsidRPr="00845FB7">
              <w:rPr>
                <w:rFonts w:cstheme="majorBidi"/>
                <w:sz w:val="18"/>
                <w:szCs w:val="18"/>
                <w:lang w:val="en-GB"/>
              </w:rPr>
              <w:t>5</w:t>
            </w:r>
            <w:r w:rsidR="00DC04E4" w:rsidRPr="00845FB7">
              <w:rPr>
                <w:rFonts w:cstheme="majorBidi"/>
                <w:sz w:val="18"/>
                <w:szCs w:val="18"/>
                <w:lang w:val="en-GB"/>
              </w:rPr>
              <w:t xml:space="preserve"> </w:t>
            </w:r>
            <w:r w:rsidR="00D1195A" w:rsidRPr="00845FB7">
              <w:rPr>
                <w:rFonts w:cstheme="majorBidi"/>
                <w:sz w:val="18"/>
                <w:szCs w:val="18"/>
                <w:lang w:val="en-GB"/>
              </w:rPr>
              <w:t>per cent</w:t>
            </w:r>
            <w:r w:rsidR="00E723F8" w:rsidRPr="00845FB7">
              <w:rPr>
                <w:rFonts w:cstheme="majorBidi"/>
                <w:sz w:val="18"/>
                <w:szCs w:val="18"/>
                <w:lang w:val="en-GB"/>
              </w:rPr>
              <w:t xml:space="preserve"> scenario</w:t>
            </w:r>
          </w:p>
        </w:tc>
        <w:tc>
          <w:tcPr>
            <w:tcW w:w="2290" w:type="dxa"/>
            <w:noWrap/>
          </w:tcPr>
          <w:p w14:paraId="62C3113E" w14:textId="7B583510" w:rsidR="00E723F8" w:rsidRPr="00845FB7" w:rsidRDefault="00B8186B" w:rsidP="00E723F8">
            <w:pPr>
              <w:jc w:val="right"/>
              <w:rPr>
                <w:rFonts w:cstheme="majorBidi"/>
                <w:b/>
                <w:bCs/>
                <w:sz w:val="18"/>
                <w:szCs w:val="18"/>
                <w:lang w:val="en-GB"/>
              </w:rPr>
            </w:pPr>
            <w:r w:rsidRPr="00845FB7">
              <w:rPr>
                <w:rFonts w:cstheme="majorBidi"/>
                <w:b/>
                <w:bCs/>
                <w:sz w:val="18"/>
                <w:szCs w:val="18"/>
                <w:lang w:val="en-GB"/>
              </w:rPr>
              <w:t>0</w:t>
            </w:r>
          </w:p>
        </w:tc>
        <w:tc>
          <w:tcPr>
            <w:tcW w:w="2160" w:type="dxa"/>
            <w:noWrap/>
          </w:tcPr>
          <w:p w14:paraId="70795A80" w14:textId="22AE4B08" w:rsidR="00E723F8" w:rsidRPr="00845FB7" w:rsidRDefault="00E723F8" w:rsidP="00E723F8">
            <w:pPr>
              <w:jc w:val="right"/>
              <w:rPr>
                <w:rFonts w:cstheme="majorBidi"/>
                <w:b/>
                <w:bCs/>
                <w:sz w:val="18"/>
                <w:szCs w:val="18"/>
                <w:lang w:val="en-GB"/>
              </w:rPr>
            </w:pPr>
            <w:r w:rsidRPr="00845FB7">
              <w:rPr>
                <w:rFonts w:cstheme="majorBidi"/>
                <w:b/>
                <w:bCs/>
                <w:sz w:val="18"/>
                <w:szCs w:val="18"/>
                <w:lang w:val="en-GB"/>
              </w:rPr>
              <w:t>1,</w:t>
            </w:r>
            <w:r w:rsidR="00D22C42" w:rsidRPr="00845FB7">
              <w:rPr>
                <w:rFonts w:cstheme="majorBidi"/>
                <w:b/>
                <w:bCs/>
                <w:sz w:val="18"/>
                <w:szCs w:val="18"/>
                <w:lang w:val="en-GB"/>
              </w:rPr>
              <w:t>42</w:t>
            </w:r>
            <w:r w:rsidRPr="00845FB7">
              <w:rPr>
                <w:rFonts w:cstheme="majorBidi"/>
                <w:b/>
                <w:bCs/>
                <w:sz w:val="18"/>
                <w:szCs w:val="18"/>
                <w:lang w:val="en-GB"/>
              </w:rPr>
              <w:t>0,000</w:t>
            </w:r>
          </w:p>
        </w:tc>
        <w:tc>
          <w:tcPr>
            <w:tcW w:w="1980" w:type="dxa"/>
            <w:noWrap/>
          </w:tcPr>
          <w:p w14:paraId="7A91DEAD" w14:textId="2A46AA17" w:rsidR="00E723F8" w:rsidRPr="00845FB7" w:rsidRDefault="00E723F8" w:rsidP="00E723F8">
            <w:pPr>
              <w:jc w:val="right"/>
              <w:rPr>
                <w:rFonts w:cstheme="majorBidi"/>
                <w:b/>
                <w:bCs/>
                <w:sz w:val="18"/>
                <w:szCs w:val="18"/>
                <w:lang w:val="en-GB"/>
              </w:rPr>
            </w:pPr>
            <w:r w:rsidRPr="00845FB7">
              <w:rPr>
                <w:rFonts w:cstheme="majorBidi"/>
                <w:b/>
                <w:bCs/>
                <w:sz w:val="18"/>
                <w:szCs w:val="18"/>
                <w:lang w:val="en-GB"/>
              </w:rPr>
              <w:t>1,</w:t>
            </w:r>
            <w:r w:rsidR="00D22C42" w:rsidRPr="00845FB7">
              <w:rPr>
                <w:rFonts w:cstheme="majorBidi"/>
                <w:b/>
                <w:bCs/>
                <w:sz w:val="18"/>
                <w:szCs w:val="18"/>
                <w:lang w:val="en-GB"/>
              </w:rPr>
              <w:t>42</w:t>
            </w:r>
            <w:r w:rsidRPr="00845FB7">
              <w:rPr>
                <w:rFonts w:cstheme="majorBidi"/>
                <w:b/>
                <w:bCs/>
                <w:sz w:val="18"/>
                <w:szCs w:val="18"/>
                <w:lang w:val="en-GB"/>
              </w:rPr>
              <w:t>0,000</w:t>
            </w:r>
          </w:p>
        </w:tc>
      </w:tr>
      <w:tr w:rsidR="00E723F8" w:rsidRPr="00845FB7" w14:paraId="639BACF7" w14:textId="77777777" w:rsidTr="00BD36F8">
        <w:trPr>
          <w:trHeight w:val="340"/>
        </w:trPr>
        <w:tc>
          <w:tcPr>
            <w:tcW w:w="4815" w:type="dxa"/>
            <w:hideMark/>
          </w:tcPr>
          <w:p w14:paraId="4E21B33A" w14:textId="4074EF91" w:rsidR="00E723F8" w:rsidRPr="00845FB7" w:rsidRDefault="00E2051A" w:rsidP="00E723F8">
            <w:pPr>
              <w:rPr>
                <w:rFonts w:cstheme="majorBidi"/>
                <w:sz w:val="18"/>
                <w:szCs w:val="18"/>
                <w:lang w:val="en-GB"/>
              </w:rPr>
            </w:pPr>
            <w:r w:rsidRPr="00845FB7">
              <w:rPr>
                <w:rFonts w:cstheme="majorBidi"/>
                <w:sz w:val="18"/>
                <w:szCs w:val="18"/>
                <w:lang w:val="en-GB"/>
              </w:rPr>
              <w:t>2026–2027</w:t>
            </w:r>
            <w:r w:rsidR="00E723F8" w:rsidRPr="00845FB7">
              <w:rPr>
                <w:rFonts w:cstheme="majorBidi"/>
                <w:sz w:val="18"/>
                <w:szCs w:val="18"/>
                <w:lang w:val="en-GB"/>
              </w:rPr>
              <w:t xml:space="preserve"> requested in </w:t>
            </w:r>
            <w:r w:rsidR="00D1195A" w:rsidRPr="00845FB7">
              <w:rPr>
                <w:rFonts w:cstheme="majorBidi"/>
                <w:sz w:val="18"/>
                <w:szCs w:val="18"/>
                <w:lang w:val="en-GB"/>
              </w:rPr>
              <w:t>the z</w:t>
            </w:r>
            <w:r w:rsidR="00E723F8" w:rsidRPr="00845FB7">
              <w:rPr>
                <w:rFonts w:cstheme="majorBidi"/>
                <w:sz w:val="18"/>
                <w:szCs w:val="18"/>
                <w:lang w:val="en-GB"/>
              </w:rPr>
              <w:t>ero nominal growth scenario</w:t>
            </w:r>
          </w:p>
        </w:tc>
        <w:tc>
          <w:tcPr>
            <w:tcW w:w="2290" w:type="dxa"/>
            <w:noWrap/>
          </w:tcPr>
          <w:p w14:paraId="7DE5A982" w14:textId="4288ABEE" w:rsidR="00E723F8" w:rsidRPr="00845FB7" w:rsidRDefault="00B8186B" w:rsidP="00E723F8">
            <w:pPr>
              <w:jc w:val="right"/>
              <w:rPr>
                <w:rFonts w:cstheme="majorBidi"/>
                <w:b/>
                <w:bCs/>
                <w:sz w:val="18"/>
                <w:szCs w:val="18"/>
                <w:lang w:val="en-GB"/>
              </w:rPr>
            </w:pPr>
            <w:r w:rsidRPr="00845FB7">
              <w:rPr>
                <w:rFonts w:cstheme="majorBidi"/>
                <w:b/>
                <w:bCs/>
                <w:sz w:val="18"/>
                <w:szCs w:val="18"/>
                <w:lang w:val="en-GB"/>
              </w:rPr>
              <w:t>0</w:t>
            </w:r>
          </w:p>
        </w:tc>
        <w:tc>
          <w:tcPr>
            <w:tcW w:w="2160" w:type="dxa"/>
            <w:noWrap/>
          </w:tcPr>
          <w:p w14:paraId="6EA4E094" w14:textId="0036525A" w:rsidR="00E723F8" w:rsidRPr="00845FB7" w:rsidRDefault="00E723F8" w:rsidP="00E723F8">
            <w:pPr>
              <w:jc w:val="right"/>
              <w:rPr>
                <w:rFonts w:cstheme="majorBidi"/>
                <w:b/>
                <w:bCs/>
                <w:sz w:val="18"/>
                <w:szCs w:val="18"/>
                <w:lang w:val="en-GB"/>
              </w:rPr>
            </w:pPr>
            <w:r w:rsidRPr="00845FB7">
              <w:rPr>
                <w:rFonts w:cstheme="majorBidi"/>
                <w:b/>
                <w:bCs/>
                <w:sz w:val="18"/>
                <w:szCs w:val="18"/>
                <w:lang w:val="en-GB"/>
              </w:rPr>
              <w:t>1,</w:t>
            </w:r>
            <w:r w:rsidR="00D22C42" w:rsidRPr="00845FB7">
              <w:rPr>
                <w:rFonts w:cstheme="majorBidi"/>
                <w:b/>
                <w:bCs/>
                <w:sz w:val="18"/>
                <w:szCs w:val="18"/>
                <w:lang w:val="en-GB"/>
              </w:rPr>
              <w:t>42</w:t>
            </w:r>
            <w:r w:rsidRPr="00845FB7">
              <w:rPr>
                <w:rFonts w:cstheme="majorBidi"/>
                <w:b/>
                <w:bCs/>
                <w:sz w:val="18"/>
                <w:szCs w:val="18"/>
                <w:lang w:val="en-GB"/>
              </w:rPr>
              <w:t>0.000</w:t>
            </w:r>
          </w:p>
        </w:tc>
        <w:tc>
          <w:tcPr>
            <w:tcW w:w="1980" w:type="dxa"/>
            <w:noWrap/>
          </w:tcPr>
          <w:p w14:paraId="46486D73" w14:textId="308F4480" w:rsidR="00E723F8" w:rsidRPr="00845FB7" w:rsidRDefault="00E723F8" w:rsidP="00E723F8">
            <w:pPr>
              <w:jc w:val="right"/>
              <w:rPr>
                <w:rFonts w:cstheme="majorBidi"/>
                <w:b/>
                <w:bCs/>
                <w:sz w:val="18"/>
                <w:szCs w:val="18"/>
                <w:lang w:val="en-GB"/>
              </w:rPr>
            </w:pPr>
            <w:r w:rsidRPr="00845FB7">
              <w:rPr>
                <w:rFonts w:cstheme="majorBidi"/>
                <w:b/>
                <w:bCs/>
                <w:sz w:val="18"/>
                <w:szCs w:val="18"/>
                <w:lang w:val="en-GB"/>
              </w:rPr>
              <w:t>1,</w:t>
            </w:r>
            <w:r w:rsidR="00D22C42" w:rsidRPr="00845FB7">
              <w:rPr>
                <w:rFonts w:cstheme="majorBidi"/>
                <w:b/>
                <w:bCs/>
                <w:sz w:val="18"/>
                <w:szCs w:val="18"/>
                <w:lang w:val="en-GB"/>
              </w:rPr>
              <w:t>42</w:t>
            </w:r>
            <w:r w:rsidRPr="00845FB7">
              <w:rPr>
                <w:rFonts w:cstheme="majorBidi"/>
                <w:b/>
                <w:bCs/>
                <w:sz w:val="18"/>
                <w:szCs w:val="18"/>
                <w:lang w:val="en-GB"/>
              </w:rPr>
              <w:t>0,000</w:t>
            </w:r>
          </w:p>
        </w:tc>
      </w:tr>
    </w:tbl>
    <w:p w14:paraId="5ED03355" w14:textId="113E26B8" w:rsidR="00E24FD7" w:rsidRPr="00845FB7" w:rsidRDefault="00E24FD7" w:rsidP="00E723F8">
      <w:pPr>
        <w:rPr>
          <w:lang w:val="en-GB" w:eastAsia="en-GB"/>
        </w:rPr>
        <w:sectPr w:rsidR="00E24FD7" w:rsidRPr="00845FB7" w:rsidSect="00BD36F8">
          <w:footerReference w:type="even" r:id="rId42"/>
          <w:headerReference w:type="first" r:id="rId43"/>
          <w:footerReference w:type="first" r:id="rId44"/>
          <w:pgSz w:w="16838" w:h="11906" w:orient="landscape" w:code="9"/>
          <w:pgMar w:top="907" w:right="992" w:bottom="1418" w:left="1418" w:header="539" w:footer="975" w:gutter="0"/>
          <w:cols w:space="708"/>
          <w:titlePg/>
          <w:docGrid w:linePitch="360"/>
        </w:sectPr>
      </w:pPr>
    </w:p>
    <w:p w14:paraId="6BD61C71" w14:textId="1BA54509" w:rsidR="00A07FA9" w:rsidRPr="00845FB7" w:rsidRDefault="00A07FA9" w:rsidP="00BD36F8">
      <w:pPr>
        <w:pStyle w:val="Heading2"/>
        <w:spacing w:before="120"/>
        <w:rPr>
          <w:rFonts w:cstheme="majorBidi"/>
          <w:color w:val="FFC000"/>
          <w:sz w:val="36"/>
          <w:szCs w:val="36"/>
          <w:lang w:val="en-GB"/>
        </w:rPr>
      </w:pPr>
      <w:r w:rsidRPr="00845FB7">
        <w:rPr>
          <w:rFonts w:cstheme="majorBidi"/>
          <w:color w:val="FFC000"/>
          <w:sz w:val="36"/>
          <w:szCs w:val="36"/>
          <w:lang w:val="en-GB"/>
        </w:rPr>
        <w:lastRenderedPageBreak/>
        <w:t>Activity 6. Effectiveness evaluation</w:t>
      </w:r>
    </w:p>
    <w:p w14:paraId="100E175C" w14:textId="6F531D70" w:rsidR="00A07FA9" w:rsidRPr="00845FB7" w:rsidRDefault="00A07FA9" w:rsidP="00A07FA9">
      <w:pPr>
        <w:pStyle w:val="Heading3"/>
        <w:rPr>
          <w:sz w:val="24"/>
          <w:lang w:val="en-GB"/>
        </w:rPr>
      </w:pPr>
      <w:r w:rsidRPr="00845FB7">
        <w:rPr>
          <w:sz w:val="24"/>
          <w:lang w:val="en-GB"/>
        </w:rPr>
        <w:t>Budget</w:t>
      </w:r>
    </w:p>
    <w:p w14:paraId="07A2E517" w14:textId="047F9CBB" w:rsidR="00A07FA9" w:rsidRPr="00845FB7" w:rsidRDefault="00A07FA9" w:rsidP="001E1D3D">
      <w:pPr>
        <w:rPr>
          <w:rFonts w:cstheme="majorBidi"/>
          <w:szCs w:val="20"/>
          <w:lang w:val="en-GB"/>
        </w:rPr>
      </w:pPr>
      <w:r w:rsidRPr="00845FB7">
        <w:rPr>
          <w:rFonts w:cstheme="majorBidi"/>
          <w:szCs w:val="20"/>
          <w:lang w:val="en-GB"/>
        </w:rPr>
        <w:fldChar w:fldCharType="begin">
          <w:ffData>
            <w:name w:val=""/>
            <w:enabled/>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6A019B" w:rsidRPr="00845FB7">
        <w:rPr>
          <w:rFonts w:cstheme="majorBidi"/>
          <w:szCs w:val="20"/>
          <w:lang w:val="en-GB"/>
        </w:rPr>
        <w:t>General Trust Fund</w:t>
      </w:r>
      <w:r w:rsidR="00BC36E5" w:rsidRPr="00845FB7">
        <w:rPr>
          <w:rFonts w:cstheme="majorBidi"/>
          <w:szCs w:val="20"/>
          <w:lang w:val="en-GB"/>
        </w:rPr>
        <w:t xml:space="preserve">                     </w:t>
      </w:r>
      <w:r w:rsidR="00BC36E5" w:rsidRPr="00845FB7">
        <w:rPr>
          <w:rFonts w:cstheme="majorBidi"/>
          <w:szCs w:val="20"/>
          <w:lang w:val="en-GB"/>
        </w:rPr>
        <w:fldChar w:fldCharType="begin">
          <w:ffData>
            <w:name w:val=""/>
            <w:enabled/>
            <w:calcOnExit w:val="0"/>
            <w:checkBox>
              <w:sizeAuto/>
              <w:default w:val="1"/>
            </w:checkBox>
          </w:ffData>
        </w:fldChar>
      </w:r>
      <w:r w:rsidR="00BC36E5"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00BC36E5" w:rsidRPr="00845FB7">
        <w:rPr>
          <w:rFonts w:cstheme="majorBidi"/>
          <w:szCs w:val="20"/>
          <w:lang w:val="en-GB"/>
        </w:rPr>
        <w:fldChar w:fldCharType="end"/>
      </w:r>
      <w:r w:rsidR="00BC36E5" w:rsidRPr="00845FB7">
        <w:rPr>
          <w:rFonts w:cstheme="majorBidi"/>
          <w:szCs w:val="20"/>
          <w:lang w:val="en-GB"/>
        </w:rPr>
        <w:t xml:space="preserve"> </w:t>
      </w:r>
      <w:r w:rsidR="006A019B" w:rsidRPr="00845FB7">
        <w:rPr>
          <w:rFonts w:cstheme="majorBidi"/>
          <w:szCs w:val="20"/>
          <w:lang w:val="en-GB"/>
        </w:rPr>
        <w:t>Special Trust Fund</w:t>
      </w:r>
    </w:p>
    <w:p w14:paraId="2D032662" w14:textId="77777777" w:rsidR="0013459C" w:rsidRPr="00845FB7" w:rsidRDefault="0013459C" w:rsidP="0013459C">
      <w:pPr>
        <w:pStyle w:val="Heading3"/>
        <w:rPr>
          <w:sz w:val="24"/>
          <w:lang w:val="en-GB"/>
        </w:rPr>
      </w:pPr>
      <w:r w:rsidRPr="00845FB7">
        <w:rPr>
          <w:sz w:val="24"/>
          <w:lang w:val="en-GB"/>
        </w:rPr>
        <w:t>Reference</w:t>
      </w:r>
    </w:p>
    <w:p w14:paraId="6CE446E1" w14:textId="23E82892" w:rsidR="0013459C" w:rsidRPr="00845FB7" w:rsidRDefault="0013459C" w:rsidP="00BD36F8">
      <w:pPr>
        <w:spacing w:after="60"/>
        <w:ind w:left="2552" w:hanging="2552"/>
        <w:rPr>
          <w:lang w:val="en-GB"/>
        </w:rPr>
      </w:pPr>
      <w:r w:rsidRPr="00845FB7">
        <w:rPr>
          <w:rFonts w:cstheme="majorBidi"/>
          <w:b/>
          <w:bCs/>
          <w:szCs w:val="20"/>
          <w:lang w:val="en-GB"/>
        </w:rPr>
        <w:t>UNEP/MC/COP.</w:t>
      </w:r>
      <w:r w:rsidR="00937E50" w:rsidRPr="00845FB7">
        <w:rPr>
          <w:rFonts w:cstheme="majorBidi"/>
          <w:b/>
          <w:bCs/>
          <w:szCs w:val="20"/>
          <w:lang w:val="en-GB"/>
        </w:rPr>
        <w:t>6</w:t>
      </w:r>
      <w:r w:rsidRPr="00845FB7">
        <w:rPr>
          <w:rFonts w:cstheme="majorBidi"/>
          <w:b/>
          <w:bCs/>
          <w:szCs w:val="20"/>
          <w:lang w:val="en-GB"/>
        </w:rPr>
        <w:t>/1</w:t>
      </w:r>
      <w:r w:rsidR="00184D82" w:rsidRPr="00845FB7">
        <w:rPr>
          <w:rFonts w:cstheme="majorBidi"/>
          <w:b/>
          <w:bCs/>
          <w:szCs w:val="20"/>
          <w:lang w:val="en-GB"/>
        </w:rPr>
        <w:t>6</w:t>
      </w:r>
      <w:r w:rsidRPr="00845FB7">
        <w:rPr>
          <w:rFonts w:cstheme="majorBidi"/>
          <w:b/>
          <w:bCs/>
          <w:szCs w:val="20"/>
          <w:lang w:val="en-GB"/>
        </w:rPr>
        <w:t>:</w:t>
      </w:r>
      <w:r w:rsidRPr="00845FB7">
        <w:rPr>
          <w:rFonts w:cstheme="majorBidi"/>
          <w:szCs w:val="20"/>
          <w:lang w:val="en-GB"/>
        </w:rPr>
        <w:t xml:space="preserve"> </w:t>
      </w:r>
      <w:r w:rsidR="00481320" w:rsidRPr="00845FB7">
        <w:rPr>
          <w:rFonts w:cstheme="majorBidi"/>
          <w:szCs w:val="20"/>
          <w:lang w:val="en-GB"/>
        </w:rPr>
        <w:tab/>
      </w:r>
      <w:r w:rsidR="002E227F" w:rsidRPr="00845FB7">
        <w:rPr>
          <w:lang w:val="en-GB"/>
        </w:rPr>
        <w:t>Progress report on the first effectiveness evaluation of the Minamata Convention on Mercury</w:t>
      </w:r>
    </w:p>
    <w:p w14:paraId="0C80184F" w14:textId="20C7E4E4" w:rsidR="0013459C" w:rsidRPr="00845FB7" w:rsidRDefault="0013459C" w:rsidP="002A243F">
      <w:pPr>
        <w:spacing w:after="60"/>
        <w:ind w:left="2552" w:hanging="2552"/>
        <w:rPr>
          <w:rFonts w:cstheme="majorBidi"/>
          <w:szCs w:val="20"/>
          <w:lang w:val="en-GB"/>
        </w:rPr>
      </w:pPr>
      <w:r w:rsidRPr="00845FB7">
        <w:rPr>
          <w:rFonts w:cstheme="majorBidi"/>
          <w:b/>
          <w:bCs/>
          <w:szCs w:val="20"/>
          <w:lang w:val="en-GB"/>
        </w:rPr>
        <w:t>UNEP/MC/COP.</w:t>
      </w:r>
      <w:r w:rsidR="00937E50" w:rsidRPr="00845FB7">
        <w:rPr>
          <w:rFonts w:cstheme="majorBidi"/>
          <w:b/>
          <w:bCs/>
          <w:szCs w:val="20"/>
          <w:lang w:val="en-GB"/>
        </w:rPr>
        <w:t>6</w:t>
      </w:r>
      <w:r w:rsidRPr="00845FB7">
        <w:rPr>
          <w:rFonts w:cstheme="majorBidi"/>
          <w:b/>
          <w:bCs/>
          <w:szCs w:val="20"/>
          <w:lang w:val="en-GB"/>
        </w:rPr>
        <w:t>/INF/</w:t>
      </w:r>
      <w:r w:rsidR="008F758B" w:rsidRPr="00845FB7">
        <w:rPr>
          <w:rFonts w:cstheme="majorBidi"/>
          <w:b/>
          <w:bCs/>
          <w:szCs w:val="20"/>
          <w:lang w:val="en-GB"/>
        </w:rPr>
        <w:t>22</w:t>
      </w:r>
      <w:r w:rsidRPr="00845FB7">
        <w:rPr>
          <w:rFonts w:cstheme="majorBidi"/>
          <w:b/>
          <w:bCs/>
          <w:szCs w:val="20"/>
          <w:lang w:val="en-GB"/>
        </w:rPr>
        <w:t>:</w:t>
      </w:r>
      <w:r w:rsidRPr="00845FB7">
        <w:rPr>
          <w:rFonts w:cstheme="majorBidi"/>
          <w:szCs w:val="20"/>
          <w:lang w:val="en-GB"/>
        </w:rPr>
        <w:t xml:space="preserve"> </w:t>
      </w:r>
      <w:r w:rsidR="00481320" w:rsidRPr="00845FB7">
        <w:rPr>
          <w:rFonts w:cstheme="majorBidi"/>
          <w:szCs w:val="20"/>
          <w:lang w:val="en-GB"/>
        </w:rPr>
        <w:tab/>
      </w:r>
      <w:r w:rsidR="005861A2" w:rsidRPr="00845FB7">
        <w:rPr>
          <w:rFonts w:cstheme="majorBidi"/>
          <w:szCs w:val="20"/>
          <w:lang w:val="en-GB"/>
        </w:rPr>
        <w:t xml:space="preserve">Preliminary draft </w:t>
      </w:r>
      <w:r w:rsidR="00DC56EA" w:rsidRPr="00845FB7">
        <w:rPr>
          <w:rFonts w:cstheme="majorBidi"/>
          <w:szCs w:val="20"/>
          <w:lang w:val="en-GB"/>
        </w:rPr>
        <w:t>outline</w:t>
      </w:r>
      <w:r w:rsidR="005861A2" w:rsidRPr="00845FB7">
        <w:rPr>
          <w:rFonts w:cstheme="majorBidi"/>
          <w:szCs w:val="20"/>
          <w:lang w:val="en-GB"/>
        </w:rPr>
        <w:t xml:space="preserve"> of the first effectiveness evaluation report</w:t>
      </w:r>
      <w:r w:rsidR="00AF3332" w:rsidRPr="00845FB7">
        <w:rPr>
          <w:rFonts w:cstheme="majorBidi"/>
          <w:szCs w:val="20"/>
          <w:lang w:val="en-GB"/>
        </w:rPr>
        <w:t xml:space="preserve"> of the Minamata Convention on Mercury</w:t>
      </w:r>
    </w:p>
    <w:p w14:paraId="6F190DA3" w14:textId="4A196F59" w:rsidR="0098781F" w:rsidRPr="00845FB7" w:rsidRDefault="00084033" w:rsidP="00BD36F8">
      <w:pPr>
        <w:tabs>
          <w:tab w:val="left" w:pos="2552"/>
        </w:tabs>
        <w:spacing w:after="60"/>
        <w:jc w:val="left"/>
        <w:rPr>
          <w:rFonts w:cstheme="majorBidi"/>
          <w:szCs w:val="20"/>
          <w:lang w:val="en-GB"/>
        </w:rPr>
      </w:pPr>
      <w:r w:rsidRPr="00845FB7">
        <w:rPr>
          <w:rFonts w:cstheme="majorBidi"/>
          <w:b/>
          <w:bCs/>
          <w:szCs w:val="20"/>
          <w:lang w:val="en-GB"/>
        </w:rPr>
        <w:t>UNEP/MC/COP.</w:t>
      </w:r>
      <w:r w:rsidR="00937E50" w:rsidRPr="00845FB7">
        <w:rPr>
          <w:rFonts w:cstheme="majorBidi"/>
          <w:b/>
          <w:bCs/>
          <w:szCs w:val="20"/>
          <w:lang w:val="en-GB"/>
        </w:rPr>
        <w:t>6</w:t>
      </w:r>
      <w:r w:rsidRPr="00845FB7">
        <w:rPr>
          <w:rFonts w:cstheme="majorBidi"/>
          <w:b/>
          <w:bCs/>
          <w:szCs w:val="20"/>
          <w:lang w:val="en-GB"/>
        </w:rPr>
        <w:t>/INF/2</w:t>
      </w:r>
      <w:r w:rsidR="00822EFB" w:rsidRPr="00845FB7">
        <w:rPr>
          <w:rFonts w:cstheme="majorBidi"/>
          <w:b/>
          <w:bCs/>
          <w:szCs w:val="20"/>
          <w:lang w:val="en-GB"/>
        </w:rPr>
        <w:t>3</w:t>
      </w:r>
      <w:r w:rsidRPr="00845FB7">
        <w:rPr>
          <w:rFonts w:cstheme="majorBidi"/>
          <w:b/>
          <w:bCs/>
          <w:szCs w:val="20"/>
          <w:lang w:val="en-GB"/>
        </w:rPr>
        <w:t>:</w:t>
      </w:r>
      <w:r w:rsidRPr="00845FB7">
        <w:rPr>
          <w:rFonts w:cstheme="majorBidi"/>
          <w:szCs w:val="20"/>
          <w:lang w:val="en-GB"/>
        </w:rPr>
        <w:t xml:space="preserve"> </w:t>
      </w:r>
      <w:r w:rsidR="00481320" w:rsidRPr="00845FB7">
        <w:rPr>
          <w:rFonts w:cstheme="majorBidi"/>
          <w:szCs w:val="20"/>
          <w:lang w:val="en-GB"/>
        </w:rPr>
        <w:tab/>
      </w:r>
      <w:r w:rsidR="000C28F1" w:rsidRPr="00845FB7">
        <w:rPr>
          <w:rFonts w:cstheme="majorBidi"/>
          <w:szCs w:val="20"/>
          <w:lang w:val="en-GB"/>
        </w:rPr>
        <w:t>Update on the work of the Open-ended Scientific Group</w:t>
      </w:r>
    </w:p>
    <w:p w14:paraId="0F3B4D78" w14:textId="0CDAB268" w:rsidR="00A07FA9" w:rsidRPr="00845FB7" w:rsidRDefault="00A07FA9" w:rsidP="00A07FA9">
      <w:pPr>
        <w:pStyle w:val="Heading3"/>
        <w:rPr>
          <w:sz w:val="24"/>
          <w:lang w:val="en-GB"/>
        </w:rPr>
      </w:pPr>
      <w:r w:rsidRPr="00845FB7">
        <w:rPr>
          <w:sz w:val="24"/>
          <w:lang w:val="en-GB"/>
        </w:rPr>
        <w:t>Mandate</w:t>
      </w:r>
    </w:p>
    <w:p w14:paraId="7117AB37" w14:textId="066D46F1" w:rsidR="00A07FA9" w:rsidRPr="00845FB7" w:rsidRDefault="00A07FA9" w:rsidP="00BD36F8">
      <w:pPr>
        <w:spacing w:after="60"/>
        <w:rPr>
          <w:rFonts w:cstheme="majorBidi"/>
          <w:szCs w:val="20"/>
          <w:lang w:val="en-GB"/>
        </w:rPr>
      </w:pPr>
      <w:r w:rsidRPr="00845FB7">
        <w:rPr>
          <w:rFonts w:cstheme="majorBidi"/>
          <w:b/>
          <w:bCs/>
          <w:szCs w:val="20"/>
          <w:lang w:val="en-GB"/>
        </w:rPr>
        <w:t>Convention:</w:t>
      </w:r>
      <w:r w:rsidRPr="00845FB7">
        <w:rPr>
          <w:rFonts w:cstheme="majorBidi"/>
          <w:szCs w:val="20"/>
          <w:lang w:val="en-GB"/>
        </w:rPr>
        <w:t xml:space="preserve"> </w:t>
      </w:r>
      <w:r w:rsidR="00DD1E0C" w:rsidRPr="00845FB7">
        <w:rPr>
          <w:rFonts w:cstheme="majorBidi"/>
          <w:szCs w:val="20"/>
          <w:lang w:val="en-GB"/>
        </w:rPr>
        <w:t>A</w:t>
      </w:r>
      <w:r w:rsidRPr="00845FB7">
        <w:rPr>
          <w:rFonts w:cstheme="majorBidi"/>
          <w:szCs w:val="20"/>
          <w:lang w:val="en-GB"/>
        </w:rPr>
        <w:t>rticle 22</w:t>
      </w:r>
    </w:p>
    <w:p w14:paraId="4AE7190A" w14:textId="2D7C4902" w:rsidR="00A07FA9" w:rsidRPr="00845FB7" w:rsidRDefault="00A07FA9" w:rsidP="00BD36F8">
      <w:pPr>
        <w:spacing w:after="60"/>
        <w:rPr>
          <w:rFonts w:cstheme="majorBidi"/>
          <w:szCs w:val="20"/>
          <w:lang w:val="en-GB"/>
        </w:rPr>
      </w:pPr>
      <w:r w:rsidRPr="00845FB7">
        <w:rPr>
          <w:rFonts w:cstheme="majorBidi"/>
          <w:b/>
          <w:bCs/>
          <w:szCs w:val="20"/>
          <w:lang w:val="en-GB"/>
        </w:rPr>
        <w:t>COP decision</w:t>
      </w:r>
      <w:r w:rsidR="009B230D" w:rsidRPr="00845FB7">
        <w:rPr>
          <w:rFonts w:cstheme="majorBidi"/>
          <w:b/>
          <w:bCs/>
          <w:szCs w:val="20"/>
          <w:lang w:val="en-GB"/>
        </w:rPr>
        <w:t>(</w:t>
      </w:r>
      <w:r w:rsidRPr="00845FB7">
        <w:rPr>
          <w:rFonts w:cstheme="majorBidi"/>
          <w:b/>
          <w:bCs/>
          <w:szCs w:val="20"/>
          <w:lang w:val="en-GB"/>
        </w:rPr>
        <w:t>s</w:t>
      </w:r>
      <w:r w:rsidR="009B230D" w:rsidRPr="00845FB7">
        <w:rPr>
          <w:rFonts w:cstheme="majorBidi"/>
          <w:b/>
          <w:bCs/>
          <w:szCs w:val="20"/>
          <w:lang w:val="en-GB"/>
        </w:rPr>
        <w:t>)</w:t>
      </w:r>
      <w:r w:rsidRPr="00845FB7">
        <w:rPr>
          <w:rFonts w:cstheme="majorBidi"/>
          <w:b/>
          <w:bCs/>
          <w:szCs w:val="20"/>
          <w:lang w:val="en-GB"/>
        </w:rPr>
        <w:t>:</w:t>
      </w:r>
      <w:r w:rsidRPr="00845FB7">
        <w:rPr>
          <w:rFonts w:cstheme="majorBidi"/>
          <w:szCs w:val="20"/>
          <w:lang w:val="en-GB"/>
        </w:rPr>
        <w:t xml:space="preserve"> MC-1/9</w:t>
      </w:r>
      <w:r w:rsidR="009B230D" w:rsidRPr="00845FB7">
        <w:rPr>
          <w:rFonts w:cstheme="majorBidi"/>
          <w:szCs w:val="20"/>
          <w:lang w:val="en-GB"/>
        </w:rPr>
        <w:t xml:space="preserve">, </w:t>
      </w:r>
      <w:r w:rsidRPr="00845FB7">
        <w:rPr>
          <w:rFonts w:cstheme="majorBidi"/>
          <w:szCs w:val="20"/>
          <w:lang w:val="en-GB"/>
        </w:rPr>
        <w:t>MC-2/10</w:t>
      </w:r>
      <w:r w:rsidR="009B230D" w:rsidRPr="00845FB7">
        <w:rPr>
          <w:rFonts w:cstheme="majorBidi"/>
          <w:szCs w:val="20"/>
          <w:lang w:val="en-GB"/>
        </w:rPr>
        <w:t xml:space="preserve">, </w:t>
      </w:r>
      <w:r w:rsidRPr="00845FB7">
        <w:rPr>
          <w:rFonts w:cstheme="majorBidi"/>
          <w:szCs w:val="20"/>
          <w:lang w:val="en-GB"/>
        </w:rPr>
        <w:t>MC-3/10</w:t>
      </w:r>
      <w:r w:rsidR="009648F5" w:rsidRPr="00845FB7">
        <w:rPr>
          <w:rFonts w:cstheme="majorBidi"/>
          <w:szCs w:val="20"/>
          <w:lang w:val="en-GB"/>
        </w:rPr>
        <w:t xml:space="preserve">, </w:t>
      </w:r>
      <w:r w:rsidR="009122F9" w:rsidRPr="00845FB7">
        <w:rPr>
          <w:rFonts w:cstheme="majorBidi"/>
          <w:szCs w:val="20"/>
          <w:lang w:val="en-GB"/>
        </w:rPr>
        <w:t>MC-4/11</w:t>
      </w:r>
      <w:r w:rsidR="00937E50" w:rsidRPr="00845FB7">
        <w:rPr>
          <w:rFonts w:cstheme="majorBidi"/>
          <w:szCs w:val="20"/>
          <w:lang w:val="en-GB"/>
        </w:rPr>
        <w:t>, MC-5/</w:t>
      </w:r>
      <w:r w:rsidR="0007736E" w:rsidRPr="00845FB7">
        <w:rPr>
          <w:rFonts w:cstheme="majorBidi"/>
          <w:szCs w:val="20"/>
          <w:lang w:val="en-GB"/>
        </w:rPr>
        <w:t>14</w:t>
      </w:r>
      <w:r w:rsidRPr="00845FB7">
        <w:rPr>
          <w:rFonts w:cstheme="majorBidi"/>
          <w:szCs w:val="20"/>
          <w:lang w:val="en-GB"/>
        </w:rPr>
        <w:t xml:space="preserve"> </w:t>
      </w:r>
    </w:p>
    <w:p w14:paraId="1EB87F8F" w14:textId="79492996" w:rsidR="00A07FA9" w:rsidRPr="00845FB7" w:rsidRDefault="00A07FA9" w:rsidP="00A07FA9">
      <w:pPr>
        <w:pStyle w:val="Heading3"/>
        <w:rPr>
          <w:sz w:val="24"/>
          <w:lang w:val="en-GB"/>
        </w:rPr>
      </w:pPr>
      <w:r w:rsidRPr="00845FB7">
        <w:rPr>
          <w:sz w:val="24"/>
          <w:lang w:val="en-GB"/>
        </w:rPr>
        <w:t>Background and rationale</w:t>
      </w:r>
    </w:p>
    <w:p w14:paraId="27024C25" w14:textId="2A7670E3" w:rsidR="00A07FA9" w:rsidRPr="00845FB7" w:rsidRDefault="00A07FA9" w:rsidP="00BD36F8">
      <w:pPr>
        <w:spacing w:after="120" w:line="276" w:lineRule="auto"/>
        <w:rPr>
          <w:rFonts w:cstheme="majorBidi"/>
          <w:szCs w:val="20"/>
          <w:lang w:val="en-GB"/>
        </w:rPr>
      </w:pPr>
      <w:r w:rsidRPr="00845FB7">
        <w:rPr>
          <w:rFonts w:cstheme="majorBidi"/>
          <w:szCs w:val="20"/>
          <w:lang w:val="en-GB"/>
        </w:rPr>
        <w:t>Article 22 on Effectiveness Evaluation</w:t>
      </w:r>
      <w:r w:rsidRPr="00845FB7">
        <w:rPr>
          <w:rFonts w:cstheme="majorBidi"/>
          <w:b/>
          <w:bCs/>
          <w:szCs w:val="20"/>
          <w:lang w:val="en-GB"/>
        </w:rPr>
        <w:t xml:space="preserve"> </w:t>
      </w:r>
      <w:r w:rsidRPr="00845FB7">
        <w:rPr>
          <w:rFonts w:cstheme="majorBidi"/>
          <w:szCs w:val="20"/>
          <w:lang w:val="en-GB"/>
        </w:rPr>
        <w:t xml:space="preserve">sets out that the Conference of the Parties shall evaluate the effectiveness of the Convention beginning no later than six years after entry into force and periodically thereafter. It also provides that the Conference of the Parties shall establish arrangements for providing itself with comparable monitoring data. </w:t>
      </w:r>
    </w:p>
    <w:p w14:paraId="1E2FEDF4" w14:textId="1FFF4A36" w:rsidR="00A07FA9" w:rsidRPr="00845FB7" w:rsidRDefault="00A07FA9" w:rsidP="00BD36F8">
      <w:pPr>
        <w:spacing w:after="120" w:line="276" w:lineRule="auto"/>
        <w:rPr>
          <w:rFonts w:cstheme="majorBidi"/>
          <w:szCs w:val="20"/>
          <w:lang w:val="en-GB"/>
        </w:rPr>
      </w:pPr>
      <w:r w:rsidRPr="00845FB7">
        <w:rPr>
          <w:rFonts w:cstheme="majorBidi"/>
          <w:szCs w:val="20"/>
          <w:lang w:val="en-GB"/>
        </w:rPr>
        <w:t>In its decisions MC-1/9 and MC-2/10, the Conference of the Parties established and extended, respectively, an ad hoc technical expert group on effectiveness evaluation and requested it to submit a report describing a framework for the effectiveness evaluation, including arrangements for monitoring of mercury. The outcome of the work of the ad hoc technical expert group for effectiveness evaluation with respect to the arrangements for the effectiveness evaluation was submitted for consideration by the third meeting of the Conference of the Parties.</w:t>
      </w:r>
      <w:r w:rsidR="00D212A9" w:rsidRPr="00845FB7">
        <w:rPr>
          <w:rFonts w:ascii="ZWAdobeF" w:hAnsi="ZWAdobeF" w:cs="ZWAdobeF"/>
          <w:sz w:val="2"/>
          <w:szCs w:val="2"/>
          <w:lang w:val="en-GB"/>
        </w:rPr>
        <w:t>4F</w:t>
      </w:r>
      <w:r w:rsidRPr="00845FB7">
        <w:rPr>
          <w:rStyle w:val="FootnoteReference"/>
          <w:rFonts w:cstheme="majorBidi"/>
          <w:szCs w:val="20"/>
          <w:lang w:val="en-GB"/>
        </w:rPr>
        <w:footnoteReference w:id="6"/>
      </w:r>
    </w:p>
    <w:p w14:paraId="2FC85A32" w14:textId="4E11DAF9" w:rsidR="00A07FA9" w:rsidRPr="00845FB7" w:rsidRDefault="00A07FA9" w:rsidP="00BD36F8">
      <w:pPr>
        <w:spacing w:after="120" w:line="276" w:lineRule="auto"/>
        <w:rPr>
          <w:rFonts w:cstheme="majorBidi"/>
          <w:szCs w:val="20"/>
          <w:lang w:val="en-GB"/>
        </w:rPr>
      </w:pPr>
      <w:r w:rsidRPr="00845FB7">
        <w:rPr>
          <w:rFonts w:cstheme="majorBidi"/>
          <w:szCs w:val="20"/>
          <w:lang w:val="en-GB"/>
        </w:rPr>
        <w:t xml:space="preserve">In decision MC-3/10 on arrangements for the first effectiveness evaluation of the Minamata Convention, </w:t>
      </w:r>
      <w:r w:rsidR="0074464C" w:rsidRPr="00845FB7">
        <w:rPr>
          <w:rFonts w:cstheme="majorBidi"/>
          <w:szCs w:val="20"/>
          <w:lang w:val="en-GB"/>
        </w:rPr>
        <w:t>P</w:t>
      </w:r>
      <w:r w:rsidRPr="00845FB7">
        <w:rPr>
          <w:rFonts w:cstheme="majorBidi"/>
          <w:szCs w:val="20"/>
          <w:lang w:val="en-GB"/>
        </w:rPr>
        <w:t xml:space="preserve">arties were invited to submit views on indicators for the effectiveness evaluation, as contained in its annex I to the decision, to be compiled by the </w:t>
      </w:r>
      <w:r w:rsidR="0074464C" w:rsidRPr="00845FB7">
        <w:rPr>
          <w:rFonts w:cstheme="majorBidi"/>
          <w:szCs w:val="20"/>
          <w:lang w:val="en-GB"/>
        </w:rPr>
        <w:t>S</w:t>
      </w:r>
      <w:r w:rsidRPr="00845FB7">
        <w:rPr>
          <w:rFonts w:cstheme="majorBidi"/>
          <w:szCs w:val="20"/>
          <w:lang w:val="en-GB"/>
        </w:rPr>
        <w:t xml:space="preserve">ecretariat. Further in the same decision, the Conference of the Parties requested the </w:t>
      </w:r>
      <w:r w:rsidR="0074464C" w:rsidRPr="00845FB7">
        <w:rPr>
          <w:rFonts w:cstheme="majorBidi"/>
          <w:szCs w:val="20"/>
          <w:lang w:val="en-GB"/>
        </w:rPr>
        <w:t>S</w:t>
      </w:r>
      <w:r w:rsidRPr="00845FB7">
        <w:rPr>
          <w:rFonts w:cstheme="majorBidi"/>
          <w:szCs w:val="20"/>
          <w:lang w:val="en-GB"/>
        </w:rPr>
        <w:t xml:space="preserve">ecretariat to advance the work by securing services for drafting (i) guidance on monitoring to maintain harmonized, comparable information on mercury levels in the environment, (ii) prepare the Article 21 Synthesis report, and (iii) a report on trade, supply and demand, including mercury waste flows and stocks. </w:t>
      </w:r>
    </w:p>
    <w:p w14:paraId="15D75A63" w14:textId="795CB399" w:rsidR="00463DBD" w:rsidRPr="00845FB7" w:rsidRDefault="00CB5EDF" w:rsidP="00BD36F8">
      <w:pPr>
        <w:spacing w:after="120" w:line="276" w:lineRule="auto"/>
        <w:rPr>
          <w:lang w:val="en-GB"/>
        </w:rPr>
      </w:pPr>
      <w:r w:rsidRPr="00845FB7">
        <w:rPr>
          <w:rFonts w:cstheme="majorBidi"/>
          <w:szCs w:val="20"/>
          <w:lang w:val="en-GB"/>
        </w:rPr>
        <w:t>In decision MC-4/11, the Conference of the Parties agreed to begin the first effectiveness evaluation of the Minamata Convention on Mercury</w:t>
      </w:r>
      <w:r w:rsidR="00532D9D" w:rsidRPr="00845FB7">
        <w:rPr>
          <w:rFonts w:cstheme="majorBidi"/>
          <w:szCs w:val="20"/>
          <w:lang w:val="en-GB"/>
        </w:rPr>
        <w:t xml:space="preserve"> and </w:t>
      </w:r>
      <w:r w:rsidR="00532D9D" w:rsidRPr="00845FB7">
        <w:rPr>
          <w:lang w:val="en-GB"/>
        </w:rPr>
        <w:t>established the Open-Ended Scientific Group to work in accordance with its terms of reference, as contained in annex II to the decision</w:t>
      </w:r>
      <w:r w:rsidRPr="00845FB7">
        <w:rPr>
          <w:rFonts w:cstheme="majorBidi"/>
          <w:szCs w:val="20"/>
          <w:lang w:val="en-GB"/>
        </w:rPr>
        <w:t>.</w:t>
      </w:r>
      <w:r w:rsidR="00725A24" w:rsidRPr="00845FB7">
        <w:rPr>
          <w:lang w:val="en-GB"/>
        </w:rPr>
        <w:t xml:space="preserve"> </w:t>
      </w:r>
      <w:r w:rsidR="00463DBD" w:rsidRPr="00845FB7">
        <w:rPr>
          <w:lang w:val="en-GB"/>
        </w:rPr>
        <w:t>Further in the same decision, the Conference of the Parties</w:t>
      </w:r>
      <w:r w:rsidR="00463DBD" w:rsidRPr="00845FB7" w:rsidDel="00822F8B">
        <w:rPr>
          <w:lang w:val="en-GB"/>
        </w:rPr>
        <w:t xml:space="preserve"> </w:t>
      </w:r>
      <w:r w:rsidR="00463DBD" w:rsidRPr="00845FB7">
        <w:rPr>
          <w:lang w:val="en-GB"/>
        </w:rPr>
        <w:t>acknowledged the work done on indicators for the effectiveness evaluation since its third meeting and requested the Secretariat to support an intersessional process to refine the list, with a view to providing a final list of indicators for adoption by the Conference of the Parties at its fifth meeting.</w:t>
      </w:r>
    </w:p>
    <w:p w14:paraId="31DC5D37" w14:textId="11492D0D" w:rsidR="001E7C14" w:rsidRPr="00845FB7" w:rsidRDefault="001E7C14" w:rsidP="00BD36F8">
      <w:pPr>
        <w:spacing w:after="120" w:line="276" w:lineRule="auto"/>
        <w:rPr>
          <w:lang w:val="en-GB"/>
        </w:rPr>
      </w:pPr>
      <w:r w:rsidRPr="00845FB7">
        <w:rPr>
          <w:lang w:val="en-GB"/>
        </w:rPr>
        <w:lastRenderedPageBreak/>
        <w:t xml:space="preserve">In decision </w:t>
      </w:r>
      <w:r w:rsidR="005C1B24" w:rsidRPr="00845FB7">
        <w:rPr>
          <w:lang w:val="en-GB"/>
        </w:rPr>
        <w:t>MC-5/14</w:t>
      </w:r>
      <w:r w:rsidR="001C252D" w:rsidRPr="00845FB7">
        <w:rPr>
          <w:lang w:val="en-GB"/>
        </w:rPr>
        <w:t xml:space="preserve">, the Conference of the Parties agreed to </w:t>
      </w:r>
      <w:r w:rsidR="009E7898" w:rsidRPr="00845FB7">
        <w:rPr>
          <w:lang w:val="en-GB"/>
        </w:rPr>
        <w:t>consider outcome of the first effectiveness evaluation of the Convention at its seventh meeting</w:t>
      </w:r>
      <w:r w:rsidR="00E05BB6" w:rsidRPr="00845FB7">
        <w:rPr>
          <w:lang w:val="en-GB"/>
        </w:rPr>
        <w:t xml:space="preserve"> </w:t>
      </w:r>
      <w:r w:rsidR="00D01CFE" w:rsidRPr="00845FB7">
        <w:rPr>
          <w:lang w:val="en-GB"/>
        </w:rPr>
        <w:t xml:space="preserve">and </w:t>
      </w:r>
      <w:r w:rsidR="00E05BB6" w:rsidRPr="00845FB7">
        <w:rPr>
          <w:lang w:val="en-GB"/>
        </w:rPr>
        <w:t>established the Effectiveness Evaluation Group</w:t>
      </w:r>
      <w:r w:rsidR="00157FDC" w:rsidRPr="00845FB7">
        <w:rPr>
          <w:lang w:val="en-GB"/>
        </w:rPr>
        <w:t xml:space="preserve"> in accordance with its terms of reference, as contained in annex I to the decision</w:t>
      </w:r>
      <w:r w:rsidR="00D01CFE" w:rsidRPr="00845FB7">
        <w:rPr>
          <w:lang w:val="en-GB"/>
        </w:rPr>
        <w:t>. Further in the same decision, the Conference of the Parties</w:t>
      </w:r>
      <w:r w:rsidR="00725A24" w:rsidRPr="00845FB7">
        <w:rPr>
          <w:lang w:val="en-GB"/>
        </w:rPr>
        <w:t xml:space="preserve"> adopted the indicators as set out in </w:t>
      </w:r>
      <w:r w:rsidR="00D01CFE" w:rsidRPr="00845FB7">
        <w:rPr>
          <w:lang w:val="en-GB"/>
        </w:rPr>
        <w:t>annex</w:t>
      </w:r>
      <w:r w:rsidR="00725A24" w:rsidRPr="00845FB7">
        <w:rPr>
          <w:lang w:val="en-GB"/>
        </w:rPr>
        <w:t xml:space="preserve"> II to the decision</w:t>
      </w:r>
      <w:r w:rsidR="00FA79A9" w:rsidRPr="00845FB7">
        <w:rPr>
          <w:lang w:val="en-GB"/>
        </w:rPr>
        <w:t xml:space="preserve"> and requested the Secretariat to continue supporting the effectiveness </w:t>
      </w:r>
      <w:r w:rsidR="00D81AFD" w:rsidRPr="00845FB7">
        <w:rPr>
          <w:lang w:val="en-GB"/>
        </w:rPr>
        <w:t>evaluation</w:t>
      </w:r>
      <w:r w:rsidR="00FA79A9" w:rsidRPr="00845FB7">
        <w:rPr>
          <w:lang w:val="en-GB"/>
        </w:rPr>
        <w:t xml:space="preserve"> process</w:t>
      </w:r>
      <w:r w:rsidR="00725A24" w:rsidRPr="00845FB7">
        <w:rPr>
          <w:lang w:val="en-GB"/>
        </w:rPr>
        <w:t>.</w:t>
      </w:r>
    </w:p>
    <w:p w14:paraId="74F04546" w14:textId="02A878BF" w:rsidR="00A07FA9" w:rsidRPr="00845FB7" w:rsidRDefault="00A07FA9" w:rsidP="00BD36F8">
      <w:pPr>
        <w:pStyle w:val="Heading3"/>
        <w:rPr>
          <w:sz w:val="24"/>
          <w:lang w:val="en-GB"/>
        </w:rPr>
      </w:pPr>
      <w:r w:rsidRPr="00845FB7">
        <w:rPr>
          <w:sz w:val="24"/>
          <w:lang w:val="en-GB"/>
        </w:rPr>
        <w:t>Outcomes and activities</w:t>
      </w:r>
    </w:p>
    <w:p w14:paraId="409E96CD" w14:textId="080D3DD9" w:rsidR="00A07FA9" w:rsidRPr="00845FB7" w:rsidRDefault="00A07FA9" w:rsidP="00BD36F8">
      <w:pPr>
        <w:pStyle w:val="Heading2"/>
        <w:spacing w:before="360" w:after="120"/>
        <w:rPr>
          <w:sz w:val="28"/>
          <w:szCs w:val="28"/>
          <w:lang w:val="en-GB"/>
        </w:rPr>
      </w:pPr>
      <w:r w:rsidRPr="00845FB7">
        <w:rPr>
          <w:rFonts w:cstheme="majorBidi"/>
          <w:sz w:val="28"/>
          <w:szCs w:val="28"/>
          <w:lang w:val="en-GB"/>
        </w:rPr>
        <w:t>Component</w:t>
      </w:r>
      <w:r w:rsidRPr="00845FB7">
        <w:rPr>
          <w:sz w:val="28"/>
          <w:szCs w:val="28"/>
          <w:lang w:val="en-GB"/>
        </w:rPr>
        <w:t xml:space="preserve"> 6.1. Effectiveness Evaluation </w:t>
      </w:r>
      <w:r w:rsidR="0074464C" w:rsidRPr="00845FB7">
        <w:rPr>
          <w:sz w:val="28"/>
          <w:szCs w:val="28"/>
          <w:lang w:val="en-GB"/>
        </w:rPr>
        <w:t>Group</w:t>
      </w:r>
    </w:p>
    <w:p w14:paraId="1F0C006E" w14:textId="77777777" w:rsidR="00A07FA9" w:rsidRPr="00845FB7" w:rsidRDefault="00A07FA9" w:rsidP="00BD36F8">
      <w:pPr>
        <w:spacing w:before="240"/>
        <w:rPr>
          <w:rFonts w:cstheme="majorBidi"/>
          <w:b/>
          <w:bCs/>
          <w:szCs w:val="20"/>
          <w:lang w:val="en-GB" w:eastAsia="en-GB"/>
        </w:rPr>
      </w:pPr>
      <w:r w:rsidRPr="00845FB7">
        <w:rPr>
          <w:rFonts w:cstheme="majorBidi"/>
          <w:b/>
          <w:bCs/>
          <w:lang w:val="en-GB" w:eastAsia="en-GB"/>
        </w:rPr>
        <w:t>OUTCOMES</w:t>
      </w:r>
    </w:p>
    <w:p w14:paraId="2A793A27" w14:textId="7C5D86C6" w:rsidR="00A07FA9" w:rsidRPr="00845FB7" w:rsidRDefault="00A07FA9" w:rsidP="00BD36F8">
      <w:pPr>
        <w:spacing w:after="60"/>
        <w:rPr>
          <w:rFonts w:cstheme="majorBidi"/>
          <w:szCs w:val="20"/>
          <w:lang w:val="en-GB" w:eastAsia="en-GB"/>
        </w:rPr>
      </w:pPr>
      <w:r w:rsidRPr="00845FB7">
        <w:rPr>
          <w:rFonts w:cstheme="majorBidi"/>
          <w:szCs w:val="20"/>
          <w:lang w:val="en-GB" w:eastAsia="en-GB"/>
        </w:rPr>
        <w:t xml:space="preserve">The Conference of the Parties is to be supported by an Effectiveness Evaluation </w:t>
      </w:r>
      <w:r w:rsidR="0074464C" w:rsidRPr="00845FB7">
        <w:rPr>
          <w:rFonts w:cstheme="majorBidi"/>
          <w:szCs w:val="20"/>
          <w:lang w:val="en-GB" w:eastAsia="en-GB"/>
        </w:rPr>
        <w:t>Group</w:t>
      </w:r>
      <w:r w:rsidRPr="00845FB7">
        <w:rPr>
          <w:rFonts w:cstheme="majorBidi"/>
          <w:szCs w:val="20"/>
          <w:lang w:val="en-GB" w:eastAsia="en-GB"/>
        </w:rPr>
        <w:t xml:space="preserve"> to evaluate the effectiveness of the Convention. </w:t>
      </w:r>
      <w:r w:rsidR="00792658" w:rsidRPr="00845FB7">
        <w:rPr>
          <w:rFonts w:cstheme="majorBidi"/>
          <w:szCs w:val="20"/>
          <w:lang w:val="en-GB" w:eastAsia="en-GB"/>
        </w:rPr>
        <w:t>COP-</w:t>
      </w:r>
      <w:r w:rsidR="00D81AFD" w:rsidRPr="00845FB7">
        <w:rPr>
          <w:rFonts w:cstheme="majorBidi"/>
          <w:szCs w:val="20"/>
          <w:lang w:val="en-GB" w:eastAsia="en-GB"/>
        </w:rPr>
        <w:t>7</w:t>
      </w:r>
      <w:r w:rsidR="00792658" w:rsidRPr="00845FB7">
        <w:rPr>
          <w:rFonts w:cstheme="majorBidi"/>
          <w:szCs w:val="20"/>
          <w:lang w:val="en-GB" w:eastAsia="en-GB"/>
        </w:rPr>
        <w:t xml:space="preserve"> is expected to </w:t>
      </w:r>
      <w:r w:rsidR="00D81AFD" w:rsidRPr="00845FB7">
        <w:rPr>
          <w:rFonts w:cstheme="majorBidi"/>
          <w:szCs w:val="20"/>
          <w:lang w:val="en-GB" w:eastAsia="en-GB"/>
        </w:rPr>
        <w:t>consider outcome of the first effectiveness evaluation of the Convention</w:t>
      </w:r>
      <w:r w:rsidR="00241FBD" w:rsidRPr="00845FB7">
        <w:rPr>
          <w:rFonts w:cstheme="majorBidi"/>
          <w:szCs w:val="20"/>
          <w:lang w:val="en-GB" w:eastAsia="en-GB"/>
        </w:rPr>
        <w:t>.</w:t>
      </w:r>
    </w:p>
    <w:p w14:paraId="63985B63" w14:textId="4C1239D1" w:rsidR="004528A9" w:rsidRPr="00845FB7" w:rsidRDefault="00A07FA9" w:rsidP="00BD36F8">
      <w:pPr>
        <w:spacing w:before="240"/>
        <w:rPr>
          <w:rFonts w:cstheme="majorBidi"/>
          <w:b/>
          <w:bCs/>
          <w:lang w:val="en-GB" w:eastAsia="en-GB"/>
        </w:rPr>
      </w:pPr>
      <w:r w:rsidRPr="00845FB7">
        <w:rPr>
          <w:rFonts w:cstheme="majorBidi"/>
          <w:b/>
          <w:bCs/>
          <w:lang w:val="en-GB" w:eastAsia="en-GB"/>
        </w:rPr>
        <w:t>ACTIVITIES</w:t>
      </w:r>
      <w:r w:rsidR="005D1B67" w:rsidRPr="00845FB7">
        <w:rPr>
          <w:rFonts w:cstheme="majorBidi"/>
          <w:b/>
          <w:bCs/>
          <w:lang w:val="en-GB" w:eastAsia="en-GB"/>
        </w:rPr>
        <w:t xml:space="preserve"> </w:t>
      </w:r>
    </w:p>
    <w:p w14:paraId="7417F61E" w14:textId="370BA82E" w:rsidR="004528A9" w:rsidRPr="00845FB7" w:rsidRDefault="004528A9" w:rsidP="00BD36F8">
      <w:pPr>
        <w:spacing w:after="60"/>
        <w:rPr>
          <w:rFonts w:cstheme="majorBidi"/>
          <w:b/>
          <w:bCs/>
          <w:szCs w:val="20"/>
          <w:lang w:val="en-GB" w:eastAsia="en-GB"/>
        </w:rPr>
      </w:pPr>
      <w:r w:rsidRPr="00845FB7">
        <w:rPr>
          <w:lang w:val="en-GB"/>
        </w:rPr>
        <w:t xml:space="preserve">The Secretariat will provide administrative, logistical, programmatic and substantive support for the </w:t>
      </w:r>
      <w:r w:rsidR="00DA6C8C" w:rsidRPr="00845FB7">
        <w:rPr>
          <w:lang w:val="en-GB"/>
        </w:rPr>
        <w:t>work and</w:t>
      </w:r>
      <w:r w:rsidRPr="00845FB7">
        <w:rPr>
          <w:lang w:val="en-GB"/>
        </w:rPr>
        <w:t xml:space="preserve"> meetings of the EEG, with the assistance of services as necessary, including:</w:t>
      </w:r>
    </w:p>
    <w:p w14:paraId="49F19C0B" w14:textId="11D4789C" w:rsidR="00FD6692" w:rsidRPr="00845FB7" w:rsidRDefault="00FD6692" w:rsidP="00BD36F8">
      <w:pPr>
        <w:pStyle w:val="ListParagraph"/>
        <w:numPr>
          <w:ilvl w:val="0"/>
          <w:numId w:val="3"/>
        </w:numPr>
        <w:spacing w:after="60"/>
        <w:rPr>
          <w:rFonts w:cstheme="majorBidi"/>
          <w:lang w:val="en-GB" w:eastAsia="en-GB"/>
        </w:rPr>
      </w:pPr>
      <w:r w:rsidRPr="00845FB7">
        <w:rPr>
          <w:rFonts w:cstheme="majorBidi"/>
          <w:lang w:val="en-GB" w:eastAsia="en-GB"/>
        </w:rPr>
        <w:t>Prepare and circulate documentation for the meetings (staff costs);</w:t>
      </w:r>
    </w:p>
    <w:p w14:paraId="54FC2D55" w14:textId="77777777" w:rsidR="00FD6692" w:rsidRPr="00845FB7" w:rsidRDefault="00FD6692" w:rsidP="00BD36F8">
      <w:pPr>
        <w:pStyle w:val="ListParagraph"/>
        <w:numPr>
          <w:ilvl w:val="0"/>
          <w:numId w:val="3"/>
        </w:numPr>
        <w:spacing w:after="60"/>
        <w:rPr>
          <w:rFonts w:cstheme="majorBidi"/>
          <w:lang w:val="en-GB" w:eastAsia="en-GB"/>
        </w:rPr>
      </w:pPr>
      <w:r w:rsidRPr="00845FB7">
        <w:rPr>
          <w:rFonts w:cstheme="majorBidi"/>
          <w:lang w:val="en-GB" w:eastAsia="en-GB"/>
        </w:rPr>
        <w:t>Prepare and dispatch invitations (staff costs);</w:t>
      </w:r>
    </w:p>
    <w:p w14:paraId="6963FFD3" w14:textId="39BC275E" w:rsidR="00FD6692" w:rsidRPr="00845FB7" w:rsidRDefault="00FD669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Organize travel of sponsored </w:t>
      </w:r>
      <w:r w:rsidR="001740BE" w:rsidRPr="00845FB7">
        <w:rPr>
          <w:rFonts w:cstheme="majorBidi"/>
          <w:szCs w:val="20"/>
          <w:lang w:val="en-GB" w:eastAsia="en-GB"/>
        </w:rPr>
        <w:t>EEG</w:t>
      </w:r>
      <w:r w:rsidR="00564BAF" w:rsidRPr="00845FB7">
        <w:rPr>
          <w:rFonts w:cstheme="majorBidi"/>
          <w:szCs w:val="20"/>
          <w:lang w:val="en-GB" w:eastAsia="en-GB"/>
        </w:rPr>
        <w:t xml:space="preserve"> </w:t>
      </w:r>
      <w:r w:rsidRPr="00845FB7">
        <w:rPr>
          <w:rFonts w:cstheme="majorBidi"/>
          <w:szCs w:val="20"/>
          <w:lang w:val="en-GB" w:eastAsia="en-GB"/>
        </w:rPr>
        <w:t>members, as appropriate;</w:t>
      </w:r>
    </w:p>
    <w:p w14:paraId="3C5A3BB6" w14:textId="77777777" w:rsidR="00FD6692" w:rsidRPr="00845FB7" w:rsidRDefault="00FD6692" w:rsidP="00BD36F8">
      <w:pPr>
        <w:pStyle w:val="ListParagraph"/>
        <w:numPr>
          <w:ilvl w:val="0"/>
          <w:numId w:val="3"/>
        </w:numPr>
        <w:spacing w:after="60"/>
        <w:rPr>
          <w:rFonts w:cstheme="majorBidi"/>
          <w:lang w:val="en-GB" w:eastAsia="en-GB"/>
        </w:rPr>
      </w:pPr>
      <w:r w:rsidRPr="00845FB7">
        <w:rPr>
          <w:rFonts w:cstheme="majorBidi"/>
          <w:lang w:val="en-GB" w:eastAsia="en-GB"/>
        </w:rPr>
        <w:t>Organize virtual meetings (staff costs);</w:t>
      </w:r>
    </w:p>
    <w:p w14:paraId="6CB18AD5" w14:textId="77777777" w:rsidR="00FD6692" w:rsidRPr="00845FB7" w:rsidRDefault="00FD669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Provide logistical support;</w:t>
      </w:r>
    </w:p>
    <w:p w14:paraId="722805C9" w14:textId="53C1BA1A" w:rsidR="00FD6692" w:rsidRPr="00C70A9F" w:rsidRDefault="00FD6692" w:rsidP="00BD36F8">
      <w:pPr>
        <w:pStyle w:val="ListParagraph"/>
        <w:numPr>
          <w:ilvl w:val="0"/>
          <w:numId w:val="3"/>
        </w:numPr>
        <w:spacing w:after="60"/>
        <w:rPr>
          <w:rFonts w:cstheme="majorBidi"/>
          <w:lang w:val="en-GB" w:eastAsia="en-GB"/>
        </w:rPr>
      </w:pPr>
      <w:r w:rsidRPr="00C70A9F">
        <w:rPr>
          <w:rFonts w:cstheme="majorBidi"/>
          <w:lang w:val="en-GB" w:eastAsia="en-GB"/>
        </w:rPr>
        <w:t xml:space="preserve">Support </w:t>
      </w:r>
      <w:r w:rsidR="004528A9" w:rsidRPr="00C70A9F">
        <w:rPr>
          <w:rFonts w:cstheme="majorBidi"/>
          <w:lang w:val="en-GB" w:eastAsia="en-GB"/>
        </w:rPr>
        <w:t>EEG</w:t>
      </w:r>
      <w:r w:rsidRPr="00C70A9F">
        <w:rPr>
          <w:rFonts w:cstheme="majorBidi"/>
          <w:lang w:val="en-GB" w:eastAsia="en-GB"/>
        </w:rPr>
        <w:t xml:space="preserve"> during and between meetings (staff costs);</w:t>
      </w:r>
    </w:p>
    <w:p w14:paraId="0C313850" w14:textId="5D854487" w:rsidR="007D587B" w:rsidRPr="00C70A9F" w:rsidRDefault="00FD6692" w:rsidP="00BD36F8">
      <w:pPr>
        <w:pStyle w:val="ListParagraph"/>
        <w:numPr>
          <w:ilvl w:val="0"/>
          <w:numId w:val="3"/>
        </w:numPr>
        <w:spacing w:after="60"/>
        <w:rPr>
          <w:rFonts w:cstheme="majorBidi"/>
          <w:lang w:val="en-GB" w:eastAsia="en-GB"/>
        </w:rPr>
      </w:pPr>
      <w:r w:rsidRPr="00C70A9F">
        <w:rPr>
          <w:rFonts w:cstheme="majorBidi"/>
          <w:lang w:val="en-GB" w:eastAsia="en-GB"/>
        </w:rPr>
        <w:t>Prepare the reports of the meetings and follow up on guidance provided at the meetings</w:t>
      </w:r>
      <w:r w:rsidR="00755367" w:rsidRPr="00C70A9F">
        <w:rPr>
          <w:rFonts w:cstheme="majorBidi"/>
          <w:lang w:val="en-GB" w:eastAsia="en-GB"/>
        </w:rPr>
        <w:t>)</w:t>
      </w:r>
      <w:r w:rsidR="00EC1A9F" w:rsidRPr="00C70A9F">
        <w:rPr>
          <w:rFonts w:cstheme="majorBidi"/>
          <w:lang w:val="en-GB" w:eastAsia="en-GB"/>
        </w:rPr>
        <w:t>;</w:t>
      </w:r>
    </w:p>
    <w:p w14:paraId="54E5A22D" w14:textId="211B031B" w:rsidR="00A07FA9" w:rsidRPr="00C70A9F" w:rsidRDefault="00C432F1" w:rsidP="007F5F49">
      <w:pPr>
        <w:pStyle w:val="ListParagraph"/>
        <w:numPr>
          <w:ilvl w:val="0"/>
          <w:numId w:val="3"/>
        </w:numPr>
        <w:spacing w:after="60"/>
        <w:rPr>
          <w:rFonts w:cstheme="majorBidi"/>
          <w:szCs w:val="20"/>
          <w:lang w:val="en-GB" w:eastAsia="en-GB"/>
        </w:rPr>
      </w:pPr>
      <w:r w:rsidRPr="00C70A9F">
        <w:rPr>
          <w:rFonts w:cstheme="majorBidi"/>
          <w:szCs w:val="20"/>
          <w:lang w:val="en-GB" w:eastAsia="en-GB"/>
        </w:rPr>
        <w:t xml:space="preserve">Support </w:t>
      </w:r>
      <w:r w:rsidR="003F53A5" w:rsidRPr="00C70A9F">
        <w:rPr>
          <w:rFonts w:cstheme="majorBidi"/>
          <w:szCs w:val="20"/>
          <w:lang w:val="en-GB" w:eastAsia="en-GB"/>
        </w:rPr>
        <w:t>EEG in developing effectiveness evaluation report</w:t>
      </w:r>
      <w:r w:rsidR="0064145A" w:rsidRPr="00C70A9F">
        <w:rPr>
          <w:rFonts w:cstheme="majorBidi"/>
          <w:szCs w:val="20"/>
          <w:lang w:val="en-GB" w:eastAsia="en-GB"/>
        </w:rPr>
        <w:t>,</w:t>
      </w:r>
      <w:r w:rsidR="00486313" w:rsidRPr="00C70A9F">
        <w:rPr>
          <w:rFonts w:cstheme="majorBidi"/>
          <w:szCs w:val="20"/>
          <w:lang w:val="en-GB" w:eastAsia="en-GB"/>
        </w:rPr>
        <w:t xml:space="preserve"> publish the report and</w:t>
      </w:r>
      <w:r w:rsidR="003F53A5" w:rsidRPr="00C70A9F">
        <w:rPr>
          <w:rFonts w:cstheme="majorBidi"/>
          <w:szCs w:val="20"/>
          <w:lang w:val="en-GB" w:eastAsia="en-GB"/>
        </w:rPr>
        <w:t xml:space="preserve"> prepare COP-7 document </w:t>
      </w:r>
      <w:r w:rsidR="00755367" w:rsidRPr="00C70A9F">
        <w:rPr>
          <w:rFonts w:cstheme="majorBidi"/>
          <w:szCs w:val="20"/>
          <w:lang w:val="en-GB" w:eastAsia="en-GB"/>
        </w:rPr>
        <w:t>(</w:t>
      </w:r>
      <w:r w:rsidR="00F269D0" w:rsidRPr="00C70A9F">
        <w:rPr>
          <w:rFonts w:cstheme="majorBidi"/>
          <w:szCs w:val="20"/>
          <w:lang w:val="en-GB" w:eastAsia="en-GB"/>
        </w:rPr>
        <w:t xml:space="preserve">partly </w:t>
      </w:r>
      <w:r w:rsidR="00755367" w:rsidRPr="00C70A9F">
        <w:rPr>
          <w:rFonts w:cstheme="majorBidi"/>
          <w:szCs w:val="20"/>
          <w:lang w:val="en-GB" w:eastAsia="en-GB"/>
        </w:rPr>
        <w:t>staff costs)</w:t>
      </w:r>
      <w:r w:rsidR="00FD6692" w:rsidRPr="00C70A9F">
        <w:rPr>
          <w:rFonts w:cstheme="majorBidi"/>
          <w:szCs w:val="20"/>
          <w:lang w:val="en-GB" w:eastAsia="en-GB"/>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44B70" w:rsidRPr="00845FB7" w14:paraId="13D965B8" w14:textId="77777777" w:rsidTr="00BD36F8">
        <w:tc>
          <w:tcPr>
            <w:tcW w:w="4508" w:type="dxa"/>
          </w:tcPr>
          <w:p w14:paraId="4DDAE3A8" w14:textId="528E825A" w:rsidR="00EC1A9F" w:rsidRPr="00845FB7" w:rsidRDefault="00EC1A9F"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615C7D0B" w14:textId="2174A3EB" w:rsidR="00EC1A9F" w:rsidRPr="00845FB7" w:rsidRDefault="00EC1A9F" w:rsidP="00BD36F8">
            <w:pPr>
              <w:keepNext/>
              <w:numPr>
                <w:ilvl w:val="0"/>
                <w:numId w:val="5"/>
              </w:numPr>
              <w:snapToGrid w:val="0"/>
              <w:spacing w:after="60"/>
              <w:jc w:val="left"/>
              <w:rPr>
                <w:rFonts w:cstheme="majorBidi"/>
                <w:szCs w:val="20"/>
                <w:lang w:val="en-GB"/>
              </w:rPr>
            </w:pPr>
            <w:r w:rsidRPr="00845FB7">
              <w:rPr>
                <w:rFonts w:cstheme="majorBidi"/>
                <w:szCs w:val="20"/>
                <w:lang w:val="en-GB"/>
              </w:rPr>
              <w:t>Meeting</w:t>
            </w:r>
            <w:r w:rsidR="0094632B" w:rsidRPr="00845FB7">
              <w:rPr>
                <w:rFonts w:cstheme="majorBidi"/>
                <w:szCs w:val="20"/>
                <w:lang w:val="en-GB"/>
              </w:rPr>
              <w:t>s</w:t>
            </w:r>
            <w:r w:rsidRPr="00845FB7">
              <w:rPr>
                <w:rFonts w:cstheme="majorBidi"/>
                <w:szCs w:val="20"/>
                <w:lang w:val="en-GB"/>
              </w:rPr>
              <w:t xml:space="preserve"> of the EEG organized;</w:t>
            </w:r>
          </w:p>
          <w:p w14:paraId="3436071B" w14:textId="77777777" w:rsidR="00EC1A9F" w:rsidRPr="00845FB7" w:rsidRDefault="00EC1A9F" w:rsidP="00BD36F8">
            <w:pPr>
              <w:keepNext/>
              <w:numPr>
                <w:ilvl w:val="0"/>
                <w:numId w:val="5"/>
              </w:numPr>
              <w:snapToGrid w:val="0"/>
              <w:spacing w:after="60"/>
              <w:jc w:val="left"/>
              <w:rPr>
                <w:rFonts w:cstheme="majorBidi"/>
                <w:szCs w:val="20"/>
                <w:lang w:val="en-GB"/>
              </w:rPr>
            </w:pPr>
            <w:r w:rsidRPr="00845FB7">
              <w:rPr>
                <w:rFonts w:cstheme="majorBidi"/>
                <w:szCs w:val="20"/>
                <w:lang w:val="en-GB"/>
              </w:rPr>
              <w:t>Documentation for the meetings, including meetings reports, available;</w:t>
            </w:r>
          </w:p>
          <w:p w14:paraId="1332A928" w14:textId="25032FC6" w:rsidR="00F269D0" w:rsidRPr="00845FB7" w:rsidRDefault="00F269D0" w:rsidP="00BD36F8">
            <w:pPr>
              <w:keepNext/>
              <w:numPr>
                <w:ilvl w:val="0"/>
                <w:numId w:val="5"/>
              </w:numPr>
              <w:snapToGrid w:val="0"/>
              <w:spacing w:after="60"/>
              <w:jc w:val="left"/>
              <w:rPr>
                <w:rFonts w:cstheme="majorBidi"/>
                <w:szCs w:val="20"/>
                <w:lang w:val="en-GB"/>
              </w:rPr>
            </w:pPr>
            <w:r w:rsidRPr="00845FB7">
              <w:rPr>
                <w:rFonts w:cstheme="majorBidi"/>
                <w:szCs w:val="20"/>
                <w:lang w:val="en-GB"/>
              </w:rPr>
              <w:t>EEG report to COP-7 prepared;</w:t>
            </w:r>
          </w:p>
          <w:p w14:paraId="0DD776BB" w14:textId="0378E9CF" w:rsidR="00EC1A9F" w:rsidRPr="00845FB7" w:rsidRDefault="00EC1A9F" w:rsidP="00BD36F8">
            <w:pPr>
              <w:pStyle w:val="ListParagraph"/>
              <w:numPr>
                <w:ilvl w:val="0"/>
                <w:numId w:val="5"/>
              </w:numPr>
              <w:spacing w:after="60"/>
              <w:rPr>
                <w:rFonts w:cstheme="majorBidi"/>
                <w:b/>
                <w:bCs/>
                <w:szCs w:val="20"/>
                <w:lang w:val="en-GB" w:eastAsia="en-GB"/>
              </w:rPr>
            </w:pPr>
            <w:r w:rsidRPr="00845FB7">
              <w:rPr>
                <w:rFonts w:cstheme="majorBidi"/>
                <w:iCs/>
                <w:szCs w:val="20"/>
                <w:lang w:val="en-GB"/>
              </w:rPr>
              <w:t>Number of men/</w:t>
            </w:r>
            <w:r w:rsidRPr="00845FB7">
              <w:rPr>
                <w:rFonts w:cstheme="majorBidi"/>
                <w:szCs w:val="20"/>
                <w:lang w:val="en-GB"/>
              </w:rPr>
              <w:t>women</w:t>
            </w:r>
            <w:r w:rsidRPr="00845FB7">
              <w:rPr>
                <w:rFonts w:cstheme="majorBidi"/>
                <w:iCs/>
                <w:szCs w:val="20"/>
                <w:lang w:val="en-GB"/>
              </w:rPr>
              <w:t xml:space="preserve"> </w:t>
            </w:r>
            <w:r w:rsidR="00D8050E" w:rsidRPr="00845FB7">
              <w:rPr>
                <w:rFonts w:cstheme="majorBidi"/>
                <w:iCs/>
                <w:szCs w:val="20"/>
                <w:lang w:val="en-GB"/>
              </w:rPr>
              <w:t>selected</w:t>
            </w:r>
            <w:r w:rsidRPr="00845FB7">
              <w:rPr>
                <w:rFonts w:cstheme="majorBidi"/>
                <w:iCs/>
                <w:szCs w:val="20"/>
                <w:lang w:val="en-GB"/>
              </w:rPr>
              <w:t xml:space="preserve"> as </w:t>
            </w:r>
            <w:r w:rsidR="00241FBD" w:rsidRPr="00845FB7">
              <w:rPr>
                <w:rFonts w:cstheme="majorBidi"/>
                <w:iCs/>
                <w:szCs w:val="20"/>
                <w:lang w:val="en-GB"/>
              </w:rPr>
              <w:t>EEG</w:t>
            </w:r>
            <w:r w:rsidRPr="00845FB7">
              <w:rPr>
                <w:rFonts w:cstheme="majorBidi"/>
                <w:iCs/>
                <w:szCs w:val="20"/>
                <w:lang w:val="en-GB"/>
              </w:rPr>
              <w:t xml:space="preserve"> members.</w:t>
            </w:r>
          </w:p>
        </w:tc>
        <w:tc>
          <w:tcPr>
            <w:tcW w:w="4508" w:type="dxa"/>
          </w:tcPr>
          <w:p w14:paraId="7C99607B" w14:textId="31ED8964" w:rsidR="00EC1A9F" w:rsidRPr="00845FB7" w:rsidRDefault="00EC1A9F"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23174153" w14:textId="5FCA5072" w:rsidR="00EC1A9F" w:rsidRPr="00845FB7" w:rsidRDefault="00EC1A9F" w:rsidP="00BD36F8">
            <w:pPr>
              <w:keepNext/>
              <w:numPr>
                <w:ilvl w:val="0"/>
                <w:numId w:val="4"/>
              </w:numPr>
              <w:snapToGrid w:val="0"/>
              <w:spacing w:after="60"/>
              <w:jc w:val="left"/>
              <w:rPr>
                <w:rFonts w:cstheme="majorBidi"/>
                <w:szCs w:val="20"/>
                <w:lang w:val="en-GB"/>
              </w:rPr>
            </w:pPr>
            <w:r w:rsidRPr="00845FB7">
              <w:rPr>
                <w:rFonts w:cstheme="majorBidi"/>
                <w:szCs w:val="20"/>
                <w:lang w:val="en-GB"/>
              </w:rPr>
              <w:t xml:space="preserve">Reports and lists of participants of the meetings of the </w:t>
            </w:r>
            <w:r w:rsidR="00241FBD" w:rsidRPr="00845FB7">
              <w:rPr>
                <w:rFonts w:cstheme="majorBidi"/>
                <w:szCs w:val="20"/>
                <w:lang w:val="en-GB"/>
              </w:rPr>
              <w:t>EEG</w:t>
            </w:r>
            <w:r w:rsidR="000835C6" w:rsidRPr="00845FB7">
              <w:rPr>
                <w:rFonts w:cstheme="majorBidi"/>
                <w:szCs w:val="20"/>
                <w:lang w:val="en-GB"/>
              </w:rPr>
              <w:t>, including a report to COP-</w:t>
            </w:r>
            <w:r w:rsidR="0094632B" w:rsidRPr="00845FB7">
              <w:rPr>
                <w:rFonts w:cstheme="majorBidi"/>
                <w:szCs w:val="20"/>
                <w:lang w:val="en-GB"/>
              </w:rPr>
              <w:t>7</w:t>
            </w:r>
            <w:r w:rsidRPr="00845FB7">
              <w:rPr>
                <w:rFonts w:cstheme="majorBidi"/>
                <w:szCs w:val="20"/>
                <w:lang w:val="en-GB"/>
              </w:rPr>
              <w:t>;</w:t>
            </w:r>
          </w:p>
          <w:p w14:paraId="4E31E3B2" w14:textId="50AE5AD4" w:rsidR="00EC1A9F" w:rsidRPr="00845FB7" w:rsidRDefault="00EC1A9F" w:rsidP="00BD36F8">
            <w:pPr>
              <w:keepNext/>
              <w:numPr>
                <w:ilvl w:val="0"/>
                <w:numId w:val="4"/>
              </w:numPr>
              <w:snapToGrid w:val="0"/>
              <w:spacing w:after="60"/>
              <w:jc w:val="left"/>
              <w:rPr>
                <w:rFonts w:cstheme="majorBidi"/>
                <w:szCs w:val="20"/>
                <w:lang w:val="en-GB"/>
              </w:rPr>
            </w:pPr>
            <w:r w:rsidRPr="00845FB7">
              <w:rPr>
                <w:rFonts w:cstheme="majorBidi"/>
                <w:szCs w:val="20"/>
                <w:lang w:val="en-GB"/>
              </w:rPr>
              <w:t>Meeting webpages;</w:t>
            </w:r>
          </w:p>
          <w:p w14:paraId="6AF8F5A2" w14:textId="421EE234" w:rsidR="00EC1A9F" w:rsidRPr="00845FB7" w:rsidRDefault="00EC1A9F" w:rsidP="00BD36F8">
            <w:pPr>
              <w:keepNext/>
              <w:numPr>
                <w:ilvl w:val="0"/>
                <w:numId w:val="4"/>
              </w:numPr>
              <w:snapToGrid w:val="0"/>
              <w:spacing w:after="60"/>
              <w:jc w:val="left"/>
              <w:rPr>
                <w:rFonts w:cstheme="majorBidi"/>
                <w:szCs w:val="20"/>
                <w:lang w:val="en-GB"/>
              </w:rPr>
            </w:pPr>
            <w:r w:rsidRPr="00845FB7">
              <w:rPr>
                <w:rFonts w:cstheme="majorBidi"/>
                <w:szCs w:val="20"/>
                <w:lang w:val="en-GB"/>
              </w:rPr>
              <w:t xml:space="preserve">Feedback from </w:t>
            </w:r>
            <w:r w:rsidR="00241FBD" w:rsidRPr="00845FB7">
              <w:rPr>
                <w:rFonts w:cstheme="majorBidi"/>
                <w:szCs w:val="20"/>
                <w:lang w:val="en-GB"/>
              </w:rPr>
              <w:t>EEG</w:t>
            </w:r>
            <w:r w:rsidRPr="00845FB7">
              <w:rPr>
                <w:rFonts w:cstheme="majorBidi"/>
                <w:szCs w:val="20"/>
                <w:lang w:val="en-GB"/>
              </w:rPr>
              <w:t xml:space="preserve"> members;</w:t>
            </w:r>
          </w:p>
          <w:p w14:paraId="6BF43D1D" w14:textId="4BE400C0" w:rsidR="00EC1A9F" w:rsidRPr="00845FB7" w:rsidRDefault="00EC1A9F" w:rsidP="00BD36F8">
            <w:pPr>
              <w:pStyle w:val="ListParagraph"/>
              <w:numPr>
                <w:ilvl w:val="0"/>
                <w:numId w:val="4"/>
              </w:numPr>
              <w:spacing w:after="60"/>
              <w:rPr>
                <w:rFonts w:cstheme="majorBidi"/>
                <w:szCs w:val="20"/>
                <w:lang w:val="en-GB" w:eastAsia="en-GB"/>
              </w:rPr>
            </w:pPr>
            <w:r w:rsidRPr="00845FB7">
              <w:rPr>
                <w:rFonts w:cstheme="majorBidi"/>
                <w:szCs w:val="20"/>
                <w:lang w:val="en-GB"/>
              </w:rPr>
              <w:t xml:space="preserve">Lists of participants of the </w:t>
            </w:r>
            <w:r w:rsidR="00241FBD" w:rsidRPr="00845FB7">
              <w:rPr>
                <w:rFonts w:cstheme="majorBidi"/>
                <w:szCs w:val="20"/>
                <w:lang w:val="en-GB"/>
              </w:rPr>
              <w:t>EEG</w:t>
            </w:r>
            <w:r w:rsidRPr="00845FB7">
              <w:rPr>
                <w:rFonts w:cstheme="majorBidi"/>
                <w:szCs w:val="20"/>
                <w:lang w:val="en-GB"/>
              </w:rPr>
              <w:t xml:space="preserve"> meetings.</w:t>
            </w:r>
          </w:p>
        </w:tc>
      </w:tr>
    </w:tbl>
    <w:p w14:paraId="593B05E8" w14:textId="3DFA16D3" w:rsidR="00A07FA9" w:rsidRPr="00845FB7" w:rsidRDefault="00A07FA9" w:rsidP="00BD36F8">
      <w:pPr>
        <w:pStyle w:val="Heading2"/>
        <w:spacing w:before="360" w:after="120"/>
        <w:rPr>
          <w:sz w:val="28"/>
          <w:szCs w:val="28"/>
          <w:lang w:val="en-GB"/>
        </w:rPr>
      </w:pPr>
      <w:r w:rsidRPr="00845FB7">
        <w:rPr>
          <w:sz w:val="28"/>
          <w:szCs w:val="28"/>
          <w:lang w:val="en-GB"/>
        </w:rPr>
        <w:t>Component 6.</w:t>
      </w:r>
      <w:r w:rsidR="00713BB8" w:rsidRPr="00845FB7">
        <w:rPr>
          <w:sz w:val="28"/>
          <w:szCs w:val="28"/>
          <w:lang w:val="en-GB"/>
        </w:rPr>
        <w:t>2</w:t>
      </w:r>
      <w:r w:rsidRPr="00845FB7">
        <w:rPr>
          <w:sz w:val="28"/>
          <w:szCs w:val="28"/>
          <w:lang w:val="en-GB"/>
        </w:rPr>
        <w:t>. O</w:t>
      </w:r>
      <w:r w:rsidR="00495EA3" w:rsidRPr="00845FB7">
        <w:rPr>
          <w:sz w:val="28"/>
          <w:szCs w:val="28"/>
          <w:lang w:val="en-GB"/>
        </w:rPr>
        <w:t xml:space="preserve">pen-ended </w:t>
      </w:r>
      <w:r w:rsidR="00C15512" w:rsidRPr="00845FB7">
        <w:rPr>
          <w:sz w:val="28"/>
          <w:szCs w:val="28"/>
          <w:lang w:val="en-GB"/>
        </w:rPr>
        <w:t>S</w:t>
      </w:r>
      <w:r w:rsidR="00495EA3" w:rsidRPr="00845FB7">
        <w:rPr>
          <w:sz w:val="28"/>
          <w:szCs w:val="28"/>
          <w:lang w:val="en-GB"/>
        </w:rPr>
        <w:t xml:space="preserve">cientific </w:t>
      </w:r>
      <w:r w:rsidR="00C15512" w:rsidRPr="00845FB7">
        <w:rPr>
          <w:sz w:val="28"/>
          <w:szCs w:val="28"/>
          <w:lang w:val="en-GB"/>
        </w:rPr>
        <w:t>G</w:t>
      </w:r>
      <w:r w:rsidR="00495EA3" w:rsidRPr="00845FB7">
        <w:rPr>
          <w:sz w:val="28"/>
          <w:szCs w:val="28"/>
          <w:lang w:val="en-GB"/>
        </w:rPr>
        <w:t xml:space="preserve">roup </w:t>
      </w:r>
      <w:r w:rsidR="00C15512" w:rsidRPr="00845FB7">
        <w:rPr>
          <w:sz w:val="28"/>
          <w:szCs w:val="28"/>
          <w:lang w:val="en-GB"/>
        </w:rPr>
        <w:t>(OESG)</w:t>
      </w:r>
    </w:p>
    <w:p w14:paraId="485E8B98" w14:textId="77777777" w:rsidR="00A07FA9" w:rsidRPr="00845FB7" w:rsidRDefault="00A07FA9" w:rsidP="00BD36F8">
      <w:pPr>
        <w:spacing w:before="240"/>
        <w:rPr>
          <w:rFonts w:cstheme="majorBidi"/>
          <w:b/>
          <w:bCs/>
          <w:szCs w:val="20"/>
          <w:lang w:val="en-GB" w:eastAsia="en-GB"/>
        </w:rPr>
      </w:pPr>
      <w:r w:rsidRPr="00845FB7">
        <w:rPr>
          <w:rFonts w:cstheme="majorBidi"/>
          <w:b/>
          <w:bCs/>
          <w:lang w:val="en-GB" w:eastAsia="en-GB"/>
        </w:rPr>
        <w:t>OUTCOMES</w:t>
      </w:r>
    </w:p>
    <w:p w14:paraId="6E1E18CA" w14:textId="5651DDEB" w:rsidR="00A07FA9" w:rsidRPr="00845FB7" w:rsidRDefault="00A07FA9" w:rsidP="00BD36F8">
      <w:pPr>
        <w:spacing w:after="60"/>
        <w:rPr>
          <w:rFonts w:cstheme="majorBidi"/>
          <w:szCs w:val="20"/>
          <w:lang w:val="en-GB" w:eastAsia="en-GB"/>
        </w:rPr>
      </w:pPr>
      <w:r w:rsidRPr="00845FB7">
        <w:rPr>
          <w:rFonts w:cstheme="majorBidi"/>
          <w:szCs w:val="20"/>
          <w:lang w:val="en-GB" w:eastAsia="en-GB"/>
        </w:rPr>
        <w:t xml:space="preserve">The </w:t>
      </w:r>
      <w:r w:rsidR="008C765D" w:rsidRPr="00845FB7">
        <w:rPr>
          <w:rFonts w:cstheme="majorBidi"/>
          <w:szCs w:val="20"/>
          <w:lang w:val="en-GB" w:eastAsia="en-GB"/>
        </w:rPr>
        <w:t>Effectiveness</w:t>
      </w:r>
      <w:r w:rsidR="00AF0F35" w:rsidRPr="00845FB7">
        <w:rPr>
          <w:rFonts w:cstheme="majorBidi"/>
          <w:szCs w:val="20"/>
          <w:lang w:val="en-GB" w:eastAsia="en-GB"/>
        </w:rPr>
        <w:t xml:space="preserve"> Evaluation Group </w:t>
      </w:r>
      <w:r w:rsidR="00B62A58" w:rsidRPr="00845FB7">
        <w:rPr>
          <w:rFonts w:cstheme="majorBidi"/>
          <w:szCs w:val="20"/>
          <w:lang w:val="en-GB" w:eastAsia="en-GB"/>
        </w:rPr>
        <w:t xml:space="preserve">(EEG) </w:t>
      </w:r>
      <w:r w:rsidR="00AF0F35" w:rsidRPr="00845FB7">
        <w:rPr>
          <w:rFonts w:cstheme="majorBidi"/>
          <w:szCs w:val="20"/>
          <w:lang w:val="en-GB" w:eastAsia="en-GB"/>
        </w:rPr>
        <w:t xml:space="preserve">and the </w:t>
      </w:r>
      <w:r w:rsidRPr="00845FB7">
        <w:rPr>
          <w:rFonts w:cstheme="majorBidi"/>
          <w:szCs w:val="20"/>
          <w:lang w:val="en-GB" w:eastAsia="en-GB"/>
        </w:rPr>
        <w:t xml:space="preserve">Conference of the Parties </w:t>
      </w:r>
      <w:r w:rsidR="00AF0F35" w:rsidRPr="00845FB7">
        <w:rPr>
          <w:rFonts w:cstheme="majorBidi"/>
          <w:szCs w:val="20"/>
          <w:lang w:val="en-GB" w:eastAsia="en-GB"/>
        </w:rPr>
        <w:t xml:space="preserve">are </w:t>
      </w:r>
      <w:r w:rsidRPr="00845FB7">
        <w:rPr>
          <w:rFonts w:cstheme="majorBidi"/>
          <w:szCs w:val="20"/>
          <w:lang w:val="en-GB" w:eastAsia="en-GB"/>
        </w:rPr>
        <w:t xml:space="preserve">supported to carry out the first effectiveness evaluation of the Convention with necessary scientific, technical any other information, including on effectiveness evaluation indicators and monitoring information. </w:t>
      </w:r>
    </w:p>
    <w:p w14:paraId="13A9DDAB" w14:textId="77777777" w:rsidR="00A07FA9" w:rsidRPr="00845FB7" w:rsidRDefault="00A07FA9" w:rsidP="00BD36F8">
      <w:pPr>
        <w:spacing w:before="240"/>
        <w:rPr>
          <w:rFonts w:cstheme="majorBidi"/>
          <w:b/>
          <w:bCs/>
          <w:szCs w:val="20"/>
          <w:lang w:val="en-GB" w:eastAsia="en-GB"/>
        </w:rPr>
      </w:pPr>
      <w:r w:rsidRPr="00845FB7">
        <w:rPr>
          <w:rFonts w:cstheme="majorBidi"/>
          <w:b/>
          <w:bCs/>
          <w:lang w:val="en-GB" w:eastAsia="en-GB"/>
        </w:rPr>
        <w:t>ACTIVITIES</w:t>
      </w:r>
    </w:p>
    <w:p w14:paraId="71BA32D0" w14:textId="1CE4CE6A" w:rsidR="003875DA" w:rsidRPr="00845FB7" w:rsidRDefault="003875DA" w:rsidP="00BD36F8">
      <w:pPr>
        <w:spacing w:after="60"/>
        <w:rPr>
          <w:rFonts w:cstheme="majorBidi"/>
          <w:szCs w:val="20"/>
          <w:lang w:val="en-GB" w:eastAsia="en-GB"/>
        </w:rPr>
      </w:pPr>
      <w:r w:rsidRPr="00845FB7">
        <w:rPr>
          <w:lang w:val="en-GB"/>
        </w:rPr>
        <w:t>The Secretariat will continue to provide administrative, logistical, programmatic and substantive support for the work of the OESG, with input from the roster of experts, with the assistance of services as necessary, including:</w:t>
      </w:r>
    </w:p>
    <w:p w14:paraId="76A9AC54" w14:textId="3118711E" w:rsidR="00A07FA9" w:rsidRPr="00845FB7" w:rsidRDefault="00AF0F35"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lastRenderedPageBreak/>
        <w:t>Support work of the OES</w:t>
      </w:r>
      <w:r w:rsidR="0063703B" w:rsidRPr="00845FB7">
        <w:rPr>
          <w:rFonts w:cstheme="majorBidi"/>
          <w:szCs w:val="20"/>
          <w:lang w:val="en-GB" w:eastAsia="en-GB"/>
        </w:rPr>
        <w:t>G, with input from the roster of experts,</w:t>
      </w:r>
      <w:r w:rsidRPr="00845FB7">
        <w:rPr>
          <w:rFonts w:cstheme="majorBidi"/>
          <w:szCs w:val="20"/>
          <w:lang w:val="en-GB" w:eastAsia="en-GB"/>
        </w:rPr>
        <w:t xml:space="preserve"> to </w:t>
      </w:r>
      <w:r w:rsidR="0009782B" w:rsidRPr="00845FB7">
        <w:rPr>
          <w:rFonts w:cstheme="majorBidi"/>
          <w:szCs w:val="20"/>
          <w:lang w:val="en-GB" w:eastAsia="en-GB"/>
        </w:rPr>
        <w:t xml:space="preserve">finalize the </w:t>
      </w:r>
      <w:r w:rsidR="00E937B0" w:rsidRPr="00845FB7">
        <w:rPr>
          <w:rFonts w:cstheme="majorBidi"/>
          <w:szCs w:val="20"/>
          <w:lang w:val="en-GB" w:eastAsia="en-GB"/>
        </w:rPr>
        <w:t xml:space="preserve">scientific reports taking into consideration the comments from </w:t>
      </w:r>
      <w:r w:rsidR="00AE24F8" w:rsidRPr="00845FB7">
        <w:rPr>
          <w:rFonts w:cstheme="majorBidi"/>
          <w:szCs w:val="20"/>
          <w:lang w:val="en-GB" w:eastAsia="en-GB"/>
        </w:rPr>
        <w:t>P</w:t>
      </w:r>
      <w:r w:rsidR="00E937B0" w:rsidRPr="00845FB7">
        <w:rPr>
          <w:rFonts w:cstheme="majorBidi"/>
          <w:szCs w:val="20"/>
          <w:lang w:val="en-GB" w:eastAsia="en-GB"/>
        </w:rPr>
        <w:t xml:space="preserve">arties and </w:t>
      </w:r>
      <w:r w:rsidR="00B62A58" w:rsidRPr="00845FB7">
        <w:rPr>
          <w:rFonts w:cstheme="majorBidi"/>
          <w:szCs w:val="20"/>
          <w:lang w:val="en-GB" w:eastAsia="en-GB"/>
        </w:rPr>
        <w:t>the EEG</w:t>
      </w:r>
      <w:r w:rsidR="00B9346B" w:rsidRPr="00845FB7">
        <w:rPr>
          <w:rFonts w:cstheme="majorBidi"/>
          <w:szCs w:val="20"/>
          <w:lang w:val="en-GB" w:eastAsia="en-GB"/>
        </w:rPr>
        <w:t>;</w:t>
      </w:r>
      <w:r w:rsidR="00A07FA9" w:rsidRPr="00845FB7">
        <w:rPr>
          <w:rFonts w:cstheme="majorBidi"/>
          <w:szCs w:val="20"/>
          <w:lang w:val="en-GB" w:eastAsia="en-GB"/>
        </w:rPr>
        <w:t xml:space="preserve"> </w:t>
      </w:r>
    </w:p>
    <w:p w14:paraId="66451018" w14:textId="65064F51" w:rsidR="00A07FA9" w:rsidRPr="00845FB7" w:rsidRDefault="00FF27C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Support OESG in c</w:t>
      </w:r>
      <w:r w:rsidR="00A07FA9" w:rsidRPr="00845FB7">
        <w:rPr>
          <w:rFonts w:cstheme="majorBidi"/>
          <w:szCs w:val="20"/>
          <w:lang w:val="en-GB" w:eastAsia="en-GB"/>
        </w:rPr>
        <w:t>ompil</w:t>
      </w:r>
      <w:r w:rsidRPr="00845FB7">
        <w:rPr>
          <w:rFonts w:cstheme="majorBidi"/>
          <w:szCs w:val="20"/>
          <w:lang w:val="en-GB" w:eastAsia="en-GB"/>
        </w:rPr>
        <w:t>ing</w:t>
      </w:r>
      <w:r w:rsidR="00A07FA9" w:rsidRPr="00845FB7">
        <w:rPr>
          <w:rFonts w:cstheme="majorBidi"/>
          <w:szCs w:val="20"/>
          <w:lang w:val="en-GB" w:eastAsia="en-GB"/>
        </w:rPr>
        <w:t xml:space="preserve"> and analys</w:t>
      </w:r>
      <w:r w:rsidRPr="00845FB7">
        <w:rPr>
          <w:rFonts w:cstheme="majorBidi"/>
          <w:szCs w:val="20"/>
          <w:lang w:val="en-GB" w:eastAsia="en-GB"/>
        </w:rPr>
        <w:t>ing</w:t>
      </w:r>
      <w:r w:rsidR="00A07FA9" w:rsidRPr="00845FB7">
        <w:rPr>
          <w:rFonts w:cstheme="majorBidi"/>
          <w:szCs w:val="20"/>
          <w:lang w:val="en-GB" w:eastAsia="en-GB"/>
        </w:rPr>
        <w:t xml:space="preserve"> any other scientific and technical information as requested by COP</w:t>
      </w:r>
      <w:r w:rsidR="001A6246" w:rsidRPr="00845FB7">
        <w:rPr>
          <w:rFonts w:cstheme="majorBidi"/>
          <w:szCs w:val="20"/>
          <w:lang w:val="en-GB" w:eastAsia="en-GB"/>
        </w:rPr>
        <w:t xml:space="preserve"> </w:t>
      </w:r>
      <w:r w:rsidR="0009782B" w:rsidRPr="00845FB7">
        <w:rPr>
          <w:rFonts w:cstheme="majorBidi"/>
          <w:szCs w:val="20"/>
          <w:lang w:val="en-GB" w:eastAsia="en-GB"/>
        </w:rPr>
        <w:t>and EEG</w:t>
      </w:r>
      <w:r w:rsidR="00B9346B" w:rsidRPr="00845FB7">
        <w:rPr>
          <w:rFonts w:cstheme="majorBidi"/>
          <w:szCs w:val="20"/>
          <w:lang w:val="en-GB" w:eastAsia="en-GB"/>
        </w:rPr>
        <w:t>;</w:t>
      </w:r>
    </w:p>
    <w:p w14:paraId="6677E140" w14:textId="3ED5E45E" w:rsidR="00113DE5" w:rsidRPr="00845FB7" w:rsidRDefault="00113DE5"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Work closely with the OESG co-Chairs to</w:t>
      </w:r>
      <w:r w:rsidR="00AB2829" w:rsidRPr="00845FB7">
        <w:rPr>
          <w:rFonts w:cstheme="majorBidi"/>
          <w:szCs w:val="20"/>
          <w:lang w:val="en-GB" w:eastAsia="en-GB"/>
        </w:rPr>
        <w:t xml:space="preserve"> support</w:t>
      </w:r>
      <w:r w:rsidRPr="00845FB7">
        <w:rPr>
          <w:rFonts w:cstheme="majorBidi"/>
          <w:szCs w:val="20"/>
          <w:lang w:val="en-GB" w:eastAsia="en-GB"/>
        </w:rPr>
        <w:t xml:space="preserve"> coordinat</w:t>
      </w:r>
      <w:r w:rsidR="00AB2829" w:rsidRPr="00845FB7">
        <w:rPr>
          <w:rFonts w:cstheme="majorBidi"/>
          <w:szCs w:val="20"/>
          <w:lang w:val="en-GB" w:eastAsia="en-GB"/>
        </w:rPr>
        <w:t>ion of</w:t>
      </w:r>
      <w:r w:rsidRPr="00845FB7">
        <w:rPr>
          <w:rFonts w:cstheme="majorBidi"/>
          <w:szCs w:val="20"/>
          <w:lang w:val="en-GB" w:eastAsia="en-GB"/>
        </w:rPr>
        <w:t xml:space="preserve"> the work of the OESG</w:t>
      </w:r>
      <w:r w:rsidR="00D344CC" w:rsidRPr="00845FB7">
        <w:rPr>
          <w:rFonts w:cstheme="majorBidi"/>
          <w:szCs w:val="20"/>
          <w:lang w:val="en-GB" w:eastAsia="en-GB"/>
        </w:rPr>
        <w:t>, with input from the roster of experts, prepare documentation</w:t>
      </w:r>
      <w:r w:rsidR="00DC68EB" w:rsidRPr="00845FB7">
        <w:rPr>
          <w:rFonts w:cstheme="majorBidi"/>
          <w:szCs w:val="20"/>
          <w:lang w:val="en-GB" w:eastAsia="en-GB"/>
        </w:rPr>
        <w:t xml:space="preserve">, compile </w:t>
      </w:r>
      <w:r w:rsidR="00AB2829" w:rsidRPr="00845FB7">
        <w:rPr>
          <w:rFonts w:cstheme="majorBidi"/>
          <w:szCs w:val="20"/>
          <w:lang w:val="en-GB" w:eastAsia="en-GB"/>
        </w:rPr>
        <w:t xml:space="preserve">and analysis of </w:t>
      </w:r>
      <w:r w:rsidR="00DC68EB" w:rsidRPr="00845FB7">
        <w:rPr>
          <w:rFonts w:cstheme="majorBidi"/>
          <w:szCs w:val="20"/>
          <w:lang w:val="en-GB" w:eastAsia="en-GB"/>
        </w:rPr>
        <w:t>data</w:t>
      </w:r>
      <w:r w:rsidR="00AB2829" w:rsidRPr="00845FB7">
        <w:rPr>
          <w:rFonts w:cstheme="majorBidi"/>
          <w:szCs w:val="20"/>
          <w:lang w:val="en-GB" w:eastAsia="en-GB"/>
        </w:rPr>
        <w:t xml:space="preserve"> and other functions to advance the work </w:t>
      </w:r>
      <w:r w:rsidR="0069409E" w:rsidRPr="00845FB7">
        <w:rPr>
          <w:rFonts w:cstheme="majorBidi"/>
          <w:szCs w:val="20"/>
          <w:lang w:val="en-GB" w:eastAsia="en-GB"/>
        </w:rPr>
        <w:t>in re</w:t>
      </w:r>
      <w:r w:rsidR="008C765D" w:rsidRPr="00845FB7">
        <w:rPr>
          <w:rFonts w:cstheme="majorBidi"/>
          <w:szCs w:val="20"/>
          <w:lang w:val="en-GB" w:eastAsia="en-GB"/>
        </w:rPr>
        <w:t>s</w:t>
      </w:r>
      <w:r w:rsidR="0069409E" w:rsidRPr="00845FB7">
        <w:rPr>
          <w:rFonts w:cstheme="majorBidi"/>
          <w:szCs w:val="20"/>
          <w:lang w:val="en-GB" w:eastAsia="en-GB"/>
        </w:rPr>
        <w:t>ponse to decision</w:t>
      </w:r>
      <w:r w:rsidR="00951F5C" w:rsidRPr="00845FB7">
        <w:rPr>
          <w:rFonts w:cstheme="majorBidi"/>
          <w:szCs w:val="20"/>
          <w:lang w:val="en-GB" w:eastAsia="en-GB"/>
        </w:rPr>
        <w:t>s</w:t>
      </w:r>
      <w:r w:rsidR="0069409E" w:rsidRPr="00845FB7">
        <w:rPr>
          <w:rFonts w:cstheme="majorBidi"/>
          <w:szCs w:val="20"/>
          <w:lang w:val="en-GB" w:eastAsia="en-GB"/>
        </w:rPr>
        <w:t xml:space="preserve"> MC-4/11</w:t>
      </w:r>
      <w:r w:rsidR="00951F5C" w:rsidRPr="00845FB7">
        <w:rPr>
          <w:rFonts w:cstheme="majorBidi"/>
          <w:szCs w:val="20"/>
          <w:lang w:val="en-GB" w:eastAsia="en-GB"/>
        </w:rPr>
        <w:t xml:space="preserve">and </w:t>
      </w:r>
      <w:r w:rsidR="001B4281" w:rsidRPr="00845FB7">
        <w:rPr>
          <w:rFonts w:cstheme="majorBidi"/>
          <w:szCs w:val="20"/>
          <w:lang w:val="en-GB" w:eastAsia="en-GB"/>
        </w:rPr>
        <w:t>5/14</w:t>
      </w:r>
      <w:r w:rsidR="00FA740C" w:rsidRPr="00845FB7">
        <w:rPr>
          <w:rFonts w:cstheme="majorBidi"/>
          <w:szCs w:val="20"/>
          <w:lang w:val="en-GB" w:eastAsia="en-GB"/>
        </w:rPr>
        <w:t xml:space="preserve"> </w:t>
      </w:r>
      <w:r w:rsidR="0069409E" w:rsidRPr="00845FB7">
        <w:rPr>
          <w:rFonts w:cstheme="majorBidi"/>
          <w:szCs w:val="20"/>
          <w:lang w:val="en-GB" w:eastAsia="en-GB"/>
        </w:rPr>
        <w:t>and other relevant decisions from COP-</w:t>
      </w:r>
      <w:r w:rsidR="001B4281" w:rsidRPr="00845FB7">
        <w:rPr>
          <w:rFonts w:cstheme="majorBidi"/>
          <w:szCs w:val="20"/>
          <w:lang w:val="en-GB" w:eastAsia="en-GB"/>
        </w:rPr>
        <w:t>6</w:t>
      </w:r>
      <w:r w:rsidR="00B9346B" w:rsidRPr="00845FB7">
        <w:rPr>
          <w:rFonts w:cstheme="majorBidi"/>
          <w:szCs w:val="20"/>
          <w:lang w:val="en-GB" w:eastAsia="en-GB"/>
        </w:rPr>
        <w:t>;</w:t>
      </w:r>
      <w:r w:rsidR="007E4174" w:rsidRPr="00845FB7">
        <w:rPr>
          <w:rFonts w:cstheme="majorBidi"/>
          <w:szCs w:val="20"/>
          <w:lang w:val="en-GB" w:eastAsia="en-GB"/>
        </w:rPr>
        <w:t xml:space="preserve"> </w:t>
      </w:r>
    </w:p>
    <w:p w14:paraId="36AB585F" w14:textId="464489E3" w:rsidR="00895E77" w:rsidRPr="00845FB7" w:rsidRDefault="00895E77"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Support </w:t>
      </w:r>
      <w:r w:rsidR="00F26119" w:rsidRPr="00845FB7">
        <w:rPr>
          <w:rFonts w:cstheme="majorBidi"/>
          <w:szCs w:val="20"/>
          <w:lang w:val="en-GB" w:eastAsia="en-GB"/>
        </w:rPr>
        <w:t xml:space="preserve">the </w:t>
      </w:r>
      <w:r w:rsidR="007866BD" w:rsidRPr="00845FB7">
        <w:rPr>
          <w:rFonts w:cstheme="majorBidi"/>
          <w:szCs w:val="20"/>
          <w:lang w:val="en-GB" w:eastAsia="en-GB"/>
        </w:rPr>
        <w:t xml:space="preserve">publication and </w:t>
      </w:r>
      <w:r w:rsidR="00F26119" w:rsidRPr="00845FB7">
        <w:rPr>
          <w:rFonts w:cstheme="majorBidi"/>
          <w:szCs w:val="20"/>
          <w:lang w:val="en-GB" w:eastAsia="en-GB"/>
        </w:rPr>
        <w:t>visualization of the</w:t>
      </w:r>
      <w:r w:rsidRPr="00845FB7">
        <w:rPr>
          <w:rFonts w:cstheme="majorBidi"/>
          <w:szCs w:val="20"/>
          <w:lang w:val="en-GB" w:eastAsia="en-GB"/>
        </w:rPr>
        <w:t xml:space="preserve"> information </w:t>
      </w:r>
      <w:r w:rsidR="00F26119" w:rsidRPr="00845FB7">
        <w:rPr>
          <w:rFonts w:cstheme="majorBidi"/>
          <w:szCs w:val="20"/>
          <w:lang w:val="en-GB" w:eastAsia="en-GB"/>
        </w:rPr>
        <w:t>in the scientific reports</w:t>
      </w:r>
      <w:r w:rsidR="00CC3A6E" w:rsidRPr="00845FB7">
        <w:rPr>
          <w:rFonts w:cstheme="majorBidi"/>
          <w:szCs w:val="20"/>
          <w:lang w:val="en-GB" w:eastAsia="en-GB"/>
        </w:rPr>
        <w:t>;</w:t>
      </w:r>
    </w:p>
    <w:p w14:paraId="13770FD4" w14:textId="748F6200" w:rsidR="00895E77" w:rsidRPr="00845FB7" w:rsidRDefault="00895E77"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Plan and convene regular online meetings </w:t>
      </w:r>
      <w:r w:rsidR="00923C63" w:rsidRPr="00845FB7">
        <w:rPr>
          <w:rFonts w:cstheme="majorBidi"/>
          <w:szCs w:val="20"/>
          <w:lang w:val="en-GB" w:eastAsia="en-GB"/>
        </w:rPr>
        <w:t>(staff cost)</w:t>
      </w:r>
      <w:r w:rsidRPr="00845FB7">
        <w:rPr>
          <w:rFonts w:cstheme="majorBidi"/>
          <w:szCs w:val="20"/>
          <w:lang w:val="en-GB" w:eastAsia="en-GB"/>
        </w:rPr>
        <w:t>;</w:t>
      </w:r>
    </w:p>
    <w:p w14:paraId="23B5168D" w14:textId="1A25128A" w:rsidR="00CC3A6E" w:rsidRPr="00845FB7" w:rsidRDefault="00CC3A6E"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Prepare and circulate documentation for the meetings</w:t>
      </w:r>
      <w:r w:rsidR="00E25C62" w:rsidRPr="00845FB7">
        <w:rPr>
          <w:rFonts w:cstheme="majorBidi"/>
          <w:szCs w:val="20"/>
          <w:lang w:val="en-GB" w:eastAsia="en-GB"/>
        </w:rPr>
        <w:t xml:space="preserve"> (staff costs)</w:t>
      </w:r>
      <w:r w:rsidRPr="00845FB7">
        <w:rPr>
          <w:rFonts w:cstheme="majorBidi"/>
          <w:szCs w:val="20"/>
          <w:lang w:val="en-GB" w:eastAsia="en-GB"/>
        </w:rPr>
        <w:t>;</w:t>
      </w:r>
    </w:p>
    <w:p w14:paraId="16351CDE" w14:textId="42BA1F29" w:rsidR="004C2B1F" w:rsidRPr="00845FB7" w:rsidRDefault="00047257"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Convene </w:t>
      </w:r>
      <w:r w:rsidR="005D47EF" w:rsidRPr="00845FB7">
        <w:rPr>
          <w:rFonts w:cstheme="majorBidi"/>
          <w:szCs w:val="20"/>
          <w:lang w:val="en-GB" w:eastAsia="en-GB"/>
        </w:rPr>
        <w:t xml:space="preserve">a meeting of </w:t>
      </w:r>
      <w:r w:rsidR="00FF2DE7" w:rsidRPr="00845FB7">
        <w:rPr>
          <w:rFonts w:cstheme="majorBidi"/>
          <w:szCs w:val="20"/>
          <w:lang w:val="en-GB" w:eastAsia="en-GB"/>
        </w:rPr>
        <w:t xml:space="preserve">lead </w:t>
      </w:r>
      <w:r w:rsidR="00165187" w:rsidRPr="00845FB7">
        <w:rPr>
          <w:rFonts w:cstheme="majorBidi"/>
          <w:szCs w:val="20"/>
          <w:lang w:val="en-GB" w:eastAsia="en-GB"/>
        </w:rPr>
        <w:t>membe</w:t>
      </w:r>
      <w:r w:rsidR="002F5AF3" w:rsidRPr="00845FB7">
        <w:rPr>
          <w:rFonts w:cstheme="majorBidi"/>
          <w:szCs w:val="20"/>
          <w:lang w:val="en-GB" w:eastAsia="en-GB"/>
        </w:rPr>
        <w:t>r</w:t>
      </w:r>
      <w:r w:rsidR="00560208" w:rsidRPr="00845FB7">
        <w:rPr>
          <w:rFonts w:cstheme="majorBidi"/>
          <w:szCs w:val="20"/>
          <w:lang w:val="en-GB" w:eastAsia="en-GB"/>
        </w:rPr>
        <w:t xml:space="preserve"> of small groups on air monitoring, biota monitoring, other abiotic media monitoring, human </w:t>
      </w:r>
      <w:r w:rsidR="005A4DAB" w:rsidRPr="00845FB7">
        <w:rPr>
          <w:rFonts w:cstheme="majorBidi"/>
          <w:szCs w:val="20"/>
          <w:lang w:val="en-GB" w:eastAsia="en-GB"/>
        </w:rPr>
        <w:t xml:space="preserve">biomonitoring, emissions and releases, </w:t>
      </w:r>
      <w:r w:rsidR="006A2D1D" w:rsidRPr="00845FB7">
        <w:rPr>
          <w:rFonts w:cstheme="majorBidi"/>
          <w:szCs w:val="20"/>
          <w:lang w:val="en-GB" w:eastAsia="en-GB"/>
        </w:rPr>
        <w:t>integrated analysis and future vision</w:t>
      </w:r>
      <w:r w:rsidR="004C2B1F" w:rsidRPr="00845FB7">
        <w:rPr>
          <w:rFonts w:cstheme="majorBidi"/>
          <w:szCs w:val="20"/>
          <w:lang w:val="en-GB" w:eastAsia="en-GB"/>
        </w:rPr>
        <w:t>;</w:t>
      </w:r>
    </w:p>
    <w:p w14:paraId="4F8F2CF4" w14:textId="14B926B5" w:rsidR="00A05206" w:rsidRPr="00845FB7" w:rsidRDefault="00A05206"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Prepare progress reports to the </w:t>
      </w:r>
      <w:r w:rsidR="006C6BA4" w:rsidRPr="00845FB7">
        <w:rPr>
          <w:rFonts w:cstheme="majorBidi"/>
          <w:szCs w:val="20"/>
          <w:lang w:val="en-GB" w:eastAsia="en-GB"/>
        </w:rPr>
        <w:t>EEG;</w:t>
      </w:r>
    </w:p>
    <w:p w14:paraId="4647B734" w14:textId="67BE0FF1" w:rsidR="003F5275" w:rsidRPr="00845FB7" w:rsidRDefault="00A07FA9"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Carry out any other activities as decided by COP-</w:t>
      </w:r>
      <w:r w:rsidR="00021385" w:rsidRPr="00845FB7">
        <w:rPr>
          <w:rFonts w:cstheme="majorBidi"/>
          <w:szCs w:val="20"/>
          <w:lang w:val="en-GB" w:eastAsia="en-GB"/>
        </w:rPr>
        <w:t>6</w:t>
      </w:r>
      <w:r w:rsidRPr="00845FB7">
        <w:rPr>
          <w:rFonts w:cstheme="majorBidi"/>
          <w:szCs w:val="20"/>
          <w:lang w:val="en-GB" w:eastAsia="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A07FA9" w:rsidRPr="00845FB7" w14:paraId="4BFA7948" w14:textId="77777777" w:rsidTr="00CD11AC">
        <w:tc>
          <w:tcPr>
            <w:tcW w:w="4508" w:type="dxa"/>
          </w:tcPr>
          <w:p w14:paraId="665F6219" w14:textId="3212160F" w:rsidR="00A07FA9" w:rsidRPr="00845FB7" w:rsidRDefault="00A07FA9" w:rsidP="006C7BAB">
            <w:pPr>
              <w:keepNext/>
              <w:keepLines/>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74434400" w14:textId="1386DFD8" w:rsidR="00A07FA9" w:rsidRPr="00845FB7" w:rsidRDefault="00925439" w:rsidP="006C7BAB">
            <w:pPr>
              <w:pStyle w:val="ListParagraph"/>
              <w:keepNext/>
              <w:keepLines/>
              <w:numPr>
                <w:ilvl w:val="0"/>
                <w:numId w:val="5"/>
              </w:numPr>
              <w:spacing w:after="60"/>
              <w:jc w:val="left"/>
              <w:rPr>
                <w:rFonts w:cstheme="majorBidi"/>
                <w:b/>
                <w:bCs/>
                <w:szCs w:val="20"/>
                <w:lang w:val="en-GB" w:eastAsia="en-GB"/>
              </w:rPr>
            </w:pPr>
            <w:r w:rsidRPr="00845FB7">
              <w:rPr>
                <w:rFonts w:cstheme="majorBidi"/>
                <w:szCs w:val="20"/>
                <w:lang w:val="en-GB" w:eastAsia="en-GB"/>
              </w:rPr>
              <w:t>Scientific reports</w:t>
            </w:r>
            <w:r w:rsidR="00A07FA9" w:rsidRPr="00845FB7">
              <w:rPr>
                <w:rFonts w:cstheme="majorBidi"/>
                <w:szCs w:val="20"/>
                <w:lang w:val="en-GB" w:eastAsia="en-GB"/>
              </w:rPr>
              <w:t xml:space="preserve"> submitted to the </w:t>
            </w:r>
            <w:r w:rsidR="00B35EF0" w:rsidRPr="00845FB7">
              <w:rPr>
                <w:rFonts w:cstheme="majorBidi"/>
                <w:szCs w:val="20"/>
                <w:lang w:val="en-GB" w:eastAsia="en-GB"/>
              </w:rPr>
              <w:t>EEG</w:t>
            </w:r>
            <w:r w:rsidR="004D0D26" w:rsidRPr="00845FB7">
              <w:rPr>
                <w:rFonts w:cstheme="majorBidi"/>
                <w:szCs w:val="20"/>
                <w:lang w:val="en-GB" w:eastAsia="en-GB"/>
              </w:rPr>
              <w:t xml:space="preserve"> </w:t>
            </w:r>
            <w:r w:rsidR="00A07FA9" w:rsidRPr="00845FB7">
              <w:rPr>
                <w:rFonts w:cstheme="majorBidi"/>
                <w:szCs w:val="20"/>
                <w:lang w:val="en-GB" w:eastAsia="en-GB"/>
              </w:rPr>
              <w:t>and COP as specified in decision</w:t>
            </w:r>
            <w:r w:rsidR="003E6A78" w:rsidRPr="00845FB7">
              <w:rPr>
                <w:rFonts w:cstheme="majorBidi"/>
                <w:szCs w:val="20"/>
                <w:lang w:val="en-GB" w:eastAsia="en-GB"/>
              </w:rPr>
              <w:t xml:space="preserve"> MC-4/11 and any </w:t>
            </w:r>
            <w:r w:rsidR="00A50616" w:rsidRPr="00845FB7">
              <w:rPr>
                <w:rFonts w:cstheme="majorBidi"/>
                <w:szCs w:val="20"/>
                <w:lang w:val="en-GB" w:eastAsia="en-GB"/>
              </w:rPr>
              <w:t xml:space="preserve">relevant </w:t>
            </w:r>
            <w:r w:rsidR="00F22B4E" w:rsidRPr="00845FB7">
              <w:rPr>
                <w:rFonts w:cstheme="majorBidi"/>
                <w:szCs w:val="20"/>
                <w:lang w:val="en-GB" w:eastAsia="en-GB"/>
              </w:rPr>
              <w:t xml:space="preserve">COP </w:t>
            </w:r>
            <w:r w:rsidR="00A50616" w:rsidRPr="00845FB7">
              <w:rPr>
                <w:rFonts w:cstheme="majorBidi"/>
                <w:szCs w:val="20"/>
                <w:lang w:val="en-GB" w:eastAsia="en-GB"/>
              </w:rPr>
              <w:t>decisions</w:t>
            </w:r>
            <w:r w:rsidR="00A07FA9" w:rsidRPr="00845FB7">
              <w:rPr>
                <w:rFonts w:cstheme="majorBidi"/>
                <w:szCs w:val="20"/>
                <w:lang w:val="en-GB" w:eastAsia="en-GB"/>
              </w:rPr>
              <w:t>.</w:t>
            </w:r>
          </w:p>
        </w:tc>
        <w:tc>
          <w:tcPr>
            <w:tcW w:w="4508" w:type="dxa"/>
          </w:tcPr>
          <w:p w14:paraId="0BFA1365" w14:textId="795B39D0" w:rsidR="00A07FA9" w:rsidRPr="00845FB7" w:rsidRDefault="00A07FA9" w:rsidP="006C7BAB">
            <w:pPr>
              <w:keepNext/>
              <w:keepLines/>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481B975C" w14:textId="2B9E90F4" w:rsidR="003540AA" w:rsidRPr="00845FB7" w:rsidRDefault="00A07FA9" w:rsidP="006C7BAB">
            <w:pPr>
              <w:pStyle w:val="ListParagraph"/>
              <w:keepNext/>
              <w:keepLines/>
              <w:numPr>
                <w:ilvl w:val="0"/>
                <w:numId w:val="4"/>
              </w:numPr>
              <w:spacing w:after="60"/>
              <w:jc w:val="left"/>
              <w:rPr>
                <w:rFonts w:cstheme="majorBidi"/>
                <w:szCs w:val="20"/>
                <w:lang w:val="en-GB" w:eastAsia="en-GB"/>
              </w:rPr>
            </w:pPr>
            <w:r w:rsidRPr="00845FB7">
              <w:rPr>
                <w:rFonts w:cstheme="majorBidi"/>
                <w:szCs w:val="20"/>
                <w:lang w:val="en-GB" w:eastAsia="en-GB"/>
              </w:rPr>
              <w:t xml:space="preserve">Documents for the </w:t>
            </w:r>
            <w:r w:rsidR="00B35EF0" w:rsidRPr="00845FB7">
              <w:rPr>
                <w:rFonts w:cstheme="majorBidi"/>
                <w:szCs w:val="20"/>
                <w:lang w:val="en-GB" w:eastAsia="en-GB"/>
              </w:rPr>
              <w:t>EEG</w:t>
            </w:r>
            <w:r w:rsidR="005A63D0" w:rsidRPr="00845FB7">
              <w:rPr>
                <w:rFonts w:cstheme="majorBidi"/>
                <w:szCs w:val="20"/>
                <w:lang w:val="en-GB" w:eastAsia="en-GB"/>
              </w:rPr>
              <w:t xml:space="preserve"> </w:t>
            </w:r>
            <w:r w:rsidRPr="00845FB7">
              <w:rPr>
                <w:rFonts w:cstheme="majorBidi"/>
                <w:szCs w:val="20"/>
                <w:lang w:val="en-GB" w:eastAsia="en-GB"/>
              </w:rPr>
              <w:t>and COP.</w:t>
            </w:r>
          </w:p>
          <w:p w14:paraId="13C6C82F" w14:textId="3D595933" w:rsidR="00A07FA9" w:rsidRPr="00845FB7" w:rsidRDefault="003540AA" w:rsidP="006C7BAB">
            <w:pPr>
              <w:pStyle w:val="ListParagraph"/>
              <w:keepNext/>
              <w:keepLines/>
              <w:numPr>
                <w:ilvl w:val="0"/>
                <w:numId w:val="4"/>
              </w:numPr>
              <w:spacing w:after="60"/>
              <w:jc w:val="left"/>
              <w:rPr>
                <w:rFonts w:cstheme="majorBidi"/>
                <w:szCs w:val="20"/>
                <w:lang w:val="en-GB" w:eastAsia="en-GB"/>
              </w:rPr>
            </w:pPr>
            <w:r w:rsidRPr="00845FB7">
              <w:rPr>
                <w:rFonts w:cstheme="majorBidi"/>
                <w:szCs w:val="20"/>
                <w:lang w:val="en-GB" w:eastAsia="en-GB"/>
              </w:rPr>
              <w:t>Convention’s website.</w:t>
            </w:r>
            <w:r w:rsidR="00A07FA9" w:rsidRPr="00845FB7">
              <w:rPr>
                <w:rFonts w:cstheme="majorBidi"/>
                <w:szCs w:val="20"/>
                <w:lang w:val="en-GB" w:eastAsia="en-GB"/>
              </w:rPr>
              <w:t xml:space="preserve"> </w:t>
            </w:r>
          </w:p>
        </w:tc>
      </w:tr>
    </w:tbl>
    <w:p w14:paraId="630BA090" w14:textId="4B2928CC" w:rsidR="00A07FA9" w:rsidRPr="00845FB7" w:rsidRDefault="00A07FA9" w:rsidP="00A07FA9">
      <w:pPr>
        <w:pStyle w:val="Heading3"/>
        <w:rPr>
          <w:sz w:val="24"/>
          <w:lang w:val="en-GB"/>
        </w:rPr>
      </w:pPr>
      <w:r w:rsidRPr="00845FB7">
        <w:rPr>
          <w:sz w:val="24"/>
          <w:lang w:val="en-GB"/>
        </w:rPr>
        <w:t>Partners</w:t>
      </w:r>
    </w:p>
    <w:p w14:paraId="501B933F" w14:textId="3AE8E154" w:rsidR="00A07FA9" w:rsidRPr="00845FB7" w:rsidRDefault="00A07FA9" w:rsidP="00BD36F8">
      <w:pPr>
        <w:snapToGrid w:val="0"/>
        <w:spacing w:after="60"/>
        <w:rPr>
          <w:rFonts w:cstheme="majorBidi"/>
          <w:iCs/>
          <w:szCs w:val="20"/>
          <w:lang w:val="en-GB"/>
        </w:rPr>
      </w:pPr>
      <w:r w:rsidRPr="00845FB7">
        <w:rPr>
          <w:rFonts w:cstheme="majorBidi"/>
          <w:iCs/>
          <w:szCs w:val="20"/>
          <w:lang w:val="en-GB"/>
        </w:rPr>
        <w:t>Existing monitoring networks and programmes,</w:t>
      </w:r>
      <w:r w:rsidR="00AC3557" w:rsidRPr="00845FB7">
        <w:rPr>
          <w:rFonts w:cstheme="majorBidi"/>
          <w:iCs/>
          <w:szCs w:val="20"/>
          <w:lang w:val="en-GB"/>
        </w:rPr>
        <w:t xml:space="preserve"> </w:t>
      </w:r>
      <w:r w:rsidRPr="00845FB7">
        <w:rPr>
          <w:rFonts w:cstheme="majorBidi"/>
          <w:iCs/>
          <w:szCs w:val="20"/>
          <w:lang w:val="en-GB"/>
        </w:rPr>
        <w:t xml:space="preserve">UNEP, World Health Organization, other Multilateral Environment Agreements, </w:t>
      </w:r>
      <w:r w:rsidRPr="00845FB7">
        <w:rPr>
          <w:rStyle w:val="normaltextrun"/>
          <w:rFonts w:cstheme="majorBidi"/>
          <w:color w:val="000000"/>
          <w:szCs w:val="20"/>
          <w:shd w:val="clear" w:color="auto" w:fill="FFFFFF"/>
          <w:lang w:val="en-GB"/>
        </w:rPr>
        <w:t>national and international institutions, non-governmental organizations, etc.</w:t>
      </w:r>
      <w:r w:rsidRPr="00845FB7">
        <w:rPr>
          <w:rFonts w:cstheme="majorBidi"/>
          <w:iCs/>
          <w:szCs w:val="20"/>
          <w:lang w:val="en-GB"/>
        </w:rPr>
        <w:t xml:space="preserve">, </w:t>
      </w:r>
    </w:p>
    <w:p w14:paraId="4CECB70C" w14:textId="05ACEBEE" w:rsidR="00A07FA9" w:rsidRPr="00845FB7" w:rsidRDefault="00A07FA9" w:rsidP="00A07FA9">
      <w:pPr>
        <w:pStyle w:val="Heading3"/>
        <w:rPr>
          <w:sz w:val="24"/>
          <w:lang w:val="en-GB"/>
        </w:rPr>
      </w:pPr>
      <w:r w:rsidRPr="00845FB7">
        <w:rPr>
          <w:sz w:val="24"/>
          <w:lang w:val="en-GB"/>
        </w:rPr>
        <w:t>Socio-economic aspects</w:t>
      </w:r>
    </w:p>
    <w:p w14:paraId="30371510" w14:textId="77777777" w:rsidR="00A07FA9" w:rsidRPr="00845FB7" w:rsidRDefault="00A07FA9"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w:t>
      </w:r>
    </w:p>
    <w:p w14:paraId="4C2FC826" w14:textId="77777777" w:rsidR="00A07FA9" w:rsidRPr="00845FB7" w:rsidRDefault="00A07FA9" w:rsidP="00BD36F8">
      <w:pPr>
        <w:spacing w:after="120" w:line="276" w:lineRule="auto"/>
        <w:rPr>
          <w:rFonts w:cstheme="majorBidi"/>
          <w:szCs w:val="20"/>
          <w:lang w:val="en-GB"/>
        </w:rPr>
      </w:pPr>
      <w:r w:rsidRPr="00845FB7">
        <w:rPr>
          <w:rFonts w:cstheme="majorBidi"/>
          <w:szCs w:val="20"/>
          <w:lang w:val="en-GB"/>
        </w:rPr>
        <w:t>The effectiveness evaluation of the Convention addresses the following targets set out in the 2030 Agenda for Sustainable Development:</w:t>
      </w:r>
    </w:p>
    <w:p w14:paraId="601E42A1" w14:textId="77777777" w:rsidR="00A07FA9" w:rsidRPr="00845FB7" w:rsidRDefault="00A07FA9" w:rsidP="00BD36F8">
      <w:pPr>
        <w:spacing w:after="120" w:line="276" w:lineRule="auto"/>
        <w:rPr>
          <w:rFonts w:cstheme="majorBidi"/>
          <w:szCs w:val="20"/>
          <w:lang w:val="en-GB"/>
        </w:rPr>
      </w:pPr>
      <w:r w:rsidRPr="00845FB7">
        <w:rPr>
          <w:rFonts w:cstheme="majorBidi"/>
          <w:szCs w:val="20"/>
          <w:lang w:val="en-GB"/>
        </w:rPr>
        <w:t xml:space="preserve">Target 3.9: By 2030, substantially reduce the number of deaths and illnesses from hazardous chemicals and air, water and soil pollution and contamination </w:t>
      </w:r>
    </w:p>
    <w:p w14:paraId="03EEF8C1" w14:textId="77777777" w:rsidR="00A07FA9" w:rsidRPr="00845FB7" w:rsidRDefault="00A07FA9" w:rsidP="00BD36F8">
      <w:pPr>
        <w:spacing w:after="120" w:line="276" w:lineRule="auto"/>
        <w:rPr>
          <w:rFonts w:cstheme="majorBidi"/>
          <w:szCs w:val="20"/>
          <w:lang w:val="en-GB"/>
        </w:rPr>
      </w:pPr>
      <w:r w:rsidRPr="00845FB7">
        <w:rPr>
          <w:rFonts w:cstheme="majorBidi"/>
          <w:szCs w:val="20"/>
          <w:lang w:val="en-GB"/>
        </w:rPr>
        <w:t xml:space="preserve">Target 6.3: By 2030, improve water quality by reducing pollution, eliminating dumping and minimizing release of hazardous chemicals and materials, halving the proportion of untreated wastewater and substantially increasing recycling and safe reuse globally </w:t>
      </w:r>
    </w:p>
    <w:p w14:paraId="01C9A490" w14:textId="77777777" w:rsidR="00A07FA9" w:rsidRPr="00845FB7" w:rsidRDefault="00A07FA9" w:rsidP="00BD36F8">
      <w:pPr>
        <w:spacing w:after="120" w:line="276" w:lineRule="auto"/>
        <w:rPr>
          <w:rFonts w:cstheme="majorBidi"/>
          <w:szCs w:val="20"/>
          <w:highlight w:val="yellow"/>
          <w:lang w:val="en-GB"/>
        </w:rPr>
      </w:pPr>
      <w:r w:rsidRPr="00845FB7">
        <w:rPr>
          <w:rFonts w:cstheme="majorBidi"/>
          <w:szCs w:val="20"/>
          <w:lang w:val="en-GB"/>
        </w:rPr>
        <w:t xml:space="preserve">Target 12.4: By 2020, achieve the environmentally sound management of chemicals and all wastes throughout their life cycle, in accordance with agreed international frameworks, and significantly reduce their release to air, water and soil </w:t>
      </w:r>
      <w:proofErr w:type="gramStart"/>
      <w:r w:rsidRPr="00845FB7">
        <w:rPr>
          <w:rFonts w:cstheme="majorBidi"/>
          <w:szCs w:val="20"/>
          <w:lang w:val="en-GB"/>
        </w:rPr>
        <w:t>in order to</w:t>
      </w:r>
      <w:proofErr w:type="gramEnd"/>
      <w:r w:rsidRPr="00845FB7">
        <w:rPr>
          <w:rFonts w:cstheme="majorBidi"/>
          <w:szCs w:val="20"/>
          <w:lang w:val="en-GB"/>
        </w:rPr>
        <w:t xml:space="preserve"> minimize their adverse impacts on human health and the environment.</w:t>
      </w:r>
    </w:p>
    <w:p w14:paraId="2FBACE61" w14:textId="0472982A" w:rsidR="00A07FA9" w:rsidRPr="00845FB7" w:rsidRDefault="16BC19B3" w:rsidP="00BD36F8">
      <w:pPr>
        <w:spacing w:after="120"/>
        <w:rPr>
          <w:rFonts w:eastAsia="DengXian" w:cstheme="majorBidi"/>
          <w:lang w:val="en-GB" w:eastAsia="en-GB"/>
        </w:rPr>
      </w:pPr>
      <w:r w:rsidRPr="00845FB7">
        <w:rPr>
          <w:rFonts w:cstheme="majorBidi"/>
          <w:b/>
          <w:bCs/>
          <w:lang w:val="en-GB"/>
        </w:rPr>
        <w:t>Populat</w:t>
      </w:r>
      <w:r w:rsidR="5263DC70" w:rsidRPr="00845FB7">
        <w:rPr>
          <w:rFonts w:cstheme="majorBidi"/>
          <w:b/>
          <w:bCs/>
          <w:lang w:val="en-GB"/>
        </w:rPr>
        <w:t>i</w:t>
      </w:r>
      <w:r w:rsidRPr="00845FB7">
        <w:rPr>
          <w:rFonts w:cstheme="majorBidi"/>
          <w:b/>
          <w:bCs/>
          <w:lang w:val="en-GB"/>
        </w:rPr>
        <w:t>ons in vulnerable situations</w:t>
      </w:r>
      <w:r w:rsidR="00A07FA9" w:rsidRPr="00845FB7">
        <w:rPr>
          <w:rFonts w:cstheme="majorBidi"/>
          <w:b/>
          <w:bCs/>
          <w:lang w:val="en-GB"/>
        </w:rPr>
        <w:t>:</w:t>
      </w:r>
      <w:r w:rsidR="00A07FA9" w:rsidRPr="00845FB7">
        <w:rPr>
          <w:rFonts w:cstheme="majorBidi"/>
          <w:lang w:val="en-GB"/>
        </w:rPr>
        <w:t xml:space="preserve"> </w:t>
      </w:r>
      <w:r w:rsidR="00A07FA9" w:rsidRPr="00845FB7">
        <w:rPr>
          <w:rFonts w:eastAsia="Roboto" w:cstheme="majorBidi"/>
          <w:lang w:val="en-GB"/>
        </w:rPr>
        <w:t>The effectiveness evaluation of the Convention will promote a multi-stakeholder approach to raise awareness of the linkages between mercury exposure, the effects on human health and the environment, and differences in risks and impact</w:t>
      </w:r>
      <w:r w:rsidR="3EC8F938" w:rsidRPr="00845FB7">
        <w:rPr>
          <w:rFonts w:eastAsia="Roboto" w:cstheme="majorBidi"/>
          <w:lang w:val="en-GB"/>
        </w:rPr>
        <w:t xml:space="preserve"> on men and women</w:t>
      </w:r>
      <w:r w:rsidR="008A43AB" w:rsidRPr="00845FB7">
        <w:rPr>
          <w:rFonts w:eastAsia="Roboto" w:cstheme="majorBidi"/>
          <w:lang w:val="en-GB"/>
        </w:rPr>
        <w:t xml:space="preserve"> and unique challenges faced by populations vulnerable to mercury exposure</w:t>
      </w:r>
      <w:r w:rsidR="00A07FA9" w:rsidRPr="00845FB7">
        <w:rPr>
          <w:rFonts w:eastAsia="Roboto" w:cstheme="majorBidi"/>
          <w:lang w:val="en-GB"/>
        </w:rPr>
        <w:t xml:space="preserve">. The </w:t>
      </w:r>
      <w:r w:rsidR="006E227A" w:rsidRPr="00845FB7">
        <w:rPr>
          <w:rFonts w:eastAsia="Roboto" w:cstheme="majorBidi"/>
          <w:lang w:val="en-GB"/>
        </w:rPr>
        <w:t>S</w:t>
      </w:r>
      <w:r w:rsidR="00A07FA9" w:rsidRPr="00845FB7">
        <w:rPr>
          <w:rFonts w:eastAsia="Roboto" w:cstheme="majorBidi"/>
          <w:lang w:val="en-GB"/>
        </w:rPr>
        <w:t xml:space="preserve">ecretariat will encourage a balanced representation </w:t>
      </w:r>
      <w:r w:rsidR="7A696BFD" w:rsidRPr="00845FB7">
        <w:rPr>
          <w:rFonts w:eastAsia="Roboto" w:cstheme="majorBidi"/>
          <w:lang w:val="en-GB"/>
        </w:rPr>
        <w:t xml:space="preserve">of men and women </w:t>
      </w:r>
      <w:r w:rsidR="00A07FA9" w:rsidRPr="00845FB7">
        <w:rPr>
          <w:rFonts w:eastAsia="Roboto" w:cstheme="majorBidi"/>
          <w:lang w:val="en-GB"/>
        </w:rPr>
        <w:t xml:space="preserve">during the nomination of experts and for the composition of the </w:t>
      </w:r>
      <w:r w:rsidR="00A07FA9" w:rsidRPr="00845FB7">
        <w:rPr>
          <w:rFonts w:cstheme="majorBidi"/>
          <w:lang w:val="en-GB" w:eastAsia="en-GB"/>
        </w:rPr>
        <w:t xml:space="preserve">Effectiveness Evaluation </w:t>
      </w:r>
      <w:r w:rsidR="006E227A" w:rsidRPr="00845FB7">
        <w:rPr>
          <w:rFonts w:cstheme="majorBidi"/>
          <w:lang w:val="en-GB" w:eastAsia="en-GB"/>
        </w:rPr>
        <w:t>Group</w:t>
      </w:r>
      <w:r w:rsidR="00A07FA9" w:rsidRPr="00845FB7">
        <w:rPr>
          <w:rFonts w:cstheme="majorBidi"/>
          <w:lang w:val="en-GB" w:eastAsia="en-GB"/>
        </w:rPr>
        <w:t>.</w:t>
      </w:r>
    </w:p>
    <w:p w14:paraId="21096440" w14:textId="77777777" w:rsidR="00B85854" w:rsidRPr="00845FB7" w:rsidRDefault="00B85854" w:rsidP="00E723F8">
      <w:pPr>
        <w:pStyle w:val="Heading2"/>
        <w:rPr>
          <w:rFonts w:cstheme="majorBidi"/>
          <w:color w:val="E8BC00"/>
          <w:sz w:val="36"/>
          <w:szCs w:val="36"/>
          <w:lang w:val="en-GB"/>
        </w:rPr>
        <w:sectPr w:rsidR="00B85854" w:rsidRPr="00845FB7" w:rsidSect="00BD36F8">
          <w:headerReference w:type="default" r:id="rId45"/>
          <w:footerReference w:type="default" r:id="rId46"/>
          <w:footerReference w:type="first" r:id="rId47"/>
          <w:pgSz w:w="11906" w:h="16838" w:code="9"/>
          <w:pgMar w:top="907" w:right="992" w:bottom="1418" w:left="1418" w:header="539" w:footer="975" w:gutter="0"/>
          <w:cols w:space="708"/>
          <w:titlePg/>
          <w:docGrid w:linePitch="360"/>
        </w:sectPr>
      </w:pPr>
    </w:p>
    <w:p w14:paraId="09221A87" w14:textId="4D812819" w:rsidR="00093774" w:rsidRPr="00845FB7" w:rsidRDefault="00093774" w:rsidP="00093774">
      <w:pPr>
        <w:pStyle w:val="Heading3"/>
        <w:rPr>
          <w:sz w:val="24"/>
          <w:highlight w:val="yellow"/>
          <w:lang w:val="en-GB"/>
        </w:rPr>
      </w:pPr>
      <w:r w:rsidRPr="00845FB7">
        <w:rPr>
          <w:sz w:val="24"/>
          <w:lang w:val="en-GB"/>
        </w:rPr>
        <w:lastRenderedPageBreak/>
        <w:t>Resources requirements</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2"/>
        <w:gridCol w:w="993"/>
        <w:gridCol w:w="709"/>
        <w:gridCol w:w="996"/>
        <w:gridCol w:w="709"/>
        <w:gridCol w:w="706"/>
        <w:gridCol w:w="900"/>
        <w:gridCol w:w="883"/>
        <w:gridCol w:w="784"/>
        <w:gridCol w:w="883"/>
        <w:gridCol w:w="1140"/>
        <w:gridCol w:w="923"/>
        <w:gridCol w:w="1022"/>
      </w:tblGrid>
      <w:tr w:rsidR="005F228D" w:rsidRPr="00922BDA" w14:paraId="45B0924E" w14:textId="77777777" w:rsidTr="00FC5B73">
        <w:trPr>
          <w:trHeight w:val="318"/>
        </w:trPr>
        <w:tc>
          <w:tcPr>
            <w:tcW w:w="1321" w:type="pct"/>
            <w:vMerge w:val="restart"/>
            <w:noWrap/>
            <w:tcMar>
              <w:top w:w="15" w:type="dxa"/>
              <w:left w:w="108" w:type="dxa"/>
              <w:bottom w:w="15" w:type="dxa"/>
              <w:right w:w="108" w:type="dxa"/>
            </w:tcMar>
            <w:vAlign w:val="center"/>
            <w:hideMark/>
          </w:tcPr>
          <w:p w14:paraId="7C606ADB" w14:textId="77777777"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Activity/Output</w:t>
            </w:r>
          </w:p>
        </w:tc>
        <w:tc>
          <w:tcPr>
            <w:tcW w:w="1732" w:type="pct"/>
            <w:gridSpan w:val="6"/>
            <w:noWrap/>
            <w:tcMar>
              <w:top w:w="15" w:type="dxa"/>
              <w:left w:w="108" w:type="dxa"/>
              <w:bottom w:w="15" w:type="dxa"/>
              <w:right w:w="108" w:type="dxa"/>
            </w:tcMar>
            <w:vAlign w:val="center"/>
            <w:hideMark/>
          </w:tcPr>
          <w:p w14:paraId="19F04E25" w14:textId="5A020397"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5</w:t>
            </w:r>
            <w:r w:rsidR="00432156" w:rsidRPr="00922BDA">
              <w:rPr>
                <w:rFonts w:cstheme="majorBidi"/>
                <w:b/>
                <w:bCs/>
                <w:color w:val="000000"/>
                <w:sz w:val="16"/>
                <w:szCs w:val="16"/>
                <w:lang w:val="en-GB"/>
              </w:rPr>
              <w:t xml:space="preserve"> per cent</w:t>
            </w:r>
            <w:r w:rsidRPr="00922BDA">
              <w:rPr>
                <w:rFonts w:cstheme="majorBidi"/>
                <w:b/>
                <w:bCs/>
                <w:color w:val="000000"/>
                <w:sz w:val="16"/>
                <w:szCs w:val="16"/>
                <w:lang w:val="en-GB"/>
              </w:rPr>
              <w:t xml:space="preserve"> scenario (</w:t>
            </w:r>
            <w:r w:rsidR="00E2051A" w:rsidRPr="00922BDA">
              <w:rPr>
                <w:rFonts w:cstheme="majorBidi"/>
                <w:b/>
                <w:bCs/>
                <w:color w:val="000000"/>
                <w:sz w:val="16"/>
                <w:szCs w:val="16"/>
                <w:lang w:val="en-GB"/>
              </w:rPr>
              <w:t>2026–2027</w:t>
            </w:r>
            <w:r w:rsidRPr="00922BDA">
              <w:rPr>
                <w:rFonts w:cstheme="majorBidi"/>
                <w:b/>
                <w:bCs/>
                <w:color w:val="000000"/>
                <w:sz w:val="16"/>
                <w:szCs w:val="16"/>
                <w:lang w:val="en-GB"/>
              </w:rPr>
              <w:t>)</w:t>
            </w:r>
          </w:p>
        </w:tc>
        <w:tc>
          <w:tcPr>
            <w:tcW w:w="1947" w:type="pct"/>
            <w:gridSpan w:val="6"/>
            <w:noWrap/>
            <w:tcMar>
              <w:top w:w="15" w:type="dxa"/>
              <w:left w:w="108" w:type="dxa"/>
              <w:bottom w:w="15" w:type="dxa"/>
              <w:right w:w="108" w:type="dxa"/>
            </w:tcMar>
            <w:vAlign w:val="center"/>
            <w:hideMark/>
          </w:tcPr>
          <w:p w14:paraId="32F29B36" w14:textId="20AFE2CD"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Zero nominal growth scenario (</w:t>
            </w:r>
            <w:r w:rsidR="00E2051A" w:rsidRPr="00922BDA">
              <w:rPr>
                <w:rFonts w:cstheme="majorBidi"/>
                <w:b/>
                <w:bCs/>
                <w:color w:val="000000"/>
                <w:sz w:val="16"/>
                <w:szCs w:val="16"/>
                <w:lang w:val="en-GB"/>
              </w:rPr>
              <w:t>2026–2027</w:t>
            </w:r>
            <w:r w:rsidRPr="00922BDA">
              <w:rPr>
                <w:rFonts w:cstheme="majorBidi"/>
                <w:b/>
                <w:bCs/>
                <w:color w:val="000000"/>
                <w:sz w:val="16"/>
                <w:szCs w:val="16"/>
                <w:lang w:val="en-GB"/>
              </w:rPr>
              <w:t>)</w:t>
            </w:r>
          </w:p>
        </w:tc>
      </w:tr>
      <w:tr w:rsidR="00FC5B73" w:rsidRPr="00922BDA" w14:paraId="1B49B23F" w14:textId="77777777" w:rsidTr="00FC5B73">
        <w:trPr>
          <w:trHeight w:val="318"/>
        </w:trPr>
        <w:tc>
          <w:tcPr>
            <w:tcW w:w="1321" w:type="pct"/>
            <w:vMerge/>
            <w:vAlign w:val="center"/>
            <w:hideMark/>
          </w:tcPr>
          <w:p w14:paraId="4FACB733" w14:textId="77777777" w:rsidR="00312EEA" w:rsidRPr="00922BDA" w:rsidRDefault="00312EEA" w:rsidP="00BD36F8">
            <w:pPr>
              <w:spacing w:after="60"/>
              <w:rPr>
                <w:rFonts w:cstheme="majorBidi"/>
                <w:b/>
                <w:bCs/>
                <w:color w:val="000000"/>
                <w:sz w:val="16"/>
                <w:szCs w:val="16"/>
                <w:lang w:val="en-GB"/>
              </w:rPr>
            </w:pPr>
          </w:p>
        </w:tc>
        <w:tc>
          <w:tcPr>
            <w:tcW w:w="932" w:type="pct"/>
            <w:gridSpan w:val="3"/>
            <w:tcMar>
              <w:top w:w="15" w:type="dxa"/>
              <w:left w:w="108" w:type="dxa"/>
              <w:bottom w:w="15" w:type="dxa"/>
              <w:right w:w="108" w:type="dxa"/>
            </w:tcMar>
            <w:vAlign w:val="center"/>
            <w:hideMark/>
          </w:tcPr>
          <w:p w14:paraId="2FFD0D39" w14:textId="6F599315"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General </w:t>
            </w:r>
            <w:r w:rsidR="00432156" w:rsidRPr="00922BDA">
              <w:rPr>
                <w:rFonts w:cstheme="majorBidi"/>
                <w:b/>
                <w:bCs/>
                <w:color w:val="000000"/>
                <w:sz w:val="16"/>
                <w:szCs w:val="16"/>
                <w:lang w:val="en-GB"/>
              </w:rPr>
              <w:t>t</w:t>
            </w:r>
            <w:r w:rsidRPr="00922BDA">
              <w:rPr>
                <w:rFonts w:cstheme="majorBidi"/>
                <w:b/>
                <w:bCs/>
                <w:color w:val="000000"/>
                <w:sz w:val="16"/>
                <w:szCs w:val="16"/>
                <w:lang w:val="en-GB"/>
              </w:rPr>
              <w:t xml:space="preserve">rust </w:t>
            </w:r>
            <w:r w:rsidR="00432156" w:rsidRPr="00922BDA">
              <w:rPr>
                <w:rFonts w:cstheme="majorBidi"/>
                <w:b/>
                <w:bCs/>
                <w:color w:val="000000"/>
                <w:sz w:val="16"/>
                <w:szCs w:val="16"/>
                <w:lang w:val="en-GB"/>
              </w:rPr>
              <w:t>f</w:t>
            </w:r>
            <w:r w:rsidRPr="00922BDA">
              <w:rPr>
                <w:rFonts w:cstheme="majorBidi"/>
                <w:b/>
                <w:bCs/>
                <w:color w:val="000000"/>
                <w:sz w:val="16"/>
                <w:szCs w:val="16"/>
                <w:lang w:val="en-GB"/>
              </w:rPr>
              <w:t>und</w:t>
            </w:r>
          </w:p>
        </w:tc>
        <w:tc>
          <w:tcPr>
            <w:tcW w:w="800" w:type="pct"/>
            <w:gridSpan w:val="3"/>
            <w:tcMar>
              <w:top w:w="15" w:type="dxa"/>
              <w:left w:w="108" w:type="dxa"/>
              <w:bottom w:w="15" w:type="dxa"/>
              <w:right w:w="108" w:type="dxa"/>
            </w:tcMar>
            <w:vAlign w:val="center"/>
            <w:hideMark/>
          </w:tcPr>
          <w:p w14:paraId="19F11A8D" w14:textId="00A95E09"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Special </w:t>
            </w:r>
            <w:r w:rsidR="00432156" w:rsidRPr="00922BDA">
              <w:rPr>
                <w:rFonts w:cstheme="majorBidi"/>
                <w:b/>
                <w:bCs/>
                <w:color w:val="000000"/>
                <w:sz w:val="16"/>
                <w:szCs w:val="16"/>
                <w:lang w:val="en-GB"/>
              </w:rPr>
              <w:t>t</w:t>
            </w:r>
            <w:r w:rsidRPr="00922BDA">
              <w:rPr>
                <w:rFonts w:cstheme="majorBidi"/>
                <w:b/>
                <w:bCs/>
                <w:color w:val="000000"/>
                <w:sz w:val="16"/>
                <w:szCs w:val="16"/>
                <w:lang w:val="en-GB"/>
              </w:rPr>
              <w:t xml:space="preserve">rust </w:t>
            </w:r>
            <w:r w:rsidR="00432156" w:rsidRPr="00922BDA">
              <w:rPr>
                <w:rFonts w:cstheme="majorBidi"/>
                <w:b/>
                <w:bCs/>
                <w:color w:val="000000"/>
                <w:sz w:val="16"/>
                <w:szCs w:val="16"/>
                <w:lang w:val="en-GB"/>
              </w:rPr>
              <w:t>f</w:t>
            </w:r>
            <w:r w:rsidRPr="00922BDA">
              <w:rPr>
                <w:rFonts w:cstheme="majorBidi"/>
                <w:b/>
                <w:bCs/>
                <w:color w:val="000000"/>
                <w:sz w:val="16"/>
                <w:szCs w:val="16"/>
                <w:lang w:val="en-GB"/>
              </w:rPr>
              <w:t>und</w:t>
            </w:r>
          </w:p>
        </w:tc>
        <w:tc>
          <w:tcPr>
            <w:tcW w:w="881" w:type="pct"/>
            <w:gridSpan w:val="3"/>
            <w:tcMar>
              <w:top w:w="15" w:type="dxa"/>
              <w:left w:w="108" w:type="dxa"/>
              <w:bottom w:w="15" w:type="dxa"/>
              <w:right w:w="108" w:type="dxa"/>
            </w:tcMar>
            <w:vAlign w:val="center"/>
            <w:hideMark/>
          </w:tcPr>
          <w:p w14:paraId="51945AB4" w14:textId="4BB6CF25"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General </w:t>
            </w:r>
            <w:r w:rsidR="00432156" w:rsidRPr="00922BDA">
              <w:rPr>
                <w:rFonts w:cstheme="majorBidi"/>
                <w:b/>
                <w:bCs/>
                <w:color w:val="000000"/>
                <w:sz w:val="16"/>
                <w:szCs w:val="16"/>
                <w:lang w:val="en-GB"/>
              </w:rPr>
              <w:t>t</w:t>
            </w:r>
            <w:r w:rsidRPr="00922BDA">
              <w:rPr>
                <w:rFonts w:cstheme="majorBidi"/>
                <w:b/>
                <w:bCs/>
                <w:color w:val="000000"/>
                <w:sz w:val="16"/>
                <w:szCs w:val="16"/>
                <w:lang w:val="en-GB"/>
              </w:rPr>
              <w:t xml:space="preserve">rust </w:t>
            </w:r>
            <w:r w:rsidR="00432156" w:rsidRPr="00922BDA">
              <w:rPr>
                <w:rFonts w:cstheme="majorBidi"/>
                <w:b/>
                <w:bCs/>
                <w:color w:val="000000"/>
                <w:sz w:val="16"/>
                <w:szCs w:val="16"/>
                <w:lang w:val="en-GB"/>
              </w:rPr>
              <w:t>f</w:t>
            </w:r>
            <w:r w:rsidRPr="00922BDA">
              <w:rPr>
                <w:rFonts w:cstheme="majorBidi"/>
                <w:b/>
                <w:bCs/>
                <w:color w:val="000000"/>
                <w:sz w:val="16"/>
                <w:szCs w:val="16"/>
                <w:lang w:val="en-GB"/>
              </w:rPr>
              <w:t>und</w:t>
            </w:r>
          </w:p>
        </w:tc>
        <w:tc>
          <w:tcPr>
            <w:tcW w:w="1066" w:type="pct"/>
            <w:gridSpan w:val="3"/>
            <w:tcMar>
              <w:top w:w="15" w:type="dxa"/>
              <w:left w:w="108" w:type="dxa"/>
              <w:bottom w:w="15" w:type="dxa"/>
              <w:right w:w="108" w:type="dxa"/>
            </w:tcMar>
            <w:vAlign w:val="center"/>
            <w:hideMark/>
          </w:tcPr>
          <w:p w14:paraId="4368902B" w14:textId="4AE53D34"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Special </w:t>
            </w:r>
            <w:r w:rsidR="00432156" w:rsidRPr="00922BDA">
              <w:rPr>
                <w:rFonts w:cstheme="majorBidi"/>
                <w:b/>
                <w:bCs/>
                <w:color w:val="000000"/>
                <w:sz w:val="16"/>
                <w:szCs w:val="16"/>
                <w:lang w:val="en-GB"/>
              </w:rPr>
              <w:t>t</w:t>
            </w:r>
            <w:r w:rsidRPr="00922BDA">
              <w:rPr>
                <w:rFonts w:cstheme="majorBidi"/>
                <w:b/>
                <w:bCs/>
                <w:color w:val="000000"/>
                <w:sz w:val="16"/>
                <w:szCs w:val="16"/>
                <w:lang w:val="en-GB"/>
              </w:rPr>
              <w:t xml:space="preserve">rust </w:t>
            </w:r>
            <w:r w:rsidR="00432156" w:rsidRPr="00922BDA">
              <w:rPr>
                <w:rFonts w:cstheme="majorBidi"/>
                <w:b/>
                <w:bCs/>
                <w:color w:val="000000"/>
                <w:sz w:val="16"/>
                <w:szCs w:val="16"/>
                <w:lang w:val="en-GB"/>
              </w:rPr>
              <w:t>f</w:t>
            </w:r>
            <w:r w:rsidRPr="00922BDA">
              <w:rPr>
                <w:rFonts w:cstheme="majorBidi"/>
                <w:b/>
                <w:bCs/>
                <w:color w:val="000000"/>
                <w:sz w:val="16"/>
                <w:szCs w:val="16"/>
                <w:lang w:val="en-GB"/>
              </w:rPr>
              <w:t>und</w:t>
            </w:r>
          </w:p>
        </w:tc>
      </w:tr>
      <w:tr w:rsidR="00FC5B73" w:rsidRPr="00922BDA" w14:paraId="5F807279" w14:textId="77777777" w:rsidTr="00FC5B73">
        <w:trPr>
          <w:trHeight w:val="553"/>
        </w:trPr>
        <w:tc>
          <w:tcPr>
            <w:tcW w:w="1321" w:type="pct"/>
            <w:noWrap/>
            <w:tcMar>
              <w:top w:w="15" w:type="dxa"/>
              <w:left w:w="108" w:type="dxa"/>
              <w:bottom w:w="15" w:type="dxa"/>
              <w:right w:w="108" w:type="dxa"/>
            </w:tcMar>
            <w:vAlign w:val="center"/>
            <w:hideMark/>
          </w:tcPr>
          <w:p w14:paraId="5F6F1B3C" w14:textId="77777777" w:rsidR="00312EEA" w:rsidRPr="00922BDA" w:rsidRDefault="00312EEA" w:rsidP="00BD36F8">
            <w:pPr>
              <w:spacing w:after="60"/>
              <w:rPr>
                <w:rFonts w:cstheme="majorBidi"/>
                <w:b/>
                <w:bCs/>
                <w:color w:val="000000"/>
                <w:sz w:val="16"/>
                <w:szCs w:val="16"/>
                <w:lang w:val="en-GB"/>
              </w:rPr>
            </w:pPr>
          </w:p>
        </w:tc>
        <w:tc>
          <w:tcPr>
            <w:tcW w:w="343" w:type="pct"/>
            <w:tcMar>
              <w:top w:w="15" w:type="dxa"/>
              <w:left w:w="108" w:type="dxa"/>
              <w:bottom w:w="15" w:type="dxa"/>
              <w:right w:w="108" w:type="dxa"/>
            </w:tcMar>
            <w:vAlign w:val="center"/>
            <w:hideMark/>
          </w:tcPr>
          <w:p w14:paraId="4474AB5B" w14:textId="3F6B54F3" w:rsidR="00312EEA" w:rsidRPr="00922BDA" w:rsidRDefault="008C6D9C"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2026</w:t>
            </w:r>
          </w:p>
        </w:tc>
        <w:tc>
          <w:tcPr>
            <w:tcW w:w="245" w:type="pct"/>
            <w:tcMar>
              <w:top w:w="15" w:type="dxa"/>
              <w:left w:w="108" w:type="dxa"/>
              <w:bottom w:w="15" w:type="dxa"/>
              <w:right w:w="108" w:type="dxa"/>
            </w:tcMar>
            <w:vAlign w:val="center"/>
            <w:hideMark/>
          </w:tcPr>
          <w:p w14:paraId="4ADEA4BD" w14:textId="1675D1D9" w:rsidR="00312EEA" w:rsidRPr="00922BDA" w:rsidRDefault="008C6D9C"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2027</w:t>
            </w:r>
          </w:p>
        </w:tc>
        <w:tc>
          <w:tcPr>
            <w:tcW w:w="344" w:type="pct"/>
            <w:tcMar>
              <w:top w:w="15" w:type="dxa"/>
              <w:left w:w="108" w:type="dxa"/>
              <w:bottom w:w="15" w:type="dxa"/>
              <w:right w:w="108" w:type="dxa"/>
            </w:tcMar>
            <w:vAlign w:val="center"/>
            <w:hideMark/>
          </w:tcPr>
          <w:p w14:paraId="5A62C8F7" w14:textId="12F5D176"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Total </w:t>
            </w:r>
            <w:r w:rsidRPr="00922BDA">
              <w:rPr>
                <w:rFonts w:cstheme="majorBidi"/>
                <w:b/>
                <w:bCs/>
                <w:color w:val="000000"/>
                <w:sz w:val="16"/>
                <w:szCs w:val="16"/>
                <w:lang w:val="en-GB"/>
              </w:rPr>
              <w:br/>
              <w:t>(</w:t>
            </w:r>
            <w:r w:rsidR="00E2051A" w:rsidRPr="00922BDA">
              <w:rPr>
                <w:rFonts w:cstheme="majorBidi"/>
                <w:b/>
                <w:bCs/>
                <w:color w:val="000000"/>
                <w:sz w:val="16"/>
                <w:szCs w:val="16"/>
                <w:lang w:val="en-GB"/>
              </w:rPr>
              <w:t>2026–2027</w:t>
            </w:r>
            <w:r w:rsidRPr="00922BDA">
              <w:rPr>
                <w:rFonts w:cstheme="majorBidi"/>
                <w:b/>
                <w:bCs/>
                <w:color w:val="000000"/>
                <w:sz w:val="16"/>
                <w:szCs w:val="16"/>
                <w:lang w:val="en-GB"/>
              </w:rPr>
              <w:t>)</w:t>
            </w:r>
          </w:p>
        </w:tc>
        <w:tc>
          <w:tcPr>
            <w:tcW w:w="245" w:type="pct"/>
            <w:tcMar>
              <w:top w:w="15" w:type="dxa"/>
              <w:left w:w="108" w:type="dxa"/>
              <w:bottom w:w="15" w:type="dxa"/>
              <w:right w:w="108" w:type="dxa"/>
            </w:tcMar>
            <w:vAlign w:val="center"/>
            <w:hideMark/>
          </w:tcPr>
          <w:p w14:paraId="1AC49190" w14:textId="52143220" w:rsidR="00312EEA" w:rsidRPr="00922BDA" w:rsidRDefault="008C6D9C"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2026</w:t>
            </w:r>
          </w:p>
        </w:tc>
        <w:tc>
          <w:tcPr>
            <w:tcW w:w="244" w:type="pct"/>
            <w:tcMar>
              <w:top w:w="15" w:type="dxa"/>
              <w:left w:w="108" w:type="dxa"/>
              <w:bottom w:w="15" w:type="dxa"/>
              <w:right w:w="108" w:type="dxa"/>
            </w:tcMar>
            <w:vAlign w:val="center"/>
            <w:hideMark/>
          </w:tcPr>
          <w:p w14:paraId="0210EF06" w14:textId="376E8B6E" w:rsidR="00312EEA" w:rsidRPr="00922BDA" w:rsidRDefault="008C6D9C"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2027</w:t>
            </w:r>
          </w:p>
        </w:tc>
        <w:tc>
          <w:tcPr>
            <w:tcW w:w="311" w:type="pct"/>
            <w:tcMar>
              <w:top w:w="15" w:type="dxa"/>
              <w:left w:w="108" w:type="dxa"/>
              <w:bottom w:w="15" w:type="dxa"/>
              <w:right w:w="108" w:type="dxa"/>
            </w:tcMar>
            <w:vAlign w:val="center"/>
            <w:hideMark/>
          </w:tcPr>
          <w:p w14:paraId="5EAE6503" w14:textId="484ACE9E"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Total </w:t>
            </w:r>
            <w:r w:rsidRPr="00922BDA">
              <w:rPr>
                <w:rFonts w:cstheme="majorBidi"/>
                <w:b/>
                <w:bCs/>
                <w:color w:val="000000"/>
                <w:sz w:val="16"/>
                <w:szCs w:val="16"/>
                <w:lang w:val="en-GB"/>
              </w:rPr>
              <w:br/>
              <w:t>(</w:t>
            </w:r>
            <w:r w:rsidR="00E2051A" w:rsidRPr="00922BDA">
              <w:rPr>
                <w:rFonts w:cstheme="majorBidi"/>
                <w:b/>
                <w:bCs/>
                <w:color w:val="000000"/>
                <w:sz w:val="16"/>
                <w:szCs w:val="16"/>
                <w:lang w:val="en-GB"/>
              </w:rPr>
              <w:t>2026–2027</w:t>
            </w:r>
            <w:r w:rsidRPr="00922BDA">
              <w:rPr>
                <w:rFonts w:cstheme="majorBidi"/>
                <w:b/>
                <w:bCs/>
                <w:color w:val="000000"/>
                <w:sz w:val="16"/>
                <w:szCs w:val="16"/>
                <w:lang w:val="en-GB"/>
              </w:rPr>
              <w:t>)</w:t>
            </w:r>
          </w:p>
        </w:tc>
        <w:tc>
          <w:tcPr>
            <w:tcW w:w="305" w:type="pct"/>
            <w:tcMar>
              <w:top w:w="15" w:type="dxa"/>
              <w:left w:w="108" w:type="dxa"/>
              <w:bottom w:w="15" w:type="dxa"/>
              <w:right w:w="108" w:type="dxa"/>
            </w:tcMar>
            <w:vAlign w:val="center"/>
            <w:hideMark/>
          </w:tcPr>
          <w:p w14:paraId="636607E5" w14:textId="098D7E10" w:rsidR="00312EEA" w:rsidRPr="00922BDA" w:rsidRDefault="000D1C24"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2026</w:t>
            </w:r>
          </w:p>
        </w:tc>
        <w:tc>
          <w:tcPr>
            <w:tcW w:w="271" w:type="pct"/>
            <w:tcMar>
              <w:top w:w="15" w:type="dxa"/>
              <w:left w:w="108" w:type="dxa"/>
              <w:bottom w:w="15" w:type="dxa"/>
              <w:right w:w="108" w:type="dxa"/>
            </w:tcMar>
            <w:vAlign w:val="center"/>
            <w:hideMark/>
          </w:tcPr>
          <w:p w14:paraId="5C49CAEF" w14:textId="4613AAE5" w:rsidR="00312EEA" w:rsidRPr="00922BDA" w:rsidRDefault="000D1C24"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2027</w:t>
            </w:r>
          </w:p>
        </w:tc>
        <w:tc>
          <w:tcPr>
            <w:tcW w:w="305" w:type="pct"/>
            <w:tcMar>
              <w:top w:w="15" w:type="dxa"/>
              <w:left w:w="108" w:type="dxa"/>
              <w:bottom w:w="15" w:type="dxa"/>
              <w:right w:w="108" w:type="dxa"/>
            </w:tcMar>
            <w:vAlign w:val="center"/>
            <w:hideMark/>
          </w:tcPr>
          <w:p w14:paraId="15FB1E80" w14:textId="148CA3EF"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Total </w:t>
            </w:r>
            <w:r w:rsidRPr="00922BDA">
              <w:rPr>
                <w:rFonts w:cstheme="majorBidi"/>
                <w:b/>
                <w:bCs/>
                <w:color w:val="000000"/>
                <w:sz w:val="16"/>
                <w:szCs w:val="16"/>
                <w:lang w:val="en-GB"/>
              </w:rPr>
              <w:br/>
              <w:t>(</w:t>
            </w:r>
            <w:r w:rsidR="00E2051A" w:rsidRPr="00922BDA">
              <w:rPr>
                <w:rFonts w:cstheme="majorBidi"/>
                <w:b/>
                <w:bCs/>
                <w:color w:val="000000"/>
                <w:sz w:val="16"/>
                <w:szCs w:val="16"/>
                <w:lang w:val="en-GB"/>
              </w:rPr>
              <w:t>2026–2027</w:t>
            </w:r>
            <w:r w:rsidRPr="00922BDA">
              <w:rPr>
                <w:rFonts w:cstheme="majorBidi"/>
                <w:b/>
                <w:bCs/>
                <w:color w:val="000000"/>
                <w:sz w:val="16"/>
                <w:szCs w:val="16"/>
                <w:lang w:val="en-GB"/>
              </w:rPr>
              <w:t>)</w:t>
            </w:r>
          </w:p>
        </w:tc>
        <w:tc>
          <w:tcPr>
            <w:tcW w:w="394" w:type="pct"/>
            <w:tcMar>
              <w:top w:w="15" w:type="dxa"/>
              <w:left w:w="108" w:type="dxa"/>
              <w:bottom w:w="15" w:type="dxa"/>
              <w:right w:w="108" w:type="dxa"/>
            </w:tcMar>
            <w:vAlign w:val="center"/>
            <w:hideMark/>
          </w:tcPr>
          <w:p w14:paraId="5DCDC8A6" w14:textId="58EDA28E" w:rsidR="00312EEA" w:rsidRPr="00922BDA" w:rsidRDefault="000D1C24"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2026</w:t>
            </w:r>
          </w:p>
        </w:tc>
        <w:tc>
          <w:tcPr>
            <w:tcW w:w="319" w:type="pct"/>
            <w:tcMar>
              <w:top w:w="15" w:type="dxa"/>
              <w:left w:w="108" w:type="dxa"/>
              <w:bottom w:w="15" w:type="dxa"/>
              <w:right w:w="108" w:type="dxa"/>
            </w:tcMar>
            <w:vAlign w:val="center"/>
            <w:hideMark/>
          </w:tcPr>
          <w:p w14:paraId="3A977254" w14:textId="48812758" w:rsidR="00312EEA" w:rsidRPr="00922BDA" w:rsidRDefault="000D1C24"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2027</w:t>
            </w:r>
          </w:p>
        </w:tc>
        <w:tc>
          <w:tcPr>
            <w:tcW w:w="353" w:type="pct"/>
            <w:tcMar>
              <w:top w:w="15" w:type="dxa"/>
              <w:left w:w="108" w:type="dxa"/>
              <w:bottom w:w="15" w:type="dxa"/>
              <w:right w:w="108" w:type="dxa"/>
            </w:tcMar>
            <w:vAlign w:val="center"/>
            <w:hideMark/>
          </w:tcPr>
          <w:p w14:paraId="5F09DB2D" w14:textId="46CD9FB5" w:rsidR="00312EEA" w:rsidRPr="00922BDA" w:rsidRDefault="00312EEA" w:rsidP="00BD36F8">
            <w:pPr>
              <w:spacing w:after="60"/>
              <w:jc w:val="center"/>
              <w:rPr>
                <w:rFonts w:cstheme="majorBidi"/>
                <w:b/>
                <w:bCs/>
                <w:color w:val="000000"/>
                <w:sz w:val="16"/>
                <w:szCs w:val="16"/>
                <w:lang w:val="en-GB"/>
              </w:rPr>
            </w:pPr>
            <w:r w:rsidRPr="00922BDA">
              <w:rPr>
                <w:rFonts w:cstheme="majorBidi"/>
                <w:b/>
                <w:bCs/>
                <w:color w:val="000000"/>
                <w:sz w:val="16"/>
                <w:szCs w:val="16"/>
                <w:lang w:val="en-GB"/>
              </w:rPr>
              <w:t xml:space="preserve">Total </w:t>
            </w:r>
            <w:r w:rsidRPr="00922BDA">
              <w:rPr>
                <w:rFonts w:cstheme="majorBidi"/>
                <w:b/>
                <w:bCs/>
                <w:color w:val="000000"/>
                <w:sz w:val="16"/>
                <w:szCs w:val="16"/>
                <w:lang w:val="en-GB"/>
              </w:rPr>
              <w:br/>
              <w:t>(</w:t>
            </w:r>
            <w:r w:rsidR="00E2051A" w:rsidRPr="00922BDA">
              <w:rPr>
                <w:rFonts w:cstheme="majorBidi"/>
                <w:b/>
                <w:bCs/>
                <w:color w:val="000000"/>
                <w:sz w:val="16"/>
                <w:szCs w:val="16"/>
                <w:lang w:val="en-GB"/>
              </w:rPr>
              <w:t>2026–2027</w:t>
            </w:r>
            <w:r w:rsidRPr="00922BDA">
              <w:rPr>
                <w:rFonts w:cstheme="majorBidi"/>
                <w:b/>
                <w:bCs/>
                <w:color w:val="000000"/>
                <w:sz w:val="16"/>
                <w:szCs w:val="16"/>
                <w:lang w:val="en-GB"/>
              </w:rPr>
              <w:t>)</w:t>
            </w:r>
          </w:p>
        </w:tc>
      </w:tr>
      <w:tr w:rsidR="009865DA" w:rsidRPr="00922BDA" w14:paraId="453E099C" w14:textId="77777777" w:rsidTr="002A243F">
        <w:trPr>
          <w:trHeight w:val="318"/>
        </w:trPr>
        <w:tc>
          <w:tcPr>
            <w:tcW w:w="5000" w:type="pct"/>
            <w:gridSpan w:val="13"/>
            <w:noWrap/>
            <w:tcMar>
              <w:top w:w="15" w:type="dxa"/>
              <w:left w:w="108" w:type="dxa"/>
              <w:bottom w:w="15" w:type="dxa"/>
              <w:right w:w="108" w:type="dxa"/>
            </w:tcMar>
            <w:vAlign w:val="center"/>
            <w:hideMark/>
          </w:tcPr>
          <w:p w14:paraId="28B1BA1F" w14:textId="365032BC" w:rsidR="00312EEA" w:rsidRPr="00922BDA" w:rsidRDefault="00997CD4" w:rsidP="00BD36F8">
            <w:pPr>
              <w:spacing w:after="60"/>
              <w:rPr>
                <w:rFonts w:cstheme="majorBidi"/>
                <w:b/>
                <w:color w:val="000000"/>
                <w:sz w:val="16"/>
                <w:szCs w:val="16"/>
                <w:highlight w:val="yellow"/>
                <w:lang w:val="en-GB"/>
              </w:rPr>
            </w:pPr>
            <w:r w:rsidRPr="00922BDA">
              <w:rPr>
                <w:rStyle w:val="normaltextrun"/>
                <w:rFonts w:cstheme="majorBidi"/>
                <w:b/>
                <w:color w:val="000000"/>
                <w:sz w:val="16"/>
                <w:szCs w:val="16"/>
                <w:shd w:val="clear" w:color="auto" w:fill="FFFFFF"/>
                <w:lang w:val="en-GB"/>
              </w:rPr>
              <w:t>6. Effectiveness evaluation</w:t>
            </w:r>
          </w:p>
        </w:tc>
      </w:tr>
      <w:tr w:rsidR="00697DD9" w:rsidRPr="00922BDA" w14:paraId="5A209861" w14:textId="77777777" w:rsidTr="00FC5B73">
        <w:trPr>
          <w:trHeight w:val="318"/>
        </w:trPr>
        <w:tc>
          <w:tcPr>
            <w:tcW w:w="5000" w:type="pct"/>
            <w:gridSpan w:val="13"/>
            <w:noWrap/>
            <w:tcMar>
              <w:top w:w="15" w:type="dxa"/>
              <w:left w:w="108" w:type="dxa"/>
              <w:bottom w:w="15" w:type="dxa"/>
              <w:right w:w="108" w:type="dxa"/>
            </w:tcMar>
            <w:vAlign w:val="center"/>
          </w:tcPr>
          <w:p w14:paraId="2447309C" w14:textId="37EFE043" w:rsidR="00697DD9" w:rsidRPr="00922BDA" w:rsidRDefault="00997CD4" w:rsidP="00BD36F8">
            <w:pPr>
              <w:spacing w:after="60"/>
              <w:rPr>
                <w:rStyle w:val="normaltextrun"/>
                <w:rFonts w:cstheme="majorBidi"/>
                <w:b/>
                <w:color w:val="000000"/>
                <w:sz w:val="16"/>
                <w:szCs w:val="16"/>
                <w:shd w:val="clear" w:color="auto" w:fill="FFFFFF"/>
                <w:lang w:val="en-GB"/>
              </w:rPr>
            </w:pPr>
            <w:r w:rsidRPr="00922BDA">
              <w:rPr>
                <w:rStyle w:val="normaltextrun"/>
                <w:rFonts w:cstheme="majorBidi"/>
                <w:b/>
                <w:color w:val="000000"/>
                <w:sz w:val="16"/>
                <w:szCs w:val="16"/>
                <w:shd w:val="clear" w:color="auto" w:fill="FFFFFF"/>
                <w:lang w:val="en-GB"/>
              </w:rPr>
              <w:t>6.1. Effectiveness Evaluation Group</w:t>
            </w:r>
          </w:p>
        </w:tc>
      </w:tr>
      <w:tr w:rsidR="00FC5B73" w:rsidRPr="00922BDA" w14:paraId="575AA10C" w14:textId="77777777" w:rsidTr="00FC5B73">
        <w:trPr>
          <w:trHeight w:val="447"/>
        </w:trPr>
        <w:tc>
          <w:tcPr>
            <w:tcW w:w="1321" w:type="pct"/>
            <w:tcMar>
              <w:top w:w="15" w:type="dxa"/>
              <w:left w:w="108" w:type="dxa"/>
              <w:bottom w:w="15" w:type="dxa"/>
              <w:right w:w="108" w:type="dxa"/>
            </w:tcMar>
            <w:vAlign w:val="center"/>
            <w:hideMark/>
          </w:tcPr>
          <w:p w14:paraId="7803710C" w14:textId="53E373C5" w:rsidR="00312EEA" w:rsidRPr="00922BDA" w:rsidRDefault="00312EEA" w:rsidP="00BD36F8">
            <w:pPr>
              <w:spacing w:after="60"/>
              <w:jc w:val="left"/>
              <w:rPr>
                <w:rFonts w:cstheme="majorBidi"/>
                <w:color w:val="000000"/>
                <w:sz w:val="16"/>
                <w:szCs w:val="16"/>
                <w:highlight w:val="yellow"/>
                <w:lang w:val="en-GB"/>
              </w:rPr>
            </w:pPr>
            <w:r w:rsidRPr="00922BDA">
              <w:rPr>
                <w:rStyle w:val="normaltextrun"/>
                <w:rFonts w:cstheme="majorBidi"/>
                <w:color w:val="000000"/>
                <w:sz w:val="16"/>
                <w:szCs w:val="16"/>
                <w:shd w:val="clear" w:color="auto" w:fill="FFFFFF"/>
                <w:lang w:val="en-GB"/>
              </w:rPr>
              <w:t>Meeting and travel costs</w:t>
            </w:r>
            <w:r w:rsidR="00FD4B21" w:rsidRPr="00922BDA">
              <w:rPr>
                <w:rStyle w:val="normaltextrun"/>
                <w:rFonts w:cstheme="majorBidi"/>
                <w:color w:val="000000"/>
                <w:sz w:val="16"/>
                <w:szCs w:val="16"/>
                <w:shd w:val="clear" w:color="auto" w:fill="FFFFFF"/>
                <w:lang w:val="en-GB"/>
              </w:rPr>
              <w:t>;</w:t>
            </w:r>
            <w:r w:rsidR="00340CF2" w:rsidRPr="00922BDA">
              <w:rPr>
                <w:rStyle w:val="normaltextrun"/>
                <w:rFonts w:cstheme="majorBidi"/>
                <w:color w:val="000000"/>
                <w:sz w:val="16"/>
                <w:szCs w:val="16"/>
                <w:shd w:val="clear" w:color="auto" w:fill="FFFFFF"/>
                <w:lang w:val="en-GB"/>
              </w:rPr>
              <w:t xml:space="preserve"> </w:t>
            </w:r>
            <w:r w:rsidR="00FD4B21" w:rsidRPr="00922BDA">
              <w:rPr>
                <w:rStyle w:val="normaltextrun"/>
                <w:color w:val="000000"/>
                <w:sz w:val="16"/>
                <w:szCs w:val="16"/>
                <w:shd w:val="clear" w:color="auto" w:fill="FFFFFF"/>
                <w:lang w:val="en-GB"/>
              </w:rPr>
              <w:t>expert support</w:t>
            </w:r>
          </w:p>
        </w:tc>
        <w:tc>
          <w:tcPr>
            <w:tcW w:w="343" w:type="pct"/>
            <w:noWrap/>
            <w:tcMar>
              <w:top w:w="15" w:type="dxa"/>
              <w:left w:w="108" w:type="dxa"/>
              <w:bottom w:w="15" w:type="dxa"/>
              <w:right w:w="108" w:type="dxa"/>
            </w:tcMar>
            <w:vAlign w:val="center"/>
            <w:hideMark/>
          </w:tcPr>
          <w:p w14:paraId="3714CF39" w14:textId="39500DA2" w:rsidR="00312EEA" w:rsidRPr="00922BDA" w:rsidRDefault="00280F48" w:rsidP="00BD36F8">
            <w:pPr>
              <w:spacing w:after="60"/>
              <w:jc w:val="right"/>
              <w:rPr>
                <w:rFonts w:cstheme="majorBidi"/>
                <w:color w:val="000000"/>
                <w:sz w:val="16"/>
                <w:szCs w:val="16"/>
                <w:highlight w:val="yellow"/>
                <w:lang w:val="en-GB"/>
              </w:rPr>
            </w:pPr>
            <w:r w:rsidRPr="00922BDA">
              <w:rPr>
                <w:rFonts w:cstheme="majorBidi"/>
                <w:color w:val="000000"/>
                <w:sz w:val="16"/>
                <w:szCs w:val="16"/>
                <w:lang w:val="en-GB"/>
              </w:rPr>
              <w:t>170</w:t>
            </w:r>
            <w:r w:rsidR="00190C2B" w:rsidRPr="00922BDA">
              <w:rPr>
                <w:rFonts w:cstheme="majorBidi"/>
                <w:color w:val="000000"/>
                <w:sz w:val="16"/>
                <w:szCs w:val="16"/>
                <w:lang w:val="en-GB"/>
              </w:rPr>
              <w:t>,</w:t>
            </w:r>
            <w:r w:rsidRPr="00922BDA">
              <w:rPr>
                <w:rFonts w:cstheme="majorBidi"/>
                <w:color w:val="000000"/>
                <w:sz w:val="16"/>
                <w:szCs w:val="16"/>
                <w:lang w:val="en-GB"/>
              </w:rPr>
              <w:t>000</w:t>
            </w:r>
          </w:p>
        </w:tc>
        <w:tc>
          <w:tcPr>
            <w:tcW w:w="245" w:type="pct"/>
            <w:noWrap/>
            <w:tcMar>
              <w:top w:w="15" w:type="dxa"/>
              <w:left w:w="108" w:type="dxa"/>
              <w:bottom w:w="15" w:type="dxa"/>
              <w:right w:w="108" w:type="dxa"/>
            </w:tcMar>
            <w:vAlign w:val="center"/>
          </w:tcPr>
          <w:p w14:paraId="345E8CE8" w14:textId="316EDD8B" w:rsidR="00312EEA" w:rsidRPr="00922BDA" w:rsidRDefault="00312EEA" w:rsidP="00BD36F8">
            <w:pPr>
              <w:spacing w:after="60"/>
              <w:jc w:val="right"/>
              <w:rPr>
                <w:rFonts w:cstheme="majorBidi"/>
                <w:color w:val="000000"/>
                <w:sz w:val="16"/>
                <w:szCs w:val="16"/>
                <w:highlight w:val="yellow"/>
                <w:lang w:val="en-GB"/>
              </w:rPr>
            </w:pPr>
          </w:p>
        </w:tc>
        <w:tc>
          <w:tcPr>
            <w:tcW w:w="344" w:type="pct"/>
            <w:noWrap/>
            <w:tcMar>
              <w:top w:w="15" w:type="dxa"/>
              <w:left w:w="108" w:type="dxa"/>
              <w:bottom w:w="15" w:type="dxa"/>
              <w:right w:w="108" w:type="dxa"/>
            </w:tcMar>
            <w:vAlign w:val="center"/>
          </w:tcPr>
          <w:p w14:paraId="2A5079E6" w14:textId="2136EC1A" w:rsidR="00312EEA" w:rsidRPr="00922BDA" w:rsidRDefault="005E6837" w:rsidP="00BD36F8">
            <w:pPr>
              <w:spacing w:after="60"/>
              <w:jc w:val="right"/>
              <w:rPr>
                <w:rFonts w:cstheme="majorBidi"/>
                <w:b/>
                <w:bCs/>
                <w:color w:val="000000"/>
                <w:sz w:val="16"/>
                <w:szCs w:val="16"/>
                <w:highlight w:val="yellow"/>
                <w:lang w:val="en-GB"/>
              </w:rPr>
            </w:pPr>
            <w:r w:rsidRPr="00922BDA">
              <w:rPr>
                <w:rFonts w:cstheme="majorBidi"/>
                <w:b/>
                <w:bCs/>
                <w:color w:val="000000"/>
                <w:sz w:val="16"/>
                <w:szCs w:val="16"/>
                <w:lang w:val="en-GB"/>
              </w:rPr>
              <w:t>170</w:t>
            </w:r>
            <w:r w:rsidR="00A24A04" w:rsidRPr="00922BDA">
              <w:rPr>
                <w:rFonts w:cstheme="majorBidi"/>
                <w:b/>
                <w:bCs/>
                <w:color w:val="000000"/>
                <w:sz w:val="16"/>
                <w:szCs w:val="16"/>
                <w:lang w:val="en-GB"/>
              </w:rPr>
              <w:t>,</w:t>
            </w:r>
            <w:r w:rsidRPr="00922BDA">
              <w:rPr>
                <w:rFonts w:cstheme="majorBidi"/>
                <w:b/>
                <w:bCs/>
                <w:color w:val="000000"/>
                <w:sz w:val="16"/>
                <w:szCs w:val="16"/>
                <w:lang w:val="en-GB"/>
              </w:rPr>
              <w:t>000</w:t>
            </w:r>
          </w:p>
        </w:tc>
        <w:tc>
          <w:tcPr>
            <w:tcW w:w="245" w:type="pct"/>
            <w:noWrap/>
            <w:tcMar>
              <w:top w:w="15" w:type="dxa"/>
              <w:left w:w="108" w:type="dxa"/>
              <w:bottom w:w="15" w:type="dxa"/>
              <w:right w:w="108" w:type="dxa"/>
            </w:tcMar>
            <w:vAlign w:val="center"/>
          </w:tcPr>
          <w:p w14:paraId="6C612952" w14:textId="41928C84" w:rsidR="00312EEA" w:rsidRPr="00922BDA" w:rsidRDefault="00312EEA" w:rsidP="00BD36F8">
            <w:pPr>
              <w:spacing w:after="60"/>
              <w:jc w:val="right"/>
              <w:rPr>
                <w:rFonts w:cstheme="majorBidi"/>
                <w:color w:val="000000"/>
                <w:sz w:val="16"/>
                <w:szCs w:val="16"/>
                <w:lang w:val="en-GB"/>
              </w:rPr>
            </w:pPr>
          </w:p>
        </w:tc>
        <w:tc>
          <w:tcPr>
            <w:tcW w:w="244" w:type="pct"/>
            <w:noWrap/>
            <w:tcMar>
              <w:top w:w="15" w:type="dxa"/>
              <w:left w:w="108" w:type="dxa"/>
              <w:bottom w:w="15" w:type="dxa"/>
              <w:right w:w="108" w:type="dxa"/>
            </w:tcMar>
            <w:vAlign w:val="center"/>
          </w:tcPr>
          <w:p w14:paraId="667B148A" w14:textId="3E1D5E1F" w:rsidR="00312EEA" w:rsidRPr="00922BDA" w:rsidRDefault="00312EEA" w:rsidP="00BD36F8">
            <w:pPr>
              <w:spacing w:after="60"/>
              <w:jc w:val="right"/>
              <w:rPr>
                <w:rFonts w:eastAsia="Times New Roman" w:cstheme="majorBidi"/>
                <w:sz w:val="16"/>
                <w:szCs w:val="16"/>
                <w:lang w:val="en-GB"/>
              </w:rPr>
            </w:pPr>
          </w:p>
        </w:tc>
        <w:tc>
          <w:tcPr>
            <w:tcW w:w="311" w:type="pct"/>
            <w:noWrap/>
            <w:tcMar>
              <w:top w:w="15" w:type="dxa"/>
              <w:left w:w="108" w:type="dxa"/>
              <w:bottom w:w="15" w:type="dxa"/>
              <w:right w:w="108" w:type="dxa"/>
            </w:tcMar>
            <w:vAlign w:val="center"/>
          </w:tcPr>
          <w:p w14:paraId="1ACFE5C0" w14:textId="13932234" w:rsidR="00312EEA" w:rsidRPr="00922BDA" w:rsidRDefault="00312EEA" w:rsidP="00BD36F8">
            <w:pPr>
              <w:spacing w:after="60"/>
              <w:jc w:val="right"/>
              <w:rPr>
                <w:rFonts w:cstheme="majorBidi"/>
                <w:color w:val="000000"/>
                <w:sz w:val="16"/>
                <w:szCs w:val="16"/>
                <w:lang w:val="en-GB"/>
              </w:rPr>
            </w:pPr>
          </w:p>
        </w:tc>
        <w:tc>
          <w:tcPr>
            <w:tcW w:w="305" w:type="pct"/>
            <w:noWrap/>
            <w:tcMar>
              <w:top w:w="15" w:type="dxa"/>
              <w:left w:w="108" w:type="dxa"/>
              <w:bottom w:w="15" w:type="dxa"/>
              <w:right w:w="108" w:type="dxa"/>
            </w:tcMar>
            <w:vAlign w:val="center"/>
          </w:tcPr>
          <w:p w14:paraId="34ADB4A4" w14:textId="7D2D39B0" w:rsidR="00312EEA" w:rsidRPr="00922BDA" w:rsidRDefault="00762E66" w:rsidP="00BD36F8">
            <w:pPr>
              <w:spacing w:after="60"/>
              <w:jc w:val="right"/>
              <w:rPr>
                <w:rFonts w:cstheme="majorBidi"/>
                <w:color w:val="000000"/>
                <w:sz w:val="16"/>
                <w:szCs w:val="16"/>
                <w:lang w:val="en-GB"/>
              </w:rPr>
            </w:pPr>
            <w:r w:rsidRPr="00922BDA">
              <w:rPr>
                <w:rFonts w:cstheme="majorBidi"/>
                <w:color w:val="000000"/>
                <w:sz w:val="16"/>
                <w:szCs w:val="16"/>
                <w:lang w:val="en-GB"/>
              </w:rPr>
              <w:t>85</w:t>
            </w:r>
            <w:r w:rsidR="003830B8" w:rsidRPr="00922BDA">
              <w:rPr>
                <w:rFonts w:cstheme="majorBidi"/>
                <w:color w:val="000000"/>
                <w:sz w:val="16"/>
                <w:szCs w:val="16"/>
                <w:lang w:val="en-GB"/>
              </w:rPr>
              <w:t>,</w:t>
            </w:r>
            <w:r w:rsidRPr="00922BDA">
              <w:rPr>
                <w:rFonts w:cstheme="majorBidi"/>
                <w:color w:val="000000"/>
                <w:sz w:val="16"/>
                <w:szCs w:val="16"/>
                <w:lang w:val="en-GB"/>
              </w:rPr>
              <w:t>000</w:t>
            </w:r>
          </w:p>
        </w:tc>
        <w:tc>
          <w:tcPr>
            <w:tcW w:w="271" w:type="pct"/>
            <w:noWrap/>
            <w:tcMar>
              <w:top w:w="15" w:type="dxa"/>
              <w:left w:w="108" w:type="dxa"/>
              <w:bottom w:w="15" w:type="dxa"/>
              <w:right w:w="108" w:type="dxa"/>
            </w:tcMar>
            <w:vAlign w:val="center"/>
          </w:tcPr>
          <w:p w14:paraId="06F7D2C5" w14:textId="56C60144" w:rsidR="00312EEA" w:rsidRPr="00922BDA" w:rsidRDefault="00312EEA" w:rsidP="00BD36F8">
            <w:pPr>
              <w:spacing w:after="60"/>
              <w:jc w:val="right"/>
              <w:rPr>
                <w:rFonts w:cstheme="majorBidi"/>
                <w:color w:val="000000"/>
                <w:sz w:val="16"/>
                <w:szCs w:val="16"/>
                <w:lang w:val="en-GB"/>
              </w:rPr>
            </w:pPr>
          </w:p>
        </w:tc>
        <w:tc>
          <w:tcPr>
            <w:tcW w:w="305" w:type="pct"/>
            <w:noWrap/>
            <w:tcMar>
              <w:top w:w="15" w:type="dxa"/>
              <w:left w:w="108" w:type="dxa"/>
              <w:bottom w:w="15" w:type="dxa"/>
              <w:right w:w="108" w:type="dxa"/>
            </w:tcMar>
            <w:vAlign w:val="center"/>
          </w:tcPr>
          <w:p w14:paraId="6C5D8536" w14:textId="1103F2C4" w:rsidR="00312EEA" w:rsidRPr="00922BDA" w:rsidRDefault="00762E66"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85</w:t>
            </w:r>
            <w:r w:rsidR="003830B8" w:rsidRPr="00922BDA">
              <w:rPr>
                <w:rFonts w:cstheme="majorBidi"/>
                <w:b/>
                <w:bCs/>
                <w:color w:val="000000"/>
                <w:sz w:val="16"/>
                <w:szCs w:val="16"/>
                <w:lang w:val="en-GB"/>
              </w:rPr>
              <w:t>,</w:t>
            </w:r>
            <w:r w:rsidRPr="00922BDA">
              <w:rPr>
                <w:rFonts w:cstheme="majorBidi"/>
                <w:b/>
                <w:bCs/>
                <w:color w:val="000000"/>
                <w:sz w:val="16"/>
                <w:szCs w:val="16"/>
                <w:lang w:val="en-GB"/>
              </w:rPr>
              <w:t>000</w:t>
            </w:r>
          </w:p>
        </w:tc>
        <w:tc>
          <w:tcPr>
            <w:tcW w:w="394" w:type="pct"/>
            <w:noWrap/>
            <w:tcMar>
              <w:top w:w="15" w:type="dxa"/>
              <w:left w:w="108" w:type="dxa"/>
              <w:bottom w:w="15" w:type="dxa"/>
              <w:right w:w="108" w:type="dxa"/>
            </w:tcMar>
            <w:vAlign w:val="center"/>
          </w:tcPr>
          <w:p w14:paraId="5ACC6AEB" w14:textId="7318DF76" w:rsidR="00312EEA" w:rsidRPr="00922BDA" w:rsidRDefault="003808AA" w:rsidP="00BD36F8">
            <w:pPr>
              <w:spacing w:after="60"/>
              <w:jc w:val="right"/>
              <w:rPr>
                <w:rFonts w:cstheme="majorBidi"/>
                <w:color w:val="000000"/>
                <w:sz w:val="16"/>
                <w:szCs w:val="16"/>
                <w:lang w:val="en-GB"/>
              </w:rPr>
            </w:pPr>
            <w:r w:rsidRPr="00922BDA">
              <w:rPr>
                <w:rFonts w:cstheme="majorBidi"/>
                <w:color w:val="000000"/>
                <w:sz w:val="16"/>
                <w:szCs w:val="16"/>
                <w:lang w:val="en-GB"/>
              </w:rPr>
              <w:t>85,000</w:t>
            </w:r>
          </w:p>
        </w:tc>
        <w:tc>
          <w:tcPr>
            <w:tcW w:w="319" w:type="pct"/>
            <w:noWrap/>
            <w:tcMar>
              <w:top w:w="15" w:type="dxa"/>
              <w:left w:w="108" w:type="dxa"/>
              <w:bottom w:w="15" w:type="dxa"/>
              <w:right w:w="108" w:type="dxa"/>
            </w:tcMar>
            <w:vAlign w:val="center"/>
          </w:tcPr>
          <w:p w14:paraId="6F2E8E6A" w14:textId="4BF85D5B" w:rsidR="00312EEA" w:rsidRPr="00922BDA" w:rsidRDefault="00312EEA" w:rsidP="00BD36F8">
            <w:pPr>
              <w:spacing w:after="60"/>
              <w:jc w:val="right"/>
              <w:rPr>
                <w:rFonts w:eastAsia="Times New Roman" w:cstheme="majorBidi"/>
                <w:sz w:val="16"/>
                <w:szCs w:val="16"/>
                <w:lang w:val="en-GB"/>
              </w:rPr>
            </w:pPr>
          </w:p>
        </w:tc>
        <w:tc>
          <w:tcPr>
            <w:tcW w:w="353" w:type="pct"/>
            <w:noWrap/>
            <w:tcMar>
              <w:top w:w="15" w:type="dxa"/>
              <w:left w:w="108" w:type="dxa"/>
              <w:bottom w:w="15" w:type="dxa"/>
              <w:right w:w="108" w:type="dxa"/>
            </w:tcMar>
            <w:vAlign w:val="center"/>
          </w:tcPr>
          <w:p w14:paraId="681A5890" w14:textId="1F4950ED" w:rsidR="00312EEA" w:rsidRPr="00922BDA" w:rsidRDefault="003808AA" w:rsidP="002A243F">
            <w:pPr>
              <w:spacing w:after="60"/>
              <w:jc w:val="right"/>
              <w:rPr>
                <w:rFonts w:cstheme="majorBidi"/>
                <w:b/>
                <w:bCs/>
                <w:color w:val="000000"/>
                <w:sz w:val="16"/>
                <w:szCs w:val="16"/>
                <w:lang w:val="en-GB"/>
              </w:rPr>
            </w:pPr>
            <w:r w:rsidRPr="00922BDA">
              <w:rPr>
                <w:rFonts w:cstheme="majorBidi"/>
                <w:b/>
                <w:bCs/>
                <w:color w:val="000000"/>
                <w:sz w:val="16"/>
                <w:szCs w:val="16"/>
                <w:lang w:val="en-GB"/>
              </w:rPr>
              <w:t>85</w:t>
            </w:r>
            <w:r w:rsidR="00312EEA" w:rsidRPr="00922BDA">
              <w:rPr>
                <w:rFonts w:cstheme="majorBidi"/>
                <w:b/>
                <w:bCs/>
                <w:color w:val="000000"/>
                <w:sz w:val="16"/>
                <w:szCs w:val="16"/>
                <w:lang w:val="en-GB"/>
              </w:rPr>
              <w:t>,000</w:t>
            </w:r>
          </w:p>
        </w:tc>
      </w:tr>
      <w:tr w:rsidR="00FC5B73" w:rsidRPr="00922BDA" w14:paraId="480E759D" w14:textId="77777777" w:rsidTr="002A243F">
        <w:trPr>
          <w:trHeight w:val="447"/>
        </w:trPr>
        <w:tc>
          <w:tcPr>
            <w:tcW w:w="1321" w:type="pct"/>
            <w:tcMar>
              <w:top w:w="15" w:type="dxa"/>
              <w:left w:w="108" w:type="dxa"/>
              <w:bottom w:w="15" w:type="dxa"/>
              <w:right w:w="108" w:type="dxa"/>
            </w:tcMar>
            <w:vAlign w:val="center"/>
          </w:tcPr>
          <w:p w14:paraId="2D8D3DE1" w14:textId="4A62977D" w:rsidR="003B28BB" w:rsidRPr="00922BDA" w:rsidRDefault="003B28BB" w:rsidP="00BD36F8">
            <w:pPr>
              <w:spacing w:after="60"/>
              <w:jc w:val="left"/>
              <w:rPr>
                <w:rStyle w:val="normaltextrun"/>
                <w:rFonts w:cstheme="majorBidi"/>
                <w:color w:val="000000"/>
                <w:sz w:val="16"/>
                <w:szCs w:val="16"/>
                <w:shd w:val="clear" w:color="auto" w:fill="FFFFFF"/>
                <w:lang w:val="en-GB"/>
              </w:rPr>
            </w:pPr>
            <w:r w:rsidRPr="00922BDA">
              <w:rPr>
                <w:rStyle w:val="normaltextrun"/>
                <w:rFonts w:cstheme="majorBidi"/>
                <w:color w:val="000000"/>
                <w:sz w:val="16"/>
                <w:szCs w:val="16"/>
                <w:shd w:val="clear" w:color="auto" w:fill="FFFFFF"/>
                <w:lang w:val="en-GB"/>
              </w:rPr>
              <w:t>EEG report to COP and other work</w:t>
            </w:r>
          </w:p>
        </w:tc>
        <w:tc>
          <w:tcPr>
            <w:tcW w:w="343" w:type="pct"/>
            <w:noWrap/>
            <w:tcMar>
              <w:top w:w="15" w:type="dxa"/>
              <w:left w:w="108" w:type="dxa"/>
              <w:bottom w:w="15" w:type="dxa"/>
              <w:right w:w="108" w:type="dxa"/>
            </w:tcMar>
            <w:vAlign w:val="center"/>
          </w:tcPr>
          <w:p w14:paraId="1E8BAA8C" w14:textId="54788A25" w:rsidR="003B28BB" w:rsidRPr="00922BDA" w:rsidRDefault="003B28BB" w:rsidP="00BD36F8">
            <w:pPr>
              <w:spacing w:after="60"/>
              <w:jc w:val="right"/>
              <w:rPr>
                <w:rFonts w:cstheme="majorBidi"/>
                <w:color w:val="000000"/>
                <w:sz w:val="16"/>
                <w:szCs w:val="16"/>
                <w:lang w:val="en-GB"/>
              </w:rPr>
            </w:pPr>
            <w:r w:rsidRPr="00922BDA">
              <w:rPr>
                <w:rFonts w:cstheme="majorBidi"/>
                <w:color w:val="000000"/>
                <w:sz w:val="16"/>
                <w:szCs w:val="16"/>
                <w:lang w:val="en-GB"/>
              </w:rPr>
              <w:t>25,000</w:t>
            </w:r>
          </w:p>
        </w:tc>
        <w:tc>
          <w:tcPr>
            <w:tcW w:w="245" w:type="pct"/>
            <w:noWrap/>
            <w:tcMar>
              <w:top w:w="15" w:type="dxa"/>
              <w:left w:w="108" w:type="dxa"/>
              <w:bottom w:w="15" w:type="dxa"/>
              <w:right w:w="108" w:type="dxa"/>
            </w:tcMar>
            <w:vAlign w:val="center"/>
          </w:tcPr>
          <w:p w14:paraId="6F1A6D1C" w14:textId="77777777" w:rsidR="003B28BB" w:rsidRPr="00922BDA" w:rsidRDefault="003B28BB" w:rsidP="00BD36F8">
            <w:pPr>
              <w:spacing w:after="60"/>
              <w:jc w:val="right"/>
              <w:rPr>
                <w:rFonts w:cstheme="majorBidi"/>
                <w:color w:val="000000"/>
                <w:sz w:val="16"/>
                <w:szCs w:val="16"/>
                <w:highlight w:val="yellow"/>
                <w:lang w:val="en-GB"/>
              </w:rPr>
            </w:pPr>
          </w:p>
        </w:tc>
        <w:tc>
          <w:tcPr>
            <w:tcW w:w="344" w:type="pct"/>
            <w:noWrap/>
            <w:tcMar>
              <w:top w:w="15" w:type="dxa"/>
              <w:left w:w="108" w:type="dxa"/>
              <w:bottom w:w="15" w:type="dxa"/>
              <w:right w:w="108" w:type="dxa"/>
            </w:tcMar>
            <w:vAlign w:val="center"/>
          </w:tcPr>
          <w:p w14:paraId="63D8CA79" w14:textId="4CA269D8" w:rsidR="003B28BB" w:rsidRPr="00922BDA" w:rsidRDefault="003B28BB"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25,000</w:t>
            </w:r>
          </w:p>
        </w:tc>
        <w:tc>
          <w:tcPr>
            <w:tcW w:w="245" w:type="pct"/>
            <w:noWrap/>
            <w:tcMar>
              <w:top w:w="15" w:type="dxa"/>
              <w:left w:w="108" w:type="dxa"/>
              <w:bottom w:w="15" w:type="dxa"/>
              <w:right w:w="108" w:type="dxa"/>
            </w:tcMar>
            <w:vAlign w:val="center"/>
          </w:tcPr>
          <w:p w14:paraId="0EDC752D" w14:textId="77777777" w:rsidR="003B28BB" w:rsidRPr="00922BDA" w:rsidRDefault="003B28BB" w:rsidP="00BD36F8">
            <w:pPr>
              <w:spacing w:after="60"/>
              <w:jc w:val="right"/>
              <w:rPr>
                <w:rFonts w:cstheme="majorBidi"/>
                <w:color w:val="000000"/>
                <w:sz w:val="16"/>
                <w:szCs w:val="16"/>
                <w:lang w:val="en-GB"/>
              </w:rPr>
            </w:pPr>
          </w:p>
        </w:tc>
        <w:tc>
          <w:tcPr>
            <w:tcW w:w="244" w:type="pct"/>
            <w:noWrap/>
            <w:tcMar>
              <w:top w:w="15" w:type="dxa"/>
              <w:left w:w="108" w:type="dxa"/>
              <w:bottom w:w="15" w:type="dxa"/>
              <w:right w:w="108" w:type="dxa"/>
            </w:tcMar>
            <w:vAlign w:val="center"/>
          </w:tcPr>
          <w:p w14:paraId="3A88046F" w14:textId="77777777" w:rsidR="003B28BB" w:rsidRPr="00922BDA" w:rsidRDefault="003B28BB" w:rsidP="00BD36F8">
            <w:pPr>
              <w:spacing w:after="60"/>
              <w:jc w:val="right"/>
              <w:rPr>
                <w:rFonts w:eastAsia="Times New Roman" w:cstheme="majorBidi"/>
                <w:sz w:val="16"/>
                <w:szCs w:val="16"/>
                <w:lang w:val="en-GB"/>
              </w:rPr>
            </w:pPr>
          </w:p>
        </w:tc>
        <w:tc>
          <w:tcPr>
            <w:tcW w:w="311" w:type="pct"/>
            <w:noWrap/>
            <w:tcMar>
              <w:top w:w="15" w:type="dxa"/>
              <w:left w:w="108" w:type="dxa"/>
              <w:bottom w:w="15" w:type="dxa"/>
              <w:right w:w="108" w:type="dxa"/>
            </w:tcMar>
            <w:vAlign w:val="center"/>
          </w:tcPr>
          <w:p w14:paraId="0F1EDBF0" w14:textId="77777777" w:rsidR="003B28BB" w:rsidRPr="00922BDA" w:rsidRDefault="003B28BB" w:rsidP="00BD36F8">
            <w:pPr>
              <w:spacing w:after="60"/>
              <w:jc w:val="right"/>
              <w:rPr>
                <w:rFonts w:cstheme="majorBidi"/>
                <w:color w:val="000000"/>
                <w:sz w:val="16"/>
                <w:szCs w:val="16"/>
                <w:lang w:val="en-GB"/>
              </w:rPr>
            </w:pPr>
          </w:p>
        </w:tc>
        <w:tc>
          <w:tcPr>
            <w:tcW w:w="305" w:type="pct"/>
            <w:noWrap/>
            <w:tcMar>
              <w:top w:w="15" w:type="dxa"/>
              <w:left w:w="108" w:type="dxa"/>
              <w:bottom w:w="15" w:type="dxa"/>
              <w:right w:w="108" w:type="dxa"/>
            </w:tcMar>
            <w:vAlign w:val="center"/>
          </w:tcPr>
          <w:p w14:paraId="2DE82FD9" w14:textId="63BD9049" w:rsidR="003B28BB" w:rsidRPr="00922BDA" w:rsidRDefault="00606AA2" w:rsidP="00BD36F8">
            <w:pPr>
              <w:spacing w:after="60"/>
              <w:jc w:val="right"/>
              <w:rPr>
                <w:rFonts w:cstheme="majorBidi"/>
                <w:color w:val="000000"/>
                <w:sz w:val="16"/>
                <w:szCs w:val="16"/>
                <w:lang w:val="en-GB"/>
              </w:rPr>
            </w:pPr>
            <w:r w:rsidRPr="00922BDA">
              <w:rPr>
                <w:rFonts w:cstheme="majorBidi"/>
                <w:color w:val="000000"/>
                <w:sz w:val="16"/>
                <w:szCs w:val="16"/>
                <w:lang w:val="en-GB"/>
              </w:rPr>
              <w:t>25,000</w:t>
            </w:r>
          </w:p>
        </w:tc>
        <w:tc>
          <w:tcPr>
            <w:tcW w:w="271" w:type="pct"/>
            <w:noWrap/>
            <w:tcMar>
              <w:top w:w="15" w:type="dxa"/>
              <w:left w:w="108" w:type="dxa"/>
              <w:bottom w:w="15" w:type="dxa"/>
              <w:right w:w="108" w:type="dxa"/>
            </w:tcMar>
            <w:vAlign w:val="center"/>
          </w:tcPr>
          <w:p w14:paraId="3F80715F" w14:textId="77777777" w:rsidR="003B28BB" w:rsidRPr="00922BDA" w:rsidRDefault="003B28BB" w:rsidP="00BD36F8">
            <w:pPr>
              <w:spacing w:after="60"/>
              <w:jc w:val="right"/>
              <w:rPr>
                <w:rFonts w:cstheme="majorBidi"/>
                <w:color w:val="000000"/>
                <w:sz w:val="16"/>
                <w:szCs w:val="16"/>
                <w:lang w:val="en-GB"/>
              </w:rPr>
            </w:pPr>
          </w:p>
        </w:tc>
        <w:tc>
          <w:tcPr>
            <w:tcW w:w="305" w:type="pct"/>
            <w:noWrap/>
            <w:tcMar>
              <w:top w:w="15" w:type="dxa"/>
              <w:left w:w="108" w:type="dxa"/>
              <w:bottom w:w="15" w:type="dxa"/>
              <w:right w:w="108" w:type="dxa"/>
            </w:tcMar>
            <w:vAlign w:val="center"/>
          </w:tcPr>
          <w:p w14:paraId="3D8A25AD" w14:textId="6AE4262E" w:rsidR="003B28BB" w:rsidRPr="00922BDA" w:rsidRDefault="00606AA2"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25,000</w:t>
            </w:r>
          </w:p>
        </w:tc>
        <w:tc>
          <w:tcPr>
            <w:tcW w:w="394" w:type="pct"/>
            <w:noWrap/>
            <w:tcMar>
              <w:top w:w="15" w:type="dxa"/>
              <w:left w:w="108" w:type="dxa"/>
              <w:bottom w:w="15" w:type="dxa"/>
              <w:right w:w="108" w:type="dxa"/>
            </w:tcMar>
            <w:vAlign w:val="center"/>
          </w:tcPr>
          <w:p w14:paraId="77D4215B" w14:textId="77777777" w:rsidR="003B28BB" w:rsidRPr="00922BDA" w:rsidRDefault="003B28BB" w:rsidP="00BD36F8">
            <w:pPr>
              <w:spacing w:after="60"/>
              <w:jc w:val="right"/>
              <w:rPr>
                <w:rFonts w:cstheme="majorBidi"/>
                <w:color w:val="000000"/>
                <w:sz w:val="16"/>
                <w:szCs w:val="16"/>
                <w:lang w:val="en-GB"/>
              </w:rPr>
            </w:pPr>
          </w:p>
        </w:tc>
        <w:tc>
          <w:tcPr>
            <w:tcW w:w="319" w:type="pct"/>
            <w:noWrap/>
            <w:tcMar>
              <w:top w:w="15" w:type="dxa"/>
              <w:left w:w="108" w:type="dxa"/>
              <w:bottom w:w="15" w:type="dxa"/>
              <w:right w:w="108" w:type="dxa"/>
            </w:tcMar>
            <w:vAlign w:val="center"/>
          </w:tcPr>
          <w:p w14:paraId="20109327" w14:textId="77777777" w:rsidR="003B28BB" w:rsidRPr="00922BDA" w:rsidRDefault="003B28BB" w:rsidP="00BD36F8">
            <w:pPr>
              <w:spacing w:after="60"/>
              <w:jc w:val="right"/>
              <w:rPr>
                <w:rFonts w:cstheme="majorBidi"/>
                <w:color w:val="000000"/>
                <w:sz w:val="16"/>
                <w:szCs w:val="16"/>
                <w:lang w:val="en-GB"/>
              </w:rPr>
            </w:pPr>
          </w:p>
        </w:tc>
        <w:tc>
          <w:tcPr>
            <w:tcW w:w="353" w:type="pct"/>
            <w:noWrap/>
            <w:tcMar>
              <w:top w:w="15" w:type="dxa"/>
              <w:left w:w="108" w:type="dxa"/>
              <w:bottom w:w="15" w:type="dxa"/>
              <w:right w:w="108" w:type="dxa"/>
            </w:tcMar>
            <w:vAlign w:val="center"/>
          </w:tcPr>
          <w:p w14:paraId="36E9F2A5" w14:textId="77777777" w:rsidR="003B28BB" w:rsidRPr="00922BDA" w:rsidRDefault="003B28BB" w:rsidP="00BD36F8">
            <w:pPr>
              <w:spacing w:after="60"/>
              <w:ind w:right="180"/>
              <w:jc w:val="right"/>
              <w:rPr>
                <w:rFonts w:cstheme="majorBidi"/>
                <w:b/>
                <w:bCs/>
                <w:color w:val="000000"/>
                <w:sz w:val="16"/>
                <w:szCs w:val="16"/>
                <w:lang w:val="en-GB"/>
              </w:rPr>
            </w:pPr>
          </w:p>
        </w:tc>
      </w:tr>
      <w:tr w:rsidR="00FC5B73" w:rsidRPr="00922BDA" w14:paraId="1D5209AA" w14:textId="77777777" w:rsidTr="00FC5B73">
        <w:trPr>
          <w:trHeight w:val="318"/>
        </w:trPr>
        <w:tc>
          <w:tcPr>
            <w:tcW w:w="1321" w:type="pct"/>
            <w:noWrap/>
            <w:tcMar>
              <w:top w:w="15" w:type="dxa"/>
              <w:left w:w="108" w:type="dxa"/>
              <w:bottom w:w="15" w:type="dxa"/>
              <w:right w:w="108" w:type="dxa"/>
            </w:tcMar>
            <w:vAlign w:val="center"/>
            <w:hideMark/>
          </w:tcPr>
          <w:p w14:paraId="6F8BFE6B" w14:textId="77777777" w:rsidR="00312EEA" w:rsidRPr="00922BDA" w:rsidRDefault="00312EEA"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Component total</w:t>
            </w:r>
          </w:p>
        </w:tc>
        <w:tc>
          <w:tcPr>
            <w:tcW w:w="343" w:type="pct"/>
            <w:noWrap/>
            <w:tcMar>
              <w:top w:w="15" w:type="dxa"/>
              <w:left w:w="108" w:type="dxa"/>
              <w:bottom w:w="15" w:type="dxa"/>
              <w:right w:w="108" w:type="dxa"/>
            </w:tcMar>
            <w:vAlign w:val="center"/>
            <w:hideMark/>
          </w:tcPr>
          <w:p w14:paraId="68AC33F2" w14:textId="01228AF3" w:rsidR="00312EEA" w:rsidRPr="00922BDA" w:rsidRDefault="005E6837"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195</w:t>
            </w:r>
            <w:r w:rsidR="00312EEA" w:rsidRPr="00922BDA">
              <w:rPr>
                <w:rFonts w:cstheme="majorBidi"/>
                <w:b/>
                <w:bCs/>
                <w:color w:val="000000"/>
                <w:sz w:val="16"/>
                <w:szCs w:val="16"/>
                <w:lang w:val="en-GB"/>
              </w:rPr>
              <w:t>,000</w:t>
            </w:r>
          </w:p>
        </w:tc>
        <w:tc>
          <w:tcPr>
            <w:tcW w:w="245" w:type="pct"/>
            <w:noWrap/>
            <w:tcMar>
              <w:top w:w="15" w:type="dxa"/>
              <w:left w:w="108" w:type="dxa"/>
              <w:bottom w:w="15" w:type="dxa"/>
              <w:right w:w="108" w:type="dxa"/>
            </w:tcMar>
            <w:vAlign w:val="center"/>
          </w:tcPr>
          <w:p w14:paraId="3151CC77" w14:textId="4D8DB1F0" w:rsidR="00312EEA" w:rsidRPr="00922BDA" w:rsidRDefault="00312EEA" w:rsidP="00BD36F8">
            <w:pPr>
              <w:spacing w:after="60"/>
              <w:jc w:val="right"/>
              <w:rPr>
                <w:rFonts w:cstheme="majorBidi"/>
                <w:b/>
                <w:bCs/>
                <w:color w:val="000000"/>
                <w:sz w:val="16"/>
                <w:szCs w:val="16"/>
                <w:lang w:val="en-GB"/>
              </w:rPr>
            </w:pPr>
          </w:p>
        </w:tc>
        <w:tc>
          <w:tcPr>
            <w:tcW w:w="344" w:type="pct"/>
            <w:noWrap/>
            <w:tcMar>
              <w:top w:w="15" w:type="dxa"/>
              <w:left w:w="108" w:type="dxa"/>
              <w:bottom w:w="15" w:type="dxa"/>
              <w:right w:w="108" w:type="dxa"/>
            </w:tcMar>
            <w:vAlign w:val="center"/>
          </w:tcPr>
          <w:p w14:paraId="2A1DCD3E" w14:textId="563A9D31" w:rsidR="00312EEA" w:rsidRPr="00922BDA" w:rsidRDefault="00190C2B"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195</w:t>
            </w:r>
            <w:r w:rsidR="00A24A04" w:rsidRPr="00922BDA">
              <w:rPr>
                <w:rFonts w:cstheme="majorBidi"/>
                <w:b/>
                <w:bCs/>
                <w:color w:val="000000"/>
                <w:sz w:val="16"/>
                <w:szCs w:val="16"/>
                <w:lang w:val="en-GB"/>
              </w:rPr>
              <w:t>,</w:t>
            </w:r>
            <w:r w:rsidRPr="00922BDA">
              <w:rPr>
                <w:rFonts w:cstheme="majorBidi"/>
                <w:b/>
                <w:bCs/>
                <w:color w:val="000000"/>
                <w:sz w:val="16"/>
                <w:szCs w:val="16"/>
                <w:lang w:val="en-GB"/>
              </w:rPr>
              <w:t>000</w:t>
            </w:r>
          </w:p>
        </w:tc>
        <w:tc>
          <w:tcPr>
            <w:tcW w:w="245" w:type="pct"/>
            <w:noWrap/>
            <w:tcMar>
              <w:top w:w="15" w:type="dxa"/>
              <w:left w:w="108" w:type="dxa"/>
              <w:bottom w:w="15" w:type="dxa"/>
              <w:right w:w="108" w:type="dxa"/>
            </w:tcMar>
            <w:vAlign w:val="center"/>
          </w:tcPr>
          <w:p w14:paraId="54579F76" w14:textId="04EF7577" w:rsidR="00312EEA" w:rsidRPr="00922BDA" w:rsidRDefault="00312EEA" w:rsidP="00BD36F8">
            <w:pPr>
              <w:spacing w:after="60"/>
              <w:jc w:val="right"/>
              <w:rPr>
                <w:rFonts w:cstheme="majorBidi"/>
                <w:b/>
                <w:bCs/>
                <w:color w:val="000000"/>
                <w:sz w:val="16"/>
                <w:szCs w:val="16"/>
                <w:lang w:val="en-GB"/>
              </w:rPr>
            </w:pPr>
          </w:p>
        </w:tc>
        <w:tc>
          <w:tcPr>
            <w:tcW w:w="244" w:type="pct"/>
            <w:noWrap/>
            <w:tcMar>
              <w:top w:w="15" w:type="dxa"/>
              <w:left w:w="108" w:type="dxa"/>
              <w:bottom w:w="15" w:type="dxa"/>
              <w:right w:w="108" w:type="dxa"/>
            </w:tcMar>
            <w:vAlign w:val="center"/>
          </w:tcPr>
          <w:p w14:paraId="408D46D6" w14:textId="76B371F6" w:rsidR="00312EEA" w:rsidRPr="00922BDA" w:rsidRDefault="00312EEA" w:rsidP="00BD36F8">
            <w:pPr>
              <w:spacing w:after="60"/>
              <w:jc w:val="right"/>
              <w:rPr>
                <w:rFonts w:cstheme="majorBidi"/>
                <w:b/>
                <w:bCs/>
                <w:color w:val="000000"/>
                <w:sz w:val="16"/>
                <w:szCs w:val="16"/>
                <w:lang w:val="en-GB"/>
              </w:rPr>
            </w:pPr>
          </w:p>
        </w:tc>
        <w:tc>
          <w:tcPr>
            <w:tcW w:w="311" w:type="pct"/>
            <w:noWrap/>
            <w:tcMar>
              <w:top w:w="15" w:type="dxa"/>
              <w:left w:w="108" w:type="dxa"/>
              <w:bottom w:w="15" w:type="dxa"/>
              <w:right w:w="108" w:type="dxa"/>
            </w:tcMar>
            <w:vAlign w:val="center"/>
          </w:tcPr>
          <w:p w14:paraId="06E358D6" w14:textId="34831B7C" w:rsidR="00312EEA" w:rsidRPr="00922BDA" w:rsidRDefault="00312EEA" w:rsidP="00BD36F8">
            <w:pPr>
              <w:spacing w:after="60"/>
              <w:jc w:val="right"/>
              <w:rPr>
                <w:rFonts w:cstheme="majorBidi"/>
                <w:b/>
                <w:bCs/>
                <w:color w:val="000000"/>
                <w:sz w:val="16"/>
                <w:szCs w:val="16"/>
                <w:lang w:val="en-GB"/>
              </w:rPr>
            </w:pPr>
          </w:p>
        </w:tc>
        <w:tc>
          <w:tcPr>
            <w:tcW w:w="305" w:type="pct"/>
            <w:noWrap/>
            <w:tcMar>
              <w:top w:w="15" w:type="dxa"/>
              <w:left w:w="108" w:type="dxa"/>
              <w:bottom w:w="15" w:type="dxa"/>
              <w:right w:w="108" w:type="dxa"/>
            </w:tcMar>
            <w:vAlign w:val="center"/>
          </w:tcPr>
          <w:p w14:paraId="5AD3BC18" w14:textId="6F8E6198" w:rsidR="00312EEA" w:rsidRPr="00922BDA" w:rsidRDefault="008D10E9"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110,000</w:t>
            </w:r>
          </w:p>
        </w:tc>
        <w:tc>
          <w:tcPr>
            <w:tcW w:w="271" w:type="pct"/>
            <w:noWrap/>
            <w:tcMar>
              <w:top w:w="15" w:type="dxa"/>
              <w:left w:w="108" w:type="dxa"/>
              <w:bottom w:w="15" w:type="dxa"/>
              <w:right w:w="108" w:type="dxa"/>
            </w:tcMar>
            <w:vAlign w:val="center"/>
          </w:tcPr>
          <w:p w14:paraId="07E3C0F6" w14:textId="72F532B6" w:rsidR="00312EEA" w:rsidRPr="00922BDA" w:rsidRDefault="00312EEA" w:rsidP="00BD36F8">
            <w:pPr>
              <w:spacing w:after="60"/>
              <w:jc w:val="right"/>
              <w:rPr>
                <w:rFonts w:cstheme="majorBidi"/>
                <w:b/>
                <w:bCs/>
                <w:color w:val="000000"/>
                <w:sz w:val="16"/>
                <w:szCs w:val="16"/>
                <w:lang w:val="en-GB"/>
              </w:rPr>
            </w:pPr>
          </w:p>
        </w:tc>
        <w:tc>
          <w:tcPr>
            <w:tcW w:w="305" w:type="pct"/>
            <w:noWrap/>
            <w:tcMar>
              <w:top w:w="15" w:type="dxa"/>
              <w:left w:w="108" w:type="dxa"/>
              <w:bottom w:w="15" w:type="dxa"/>
              <w:right w:w="108" w:type="dxa"/>
            </w:tcMar>
            <w:vAlign w:val="center"/>
          </w:tcPr>
          <w:p w14:paraId="476E417C" w14:textId="2CA8074B" w:rsidR="00312EEA" w:rsidRPr="00922BDA" w:rsidRDefault="008D10E9"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110,000</w:t>
            </w:r>
          </w:p>
        </w:tc>
        <w:tc>
          <w:tcPr>
            <w:tcW w:w="394" w:type="pct"/>
            <w:noWrap/>
            <w:tcMar>
              <w:top w:w="15" w:type="dxa"/>
              <w:left w:w="108" w:type="dxa"/>
              <w:bottom w:w="15" w:type="dxa"/>
              <w:right w:w="108" w:type="dxa"/>
            </w:tcMar>
            <w:vAlign w:val="center"/>
          </w:tcPr>
          <w:p w14:paraId="6BD2FAA6" w14:textId="4BAC4EBB" w:rsidR="00312EEA" w:rsidRPr="00922BDA" w:rsidRDefault="003808AA"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85</w:t>
            </w:r>
            <w:r w:rsidR="00312EEA" w:rsidRPr="00922BDA">
              <w:rPr>
                <w:rFonts w:cstheme="majorBidi"/>
                <w:b/>
                <w:bCs/>
                <w:color w:val="000000"/>
                <w:sz w:val="16"/>
                <w:szCs w:val="16"/>
                <w:lang w:val="en-GB"/>
              </w:rPr>
              <w:t>,000</w:t>
            </w:r>
          </w:p>
        </w:tc>
        <w:tc>
          <w:tcPr>
            <w:tcW w:w="319" w:type="pct"/>
            <w:noWrap/>
            <w:tcMar>
              <w:top w:w="15" w:type="dxa"/>
              <w:left w:w="108" w:type="dxa"/>
              <w:bottom w:w="15" w:type="dxa"/>
              <w:right w:w="108" w:type="dxa"/>
            </w:tcMar>
            <w:vAlign w:val="center"/>
          </w:tcPr>
          <w:p w14:paraId="17E6B2E2" w14:textId="123A14F4" w:rsidR="00312EEA" w:rsidRPr="00922BDA" w:rsidRDefault="00312EEA" w:rsidP="00BD36F8">
            <w:pPr>
              <w:spacing w:after="60"/>
              <w:jc w:val="right"/>
              <w:rPr>
                <w:rFonts w:cstheme="majorBidi"/>
                <w:b/>
                <w:bCs/>
                <w:color w:val="000000"/>
                <w:sz w:val="16"/>
                <w:szCs w:val="16"/>
                <w:lang w:val="en-GB"/>
              </w:rPr>
            </w:pPr>
          </w:p>
        </w:tc>
        <w:tc>
          <w:tcPr>
            <w:tcW w:w="353" w:type="pct"/>
            <w:noWrap/>
            <w:tcMar>
              <w:top w:w="15" w:type="dxa"/>
              <w:left w:w="108" w:type="dxa"/>
              <w:bottom w:w="15" w:type="dxa"/>
              <w:right w:w="108" w:type="dxa"/>
            </w:tcMar>
            <w:vAlign w:val="center"/>
          </w:tcPr>
          <w:p w14:paraId="08695641" w14:textId="1BD3B978" w:rsidR="00312EEA" w:rsidRPr="00922BDA" w:rsidRDefault="003808AA"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85,000</w:t>
            </w:r>
          </w:p>
        </w:tc>
      </w:tr>
      <w:tr w:rsidR="009865DA" w:rsidRPr="00922BDA" w14:paraId="57E28DAD" w14:textId="77777777" w:rsidTr="002A243F">
        <w:trPr>
          <w:trHeight w:val="318"/>
        </w:trPr>
        <w:tc>
          <w:tcPr>
            <w:tcW w:w="5000" w:type="pct"/>
            <w:gridSpan w:val="13"/>
            <w:noWrap/>
            <w:tcMar>
              <w:top w:w="15" w:type="dxa"/>
              <w:left w:w="108" w:type="dxa"/>
              <w:bottom w:w="15" w:type="dxa"/>
              <w:right w:w="108" w:type="dxa"/>
            </w:tcMar>
            <w:vAlign w:val="center"/>
            <w:hideMark/>
          </w:tcPr>
          <w:p w14:paraId="52C7D927" w14:textId="1E712D98" w:rsidR="00312EEA" w:rsidRPr="00922BDA" w:rsidRDefault="00312EEA" w:rsidP="00BD36F8">
            <w:pPr>
              <w:spacing w:after="60"/>
              <w:rPr>
                <w:rFonts w:cstheme="majorBidi"/>
                <w:b/>
                <w:color w:val="000000"/>
                <w:sz w:val="16"/>
                <w:szCs w:val="16"/>
                <w:highlight w:val="yellow"/>
                <w:lang w:val="en-GB"/>
              </w:rPr>
            </w:pPr>
            <w:r w:rsidRPr="00922BDA">
              <w:rPr>
                <w:rStyle w:val="normaltextrun"/>
                <w:rFonts w:cstheme="majorBidi"/>
                <w:b/>
                <w:color w:val="000000"/>
                <w:sz w:val="16"/>
                <w:szCs w:val="16"/>
                <w:shd w:val="clear" w:color="auto" w:fill="FFFFFF"/>
                <w:lang w:val="en-GB"/>
              </w:rPr>
              <w:t xml:space="preserve">6.2 </w:t>
            </w:r>
            <w:r w:rsidR="009117A3" w:rsidRPr="00922BDA">
              <w:rPr>
                <w:rStyle w:val="normaltextrun"/>
                <w:rFonts w:cstheme="majorBidi"/>
                <w:b/>
                <w:color w:val="000000"/>
                <w:sz w:val="16"/>
                <w:szCs w:val="16"/>
                <w:shd w:val="clear" w:color="auto" w:fill="FFFFFF"/>
                <w:lang w:val="en-GB"/>
              </w:rPr>
              <w:t>T</w:t>
            </w:r>
            <w:r w:rsidRPr="00922BDA">
              <w:rPr>
                <w:rStyle w:val="normaltextrun"/>
                <w:rFonts w:cstheme="majorBidi"/>
                <w:b/>
                <w:color w:val="000000"/>
                <w:sz w:val="16"/>
                <w:szCs w:val="16"/>
                <w:shd w:val="clear" w:color="auto" w:fill="FFFFFF"/>
                <w:lang w:val="en-GB"/>
              </w:rPr>
              <w:t>rade, supply and demand report</w:t>
            </w:r>
          </w:p>
        </w:tc>
      </w:tr>
      <w:tr w:rsidR="00FC5B73" w:rsidRPr="00922BDA" w14:paraId="46D7AC83" w14:textId="77777777" w:rsidTr="00FC5B73">
        <w:trPr>
          <w:trHeight w:val="318"/>
        </w:trPr>
        <w:tc>
          <w:tcPr>
            <w:tcW w:w="1321" w:type="pct"/>
            <w:noWrap/>
            <w:tcMar>
              <w:top w:w="15" w:type="dxa"/>
              <w:left w:w="108" w:type="dxa"/>
              <w:bottom w:w="15" w:type="dxa"/>
              <w:right w:w="108" w:type="dxa"/>
            </w:tcMar>
            <w:vAlign w:val="center"/>
            <w:hideMark/>
          </w:tcPr>
          <w:p w14:paraId="2961FDE4" w14:textId="77777777" w:rsidR="00312EEA" w:rsidRPr="00922BDA" w:rsidRDefault="00312EEA" w:rsidP="00BD36F8">
            <w:pPr>
              <w:spacing w:after="60"/>
              <w:jc w:val="left"/>
              <w:rPr>
                <w:rFonts w:cstheme="majorBidi"/>
                <w:color w:val="000000"/>
                <w:sz w:val="16"/>
                <w:szCs w:val="16"/>
                <w:highlight w:val="yellow"/>
                <w:lang w:val="en-GB"/>
              </w:rPr>
            </w:pPr>
            <w:r w:rsidRPr="00922BDA">
              <w:rPr>
                <w:rStyle w:val="normaltextrun"/>
                <w:rFonts w:cstheme="majorBidi"/>
                <w:color w:val="000000"/>
                <w:sz w:val="16"/>
                <w:szCs w:val="16"/>
                <w:shd w:val="clear" w:color="auto" w:fill="FFFFFF"/>
                <w:lang w:val="en-GB"/>
              </w:rPr>
              <w:t>Expert support</w:t>
            </w:r>
          </w:p>
        </w:tc>
        <w:tc>
          <w:tcPr>
            <w:tcW w:w="343" w:type="pct"/>
            <w:noWrap/>
            <w:tcMar>
              <w:top w:w="15" w:type="dxa"/>
              <w:left w:w="108" w:type="dxa"/>
              <w:bottom w:w="15" w:type="dxa"/>
              <w:right w:w="108" w:type="dxa"/>
            </w:tcMar>
            <w:vAlign w:val="center"/>
            <w:hideMark/>
          </w:tcPr>
          <w:p w14:paraId="2F55D7B7" w14:textId="53F9657C" w:rsidR="00312EEA" w:rsidRPr="00922BDA" w:rsidRDefault="00312EEA" w:rsidP="00BD36F8">
            <w:pPr>
              <w:spacing w:after="60"/>
              <w:jc w:val="right"/>
              <w:rPr>
                <w:rFonts w:cstheme="majorBidi"/>
                <w:color w:val="000000"/>
                <w:sz w:val="16"/>
                <w:szCs w:val="16"/>
                <w:lang w:val="en-GB"/>
              </w:rPr>
            </w:pPr>
          </w:p>
        </w:tc>
        <w:tc>
          <w:tcPr>
            <w:tcW w:w="245" w:type="pct"/>
            <w:noWrap/>
            <w:tcMar>
              <w:top w:w="15" w:type="dxa"/>
              <w:left w:w="108" w:type="dxa"/>
              <w:bottom w:w="15" w:type="dxa"/>
              <w:right w:w="108" w:type="dxa"/>
            </w:tcMar>
            <w:vAlign w:val="center"/>
            <w:hideMark/>
          </w:tcPr>
          <w:p w14:paraId="0B4150B0" w14:textId="539A622D" w:rsidR="00312EEA" w:rsidRPr="00922BDA" w:rsidRDefault="00312EEA" w:rsidP="00BD36F8">
            <w:pPr>
              <w:spacing w:after="60"/>
              <w:jc w:val="right"/>
              <w:rPr>
                <w:rFonts w:eastAsia="Times New Roman" w:cstheme="majorBidi"/>
                <w:sz w:val="16"/>
                <w:szCs w:val="16"/>
                <w:lang w:val="en-GB"/>
              </w:rPr>
            </w:pPr>
          </w:p>
        </w:tc>
        <w:tc>
          <w:tcPr>
            <w:tcW w:w="344" w:type="pct"/>
            <w:noWrap/>
            <w:tcMar>
              <w:top w:w="15" w:type="dxa"/>
              <w:left w:w="108" w:type="dxa"/>
              <w:bottom w:w="15" w:type="dxa"/>
              <w:right w:w="108" w:type="dxa"/>
            </w:tcMar>
            <w:vAlign w:val="center"/>
            <w:hideMark/>
          </w:tcPr>
          <w:p w14:paraId="63C1352B" w14:textId="4094EAFD" w:rsidR="00312EEA" w:rsidRPr="00922BDA" w:rsidRDefault="00312EEA" w:rsidP="00BD36F8">
            <w:pPr>
              <w:spacing w:after="60"/>
              <w:jc w:val="right"/>
              <w:rPr>
                <w:rFonts w:eastAsia="Times New Roman" w:cstheme="majorBidi"/>
                <w:sz w:val="16"/>
                <w:szCs w:val="16"/>
                <w:lang w:val="en-GB"/>
              </w:rPr>
            </w:pPr>
          </w:p>
        </w:tc>
        <w:tc>
          <w:tcPr>
            <w:tcW w:w="245" w:type="pct"/>
            <w:noWrap/>
            <w:tcMar>
              <w:top w:w="15" w:type="dxa"/>
              <w:left w:w="108" w:type="dxa"/>
              <w:bottom w:w="15" w:type="dxa"/>
              <w:right w:w="108" w:type="dxa"/>
            </w:tcMar>
            <w:vAlign w:val="center"/>
          </w:tcPr>
          <w:p w14:paraId="0621AC89" w14:textId="0810D4FD" w:rsidR="00312EEA" w:rsidRPr="00922BDA" w:rsidRDefault="00312EEA" w:rsidP="00BD36F8">
            <w:pPr>
              <w:spacing w:after="60"/>
              <w:jc w:val="right"/>
              <w:rPr>
                <w:rFonts w:eastAsia="Times New Roman" w:cstheme="majorBidi"/>
                <w:sz w:val="16"/>
                <w:szCs w:val="16"/>
                <w:lang w:val="en-GB"/>
              </w:rPr>
            </w:pPr>
          </w:p>
        </w:tc>
        <w:tc>
          <w:tcPr>
            <w:tcW w:w="244" w:type="pct"/>
            <w:noWrap/>
            <w:tcMar>
              <w:top w:w="15" w:type="dxa"/>
              <w:left w:w="108" w:type="dxa"/>
              <w:bottom w:w="15" w:type="dxa"/>
              <w:right w:w="108" w:type="dxa"/>
            </w:tcMar>
            <w:vAlign w:val="center"/>
          </w:tcPr>
          <w:p w14:paraId="54E4A530" w14:textId="323B0CC9" w:rsidR="00312EEA" w:rsidRPr="00922BDA" w:rsidRDefault="00312EEA" w:rsidP="00BD36F8">
            <w:pPr>
              <w:spacing w:after="60"/>
              <w:jc w:val="right"/>
              <w:rPr>
                <w:rFonts w:cstheme="majorBidi"/>
                <w:color w:val="000000"/>
                <w:sz w:val="16"/>
                <w:szCs w:val="16"/>
                <w:lang w:val="en-GB"/>
              </w:rPr>
            </w:pPr>
          </w:p>
        </w:tc>
        <w:tc>
          <w:tcPr>
            <w:tcW w:w="311" w:type="pct"/>
            <w:noWrap/>
            <w:tcMar>
              <w:top w:w="15" w:type="dxa"/>
              <w:left w:w="108" w:type="dxa"/>
              <w:bottom w:w="15" w:type="dxa"/>
              <w:right w:w="108" w:type="dxa"/>
            </w:tcMar>
            <w:vAlign w:val="center"/>
          </w:tcPr>
          <w:p w14:paraId="62A1FCB9" w14:textId="4B9052F6" w:rsidR="00312EEA" w:rsidRPr="00922BDA" w:rsidRDefault="00312EEA" w:rsidP="00BD36F8">
            <w:pPr>
              <w:spacing w:after="60"/>
              <w:jc w:val="right"/>
              <w:rPr>
                <w:rFonts w:cstheme="majorBidi"/>
                <w:b/>
                <w:bCs/>
                <w:color w:val="000000"/>
                <w:sz w:val="16"/>
                <w:szCs w:val="16"/>
                <w:lang w:val="en-GB"/>
              </w:rPr>
            </w:pPr>
          </w:p>
        </w:tc>
        <w:tc>
          <w:tcPr>
            <w:tcW w:w="305" w:type="pct"/>
            <w:noWrap/>
            <w:tcMar>
              <w:top w:w="15" w:type="dxa"/>
              <w:left w:w="108" w:type="dxa"/>
              <w:bottom w:w="15" w:type="dxa"/>
              <w:right w:w="108" w:type="dxa"/>
            </w:tcMar>
            <w:vAlign w:val="center"/>
          </w:tcPr>
          <w:p w14:paraId="7B6940B0" w14:textId="1B773904" w:rsidR="00312EEA" w:rsidRPr="00922BDA" w:rsidRDefault="00312EEA" w:rsidP="00BD36F8">
            <w:pPr>
              <w:spacing w:after="60"/>
              <w:jc w:val="right"/>
              <w:rPr>
                <w:rFonts w:cstheme="majorBidi"/>
                <w:color w:val="000000"/>
                <w:sz w:val="16"/>
                <w:szCs w:val="16"/>
                <w:lang w:val="en-GB"/>
              </w:rPr>
            </w:pPr>
          </w:p>
        </w:tc>
        <w:tc>
          <w:tcPr>
            <w:tcW w:w="271" w:type="pct"/>
            <w:noWrap/>
            <w:tcMar>
              <w:top w:w="15" w:type="dxa"/>
              <w:left w:w="108" w:type="dxa"/>
              <w:bottom w:w="15" w:type="dxa"/>
              <w:right w:w="108" w:type="dxa"/>
            </w:tcMar>
            <w:vAlign w:val="center"/>
          </w:tcPr>
          <w:p w14:paraId="0FE386F8" w14:textId="72CE9371" w:rsidR="00312EEA" w:rsidRPr="00922BDA" w:rsidRDefault="00312EEA" w:rsidP="00BD36F8">
            <w:pPr>
              <w:spacing w:after="60"/>
              <w:jc w:val="right"/>
              <w:rPr>
                <w:rFonts w:eastAsia="Times New Roman" w:cstheme="majorBidi"/>
                <w:sz w:val="16"/>
                <w:szCs w:val="16"/>
                <w:lang w:val="en-GB"/>
              </w:rPr>
            </w:pPr>
          </w:p>
        </w:tc>
        <w:tc>
          <w:tcPr>
            <w:tcW w:w="305" w:type="pct"/>
            <w:noWrap/>
            <w:tcMar>
              <w:top w:w="15" w:type="dxa"/>
              <w:left w:w="108" w:type="dxa"/>
              <w:bottom w:w="15" w:type="dxa"/>
              <w:right w:w="108" w:type="dxa"/>
            </w:tcMar>
            <w:vAlign w:val="center"/>
            <w:hideMark/>
          </w:tcPr>
          <w:p w14:paraId="26BD8248" w14:textId="09DF00B1" w:rsidR="00312EEA" w:rsidRPr="00922BDA" w:rsidRDefault="00312EEA" w:rsidP="00BD36F8">
            <w:pPr>
              <w:spacing w:after="60"/>
              <w:jc w:val="right"/>
              <w:rPr>
                <w:rFonts w:eastAsia="Times New Roman" w:cstheme="majorBidi"/>
                <w:sz w:val="16"/>
                <w:szCs w:val="16"/>
                <w:lang w:val="en-GB"/>
              </w:rPr>
            </w:pPr>
          </w:p>
        </w:tc>
        <w:tc>
          <w:tcPr>
            <w:tcW w:w="394" w:type="pct"/>
            <w:noWrap/>
            <w:tcMar>
              <w:top w:w="15" w:type="dxa"/>
              <w:left w:w="108" w:type="dxa"/>
              <w:bottom w:w="15" w:type="dxa"/>
              <w:right w:w="108" w:type="dxa"/>
            </w:tcMar>
            <w:vAlign w:val="center"/>
            <w:hideMark/>
          </w:tcPr>
          <w:p w14:paraId="4F3BC1BF" w14:textId="799944FE" w:rsidR="00312EEA" w:rsidRPr="00922BDA" w:rsidRDefault="00312EEA" w:rsidP="00BD36F8">
            <w:pPr>
              <w:spacing w:after="60"/>
              <w:jc w:val="right"/>
              <w:rPr>
                <w:rFonts w:eastAsia="Times New Roman" w:cstheme="majorBidi"/>
                <w:sz w:val="16"/>
                <w:szCs w:val="16"/>
                <w:highlight w:val="yellow"/>
                <w:lang w:val="en-GB"/>
              </w:rPr>
            </w:pPr>
          </w:p>
        </w:tc>
        <w:tc>
          <w:tcPr>
            <w:tcW w:w="319" w:type="pct"/>
            <w:noWrap/>
            <w:tcMar>
              <w:top w:w="15" w:type="dxa"/>
              <w:left w:w="108" w:type="dxa"/>
              <w:bottom w:w="15" w:type="dxa"/>
              <w:right w:w="108" w:type="dxa"/>
            </w:tcMar>
            <w:vAlign w:val="center"/>
            <w:hideMark/>
          </w:tcPr>
          <w:p w14:paraId="4284A211" w14:textId="1E665157" w:rsidR="00312EEA" w:rsidRPr="00922BDA" w:rsidRDefault="00312EEA" w:rsidP="00BD36F8">
            <w:pPr>
              <w:spacing w:after="60"/>
              <w:jc w:val="right"/>
              <w:rPr>
                <w:rFonts w:eastAsia="Times New Roman" w:cstheme="majorBidi"/>
                <w:sz w:val="16"/>
                <w:szCs w:val="16"/>
                <w:highlight w:val="yellow"/>
                <w:lang w:val="en-GB"/>
              </w:rPr>
            </w:pPr>
          </w:p>
        </w:tc>
        <w:tc>
          <w:tcPr>
            <w:tcW w:w="353" w:type="pct"/>
            <w:noWrap/>
            <w:tcMar>
              <w:top w:w="15" w:type="dxa"/>
              <w:left w:w="108" w:type="dxa"/>
              <w:bottom w:w="15" w:type="dxa"/>
              <w:right w:w="108" w:type="dxa"/>
            </w:tcMar>
            <w:vAlign w:val="center"/>
            <w:hideMark/>
          </w:tcPr>
          <w:p w14:paraId="754A2C4E" w14:textId="219BBB83" w:rsidR="00312EEA" w:rsidRPr="00922BDA" w:rsidRDefault="00312EEA" w:rsidP="00BD36F8">
            <w:pPr>
              <w:spacing w:after="60"/>
              <w:jc w:val="right"/>
              <w:rPr>
                <w:rFonts w:eastAsia="Times New Roman" w:cstheme="majorBidi"/>
                <w:b/>
                <w:bCs/>
                <w:sz w:val="16"/>
                <w:szCs w:val="16"/>
                <w:highlight w:val="yellow"/>
                <w:lang w:val="en-GB"/>
              </w:rPr>
            </w:pPr>
          </w:p>
        </w:tc>
      </w:tr>
      <w:tr w:rsidR="00FC5B73" w:rsidRPr="00922BDA" w14:paraId="1BA6DB35" w14:textId="77777777" w:rsidTr="00FC5B73">
        <w:trPr>
          <w:trHeight w:val="318"/>
        </w:trPr>
        <w:tc>
          <w:tcPr>
            <w:tcW w:w="1321" w:type="pct"/>
            <w:noWrap/>
            <w:tcMar>
              <w:top w:w="15" w:type="dxa"/>
              <w:left w:w="108" w:type="dxa"/>
              <w:bottom w:w="15" w:type="dxa"/>
              <w:right w:w="108" w:type="dxa"/>
            </w:tcMar>
            <w:vAlign w:val="center"/>
            <w:hideMark/>
          </w:tcPr>
          <w:p w14:paraId="4B08FAD8" w14:textId="77777777" w:rsidR="00312EEA" w:rsidRPr="00922BDA" w:rsidRDefault="00312EEA" w:rsidP="00BD36F8">
            <w:pPr>
              <w:spacing w:after="60"/>
              <w:jc w:val="right"/>
              <w:rPr>
                <w:rFonts w:cstheme="majorBidi"/>
                <w:b/>
                <w:bCs/>
                <w:color w:val="000000"/>
                <w:sz w:val="16"/>
                <w:szCs w:val="16"/>
                <w:highlight w:val="yellow"/>
                <w:lang w:val="en-GB"/>
              </w:rPr>
            </w:pPr>
            <w:r w:rsidRPr="00922BDA">
              <w:rPr>
                <w:rFonts w:cstheme="majorBidi"/>
                <w:b/>
                <w:bCs/>
                <w:color w:val="000000"/>
                <w:sz w:val="16"/>
                <w:szCs w:val="16"/>
                <w:lang w:val="en-GB"/>
              </w:rPr>
              <w:t>Component total</w:t>
            </w:r>
          </w:p>
        </w:tc>
        <w:tc>
          <w:tcPr>
            <w:tcW w:w="343" w:type="pct"/>
            <w:noWrap/>
            <w:tcMar>
              <w:top w:w="15" w:type="dxa"/>
              <w:left w:w="108" w:type="dxa"/>
              <w:bottom w:w="15" w:type="dxa"/>
              <w:right w:w="108" w:type="dxa"/>
            </w:tcMar>
            <w:vAlign w:val="center"/>
          </w:tcPr>
          <w:p w14:paraId="328C1639" w14:textId="759AD0B9" w:rsidR="00312EEA" w:rsidRPr="00922BDA" w:rsidRDefault="00312EEA" w:rsidP="00BD36F8">
            <w:pPr>
              <w:spacing w:after="60"/>
              <w:jc w:val="right"/>
              <w:rPr>
                <w:rFonts w:cstheme="majorBidi"/>
                <w:b/>
                <w:bCs/>
                <w:color w:val="000000"/>
                <w:sz w:val="16"/>
                <w:szCs w:val="16"/>
                <w:lang w:val="en-GB"/>
              </w:rPr>
            </w:pPr>
          </w:p>
        </w:tc>
        <w:tc>
          <w:tcPr>
            <w:tcW w:w="245" w:type="pct"/>
            <w:noWrap/>
            <w:tcMar>
              <w:top w:w="15" w:type="dxa"/>
              <w:left w:w="108" w:type="dxa"/>
              <w:bottom w:w="15" w:type="dxa"/>
              <w:right w:w="108" w:type="dxa"/>
            </w:tcMar>
            <w:vAlign w:val="center"/>
          </w:tcPr>
          <w:p w14:paraId="433D55CF" w14:textId="6B58EA54" w:rsidR="00312EEA" w:rsidRPr="00922BDA" w:rsidRDefault="00312EEA" w:rsidP="00BD36F8">
            <w:pPr>
              <w:spacing w:after="60"/>
              <w:jc w:val="right"/>
              <w:rPr>
                <w:rFonts w:eastAsia="Times New Roman" w:cstheme="majorBidi"/>
                <w:b/>
                <w:bCs/>
                <w:sz w:val="16"/>
                <w:szCs w:val="16"/>
                <w:lang w:val="en-GB"/>
              </w:rPr>
            </w:pPr>
          </w:p>
        </w:tc>
        <w:tc>
          <w:tcPr>
            <w:tcW w:w="344" w:type="pct"/>
            <w:noWrap/>
            <w:tcMar>
              <w:top w:w="15" w:type="dxa"/>
              <w:left w:w="108" w:type="dxa"/>
              <w:bottom w:w="15" w:type="dxa"/>
              <w:right w:w="108" w:type="dxa"/>
            </w:tcMar>
            <w:vAlign w:val="center"/>
            <w:hideMark/>
          </w:tcPr>
          <w:p w14:paraId="2311BC85" w14:textId="2BB34E88" w:rsidR="00312EEA" w:rsidRPr="00922BDA" w:rsidRDefault="00312EEA" w:rsidP="00BD36F8">
            <w:pPr>
              <w:spacing w:after="60"/>
              <w:jc w:val="right"/>
              <w:rPr>
                <w:rFonts w:eastAsia="Times New Roman" w:cstheme="majorBidi"/>
                <w:b/>
                <w:bCs/>
                <w:sz w:val="16"/>
                <w:szCs w:val="16"/>
                <w:lang w:val="en-GB"/>
              </w:rPr>
            </w:pPr>
          </w:p>
        </w:tc>
        <w:tc>
          <w:tcPr>
            <w:tcW w:w="245" w:type="pct"/>
            <w:noWrap/>
            <w:tcMar>
              <w:top w:w="15" w:type="dxa"/>
              <w:left w:w="108" w:type="dxa"/>
              <w:bottom w:w="15" w:type="dxa"/>
              <w:right w:w="108" w:type="dxa"/>
            </w:tcMar>
            <w:vAlign w:val="center"/>
          </w:tcPr>
          <w:p w14:paraId="7A79F761" w14:textId="564B33AC" w:rsidR="00312EEA" w:rsidRPr="00922BDA" w:rsidRDefault="00312EEA" w:rsidP="00BD36F8">
            <w:pPr>
              <w:spacing w:after="60"/>
              <w:jc w:val="right"/>
              <w:rPr>
                <w:rFonts w:eastAsia="Times New Roman" w:cstheme="majorBidi"/>
                <w:b/>
                <w:bCs/>
                <w:sz w:val="16"/>
                <w:szCs w:val="16"/>
                <w:lang w:val="en-GB"/>
              </w:rPr>
            </w:pPr>
          </w:p>
        </w:tc>
        <w:tc>
          <w:tcPr>
            <w:tcW w:w="244" w:type="pct"/>
            <w:noWrap/>
            <w:tcMar>
              <w:top w:w="15" w:type="dxa"/>
              <w:left w:w="108" w:type="dxa"/>
              <w:bottom w:w="15" w:type="dxa"/>
              <w:right w:w="108" w:type="dxa"/>
            </w:tcMar>
            <w:vAlign w:val="center"/>
          </w:tcPr>
          <w:p w14:paraId="341445DE" w14:textId="1E0A28C0" w:rsidR="00312EEA" w:rsidRPr="00922BDA" w:rsidRDefault="00312EEA" w:rsidP="00BD36F8">
            <w:pPr>
              <w:spacing w:after="60"/>
              <w:jc w:val="right"/>
              <w:rPr>
                <w:rFonts w:cstheme="majorBidi"/>
                <w:b/>
                <w:bCs/>
                <w:color w:val="000000"/>
                <w:sz w:val="16"/>
                <w:szCs w:val="16"/>
                <w:lang w:val="en-GB"/>
              </w:rPr>
            </w:pPr>
          </w:p>
        </w:tc>
        <w:tc>
          <w:tcPr>
            <w:tcW w:w="311" w:type="pct"/>
            <w:noWrap/>
            <w:tcMar>
              <w:top w:w="15" w:type="dxa"/>
              <w:left w:w="108" w:type="dxa"/>
              <w:bottom w:w="15" w:type="dxa"/>
              <w:right w:w="108" w:type="dxa"/>
            </w:tcMar>
            <w:vAlign w:val="center"/>
          </w:tcPr>
          <w:p w14:paraId="08C9126B" w14:textId="06CA0A5F" w:rsidR="00312EEA" w:rsidRPr="00922BDA" w:rsidRDefault="00312EEA" w:rsidP="00BD36F8">
            <w:pPr>
              <w:spacing w:after="60"/>
              <w:jc w:val="right"/>
              <w:rPr>
                <w:rFonts w:cstheme="majorBidi"/>
                <w:b/>
                <w:bCs/>
                <w:color w:val="000000"/>
                <w:sz w:val="16"/>
                <w:szCs w:val="16"/>
                <w:lang w:val="en-GB"/>
              </w:rPr>
            </w:pPr>
          </w:p>
        </w:tc>
        <w:tc>
          <w:tcPr>
            <w:tcW w:w="305" w:type="pct"/>
            <w:noWrap/>
            <w:tcMar>
              <w:top w:w="15" w:type="dxa"/>
              <w:left w:w="108" w:type="dxa"/>
              <w:bottom w:w="15" w:type="dxa"/>
              <w:right w:w="108" w:type="dxa"/>
            </w:tcMar>
            <w:vAlign w:val="center"/>
          </w:tcPr>
          <w:p w14:paraId="24D45243" w14:textId="5F7080FF" w:rsidR="00312EEA" w:rsidRPr="00922BDA" w:rsidRDefault="00312EEA" w:rsidP="00BD36F8">
            <w:pPr>
              <w:spacing w:after="60"/>
              <w:jc w:val="right"/>
              <w:rPr>
                <w:rFonts w:cstheme="majorBidi"/>
                <w:b/>
                <w:bCs/>
                <w:color w:val="000000"/>
                <w:sz w:val="16"/>
                <w:szCs w:val="16"/>
                <w:lang w:val="en-GB"/>
              </w:rPr>
            </w:pPr>
          </w:p>
        </w:tc>
        <w:tc>
          <w:tcPr>
            <w:tcW w:w="271" w:type="pct"/>
            <w:noWrap/>
            <w:tcMar>
              <w:top w:w="15" w:type="dxa"/>
              <w:left w:w="108" w:type="dxa"/>
              <w:bottom w:w="15" w:type="dxa"/>
              <w:right w:w="108" w:type="dxa"/>
            </w:tcMar>
            <w:vAlign w:val="center"/>
          </w:tcPr>
          <w:p w14:paraId="0064A172" w14:textId="1584E28E" w:rsidR="00312EEA" w:rsidRPr="00922BDA" w:rsidRDefault="00312EEA" w:rsidP="00BD36F8">
            <w:pPr>
              <w:spacing w:after="60"/>
              <w:jc w:val="right"/>
              <w:rPr>
                <w:rFonts w:eastAsia="Times New Roman" w:cstheme="majorBidi"/>
                <w:b/>
                <w:bCs/>
                <w:sz w:val="16"/>
                <w:szCs w:val="16"/>
                <w:lang w:val="en-GB"/>
              </w:rPr>
            </w:pPr>
          </w:p>
        </w:tc>
        <w:tc>
          <w:tcPr>
            <w:tcW w:w="305" w:type="pct"/>
            <w:noWrap/>
            <w:tcMar>
              <w:top w:w="15" w:type="dxa"/>
              <w:left w:w="108" w:type="dxa"/>
              <w:bottom w:w="15" w:type="dxa"/>
              <w:right w:w="108" w:type="dxa"/>
            </w:tcMar>
            <w:vAlign w:val="center"/>
            <w:hideMark/>
          </w:tcPr>
          <w:p w14:paraId="2F92425F" w14:textId="2CDEC0A9" w:rsidR="00312EEA" w:rsidRPr="00922BDA" w:rsidRDefault="00312EEA" w:rsidP="00BD36F8">
            <w:pPr>
              <w:spacing w:after="60"/>
              <w:jc w:val="right"/>
              <w:rPr>
                <w:rFonts w:eastAsia="Times New Roman" w:cstheme="majorBidi"/>
                <w:b/>
                <w:bCs/>
                <w:sz w:val="16"/>
                <w:szCs w:val="16"/>
                <w:lang w:val="en-GB"/>
              </w:rPr>
            </w:pPr>
          </w:p>
        </w:tc>
        <w:tc>
          <w:tcPr>
            <w:tcW w:w="394" w:type="pct"/>
            <w:noWrap/>
            <w:tcMar>
              <w:top w:w="15" w:type="dxa"/>
              <w:left w:w="108" w:type="dxa"/>
              <w:bottom w:w="15" w:type="dxa"/>
              <w:right w:w="108" w:type="dxa"/>
            </w:tcMar>
            <w:vAlign w:val="center"/>
            <w:hideMark/>
          </w:tcPr>
          <w:p w14:paraId="1908F395" w14:textId="79B8B845" w:rsidR="00312EEA" w:rsidRPr="00922BDA" w:rsidRDefault="00312EEA" w:rsidP="00BD36F8">
            <w:pPr>
              <w:spacing w:after="60"/>
              <w:jc w:val="right"/>
              <w:rPr>
                <w:rFonts w:eastAsia="Times New Roman" w:cstheme="majorBidi"/>
                <w:b/>
                <w:bCs/>
                <w:sz w:val="16"/>
                <w:szCs w:val="16"/>
                <w:highlight w:val="yellow"/>
                <w:lang w:val="en-GB"/>
              </w:rPr>
            </w:pPr>
          </w:p>
        </w:tc>
        <w:tc>
          <w:tcPr>
            <w:tcW w:w="319" w:type="pct"/>
            <w:noWrap/>
            <w:tcMar>
              <w:top w:w="15" w:type="dxa"/>
              <w:left w:w="108" w:type="dxa"/>
              <w:bottom w:w="15" w:type="dxa"/>
              <w:right w:w="108" w:type="dxa"/>
            </w:tcMar>
            <w:vAlign w:val="center"/>
            <w:hideMark/>
          </w:tcPr>
          <w:p w14:paraId="07755E6B" w14:textId="07BE2B4D" w:rsidR="00312EEA" w:rsidRPr="00922BDA" w:rsidRDefault="00312EEA" w:rsidP="00BD36F8">
            <w:pPr>
              <w:spacing w:after="60"/>
              <w:jc w:val="right"/>
              <w:rPr>
                <w:rFonts w:eastAsia="Times New Roman" w:cstheme="majorBidi"/>
                <w:b/>
                <w:bCs/>
                <w:sz w:val="16"/>
                <w:szCs w:val="16"/>
                <w:highlight w:val="yellow"/>
                <w:lang w:val="en-GB"/>
              </w:rPr>
            </w:pPr>
          </w:p>
        </w:tc>
        <w:tc>
          <w:tcPr>
            <w:tcW w:w="353" w:type="pct"/>
            <w:noWrap/>
            <w:tcMar>
              <w:top w:w="15" w:type="dxa"/>
              <w:left w:w="108" w:type="dxa"/>
              <w:bottom w:w="15" w:type="dxa"/>
              <w:right w:w="108" w:type="dxa"/>
            </w:tcMar>
            <w:vAlign w:val="center"/>
            <w:hideMark/>
          </w:tcPr>
          <w:p w14:paraId="3CB3E6B1" w14:textId="681A5C41" w:rsidR="00312EEA" w:rsidRPr="00922BDA" w:rsidRDefault="00312EEA" w:rsidP="00BD36F8">
            <w:pPr>
              <w:spacing w:after="60"/>
              <w:jc w:val="right"/>
              <w:rPr>
                <w:rFonts w:eastAsia="Times New Roman" w:cstheme="majorBidi"/>
                <w:b/>
                <w:bCs/>
                <w:sz w:val="16"/>
                <w:szCs w:val="16"/>
                <w:highlight w:val="yellow"/>
                <w:lang w:val="en-GB"/>
              </w:rPr>
            </w:pPr>
          </w:p>
        </w:tc>
      </w:tr>
      <w:tr w:rsidR="009865DA" w:rsidRPr="00922BDA" w14:paraId="092B5B1A" w14:textId="77777777" w:rsidTr="002A243F">
        <w:trPr>
          <w:trHeight w:val="318"/>
        </w:trPr>
        <w:tc>
          <w:tcPr>
            <w:tcW w:w="5000" w:type="pct"/>
            <w:gridSpan w:val="13"/>
            <w:noWrap/>
            <w:tcMar>
              <w:top w:w="15" w:type="dxa"/>
              <w:left w:w="108" w:type="dxa"/>
              <w:bottom w:w="15" w:type="dxa"/>
              <w:right w:w="108" w:type="dxa"/>
            </w:tcMar>
            <w:vAlign w:val="center"/>
            <w:hideMark/>
          </w:tcPr>
          <w:p w14:paraId="6687F769" w14:textId="71AF2D3D" w:rsidR="00CD3C4C" w:rsidRPr="00922BDA" w:rsidRDefault="00CD3C4C" w:rsidP="00BD36F8">
            <w:pPr>
              <w:spacing w:after="60"/>
              <w:rPr>
                <w:rFonts w:cstheme="majorBidi"/>
                <w:b/>
                <w:color w:val="000000"/>
                <w:sz w:val="16"/>
                <w:szCs w:val="16"/>
                <w:highlight w:val="yellow"/>
                <w:lang w:val="en-GB"/>
              </w:rPr>
            </w:pPr>
            <w:r w:rsidRPr="00922BDA">
              <w:rPr>
                <w:rStyle w:val="normaltextrun"/>
                <w:rFonts w:cstheme="majorBidi"/>
                <w:b/>
                <w:color w:val="000000"/>
                <w:sz w:val="16"/>
                <w:szCs w:val="16"/>
                <w:shd w:val="clear" w:color="auto" w:fill="FFFFFF"/>
                <w:lang w:val="en-GB"/>
              </w:rPr>
              <w:t>6.3 Other preparatory work and reports to support the effectiveness evaluation</w:t>
            </w:r>
          </w:p>
        </w:tc>
      </w:tr>
      <w:tr w:rsidR="00FC5B73" w:rsidRPr="00922BDA" w14:paraId="2D346900" w14:textId="77777777" w:rsidTr="00FC5B73">
        <w:trPr>
          <w:trHeight w:val="318"/>
        </w:trPr>
        <w:tc>
          <w:tcPr>
            <w:tcW w:w="1321" w:type="pct"/>
            <w:tcMar>
              <w:top w:w="15" w:type="dxa"/>
              <w:left w:w="108" w:type="dxa"/>
              <w:bottom w:w="15" w:type="dxa"/>
              <w:right w:w="108" w:type="dxa"/>
            </w:tcMar>
            <w:vAlign w:val="center"/>
            <w:hideMark/>
          </w:tcPr>
          <w:p w14:paraId="5F52B3C2" w14:textId="67E0B826" w:rsidR="00CD3C4C" w:rsidRPr="00922BDA" w:rsidRDefault="00CD3C4C" w:rsidP="00BD36F8">
            <w:pPr>
              <w:spacing w:after="60"/>
              <w:jc w:val="left"/>
              <w:rPr>
                <w:rFonts w:cstheme="majorBidi"/>
                <w:color w:val="000000"/>
                <w:sz w:val="16"/>
                <w:szCs w:val="16"/>
                <w:lang w:val="en-GB"/>
              </w:rPr>
            </w:pPr>
            <w:r w:rsidRPr="00922BDA">
              <w:rPr>
                <w:rStyle w:val="normaltextrun"/>
                <w:rFonts w:cstheme="majorBidi"/>
                <w:color w:val="000000"/>
                <w:sz w:val="16"/>
                <w:szCs w:val="16"/>
                <w:shd w:val="clear" w:color="auto" w:fill="FFFFFF"/>
                <w:lang w:val="en-GB"/>
              </w:rPr>
              <w:t>Expert support</w:t>
            </w:r>
          </w:p>
        </w:tc>
        <w:tc>
          <w:tcPr>
            <w:tcW w:w="343" w:type="pct"/>
            <w:noWrap/>
            <w:tcMar>
              <w:top w:w="15" w:type="dxa"/>
              <w:left w:w="108" w:type="dxa"/>
              <w:bottom w:w="15" w:type="dxa"/>
              <w:right w:w="108" w:type="dxa"/>
            </w:tcMar>
            <w:vAlign w:val="center"/>
            <w:hideMark/>
          </w:tcPr>
          <w:p w14:paraId="02C705FA" w14:textId="1E658BDB" w:rsidR="00CD3C4C" w:rsidRPr="00922BDA" w:rsidRDefault="00C05565" w:rsidP="00BD36F8">
            <w:pPr>
              <w:spacing w:after="60"/>
              <w:jc w:val="right"/>
              <w:rPr>
                <w:rFonts w:cstheme="majorBidi"/>
                <w:color w:val="000000"/>
                <w:sz w:val="16"/>
                <w:szCs w:val="16"/>
                <w:lang w:val="en-GB"/>
              </w:rPr>
            </w:pPr>
            <w:r w:rsidRPr="00922BDA">
              <w:rPr>
                <w:rFonts w:eastAsia="Times New Roman" w:cstheme="majorBidi"/>
                <w:sz w:val="16"/>
                <w:szCs w:val="16"/>
                <w:lang w:val="en-GB"/>
              </w:rPr>
              <w:t>30</w:t>
            </w:r>
            <w:r w:rsidR="00CD3C4C" w:rsidRPr="00922BDA">
              <w:rPr>
                <w:rFonts w:eastAsia="Times New Roman" w:cstheme="majorBidi"/>
                <w:sz w:val="16"/>
                <w:szCs w:val="16"/>
                <w:lang w:val="en-GB"/>
              </w:rPr>
              <w:t>,000</w:t>
            </w:r>
          </w:p>
        </w:tc>
        <w:tc>
          <w:tcPr>
            <w:tcW w:w="245" w:type="pct"/>
            <w:noWrap/>
            <w:tcMar>
              <w:top w:w="15" w:type="dxa"/>
              <w:left w:w="108" w:type="dxa"/>
              <w:bottom w:w="15" w:type="dxa"/>
              <w:right w:w="108" w:type="dxa"/>
            </w:tcMar>
            <w:vAlign w:val="center"/>
            <w:hideMark/>
          </w:tcPr>
          <w:p w14:paraId="283CFBE6" w14:textId="1231F477" w:rsidR="00CD3C4C" w:rsidRPr="00922BDA" w:rsidRDefault="00CD3C4C" w:rsidP="00BD36F8">
            <w:pPr>
              <w:spacing w:after="60"/>
              <w:jc w:val="right"/>
              <w:rPr>
                <w:rFonts w:eastAsia="Times New Roman" w:cstheme="majorBidi"/>
                <w:sz w:val="16"/>
                <w:szCs w:val="16"/>
                <w:lang w:val="en-GB"/>
              </w:rPr>
            </w:pPr>
          </w:p>
        </w:tc>
        <w:tc>
          <w:tcPr>
            <w:tcW w:w="344" w:type="pct"/>
            <w:noWrap/>
            <w:tcMar>
              <w:top w:w="15" w:type="dxa"/>
              <w:left w:w="108" w:type="dxa"/>
              <w:bottom w:w="15" w:type="dxa"/>
              <w:right w:w="108" w:type="dxa"/>
            </w:tcMar>
            <w:vAlign w:val="center"/>
            <w:hideMark/>
          </w:tcPr>
          <w:p w14:paraId="46986340" w14:textId="6370C4A3" w:rsidR="00CD3C4C" w:rsidRPr="00922BDA" w:rsidRDefault="00C05565" w:rsidP="00BD36F8">
            <w:pPr>
              <w:spacing w:after="60"/>
              <w:jc w:val="right"/>
              <w:rPr>
                <w:rFonts w:eastAsia="Times New Roman" w:cstheme="majorBidi"/>
                <w:b/>
                <w:bCs/>
                <w:sz w:val="16"/>
                <w:szCs w:val="16"/>
                <w:lang w:val="en-GB"/>
              </w:rPr>
            </w:pPr>
            <w:r w:rsidRPr="00922BDA">
              <w:rPr>
                <w:rFonts w:eastAsia="Times New Roman" w:cstheme="majorBidi"/>
                <w:b/>
                <w:bCs/>
                <w:sz w:val="16"/>
                <w:szCs w:val="16"/>
                <w:lang w:val="en-GB"/>
              </w:rPr>
              <w:t>30</w:t>
            </w:r>
            <w:r w:rsidR="00CD3C4C" w:rsidRPr="00922BDA">
              <w:rPr>
                <w:rFonts w:eastAsia="Times New Roman" w:cstheme="majorBidi"/>
                <w:b/>
                <w:bCs/>
                <w:sz w:val="16"/>
                <w:szCs w:val="16"/>
                <w:lang w:val="en-GB"/>
              </w:rPr>
              <w:t>,000</w:t>
            </w:r>
          </w:p>
        </w:tc>
        <w:tc>
          <w:tcPr>
            <w:tcW w:w="245" w:type="pct"/>
            <w:noWrap/>
            <w:tcMar>
              <w:top w:w="15" w:type="dxa"/>
              <w:left w:w="108" w:type="dxa"/>
              <w:bottom w:w="15" w:type="dxa"/>
              <w:right w:w="108" w:type="dxa"/>
            </w:tcMar>
            <w:vAlign w:val="center"/>
            <w:hideMark/>
          </w:tcPr>
          <w:p w14:paraId="5F245DAC" w14:textId="07C1EC7D" w:rsidR="00CD3C4C" w:rsidRPr="00922BDA" w:rsidRDefault="00CD3C4C" w:rsidP="00BD36F8">
            <w:pPr>
              <w:spacing w:after="60"/>
              <w:jc w:val="right"/>
              <w:rPr>
                <w:rFonts w:eastAsia="Times New Roman" w:cstheme="majorBidi"/>
                <w:sz w:val="16"/>
                <w:szCs w:val="16"/>
                <w:lang w:val="en-GB"/>
              </w:rPr>
            </w:pPr>
          </w:p>
        </w:tc>
        <w:tc>
          <w:tcPr>
            <w:tcW w:w="244" w:type="pct"/>
            <w:noWrap/>
            <w:tcMar>
              <w:top w:w="15" w:type="dxa"/>
              <w:left w:w="108" w:type="dxa"/>
              <w:bottom w:w="15" w:type="dxa"/>
              <w:right w:w="108" w:type="dxa"/>
            </w:tcMar>
            <w:vAlign w:val="center"/>
            <w:hideMark/>
          </w:tcPr>
          <w:p w14:paraId="112A7E02" w14:textId="28781AE0" w:rsidR="00CD3C4C" w:rsidRPr="00922BDA" w:rsidRDefault="00CD3C4C" w:rsidP="00BD36F8">
            <w:pPr>
              <w:spacing w:after="60"/>
              <w:jc w:val="right"/>
              <w:rPr>
                <w:rFonts w:eastAsia="Times New Roman" w:cstheme="majorBidi"/>
                <w:sz w:val="16"/>
                <w:szCs w:val="16"/>
                <w:lang w:val="en-GB"/>
              </w:rPr>
            </w:pPr>
          </w:p>
        </w:tc>
        <w:tc>
          <w:tcPr>
            <w:tcW w:w="311" w:type="pct"/>
            <w:noWrap/>
            <w:tcMar>
              <w:top w:w="15" w:type="dxa"/>
              <w:left w:w="108" w:type="dxa"/>
              <w:bottom w:w="15" w:type="dxa"/>
              <w:right w:w="108" w:type="dxa"/>
            </w:tcMar>
            <w:vAlign w:val="center"/>
            <w:hideMark/>
          </w:tcPr>
          <w:p w14:paraId="2630C322" w14:textId="0606E98D" w:rsidR="00CD3C4C" w:rsidRPr="00922BDA" w:rsidRDefault="00CD3C4C" w:rsidP="00BD36F8">
            <w:pPr>
              <w:spacing w:after="60"/>
              <w:jc w:val="right"/>
              <w:rPr>
                <w:rFonts w:eastAsia="Times New Roman" w:cstheme="majorBidi"/>
                <w:sz w:val="16"/>
                <w:szCs w:val="16"/>
                <w:lang w:val="en-GB"/>
              </w:rPr>
            </w:pPr>
          </w:p>
        </w:tc>
        <w:tc>
          <w:tcPr>
            <w:tcW w:w="305" w:type="pct"/>
            <w:noWrap/>
            <w:tcMar>
              <w:top w:w="15" w:type="dxa"/>
              <w:left w:w="108" w:type="dxa"/>
              <w:bottom w:w="15" w:type="dxa"/>
              <w:right w:w="108" w:type="dxa"/>
            </w:tcMar>
            <w:vAlign w:val="center"/>
            <w:hideMark/>
          </w:tcPr>
          <w:p w14:paraId="37BAAFDE" w14:textId="6082C5C7" w:rsidR="00CD3C4C" w:rsidRPr="00922BDA" w:rsidRDefault="00CD3C4C" w:rsidP="00BD36F8">
            <w:pPr>
              <w:spacing w:after="60"/>
              <w:jc w:val="right"/>
              <w:rPr>
                <w:rFonts w:eastAsia="Times New Roman" w:cstheme="majorBidi"/>
                <w:sz w:val="16"/>
                <w:szCs w:val="16"/>
                <w:highlight w:val="yellow"/>
                <w:lang w:val="en-GB"/>
              </w:rPr>
            </w:pPr>
          </w:p>
        </w:tc>
        <w:tc>
          <w:tcPr>
            <w:tcW w:w="271" w:type="pct"/>
            <w:noWrap/>
            <w:tcMar>
              <w:top w:w="15" w:type="dxa"/>
              <w:left w:w="108" w:type="dxa"/>
              <w:bottom w:w="15" w:type="dxa"/>
              <w:right w:w="108" w:type="dxa"/>
            </w:tcMar>
            <w:vAlign w:val="center"/>
            <w:hideMark/>
          </w:tcPr>
          <w:p w14:paraId="0FF99A30" w14:textId="36F688F5" w:rsidR="00CD3C4C" w:rsidRPr="00922BDA" w:rsidRDefault="00CD3C4C" w:rsidP="00BD36F8">
            <w:pPr>
              <w:spacing w:after="60"/>
              <w:jc w:val="right"/>
              <w:rPr>
                <w:rFonts w:eastAsia="Times New Roman" w:cstheme="majorBidi"/>
                <w:sz w:val="16"/>
                <w:szCs w:val="16"/>
                <w:highlight w:val="yellow"/>
                <w:lang w:val="en-GB"/>
              </w:rPr>
            </w:pPr>
          </w:p>
        </w:tc>
        <w:tc>
          <w:tcPr>
            <w:tcW w:w="305" w:type="pct"/>
            <w:noWrap/>
            <w:tcMar>
              <w:top w:w="15" w:type="dxa"/>
              <w:left w:w="108" w:type="dxa"/>
              <w:bottom w:w="15" w:type="dxa"/>
              <w:right w:w="108" w:type="dxa"/>
            </w:tcMar>
            <w:vAlign w:val="center"/>
            <w:hideMark/>
          </w:tcPr>
          <w:p w14:paraId="759CE24D" w14:textId="2AF0ED28" w:rsidR="00CD3C4C" w:rsidRPr="00922BDA" w:rsidRDefault="00CD3C4C" w:rsidP="00BD36F8">
            <w:pPr>
              <w:spacing w:after="60"/>
              <w:jc w:val="right"/>
              <w:rPr>
                <w:rFonts w:eastAsia="Times New Roman" w:cstheme="majorBidi"/>
                <w:b/>
                <w:bCs/>
                <w:sz w:val="16"/>
                <w:szCs w:val="16"/>
                <w:highlight w:val="yellow"/>
                <w:lang w:val="en-GB"/>
              </w:rPr>
            </w:pPr>
          </w:p>
        </w:tc>
        <w:tc>
          <w:tcPr>
            <w:tcW w:w="394" w:type="pct"/>
            <w:noWrap/>
            <w:tcMar>
              <w:top w:w="15" w:type="dxa"/>
              <w:left w:w="108" w:type="dxa"/>
              <w:bottom w:w="15" w:type="dxa"/>
              <w:right w:w="108" w:type="dxa"/>
            </w:tcMar>
            <w:vAlign w:val="center"/>
            <w:hideMark/>
          </w:tcPr>
          <w:p w14:paraId="1EA28D06" w14:textId="0B4250D9" w:rsidR="00CD3C4C" w:rsidRPr="00922BDA" w:rsidRDefault="00CD3C4C" w:rsidP="00BD36F8">
            <w:pPr>
              <w:spacing w:after="60"/>
              <w:jc w:val="right"/>
              <w:rPr>
                <w:rFonts w:eastAsia="Times New Roman" w:cstheme="majorBidi"/>
                <w:sz w:val="16"/>
                <w:szCs w:val="16"/>
                <w:highlight w:val="yellow"/>
                <w:lang w:val="en-GB"/>
              </w:rPr>
            </w:pPr>
          </w:p>
        </w:tc>
        <w:tc>
          <w:tcPr>
            <w:tcW w:w="319" w:type="pct"/>
            <w:noWrap/>
            <w:tcMar>
              <w:top w:w="15" w:type="dxa"/>
              <w:left w:w="108" w:type="dxa"/>
              <w:bottom w:w="15" w:type="dxa"/>
              <w:right w:w="108" w:type="dxa"/>
            </w:tcMar>
            <w:vAlign w:val="center"/>
            <w:hideMark/>
          </w:tcPr>
          <w:p w14:paraId="5D08EC21" w14:textId="28850301" w:rsidR="00CD3C4C" w:rsidRPr="00922BDA" w:rsidRDefault="00CD3C4C" w:rsidP="00BD36F8">
            <w:pPr>
              <w:spacing w:after="60"/>
              <w:jc w:val="right"/>
              <w:rPr>
                <w:rFonts w:eastAsia="Times New Roman" w:cstheme="majorBidi"/>
                <w:sz w:val="16"/>
                <w:szCs w:val="16"/>
                <w:highlight w:val="yellow"/>
                <w:lang w:val="en-GB"/>
              </w:rPr>
            </w:pPr>
          </w:p>
        </w:tc>
        <w:tc>
          <w:tcPr>
            <w:tcW w:w="353" w:type="pct"/>
            <w:noWrap/>
            <w:tcMar>
              <w:top w:w="15" w:type="dxa"/>
              <w:left w:w="108" w:type="dxa"/>
              <w:bottom w:w="15" w:type="dxa"/>
              <w:right w:w="108" w:type="dxa"/>
            </w:tcMar>
            <w:vAlign w:val="center"/>
            <w:hideMark/>
          </w:tcPr>
          <w:p w14:paraId="3A579CBC" w14:textId="10F912E0" w:rsidR="00CD3C4C" w:rsidRPr="00922BDA" w:rsidRDefault="00CD3C4C" w:rsidP="00BD36F8">
            <w:pPr>
              <w:spacing w:after="60"/>
              <w:jc w:val="right"/>
              <w:rPr>
                <w:rFonts w:eastAsia="Times New Roman" w:cstheme="majorBidi"/>
                <w:sz w:val="16"/>
                <w:szCs w:val="16"/>
                <w:highlight w:val="yellow"/>
                <w:lang w:val="en-GB"/>
              </w:rPr>
            </w:pPr>
          </w:p>
        </w:tc>
      </w:tr>
      <w:tr w:rsidR="00FC5B73" w:rsidRPr="00922BDA" w14:paraId="1EC0B68D" w14:textId="77777777" w:rsidTr="00FC5B73">
        <w:trPr>
          <w:trHeight w:val="318"/>
        </w:trPr>
        <w:tc>
          <w:tcPr>
            <w:tcW w:w="1321" w:type="pct"/>
            <w:noWrap/>
            <w:tcMar>
              <w:top w:w="15" w:type="dxa"/>
              <w:left w:w="108" w:type="dxa"/>
              <w:bottom w:w="15" w:type="dxa"/>
              <w:right w:w="108" w:type="dxa"/>
            </w:tcMar>
            <w:vAlign w:val="center"/>
            <w:hideMark/>
          </w:tcPr>
          <w:p w14:paraId="6DBF1DD2" w14:textId="42D82989" w:rsidR="00CD3C4C" w:rsidRPr="00922BDA" w:rsidRDefault="00CD3C4C" w:rsidP="002A243F">
            <w:pPr>
              <w:spacing w:after="60"/>
              <w:jc w:val="left"/>
              <w:rPr>
                <w:rFonts w:cstheme="majorBidi"/>
                <w:b/>
                <w:bCs/>
                <w:color w:val="000000"/>
                <w:sz w:val="16"/>
                <w:szCs w:val="16"/>
                <w:highlight w:val="yellow"/>
                <w:lang w:val="en-GB"/>
              </w:rPr>
            </w:pPr>
            <w:r w:rsidRPr="00922BDA">
              <w:rPr>
                <w:rStyle w:val="normaltextrun"/>
                <w:sz w:val="16"/>
                <w:szCs w:val="16"/>
                <w:shd w:val="clear" w:color="auto" w:fill="FFFFFF"/>
                <w:lang w:val="en-GB"/>
              </w:rPr>
              <w:t>OESG Reports</w:t>
            </w:r>
          </w:p>
        </w:tc>
        <w:tc>
          <w:tcPr>
            <w:tcW w:w="343" w:type="pct"/>
            <w:noWrap/>
            <w:tcMar>
              <w:top w:w="15" w:type="dxa"/>
              <w:left w:w="108" w:type="dxa"/>
              <w:bottom w:w="15" w:type="dxa"/>
              <w:right w:w="108" w:type="dxa"/>
            </w:tcMar>
            <w:vAlign w:val="center"/>
            <w:hideMark/>
          </w:tcPr>
          <w:p w14:paraId="57E7EB50" w14:textId="6D7FBC64" w:rsidR="00CD3C4C" w:rsidRPr="00922BDA" w:rsidRDefault="00C05565" w:rsidP="00BD36F8">
            <w:pPr>
              <w:spacing w:after="60"/>
              <w:jc w:val="right"/>
              <w:rPr>
                <w:rFonts w:cstheme="majorBidi"/>
                <w:b/>
                <w:bCs/>
                <w:color w:val="000000"/>
                <w:sz w:val="16"/>
                <w:szCs w:val="16"/>
                <w:lang w:val="en-GB"/>
              </w:rPr>
            </w:pPr>
            <w:r w:rsidRPr="00922BDA">
              <w:rPr>
                <w:rFonts w:eastAsia="Times New Roman" w:cstheme="majorBidi"/>
                <w:b/>
                <w:bCs/>
                <w:sz w:val="16"/>
                <w:szCs w:val="16"/>
                <w:lang w:val="en-GB"/>
              </w:rPr>
              <w:t>25</w:t>
            </w:r>
            <w:r w:rsidR="00CD3C4C" w:rsidRPr="00922BDA">
              <w:rPr>
                <w:rFonts w:eastAsia="Times New Roman" w:cstheme="majorBidi"/>
                <w:b/>
                <w:bCs/>
                <w:sz w:val="16"/>
                <w:szCs w:val="16"/>
                <w:lang w:val="en-GB"/>
              </w:rPr>
              <w:t>,000</w:t>
            </w:r>
          </w:p>
        </w:tc>
        <w:tc>
          <w:tcPr>
            <w:tcW w:w="245" w:type="pct"/>
            <w:noWrap/>
            <w:tcMar>
              <w:top w:w="15" w:type="dxa"/>
              <w:left w:w="108" w:type="dxa"/>
              <w:bottom w:w="15" w:type="dxa"/>
              <w:right w:w="108" w:type="dxa"/>
            </w:tcMar>
            <w:vAlign w:val="center"/>
            <w:hideMark/>
          </w:tcPr>
          <w:p w14:paraId="773B36CC" w14:textId="78FE5703" w:rsidR="00CD3C4C" w:rsidRPr="00922BDA" w:rsidRDefault="00CD3C4C" w:rsidP="00BD36F8">
            <w:pPr>
              <w:spacing w:after="60"/>
              <w:jc w:val="right"/>
              <w:rPr>
                <w:rFonts w:eastAsia="Times New Roman" w:cstheme="majorBidi"/>
                <w:b/>
                <w:bCs/>
                <w:sz w:val="16"/>
                <w:szCs w:val="16"/>
                <w:lang w:val="en-GB"/>
              </w:rPr>
            </w:pPr>
          </w:p>
        </w:tc>
        <w:tc>
          <w:tcPr>
            <w:tcW w:w="344" w:type="pct"/>
            <w:noWrap/>
            <w:tcMar>
              <w:top w:w="15" w:type="dxa"/>
              <w:left w:w="108" w:type="dxa"/>
              <w:bottom w:w="15" w:type="dxa"/>
              <w:right w:w="108" w:type="dxa"/>
            </w:tcMar>
            <w:vAlign w:val="center"/>
            <w:hideMark/>
          </w:tcPr>
          <w:p w14:paraId="35B22F0A" w14:textId="3E182E36" w:rsidR="00CD3C4C" w:rsidRPr="00922BDA" w:rsidRDefault="00C05565" w:rsidP="00BD36F8">
            <w:pPr>
              <w:spacing w:after="60"/>
              <w:jc w:val="right"/>
              <w:rPr>
                <w:rFonts w:eastAsia="Times New Roman" w:cstheme="majorBidi"/>
                <w:b/>
                <w:bCs/>
                <w:sz w:val="16"/>
                <w:szCs w:val="16"/>
                <w:lang w:val="en-GB"/>
              </w:rPr>
            </w:pPr>
            <w:r w:rsidRPr="00922BDA">
              <w:rPr>
                <w:rFonts w:eastAsia="Times New Roman" w:cstheme="majorBidi"/>
                <w:b/>
                <w:bCs/>
                <w:sz w:val="16"/>
                <w:szCs w:val="16"/>
                <w:lang w:val="en-GB"/>
              </w:rPr>
              <w:t>25</w:t>
            </w:r>
            <w:r w:rsidR="00CD3C4C" w:rsidRPr="00922BDA">
              <w:rPr>
                <w:rFonts w:eastAsia="Times New Roman" w:cstheme="majorBidi"/>
                <w:b/>
                <w:bCs/>
                <w:sz w:val="16"/>
                <w:szCs w:val="16"/>
                <w:lang w:val="en-GB"/>
              </w:rPr>
              <w:t>,000</w:t>
            </w:r>
          </w:p>
        </w:tc>
        <w:tc>
          <w:tcPr>
            <w:tcW w:w="245" w:type="pct"/>
            <w:noWrap/>
            <w:tcMar>
              <w:top w:w="15" w:type="dxa"/>
              <w:left w:w="108" w:type="dxa"/>
              <w:bottom w:w="15" w:type="dxa"/>
              <w:right w:w="108" w:type="dxa"/>
            </w:tcMar>
            <w:vAlign w:val="center"/>
          </w:tcPr>
          <w:p w14:paraId="0FC36116" w14:textId="66DED918" w:rsidR="00CD3C4C" w:rsidRPr="00922BDA" w:rsidRDefault="00CD3C4C" w:rsidP="00BD36F8">
            <w:pPr>
              <w:spacing w:after="60"/>
              <w:jc w:val="right"/>
              <w:rPr>
                <w:rFonts w:eastAsia="Times New Roman" w:cstheme="majorBidi"/>
                <w:b/>
                <w:bCs/>
                <w:sz w:val="16"/>
                <w:szCs w:val="16"/>
                <w:lang w:val="en-GB"/>
              </w:rPr>
            </w:pPr>
          </w:p>
        </w:tc>
        <w:tc>
          <w:tcPr>
            <w:tcW w:w="244" w:type="pct"/>
            <w:noWrap/>
            <w:tcMar>
              <w:top w:w="15" w:type="dxa"/>
              <w:left w:w="108" w:type="dxa"/>
              <w:bottom w:w="15" w:type="dxa"/>
              <w:right w:w="108" w:type="dxa"/>
            </w:tcMar>
            <w:vAlign w:val="center"/>
          </w:tcPr>
          <w:p w14:paraId="55704349" w14:textId="173F3E13" w:rsidR="00CD3C4C" w:rsidRPr="00922BDA" w:rsidRDefault="00CD3C4C" w:rsidP="00BD36F8">
            <w:pPr>
              <w:spacing w:after="60"/>
              <w:jc w:val="right"/>
              <w:rPr>
                <w:rFonts w:cstheme="majorBidi"/>
                <w:b/>
                <w:bCs/>
                <w:color w:val="000000"/>
                <w:sz w:val="16"/>
                <w:szCs w:val="16"/>
                <w:lang w:val="en-GB"/>
              </w:rPr>
            </w:pPr>
          </w:p>
        </w:tc>
        <w:tc>
          <w:tcPr>
            <w:tcW w:w="311" w:type="pct"/>
            <w:noWrap/>
            <w:tcMar>
              <w:top w:w="15" w:type="dxa"/>
              <w:left w:w="108" w:type="dxa"/>
              <w:bottom w:w="15" w:type="dxa"/>
              <w:right w:w="108" w:type="dxa"/>
            </w:tcMar>
            <w:vAlign w:val="center"/>
          </w:tcPr>
          <w:p w14:paraId="4ED22D7F" w14:textId="22A23CE5" w:rsidR="00CD3C4C" w:rsidRPr="00922BDA" w:rsidRDefault="00CD3C4C" w:rsidP="00BD36F8">
            <w:pPr>
              <w:spacing w:after="60"/>
              <w:jc w:val="right"/>
              <w:rPr>
                <w:rFonts w:cstheme="majorBidi"/>
                <w:b/>
                <w:bCs/>
                <w:color w:val="000000"/>
                <w:sz w:val="16"/>
                <w:szCs w:val="16"/>
                <w:lang w:val="en-GB"/>
              </w:rPr>
            </w:pPr>
          </w:p>
        </w:tc>
        <w:tc>
          <w:tcPr>
            <w:tcW w:w="305" w:type="pct"/>
            <w:noWrap/>
            <w:tcMar>
              <w:top w:w="15" w:type="dxa"/>
              <w:left w:w="108" w:type="dxa"/>
              <w:bottom w:w="15" w:type="dxa"/>
              <w:right w:w="108" w:type="dxa"/>
            </w:tcMar>
            <w:vAlign w:val="center"/>
          </w:tcPr>
          <w:p w14:paraId="70284324" w14:textId="1D55177C" w:rsidR="00CD3C4C" w:rsidRPr="00922BDA" w:rsidRDefault="00CD3C4C" w:rsidP="00BD36F8">
            <w:pPr>
              <w:spacing w:after="60"/>
              <w:jc w:val="right"/>
              <w:rPr>
                <w:rFonts w:cstheme="majorBidi"/>
                <w:b/>
                <w:bCs/>
                <w:color w:val="000000"/>
                <w:sz w:val="16"/>
                <w:szCs w:val="16"/>
                <w:lang w:val="en-GB"/>
              </w:rPr>
            </w:pPr>
          </w:p>
        </w:tc>
        <w:tc>
          <w:tcPr>
            <w:tcW w:w="271" w:type="pct"/>
            <w:noWrap/>
            <w:tcMar>
              <w:top w:w="15" w:type="dxa"/>
              <w:left w:w="108" w:type="dxa"/>
              <w:bottom w:w="15" w:type="dxa"/>
              <w:right w:w="108" w:type="dxa"/>
            </w:tcMar>
            <w:vAlign w:val="center"/>
          </w:tcPr>
          <w:p w14:paraId="53A4AC65" w14:textId="1CEEA583" w:rsidR="00CD3C4C" w:rsidRPr="00922BDA" w:rsidRDefault="00CD3C4C" w:rsidP="00BD36F8">
            <w:pPr>
              <w:spacing w:after="60"/>
              <w:jc w:val="right"/>
              <w:rPr>
                <w:rFonts w:eastAsia="Times New Roman" w:cstheme="majorBidi"/>
                <w:b/>
                <w:bCs/>
                <w:sz w:val="16"/>
                <w:szCs w:val="16"/>
                <w:lang w:val="en-GB"/>
              </w:rPr>
            </w:pPr>
          </w:p>
        </w:tc>
        <w:tc>
          <w:tcPr>
            <w:tcW w:w="305" w:type="pct"/>
            <w:noWrap/>
            <w:tcMar>
              <w:top w:w="15" w:type="dxa"/>
              <w:left w:w="108" w:type="dxa"/>
              <w:bottom w:w="15" w:type="dxa"/>
              <w:right w:w="108" w:type="dxa"/>
            </w:tcMar>
            <w:vAlign w:val="center"/>
          </w:tcPr>
          <w:p w14:paraId="6F768351" w14:textId="0A505D12" w:rsidR="00CD3C4C" w:rsidRPr="00922BDA" w:rsidRDefault="00CD3C4C" w:rsidP="00BD36F8">
            <w:pPr>
              <w:spacing w:after="60"/>
              <w:jc w:val="right"/>
              <w:rPr>
                <w:rFonts w:eastAsia="Times New Roman" w:cstheme="majorBidi"/>
                <w:b/>
                <w:bCs/>
                <w:sz w:val="16"/>
                <w:szCs w:val="16"/>
                <w:lang w:val="en-GB"/>
              </w:rPr>
            </w:pPr>
          </w:p>
        </w:tc>
        <w:tc>
          <w:tcPr>
            <w:tcW w:w="394" w:type="pct"/>
            <w:noWrap/>
            <w:tcMar>
              <w:top w:w="15" w:type="dxa"/>
              <w:left w:w="108" w:type="dxa"/>
              <w:bottom w:w="15" w:type="dxa"/>
              <w:right w:w="108" w:type="dxa"/>
            </w:tcMar>
            <w:vAlign w:val="center"/>
            <w:hideMark/>
          </w:tcPr>
          <w:p w14:paraId="3098B875" w14:textId="208769C9" w:rsidR="00CD3C4C" w:rsidRPr="00922BDA" w:rsidRDefault="00CD3C4C" w:rsidP="00BD36F8">
            <w:pPr>
              <w:spacing w:after="60"/>
              <w:jc w:val="right"/>
              <w:rPr>
                <w:rFonts w:eastAsia="Times New Roman" w:cstheme="majorBidi"/>
                <w:b/>
                <w:bCs/>
                <w:sz w:val="16"/>
                <w:szCs w:val="16"/>
                <w:highlight w:val="yellow"/>
                <w:lang w:val="en-GB"/>
              </w:rPr>
            </w:pPr>
          </w:p>
        </w:tc>
        <w:tc>
          <w:tcPr>
            <w:tcW w:w="319" w:type="pct"/>
            <w:noWrap/>
            <w:tcMar>
              <w:top w:w="15" w:type="dxa"/>
              <w:left w:w="108" w:type="dxa"/>
              <w:bottom w:w="15" w:type="dxa"/>
              <w:right w:w="108" w:type="dxa"/>
            </w:tcMar>
            <w:vAlign w:val="center"/>
            <w:hideMark/>
          </w:tcPr>
          <w:p w14:paraId="6DE9280F" w14:textId="23B87FD3" w:rsidR="00CD3C4C" w:rsidRPr="00922BDA" w:rsidRDefault="00CD3C4C" w:rsidP="00BD36F8">
            <w:pPr>
              <w:spacing w:after="60"/>
              <w:jc w:val="right"/>
              <w:rPr>
                <w:rFonts w:eastAsia="Times New Roman" w:cstheme="majorBidi"/>
                <w:b/>
                <w:bCs/>
                <w:sz w:val="16"/>
                <w:szCs w:val="16"/>
                <w:highlight w:val="yellow"/>
                <w:lang w:val="en-GB"/>
              </w:rPr>
            </w:pPr>
          </w:p>
        </w:tc>
        <w:tc>
          <w:tcPr>
            <w:tcW w:w="353" w:type="pct"/>
            <w:noWrap/>
            <w:tcMar>
              <w:top w:w="15" w:type="dxa"/>
              <w:left w:w="108" w:type="dxa"/>
              <w:bottom w:w="15" w:type="dxa"/>
              <w:right w:w="108" w:type="dxa"/>
            </w:tcMar>
            <w:vAlign w:val="center"/>
            <w:hideMark/>
          </w:tcPr>
          <w:p w14:paraId="24B2B333" w14:textId="5B4749EC" w:rsidR="00CD3C4C" w:rsidRPr="00922BDA" w:rsidRDefault="00CD3C4C" w:rsidP="00BD36F8">
            <w:pPr>
              <w:spacing w:after="60"/>
              <w:jc w:val="right"/>
              <w:rPr>
                <w:rFonts w:eastAsia="Times New Roman" w:cstheme="majorBidi"/>
                <w:b/>
                <w:bCs/>
                <w:sz w:val="16"/>
                <w:szCs w:val="16"/>
                <w:highlight w:val="yellow"/>
                <w:lang w:val="en-GB"/>
              </w:rPr>
            </w:pPr>
          </w:p>
        </w:tc>
      </w:tr>
      <w:tr w:rsidR="00FC5B73" w:rsidRPr="00922BDA" w14:paraId="739C8B88" w14:textId="77777777" w:rsidTr="00FC5B73">
        <w:trPr>
          <w:trHeight w:val="318"/>
        </w:trPr>
        <w:tc>
          <w:tcPr>
            <w:tcW w:w="1321" w:type="pct"/>
            <w:tcMar>
              <w:top w:w="15" w:type="dxa"/>
              <w:left w:w="108" w:type="dxa"/>
              <w:bottom w:w="15" w:type="dxa"/>
              <w:right w:w="108" w:type="dxa"/>
            </w:tcMar>
            <w:vAlign w:val="center"/>
            <w:hideMark/>
          </w:tcPr>
          <w:p w14:paraId="6A163372" w14:textId="6D5C11B9" w:rsidR="00CD3C4C" w:rsidRPr="00922BDA" w:rsidRDefault="00AF21BC" w:rsidP="002A243F">
            <w:pPr>
              <w:spacing w:after="60"/>
              <w:jc w:val="right"/>
              <w:rPr>
                <w:rFonts w:cstheme="majorBidi"/>
                <w:color w:val="000000"/>
                <w:sz w:val="16"/>
                <w:szCs w:val="16"/>
                <w:lang w:val="en-GB"/>
              </w:rPr>
            </w:pPr>
            <w:r w:rsidRPr="00922BDA">
              <w:rPr>
                <w:rFonts w:cstheme="majorBidi"/>
                <w:b/>
                <w:bCs/>
                <w:color w:val="000000"/>
                <w:sz w:val="16"/>
                <w:szCs w:val="16"/>
                <w:lang w:val="en-GB"/>
              </w:rPr>
              <w:t>Component total</w:t>
            </w:r>
          </w:p>
        </w:tc>
        <w:tc>
          <w:tcPr>
            <w:tcW w:w="343" w:type="pct"/>
            <w:noWrap/>
            <w:tcMar>
              <w:top w:w="15" w:type="dxa"/>
              <w:left w:w="108" w:type="dxa"/>
              <w:bottom w:w="15" w:type="dxa"/>
              <w:right w:w="108" w:type="dxa"/>
            </w:tcMar>
            <w:vAlign w:val="center"/>
            <w:hideMark/>
          </w:tcPr>
          <w:p w14:paraId="70C097D1" w14:textId="5FFD7159" w:rsidR="00CD3C4C" w:rsidRPr="00922BDA" w:rsidRDefault="00C05565" w:rsidP="00BD36F8">
            <w:pPr>
              <w:spacing w:after="60"/>
              <w:jc w:val="right"/>
              <w:rPr>
                <w:rFonts w:cstheme="majorBidi"/>
                <w:color w:val="000000"/>
                <w:sz w:val="16"/>
                <w:szCs w:val="16"/>
                <w:lang w:val="en-GB"/>
              </w:rPr>
            </w:pPr>
            <w:r w:rsidRPr="00922BDA">
              <w:rPr>
                <w:rFonts w:cstheme="majorBidi"/>
                <w:b/>
                <w:bCs/>
                <w:color w:val="000000"/>
                <w:sz w:val="16"/>
                <w:szCs w:val="16"/>
                <w:lang w:val="en-GB"/>
              </w:rPr>
              <w:t>55</w:t>
            </w:r>
            <w:r w:rsidR="00CD3C4C" w:rsidRPr="00922BDA">
              <w:rPr>
                <w:rFonts w:cstheme="majorBidi"/>
                <w:b/>
                <w:bCs/>
                <w:color w:val="000000"/>
                <w:sz w:val="16"/>
                <w:szCs w:val="16"/>
                <w:lang w:val="en-GB"/>
              </w:rPr>
              <w:t>,000</w:t>
            </w:r>
          </w:p>
        </w:tc>
        <w:tc>
          <w:tcPr>
            <w:tcW w:w="245" w:type="pct"/>
            <w:noWrap/>
            <w:tcMar>
              <w:top w:w="15" w:type="dxa"/>
              <w:left w:w="108" w:type="dxa"/>
              <w:bottom w:w="15" w:type="dxa"/>
              <w:right w:w="108" w:type="dxa"/>
            </w:tcMar>
            <w:vAlign w:val="center"/>
            <w:hideMark/>
          </w:tcPr>
          <w:p w14:paraId="278D3359" w14:textId="5B0D4B3B" w:rsidR="00CD3C4C" w:rsidRPr="00922BDA" w:rsidRDefault="00CD3C4C" w:rsidP="00BD36F8">
            <w:pPr>
              <w:spacing w:after="60"/>
              <w:jc w:val="right"/>
              <w:rPr>
                <w:rFonts w:eastAsia="Times New Roman" w:cstheme="majorBidi"/>
                <w:sz w:val="16"/>
                <w:szCs w:val="16"/>
                <w:lang w:val="en-GB"/>
              </w:rPr>
            </w:pPr>
          </w:p>
        </w:tc>
        <w:tc>
          <w:tcPr>
            <w:tcW w:w="344" w:type="pct"/>
            <w:noWrap/>
            <w:tcMar>
              <w:top w:w="15" w:type="dxa"/>
              <w:left w:w="108" w:type="dxa"/>
              <w:bottom w:w="15" w:type="dxa"/>
              <w:right w:w="108" w:type="dxa"/>
            </w:tcMar>
            <w:vAlign w:val="center"/>
            <w:hideMark/>
          </w:tcPr>
          <w:p w14:paraId="6EF7B213" w14:textId="0C3CBEF1" w:rsidR="00CD3C4C" w:rsidRPr="00922BDA" w:rsidRDefault="00C05565" w:rsidP="00BD36F8">
            <w:pPr>
              <w:spacing w:after="60"/>
              <w:jc w:val="right"/>
              <w:rPr>
                <w:rFonts w:eastAsia="Times New Roman" w:cstheme="majorBidi"/>
                <w:b/>
                <w:bCs/>
                <w:sz w:val="16"/>
                <w:szCs w:val="16"/>
                <w:lang w:val="en-GB"/>
              </w:rPr>
            </w:pPr>
            <w:r w:rsidRPr="00922BDA">
              <w:rPr>
                <w:rFonts w:cstheme="majorBidi"/>
                <w:b/>
                <w:bCs/>
                <w:color w:val="000000"/>
                <w:sz w:val="16"/>
                <w:szCs w:val="16"/>
                <w:lang w:val="en-GB"/>
              </w:rPr>
              <w:t>55</w:t>
            </w:r>
            <w:r w:rsidR="00CD3C4C" w:rsidRPr="00922BDA">
              <w:rPr>
                <w:rFonts w:cstheme="majorBidi"/>
                <w:b/>
                <w:bCs/>
                <w:color w:val="000000"/>
                <w:sz w:val="16"/>
                <w:szCs w:val="16"/>
                <w:lang w:val="en-GB"/>
              </w:rPr>
              <w:t>,</w:t>
            </w:r>
            <w:r w:rsidRPr="00922BDA">
              <w:rPr>
                <w:rFonts w:cstheme="majorBidi"/>
                <w:b/>
                <w:bCs/>
                <w:color w:val="000000"/>
                <w:sz w:val="16"/>
                <w:szCs w:val="16"/>
                <w:lang w:val="en-GB"/>
              </w:rPr>
              <w:t>000</w:t>
            </w:r>
          </w:p>
        </w:tc>
        <w:tc>
          <w:tcPr>
            <w:tcW w:w="245" w:type="pct"/>
            <w:noWrap/>
            <w:tcMar>
              <w:top w:w="15" w:type="dxa"/>
              <w:left w:w="108" w:type="dxa"/>
              <w:bottom w:w="15" w:type="dxa"/>
              <w:right w:w="108" w:type="dxa"/>
            </w:tcMar>
            <w:vAlign w:val="center"/>
            <w:hideMark/>
          </w:tcPr>
          <w:p w14:paraId="2F776D74" w14:textId="7986B218" w:rsidR="00CD3C4C" w:rsidRPr="00922BDA" w:rsidRDefault="00CD3C4C" w:rsidP="00BD36F8">
            <w:pPr>
              <w:spacing w:after="60"/>
              <w:jc w:val="right"/>
              <w:rPr>
                <w:rFonts w:eastAsia="Times New Roman" w:cstheme="majorBidi"/>
                <w:sz w:val="16"/>
                <w:szCs w:val="16"/>
                <w:lang w:val="en-GB"/>
              </w:rPr>
            </w:pPr>
          </w:p>
        </w:tc>
        <w:tc>
          <w:tcPr>
            <w:tcW w:w="244" w:type="pct"/>
            <w:noWrap/>
            <w:tcMar>
              <w:top w:w="15" w:type="dxa"/>
              <w:left w:w="108" w:type="dxa"/>
              <w:bottom w:w="15" w:type="dxa"/>
              <w:right w:w="108" w:type="dxa"/>
            </w:tcMar>
            <w:vAlign w:val="center"/>
            <w:hideMark/>
          </w:tcPr>
          <w:p w14:paraId="13AEBA02" w14:textId="6098EEC6" w:rsidR="00CD3C4C" w:rsidRPr="00922BDA" w:rsidRDefault="00CD3C4C" w:rsidP="00BD36F8">
            <w:pPr>
              <w:spacing w:after="60"/>
              <w:jc w:val="right"/>
              <w:rPr>
                <w:rFonts w:eastAsia="Times New Roman" w:cstheme="majorBidi"/>
                <w:sz w:val="16"/>
                <w:szCs w:val="16"/>
                <w:lang w:val="en-GB"/>
              </w:rPr>
            </w:pPr>
          </w:p>
        </w:tc>
        <w:tc>
          <w:tcPr>
            <w:tcW w:w="311" w:type="pct"/>
            <w:noWrap/>
            <w:tcMar>
              <w:top w:w="15" w:type="dxa"/>
              <w:left w:w="108" w:type="dxa"/>
              <w:bottom w:w="15" w:type="dxa"/>
              <w:right w:w="108" w:type="dxa"/>
            </w:tcMar>
            <w:vAlign w:val="center"/>
            <w:hideMark/>
          </w:tcPr>
          <w:p w14:paraId="3122A16A" w14:textId="306514CB" w:rsidR="00CD3C4C" w:rsidRPr="00922BDA" w:rsidRDefault="00CD3C4C" w:rsidP="00BD36F8">
            <w:pPr>
              <w:spacing w:after="60"/>
              <w:jc w:val="right"/>
              <w:rPr>
                <w:rFonts w:eastAsia="Times New Roman" w:cstheme="majorBidi"/>
                <w:sz w:val="16"/>
                <w:szCs w:val="16"/>
                <w:lang w:val="en-GB"/>
              </w:rPr>
            </w:pPr>
          </w:p>
        </w:tc>
        <w:tc>
          <w:tcPr>
            <w:tcW w:w="305" w:type="pct"/>
            <w:noWrap/>
            <w:tcMar>
              <w:top w:w="15" w:type="dxa"/>
              <w:left w:w="108" w:type="dxa"/>
              <w:bottom w:w="15" w:type="dxa"/>
              <w:right w:w="108" w:type="dxa"/>
            </w:tcMar>
            <w:vAlign w:val="center"/>
          </w:tcPr>
          <w:p w14:paraId="18972C50" w14:textId="572A42F6" w:rsidR="00CD3C4C" w:rsidRPr="00922BDA" w:rsidRDefault="00CD3C4C" w:rsidP="00BD36F8">
            <w:pPr>
              <w:spacing w:after="60"/>
              <w:jc w:val="right"/>
              <w:rPr>
                <w:rFonts w:eastAsia="Times New Roman" w:cstheme="majorBidi"/>
                <w:sz w:val="16"/>
                <w:szCs w:val="16"/>
                <w:lang w:val="en-GB"/>
              </w:rPr>
            </w:pPr>
          </w:p>
        </w:tc>
        <w:tc>
          <w:tcPr>
            <w:tcW w:w="271" w:type="pct"/>
            <w:noWrap/>
            <w:tcMar>
              <w:top w:w="15" w:type="dxa"/>
              <w:left w:w="108" w:type="dxa"/>
              <w:bottom w:w="15" w:type="dxa"/>
              <w:right w:w="108" w:type="dxa"/>
            </w:tcMar>
            <w:vAlign w:val="center"/>
          </w:tcPr>
          <w:p w14:paraId="7A8BB381" w14:textId="1DFDB76B" w:rsidR="00CD3C4C" w:rsidRPr="00922BDA" w:rsidRDefault="00CD3C4C" w:rsidP="00BD36F8">
            <w:pPr>
              <w:spacing w:after="60"/>
              <w:jc w:val="right"/>
              <w:rPr>
                <w:rFonts w:eastAsia="Times New Roman" w:cstheme="majorBidi"/>
                <w:sz w:val="16"/>
                <w:szCs w:val="16"/>
                <w:lang w:val="en-GB"/>
              </w:rPr>
            </w:pPr>
          </w:p>
        </w:tc>
        <w:tc>
          <w:tcPr>
            <w:tcW w:w="305" w:type="pct"/>
            <w:noWrap/>
            <w:tcMar>
              <w:top w:w="15" w:type="dxa"/>
              <w:left w:w="108" w:type="dxa"/>
              <w:bottom w:w="15" w:type="dxa"/>
              <w:right w:w="108" w:type="dxa"/>
            </w:tcMar>
            <w:vAlign w:val="center"/>
          </w:tcPr>
          <w:p w14:paraId="5C724FC7" w14:textId="3C591596" w:rsidR="00CD3C4C" w:rsidRPr="00922BDA" w:rsidRDefault="00CD3C4C" w:rsidP="00BD36F8">
            <w:pPr>
              <w:spacing w:after="60"/>
              <w:jc w:val="right"/>
              <w:rPr>
                <w:rFonts w:eastAsia="Times New Roman" w:cstheme="majorBidi"/>
                <w:sz w:val="16"/>
                <w:szCs w:val="16"/>
                <w:lang w:val="en-GB"/>
              </w:rPr>
            </w:pPr>
          </w:p>
        </w:tc>
        <w:tc>
          <w:tcPr>
            <w:tcW w:w="394" w:type="pct"/>
            <w:noWrap/>
            <w:tcMar>
              <w:top w:w="15" w:type="dxa"/>
              <w:left w:w="108" w:type="dxa"/>
              <w:bottom w:w="15" w:type="dxa"/>
              <w:right w:w="108" w:type="dxa"/>
            </w:tcMar>
            <w:vAlign w:val="center"/>
          </w:tcPr>
          <w:p w14:paraId="286B5F22" w14:textId="4521A19C" w:rsidR="00CD3C4C" w:rsidRPr="00922BDA" w:rsidRDefault="00CD3C4C" w:rsidP="00BD36F8">
            <w:pPr>
              <w:spacing w:after="60"/>
              <w:jc w:val="right"/>
              <w:rPr>
                <w:rFonts w:eastAsia="Times New Roman" w:cstheme="majorBidi"/>
                <w:sz w:val="16"/>
                <w:szCs w:val="16"/>
                <w:highlight w:val="yellow"/>
                <w:lang w:val="en-GB"/>
              </w:rPr>
            </w:pPr>
          </w:p>
        </w:tc>
        <w:tc>
          <w:tcPr>
            <w:tcW w:w="319" w:type="pct"/>
            <w:noWrap/>
            <w:tcMar>
              <w:top w:w="15" w:type="dxa"/>
              <w:left w:w="108" w:type="dxa"/>
              <w:bottom w:w="15" w:type="dxa"/>
              <w:right w:w="108" w:type="dxa"/>
            </w:tcMar>
            <w:vAlign w:val="center"/>
          </w:tcPr>
          <w:p w14:paraId="3A2D6D06" w14:textId="1E9D8998" w:rsidR="00CD3C4C" w:rsidRPr="00922BDA" w:rsidRDefault="00CD3C4C" w:rsidP="00BD36F8">
            <w:pPr>
              <w:spacing w:after="60"/>
              <w:jc w:val="right"/>
              <w:rPr>
                <w:rFonts w:eastAsia="Times New Roman" w:cstheme="majorBidi"/>
                <w:sz w:val="16"/>
                <w:szCs w:val="16"/>
                <w:highlight w:val="yellow"/>
                <w:lang w:val="en-GB"/>
              </w:rPr>
            </w:pPr>
          </w:p>
        </w:tc>
        <w:tc>
          <w:tcPr>
            <w:tcW w:w="353" w:type="pct"/>
            <w:noWrap/>
            <w:tcMar>
              <w:top w:w="15" w:type="dxa"/>
              <w:left w:w="108" w:type="dxa"/>
              <w:bottom w:w="15" w:type="dxa"/>
              <w:right w:w="108" w:type="dxa"/>
            </w:tcMar>
            <w:vAlign w:val="center"/>
          </w:tcPr>
          <w:p w14:paraId="7BBC5891" w14:textId="5985E870" w:rsidR="00CD3C4C" w:rsidRPr="00922BDA" w:rsidRDefault="00CD3C4C" w:rsidP="00BD36F8">
            <w:pPr>
              <w:spacing w:after="60"/>
              <w:ind w:right="90"/>
              <w:jc w:val="right"/>
              <w:rPr>
                <w:rFonts w:eastAsia="Times New Roman" w:cstheme="majorBidi"/>
                <w:b/>
                <w:bCs/>
                <w:sz w:val="16"/>
                <w:szCs w:val="16"/>
                <w:highlight w:val="yellow"/>
                <w:lang w:val="en-GB"/>
              </w:rPr>
            </w:pPr>
          </w:p>
        </w:tc>
      </w:tr>
      <w:tr w:rsidR="00FC5B73" w:rsidRPr="00922BDA" w14:paraId="57A55EF4" w14:textId="77777777" w:rsidTr="00FC5B73">
        <w:trPr>
          <w:trHeight w:val="318"/>
        </w:trPr>
        <w:tc>
          <w:tcPr>
            <w:tcW w:w="1321" w:type="pct"/>
            <w:noWrap/>
            <w:tcMar>
              <w:top w:w="15" w:type="dxa"/>
              <w:left w:w="108" w:type="dxa"/>
              <w:bottom w:w="15" w:type="dxa"/>
              <w:right w:w="108" w:type="dxa"/>
            </w:tcMar>
            <w:vAlign w:val="center"/>
          </w:tcPr>
          <w:p w14:paraId="492C9E1D" w14:textId="0008A162" w:rsidR="00CD3C4C" w:rsidRPr="00922BDA" w:rsidRDefault="00AF21BC" w:rsidP="004D124F">
            <w:pPr>
              <w:spacing w:after="60"/>
              <w:jc w:val="left"/>
              <w:rPr>
                <w:rStyle w:val="normaltextrun"/>
                <w:sz w:val="16"/>
                <w:szCs w:val="16"/>
                <w:shd w:val="clear" w:color="auto" w:fill="FFFFFF"/>
                <w:lang w:val="en-GB"/>
              </w:rPr>
            </w:pPr>
            <w:r w:rsidRPr="00922BDA">
              <w:rPr>
                <w:rFonts w:cstheme="majorBidi"/>
                <w:b/>
                <w:bCs/>
                <w:color w:val="000000"/>
                <w:sz w:val="16"/>
                <w:szCs w:val="16"/>
                <w:lang w:val="en-GB"/>
              </w:rPr>
              <w:t>Grand Total</w:t>
            </w:r>
          </w:p>
        </w:tc>
        <w:tc>
          <w:tcPr>
            <w:tcW w:w="343" w:type="pct"/>
            <w:noWrap/>
            <w:tcMar>
              <w:top w:w="15" w:type="dxa"/>
              <w:left w:w="108" w:type="dxa"/>
              <w:bottom w:w="15" w:type="dxa"/>
              <w:right w:w="108" w:type="dxa"/>
            </w:tcMar>
            <w:vAlign w:val="center"/>
          </w:tcPr>
          <w:p w14:paraId="4FBAA02B" w14:textId="07EE7195" w:rsidR="00CD3C4C" w:rsidRPr="00922BDA" w:rsidRDefault="009E6ACC" w:rsidP="00BD36F8">
            <w:pPr>
              <w:spacing w:after="60"/>
              <w:jc w:val="right"/>
              <w:rPr>
                <w:rFonts w:eastAsia="Times New Roman" w:cstheme="majorBidi"/>
                <w:b/>
                <w:bCs/>
                <w:sz w:val="16"/>
                <w:szCs w:val="16"/>
                <w:lang w:val="en-GB"/>
              </w:rPr>
            </w:pPr>
            <w:r w:rsidRPr="00922BDA">
              <w:rPr>
                <w:rFonts w:eastAsia="Times New Roman" w:cstheme="majorBidi"/>
                <w:b/>
                <w:bCs/>
                <w:sz w:val="16"/>
                <w:szCs w:val="16"/>
                <w:lang w:val="en-GB"/>
              </w:rPr>
              <w:t>250,000</w:t>
            </w:r>
          </w:p>
        </w:tc>
        <w:tc>
          <w:tcPr>
            <w:tcW w:w="245" w:type="pct"/>
            <w:noWrap/>
            <w:tcMar>
              <w:top w:w="15" w:type="dxa"/>
              <w:left w:w="108" w:type="dxa"/>
              <w:bottom w:w="15" w:type="dxa"/>
              <w:right w:w="108" w:type="dxa"/>
            </w:tcMar>
            <w:vAlign w:val="center"/>
          </w:tcPr>
          <w:p w14:paraId="459F5F19" w14:textId="77777777" w:rsidR="00CD3C4C" w:rsidRPr="00922BDA" w:rsidRDefault="00CD3C4C" w:rsidP="00BD36F8">
            <w:pPr>
              <w:spacing w:after="60"/>
              <w:jc w:val="right"/>
              <w:rPr>
                <w:rFonts w:eastAsia="Times New Roman" w:cstheme="majorBidi"/>
                <w:b/>
                <w:bCs/>
                <w:sz w:val="16"/>
                <w:szCs w:val="16"/>
                <w:lang w:val="en-GB"/>
              </w:rPr>
            </w:pPr>
          </w:p>
        </w:tc>
        <w:tc>
          <w:tcPr>
            <w:tcW w:w="344" w:type="pct"/>
            <w:noWrap/>
            <w:tcMar>
              <w:top w:w="15" w:type="dxa"/>
              <w:left w:w="108" w:type="dxa"/>
              <w:bottom w:w="15" w:type="dxa"/>
              <w:right w:w="108" w:type="dxa"/>
            </w:tcMar>
            <w:vAlign w:val="center"/>
          </w:tcPr>
          <w:p w14:paraId="0E1014E2" w14:textId="312FC1BE" w:rsidR="00CD3C4C" w:rsidRPr="00922BDA" w:rsidRDefault="009E6ACC" w:rsidP="00BD36F8">
            <w:pPr>
              <w:spacing w:after="60"/>
              <w:jc w:val="right"/>
              <w:rPr>
                <w:rFonts w:eastAsia="Times New Roman" w:cstheme="majorBidi"/>
                <w:b/>
                <w:bCs/>
                <w:sz w:val="16"/>
                <w:szCs w:val="16"/>
                <w:lang w:val="en-GB"/>
              </w:rPr>
            </w:pPr>
            <w:r w:rsidRPr="00922BDA">
              <w:rPr>
                <w:rFonts w:eastAsia="Times New Roman" w:cstheme="majorBidi"/>
                <w:b/>
                <w:bCs/>
                <w:sz w:val="16"/>
                <w:szCs w:val="16"/>
                <w:lang w:val="en-GB"/>
              </w:rPr>
              <w:t>250,000</w:t>
            </w:r>
          </w:p>
        </w:tc>
        <w:tc>
          <w:tcPr>
            <w:tcW w:w="245" w:type="pct"/>
            <w:noWrap/>
            <w:tcMar>
              <w:top w:w="15" w:type="dxa"/>
              <w:left w:w="108" w:type="dxa"/>
              <w:bottom w:w="15" w:type="dxa"/>
              <w:right w:w="108" w:type="dxa"/>
            </w:tcMar>
            <w:vAlign w:val="center"/>
          </w:tcPr>
          <w:p w14:paraId="19FDCA91" w14:textId="77777777" w:rsidR="00CD3C4C" w:rsidRPr="00922BDA" w:rsidRDefault="00CD3C4C" w:rsidP="00BD36F8">
            <w:pPr>
              <w:spacing w:after="60"/>
              <w:jc w:val="right"/>
              <w:rPr>
                <w:rFonts w:eastAsia="Times New Roman" w:cstheme="majorBidi"/>
                <w:b/>
                <w:bCs/>
                <w:sz w:val="16"/>
                <w:szCs w:val="16"/>
                <w:lang w:val="en-GB"/>
              </w:rPr>
            </w:pPr>
          </w:p>
        </w:tc>
        <w:tc>
          <w:tcPr>
            <w:tcW w:w="244" w:type="pct"/>
            <w:noWrap/>
            <w:tcMar>
              <w:top w:w="15" w:type="dxa"/>
              <w:left w:w="108" w:type="dxa"/>
              <w:bottom w:w="15" w:type="dxa"/>
              <w:right w:w="108" w:type="dxa"/>
            </w:tcMar>
            <w:vAlign w:val="center"/>
          </w:tcPr>
          <w:p w14:paraId="3850D373" w14:textId="77777777" w:rsidR="00CD3C4C" w:rsidRPr="00922BDA" w:rsidRDefault="00CD3C4C" w:rsidP="00BD36F8">
            <w:pPr>
              <w:spacing w:after="60"/>
              <w:jc w:val="right"/>
              <w:rPr>
                <w:rFonts w:cstheme="majorBidi"/>
                <w:b/>
                <w:bCs/>
                <w:color w:val="000000"/>
                <w:sz w:val="16"/>
                <w:szCs w:val="16"/>
                <w:lang w:val="en-GB"/>
              </w:rPr>
            </w:pPr>
          </w:p>
        </w:tc>
        <w:tc>
          <w:tcPr>
            <w:tcW w:w="311" w:type="pct"/>
            <w:noWrap/>
            <w:tcMar>
              <w:top w:w="15" w:type="dxa"/>
              <w:left w:w="108" w:type="dxa"/>
              <w:bottom w:w="15" w:type="dxa"/>
              <w:right w:w="108" w:type="dxa"/>
            </w:tcMar>
            <w:vAlign w:val="center"/>
          </w:tcPr>
          <w:p w14:paraId="0FCCB427" w14:textId="77777777" w:rsidR="00CD3C4C" w:rsidRPr="00922BDA" w:rsidRDefault="00CD3C4C" w:rsidP="00BD36F8">
            <w:pPr>
              <w:spacing w:after="60"/>
              <w:jc w:val="right"/>
              <w:rPr>
                <w:rFonts w:cstheme="majorBidi"/>
                <w:b/>
                <w:bCs/>
                <w:color w:val="000000"/>
                <w:sz w:val="16"/>
                <w:szCs w:val="16"/>
                <w:lang w:val="en-GB"/>
              </w:rPr>
            </w:pPr>
          </w:p>
        </w:tc>
        <w:tc>
          <w:tcPr>
            <w:tcW w:w="305" w:type="pct"/>
            <w:noWrap/>
            <w:tcMar>
              <w:top w:w="15" w:type="dxa"/>
              <w:left w:w="108" w:type="dxa"/>
              <w:bottom w:w="15" w:type="dxa"/>
              <w:right w:w="108" w:type="dxa"/>
            </w:tcMar>
            <w:vAlign w:val="center"/>
          </w:tcPr>
          <w:p w14:paraId="3B27F9AF" w14:textId="04545A17" w:rsidR="00CD3C4C" w:rsidRPr="00922BDA" w:rsidRDefault="00B05A98" w:rsidP="00BD36F8">
            <w:pPr>
              <w:spacing w:after="60"/>
              <w:jc w:val="right"/>
              <w:rPr>
                <w:rFonts w:cstheme="majorBidi"/>
                <w:b/>
                <w:bCs/>
                <w:color w:val="000000"/>
                <w:sz w:val="16"/>
                <w:szCs w:val="16"/>
                <w:lang w:val="en-GB"/>
              </w:rPr>
            </w:pPr>
            <w:r w:rsidRPr="00922BDA">
              <w:rPr>
                <w:rFonts w:cstheme="majorBidi"/>
                <w:b/>
                <w:bCs/>
                <w:color w:val="000000"/>
                <w:sz w:val="16"/>
                <w:szCs w:val="16"/>
                <w:lang w:val="en-GB"/>
              </w:rPr>
              <w:t>110,000</w:t>
            </w:r>
          </w:p>
        </w:tc>
        <w:tc>
          <w:tcPr>
            <w:tcW w:w="271" w:type="pct"/>
            <w:noWrap/>
            <w:tcMar>
              <w:top w:w="15" w:type="dxa"/>
              <w:left w:w="108" w:type="dxa"/>
              <w:bottom w:w="15" w:type="dxa"/>
              <w:right w:w="108" w:type="dxa"/>
            </w:tcMar>
            <w:vAlign w:val="center"/>
          </w:tcPr>
          <w:p w14:paraId="07A28D4A" w14:textId="77777777" w:rsidR="00CD3C4C" w:rsidRPr="00922BDA" w:rsidRDefault="00CD3C4C" w:rsidP="00BD36F8">
            <w:pPr>
              <w:spacing w:after="60"/>
              <w:jc w:val="right"/>
              <w:rPr>
                <w:rFonts w:eastAsia="Times New Roman" w:cstheme="majorBidi"/>
                <w:b/>
                <w:bCs/>
                <w:sz w:val="16"/>
                <w:szCs w:val="16"/>
                <w:lang w:val="en-GB"/>
              </w:rPr>
            </w:pPr>
          </w:p>
        </w:tc>
        <w:tc>
          <w:tcPr>
            <w:tcW w:w="305" w:type="pct"/>
            <w:noWrap/>
            <w:tcMar>
              <w:top w:w="15" w:type="dxa"/>
              <w:left w:w="108" w:type="dxa"/>
              <w:bottom w:w="15" w:type="dxa"/>
              <w:right w:w="108" w:type="dxa"/>
            </w:tcMar>
            <w:vAlign w:val="center"/>
          </w:tcPr>
          <w:p w14:paraId="0212F3C7" w14:textId="673822B7" w:rsidR="00CD3C4C" w:rsidRPr="00922BDA" w:rsidRDefault="00B05A98" w:rsidP="00BD36F8">
            <w:pPr>
              <w:spacing w:after="60"/>
              <w:jc w:val="right"/>
              <w:rPr>
                <w:rFonts w:eastAsia="Times New Roman" w:cstheme="majorBidi"/>
                <w:b/>
                <w:bCs/>
                <w:sz w:val="16"/>
                <w:szCs w:val="16"/>
                <w:lang w:val="en-GB"/>
              </w:rPr>
            </w:pPr>
            <w:r w:rsidRPr="00922BDA">
              <w:rPr>
                <w:rFonts w:eastAsia="Times New Roman" w:cstheme="majorBidi"/>
                <w:b/>
                <w:bCs/>
                <w:sz w:val="16"/>
                <w:szCs w:val="16"/>
                <w:lang w:val="en-GB"/>
              </w:rPr>
              <w:t>110,000</w:t>
            </w:r>
          </w:p>
        </w:tc>
        <w:tc>
          <w:tcPr>
            <w:tcW w:w="394" w:type="pct"/>
            <w:noWrap/>
            <w:tcMar>
              <w:top w:w="15" w:type="dxa"/>
              <w:left w:w="108" w:type="dxa"/>
              <w:bottom w:w="15" w:type="dxa"/>
              <w:right w:w="108" w:type="dxa"/>
            </w:tcMar>
            <w:vAlign w:val="center"/>
          </w:tcPr>
          <w:p w14:paraId="2C1ECCFF" w14:textId="7BFBFD94" w:rsidR="00CD3C4C" w:rsidRPr="00922BDA" w:rsidRDefault="00FC5B73" w:rsidP="002A243F">
            <w:pPr>
              <w:spacing w:after="60"/>
              <w:jc w:val="right"/>
              <w:rPr>
                <w:rFonts w:eastAsia="Times New Roman" w:cstheme="majorBidi"/>
                <w:b/>
                <w:bCs/>
                <w:sz w:val="16"/>
                <w:szCs w:val="16"/>
                <w:lang w:val="en-GB"/>
              </w:rPr>
            </w:pPr>
            <w:r w:rsidRPr="00922BDA">
              <w:rPr>
                <w:rFonts w:eastAsia="Times New Roman" w:cstheme="majorBidi"/>
                <w:b/>
                <w:bCs/>
                <w:sz w:val="16"/>
                <w:szCs w:val="16"/>
                <w:lang w:val="en-GB"/>
              </w:rPr>
              <w:t>85,000</w:t>
            </w:r>
          </w:p>
        </w:tc>
        <w:tc>
          <w:tcPr>
            <w:tcW w:w="319" w:type="pct"/>
            <w:noWrap/>
            <w:tcMar>
              <w:top w:w="15" w:type="dxa"/>
              <w:left w:w="108" w:type="dxa"/>
              <w:bottom w:w="15" w:type="dxa"/>
              <w:right w:w="108" w:type="dxa"/>
            </w:tcMar>
            <w:vAlign w:val="center"/>
          </w:tcPr>
          <w:p w14:paraId="34AB12DB" w14:textId="77777777" w:rsidR="00CD3C4C" w:rsidRPr="00922BDA" w:rsidRDefault="00CD3C4C" w:rsidP="00BD36F8">
            <w:pPr>
              <w:spacing w:after="60"/>
              <w:jc w:val="right"/>
              <w:rPr>
                <w:rFonts w:eastAsia="Times New Roman" w:cstheme="majorBidi"/>
                <w:b/>
                <w:bCs/>
                <w:sz w:val="16"/>
                <w:szCs w:val="16"/>
                <w:highlight w:val="yellow"/>
                <w:lang w:val="en-GB"/>
              </w:rPr>
            </w:pPr>
          </w:p>
        </w:tc>
        <w:tc>
          <w:tcPr>
            <w:tcW w:w="353" w:type="pct"/>
            <w:noWrap/>
            <w:tcMar>
              <w:top w:w="15" w:type="dxa"/>
              <w:left w:w="108" w:type="dxa"/>
              <w:bottom w:w="15" w:type="dxa"/>
              <w:right w:w="108" w:type="dxa"/>
            </w:tcMar>
            <w:vAlign w:val="center"/>
          </w:tcPr>
          <w:p w14:paraId="21FF193A" w14:textId="23B4BED2" w:rsidR="00CD3C4C" w:rsidRPr="00922BDA" w:rsidRDefault="00FC5B73" w:rsidP="00BD36F8">
            <w:pPr>
              <w:spacing w:after="60"/>
              <w:jc w:val="right"/>
              <w:rPr>
                <w:rFonts w:eastAsia="Times New Roman" w:cstheme="majorBidi"/>
                <w:b/>
                <w:bCs/>
                <w:sz w:val="16"/>
                <w:szCs w:val="16"/>
                <w:lang w:val="en-GB"/>
              </w:rPr>
            </w:pPr>
            <w:r w:rsidRPr="00922BDA">
              <w:rPr>
                <w:rFonts w:eastAsia="Times New Roman" w:cstheme="majorBidi"/>
                <w:b/>
                <w:bCs/>
                <w:sz w:val="16"/>
                <w:szCs w:val="16"/>
                <w:lang w:val="en-GB"/>
              </w:rPr>
              <w:t>85,000</w:t>
            </w:r>
          </w:p>
        </w:tc>
      </w:tr>
    </w:tbl>
    <w:p w14:paraId="3F57CC55" w14:textId="064048F7" w:rsidR="00660ADB" w:rsidRPr="00845FB7" w:rsidRDefault="00660ADB" w:rsidP="00660ADB">
      <w:pPr>
        <w:rPr>
          <w:lang w:val="en-GB"/>
        </w:rPr>
      </w:pPr>
    </w:p>
    <w:p w14:paraId="7C7619F7" w14:textId="77777777" w:rsidR="00A41ED6" w:rsidRPr="00845FB7" w:rsidRDefault="00A41ED6" w:rsidP="00660ADB">
      <w:pPr>
        <w:rPr>
          <w:lang w:val="en-GB"/>
        </w:rPr>
        <w:sectPr w:rsidR="00A41ED6" w:rsidRPr="00845FB7" w:rsidSect="00BD36F8">
          <w:headerReference w:type="first" r:id="rId48"/>
          <w:footerReference w:type="first" r:id="rId49"/>
          <w:pgSz w:w="16838" w:h="11906" w:orient="landscape" w:code="9"/>
          <w:pgMar w:top="907" w:right="992" w:bottom="1418" w:left="1418" w:header="539" w:footer="975" w:gutter="0"/>
          <w:cols w:space="708"/>
          <w:titlePg/>
          <w:docGrid w:linePitch="360"/>
        </w:sectPr>
      </w:pPr>
    </w:p>
    <w:p w14:paraId="05FB9D23" w14:textId="2527570D" w:rsidR="00C60085" w:rsidRPr="00845FB7" w:rsidRDefault="00C60085" w:rsidP="00C60085">
      <w:pPr>
        <w:pStyle w:val="Heading3"/>
        <w:rPr>
          <w:bCs/>
          <w:sz w:val="24"/>
          <w:lang w:val="en-GB"/>
        </w:rPr>
      </w:pPr>
      <w:r w:rsidRPr="00845FB7">
        <w:rPr>
          <w:sz w:val="24"/>
          <w:lang w:val="en-GB"/>
        </w:rPr>
        <w:lastRenderedPageBreak/>
        <w:t>Overview of resources</w:t>
      </w:r>
    </w:p>
    <w:tbl>
      <w:tblPr>
        <w:tblStyle w:val="TableGridLight"/>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843"/>
        <w:gridCol w:w="1701"/>
        <w:gridCol w:w="1701"/>
      </w:tblGrid>
      <w:tr w:rsidR="00C60085" w:rsidRPr="00845FB7" w14:paraId="2F531138" w14:textId="77777777" w:rsidTr="00BD36F8">
        <w:trPr>
          <w:trHeight w:val="600"/>
        </w:trPr>
        <w:tc>
          <w:tcPr>
            <w:tcW w:w="4531" w:type="dxa"/>
            <w:noWrap/>
            <w:vAlign w:val="center"/>
            <w:hideMark/>
          </w:tcPr>
          <w:p w14:paraId="20C8077B" w14:textId="77777777" w:rsidR="00C60085" w:rsidRPr="00845FB7" w:rsidRDefault="00C60085" w:rsidP="00CD11AC">
            <w:pPr>
              <w:rPr>
                <w:rFonts w:cstheme="majorBidi"/>
                <w:b/>
                <w:bCs/>
                <w:sz w:val="18"/>
                <w:szCs w:val="18"/>
                <w:lang w:val="en-GB"/>
              </w:rPr>
            </w:pPr>
            <w:r w:rsidRPr="00845FB7">
              <w:rPr>
                <w:rFonts w:cstheme="majorBidi"/>
                <w:b/>
                <w:bCs/>
                <w:sz w:val="18"/>
                <w:szCs w:val="18"/>
                <w:lang w:val="en-GB"/>
              </w:rPr>
              <w:t>Budget</w:t>
            </w:r>
          </w:p>
        </w:tc>
        <w:tc>
          <w:tcPr>
            <w:tcW w:w="1843" w:type="dxa"/>
            <w:vAlign w:val="center"/>
            <w:hideMark/>
          </w:tcPr>
          <w:p w14:paraId="34D3C344" w14:textId="67D086F9" w:rsidR="00C60085" w:rsidRPr="00845FB7" w:rsidRDefault="00C60085" w:rsidP="00CD11AC">
            <w:pPr>
              <w:jc w:val="center"/>
              <w:rPr>
                <w:rFonts w:cstheme="majorBidi"/>
                <w:b/>
                <w:bCs/>
                <w:sz w:val="18"/>
                <w:szCs w:val="18"/>
                <w:lang w:val="en-GB"/>
              </w:rPr>
            </w:pPr>
            <w:r w:rsidRPr="00845FB7">
              <w:rPr>
                <w:rFonts w:cstheme="majorBidi"/>
                <w:b/>
                <w:bCs/>
                <w:sz w:val="18"/>
                <w:szCs w:val="18"/>
                <w:lang w:val="en-GB"/>
              </w:rPr>
              <w:t xml:space="preserve">General </w:t>
            </w:r>
            <w:r w:rsidR="00BA7CFD" w:rsidRPr="00845FB7">
              <w:rPr>
                <w:rFonts w:cstheme="majorBidi"/>
                <w:b/>
                <w:bCs/>
                <w:sz w:val="18"/>
                <w:szCs w:val="18"/>
                <w:lang w:val="en-GB"/>
              </w:rPr>
              <w:t>t</w:t>
            </w:r>
            <w:r w:rsidRPr="00845FB7">
              <w:rPr>
                <w:rFonts w:cstheme="majorBidi"/>
                <w:b/>
                <w:bCs/>
                <w:sz w:val="18"/>
                <w:szCs w:val="18"/>
                <w:lang w:val="en-GB"/>
              </w:rPr>
              <w:t xml:space="preserve">rust </w:t>
            </w:r>
            <w:r w:rsidR="00BA7CFD" w:rsidRPr="00845FB7">
              <w:rPr>
                <w:rFonts w:cstheme="majorBidi"/>
                <w:b/>
                <w:bCs/>
                <w:sz w:val="18"/>
                <w:szCs w:val="18"/>
                <w:lang w:val="en-GB"/>
              </w:rPr>
              <w:t>f</w:t>
            </w:r>
            <w:r w:rsidRPr="00845FB7">
              <w:rPr>
                <w:rFonts w:cstheme="majorBidi"/>
                <w:b/>
                <w:bCs/>
                <w:sz w:val="18"/>
                <w:szCs w:val="18"/>
                <w:lang w:val="en-GB"/>
              </w:rPr>
              <w:t>und</w:t>
            </w:r>
          </w:p>
        </w:tc>
        <w:tc>
          <w:tcPr>
            <w:tcW w:w="1701" w:type="dxa"/>
            <w:vAlign w:val="center"/>
            <w:hideMark/>
          </w:tcPr>
          <w:p w14:paraId="3AF6C96A" w14:textId="0C99AF54" w:rsidR="00C60085" w:rsidRPr="00845FB7" w:rsidRDefault="00C60085" w:rsidP="00CD11AC">
            <w:pPr>
              <w:jc w:val="center"/>
              <w:rPr>
                <w:rFonts w:cstheme="majorBidi"/>
                <w:b/>
                <w:bCs/>
                <w:sz w:val="18"/>
                <w:szCs w:val="18"/>
                <w:lang w:val="en-GB"/>
              </w:rPr>
            </w:pPr>
            <w:r w:rsidRPr="00845FB7">
              <w:rPr>
                <w:rFonts w:cstheme="majorBidi"/>
                <w:b/>
                <w:bCs/>
                <w:sz w:val="18"/>
                <w:szCs w:val="18"/>
                <w:lang w:val="en-GB"/>
              </w:rPr>
              <w:t xml:space="preserve">Special </w:t>
            </w:r>
            <w:r w:rsidR="00BA7CFD" w:rsidRPr="00845FB7">
              <w:rPr>
                <w:rFonts w:cstheme="majorBidi"/>
                <w:b/>
                <w:bCs/>
                <w:sz w:val="18"/>
                <w:szCs w:val="18"/>
                <w:lang w:val="en-GB"/>
              </w:rPr>
              <w:t>t</w:t>
            </w:r>
            <w:r w:rsidRPr="00845FB7">
              <w:rPr>
                <w:rFonts w:cstheme="majorBidi"/>
                <w:b/>
                <w:bCs/>
                <w:sz w:val="18"/>
                <w:szCs w:val="18"/>
                <w:lang w:val="en-GB"/>
              </w:rPr>
              <w:t xml:space="preserve">rust </w:t>
            </w:r>
            <w:r w:rsidR="00BA7CFD" w:rsidRPr="00845FB7">
              <w:rPr>
                <w:rFonts w:cstheme="majorBidi"/>
                <w:b/>
                <w:bCs/>
                <w:sz w:val="18"/>
                <w:szCs w:val="18"/>
                <w:lang w:val="en-GB"/>
              </w:rPr>
              <w:t>f</w:t>
            </w:r>
            <w:r w:rsidRPr="00845FB7">
              <w:rPr>
                <w:rFonts w:cstheme="majorBidi"/>
                <w:b/>
                <w:bCs/>
                <w:sz w:val="18"/>
                <w:szCs w:val="18"/>
                <w:lang w:val="en-GB"/>
              </w:rPr>
              <w:t>und</w:t>
            </w:r>
          </w:p>
        </w:tc>
        <w:tc>
          <w:tcPr>
            <w:tcW w:w="1701" w:type="dxa"/>
            <w:vAlign w:val="center"/>
            <w:hideMark/>
          </w:tcPr>
          <w:p w14:paraId="2899CCD0" w14:textId="288DDF85" w:rsidR="00C60085" w:rsidRPr="00845FB7" w:rsidRDefault="00C60085" w:rsidP="00CD11AC">
            <w:pPr>
              <w:jc w:val="center"/>
              <w:rPr>
                <w:rFonts w:cstheme="majorBidi"/>
                <w:b/>
                <w:bCs/>
                <w:sz w:val="18"/>
                <w:szCs w:val="18"/>
                <w:lang w:val="en-GB"/>
              </w:rPr>
            </w:pPr>
            <w:r w:rsidRPr="00845FB7">
              <w:rPr>
                <w:rFonts w:cstheme="majorBidi"/>
                <w:b/>
                <w:bCs/>
                <w:sz w:val="18"/>
                <w:szCs w:val="18"/>
                <w:lang w:val="en-GB"/>
              </w:rPr>
              <w:t xml:space="preserve">Total </w:t>
            </w:r>
            <w:r w:rsidR="00BA7CFD" w:rsidRPr="00845FB7">
              <w:rPr>
                <w:rFonts w:cstheme="majorBidi"/>
                <w:b/>
                <w:bCs/>
                <w:sz w:val="18"/>
                <w:szCs w:val="18"/>
                <w:lang w:val="en-GB"/>
              </w:rPr>
              <w:t>c</w:t>
            </w:r>
            <w:r w:rsidRPr="00845FB7">
              <w:rPr>
                <w:rFonts w:cstheme="majorBidi"/>
                <w:b/>
                <w:bCs/>
                <w:sz w:val="18"/>
                <w:szCs w:val="18"/>
                <w:lang w:val="en-GB"/>
              </w:rPr>
              <w:t>ontribution</w:t>
            </w:r>
          </w:p>
        </w:tc>
      </w:tr>
      <w:tr w:rsidR="00C60085" w:rsidRPr="00845FB7" w14:paraId="7E931191" w14:textId="77777777" w:rsidTr="00BD36F8">
        <w:trPr>
          <w:trHeight w:val="476"/>
        </w:trPr>
        <w:tc>
          <w:tcPr>
            <w:tcW w:w="4531" w:type="dxa"/>
            <w:noWrap/>
            <w:vAlign w:val="center"/>
            <w:hideMark/>
          </w:tcPr>
          <w:p w14:paraId="20C85A07" w14:textId="2E9D228D" w:rsidR="00C60085" w:rsidRPr="00845FB7" w:rsidRDefault="001C6469" w:rsidP="00CD11AC">
            <w:pPr>
              <w:jc w:val="left"/>
              <w:rPr>
                <w:rFonts w:cstheme="majorBidi"/>
                <w:sz w:val="18"/>
                <w:szCs w:val="18"/>
                <w:highlight w:val="yellow"/>
                <w:lang w:val="en-GB"/>
              </w:rPr>
            </w:pPr>
            <w:r w:rsidRPr="00845FB7">
              <w:rPr>
                <w:rFonts w:cstheme="majorBidi"/>
                <w:sz w:val="18"/>
                <w:szCs w:val="18"/>
                <w:lang w:val="en-GB"/>
              </w:rPr>
              <w:t>2024</w:t>
            </w:r>
            <w:r w:rsidR="00C60085" w:rsidRPr="00845FB7">
              <w:rPr>
                <w:rFonts w:cstheme="majorBidi"/>
                <w:sz w:val="18"/>
                <w:szCs w:val="18"/>
                <w:lang w:val="en-GB"/>
              </w:rPr>
              <w:t>-</w:t>
            </w:r>
            <w:r w:rsidRPr="00845FB7">
              <w:rPr>
                <w:rFonts w:cstheme="majorBidi"/>
                <w:sz w:val="18"/>
                <w:szCs w:val="18"/>
                <w:lang w:val="en-GB"/>
              </w:rPr>
              <w:t xml:space="preserve">2025 </w:t>
            </w:r>
            <w:r w:rsidR="00C60085" w:rsidRPr="00845FB7">
              <w:rPr>
                <w:rFonts w:cstheme="majorBidi"/>
                <w:sz w:val="18"/>
                <w:szCs w:val="18"/>
                <w:lang w:val="en-GB"/>
              </w:rPr>
              <w:t>approved</w:t>
            </w:r>
          </w:p>
        </w:tc>
        <w:tc>
          <w:tcPr>
            <w:tcW w:w="1843" w:type="dxa"/>
            <w:noWrap/>
            <w:vAlign w:val="center"/>
            <w:hideMark/>
          </w:tcPr>
          <w:p w14:paraId="4132795D" w14:textId="702F56B2" w:rsidR="00C60085" w:rsidRPr="00845FB7" w:rsidRDefault="00D837B9" w:rsidP="00CD11AC">
            <w:pPr>
              <w:jc w:val="right"/>
              <w:rPr>
                <w:rFonts w:cstheme="majorBidi"/>
                <w:b/>
                <w:bCs/>
                <w:sz w:val="18"/>
                <w:szCs w:val="18"/>
                <w:lang w:val="en-GB"/>
              </w:rPr>
            </w:pPr>
            <w:r w:rsidRPr="00845FB7">
              <w:rPr>
                <w:rFonts w:cstheme="majorBidi"/>
                <w:b/>
                <w:bCs/>
                <w:sz w:val="18"/>
                <w:szCs w:val="18"/>
                <w:lang w:val="en-GB"/>
              </w:rPr>
              <w:t>231,500</w:t>
            </w:r>
          </w:p>
        </w:tc>
        <w:tc>
          <w:tcPr>
            <w:tcW w:w="1701" w:type="dxa"/>
            <w:noWrap/>
            <w:vAlign w:val="center"/>
            <w:hideMark/>
          </w:tcPr>
          <w:p w14:paraId="4866AED0" w14:textId="377590B7" w:rsidR="00C60085" w:rsidRPr="00845FB7" w:rsidRDefault="00D40475" w:rsidP="00CD11AC">
            <w:pPr>
              <w:jc w:val="right"/>
              <w:rPr>
                <w:rFonts w:cstheme="majorBidi"/>
                <w:b/>
                <w:bCs/>
                <w:sz w:val="18"/>
                <w:szCs w:val="18"/>
                <w:lang w:val="en-GB"/>
              </w:rPr>
            </w:pPr>
            <w:r w:rsidRPr="00845FB7">
              <w:rPr>
                <w:rFonts w:cstheme="majorBidi"/>
                <w:b/>
                <w:bCs/>
                <w:sz w:val="18"/>
                <w:szCs w:val="18"/>
                <w:lang w:val="en-GB"/>
              </w:rPr>
              <w:t>65</w:t>
            </w:r>
            <w:r w:rsidR="00C60085" w:rsidRPr="00845FB7">
              <w:rPr>
                <w:rFonts w:cstheme="majorBidi"/>
                <w:b/>
                <w:bCs/>
                <w:sz w:val="18"/>
                <w:szCs w:val="18"/>
                <w:lang w:val="en-GB"/>
              </w:rPr>
              <w:t>,000</w:t>
            </w:r>
          </w:p>
        </w:tc>
        <w:tc>
          <w:tcPr>
            <w:tcW w:w="1701" w:type="dxa"/>
            <w:noWrap/>
            <w:vAlign w:val="center"/>
            <w:hideMark/>
          </w:tcPr>
          <w:p w14:paraId="264D4D16" w14:textId="51550823" w:rsidR="00C60085" w:rsidRPr="00845FB7" w:rsidRDefault="00632651" w:rsidP="00CD11AC">
            <w:pPr>
              <w:jc w:val="right"/>
              <w:rPr>
                <w:rFonts w:cstheme="majorBidi"/>
                <w:b/>
                <w:bCs/>
                <w:sz w:val="18"/>
                <w:szCs w:val="18"/>
                <w:lang w:val="en-GB"/>
              </w:rPr>
            </w:pPr>
            <w:r w:rsidRPr="00845FB7">
              <w:rPr>
                <w:rFonts w:cstheme="majorBidi"/>
                <w:b/>
                <w:bCs/>
                <w:sz w:val="18"/>
                <w:szCs w:val="18"/>
                <w:lang w:val="en-GB"/>
              </w:rPr>
              <w:t>2</w:t>
            </w:r>
            <w:r w:rsidR="00533FD4" w:rsidRPr="00845FB7">
              <w:rPr>
                <w:rFonts w:cstheme="majorBidi"/>
                <w:b/>
                <w:bCs/>
                <w:sz w:val="18"/>
                <w:szCs w:val="18"/>
                <w:lang w:val="en-GB"/>
              </w:rPr>
              <w:t>96</w:t>
            </w:r>
            <w:r w:rsidR="00C60085" w:rsidRPr="00845FB7">
              <w:rPr>
                <w:rFonts w:cstheme="majorBidi"/>
                <w:b/>
                <w:bCs/>
                <w:sz w:val="18"/>
                <w:szCs w:val="18"/>
                <w:lang w:val="en-GB"/>
              </w:rPr>
              <w:t>,</w:t>
            </w:r>
            <w:r w:rsidRPr="00845FB7">
              <w:rPr>
                <w:rFonts w:cstheme="majorBidi"/>
                <w:b/>
                <w:bCs/>
                <w:sz w:val="18"/>
                <w:szCs w:val="18"/>
                <w:lang w:val="en-GB"/>
              </w:rPr>
              <w:t>500</w:t>
            </w:r>
          </w:p>
        </w:tc>
      </w:tr>
      <w:tr w:rsidR="00C60085" w:rsidRPr="00845FB7" w14:paraId="02D863DB" w14:textId="77777777" w:rsidTr="00BD36F8">
        <w:trPr>
          <w:trHeight w:val="349"/>
        </w:trPr>
        <w:tc>
          <w:tcPr>
            <w:tcW w:w="4531" w:type="dxa"/>
            <w:vAlign w:val="center"/>
            <w:hideMark/>
          </w:tcPr>
          <w:p w14:paraId="6B15D9F0" w14:textId="7056CF29" w:rsidR="00C60085" w:rsidRPr="00845FB7" w:rsidRDefault="00E2051A" w:rsidP="00CD11AC">
            <w:pPr>
              <w:jc w:val="left"/>
              <w:rPr>
                <w:rFonts w:cstheme="majorBidi"/>
                <w:sz w:val="18"/>
                <w:szCs w:val="18"/>
                <w:lang w:val="en-GB"/>
              </w:rPr>
            </w:pPr>
            <w:r w:rsidRPr="00845FB7">
              <w:rPr>
                <w:rFonts w:cstheme="majorBidi"/>
                <w:sz w:val="18"/>
                <w:szCs w:val="18"/>
                <w:lang w:val="en-GB"/>
              </w:rPr>
              <w:t>2026–2027</w:t>
            </w:r>
            <w:r w:rsidR="003C136C" w:rsidRPr="00845FB7">
              <w:rPr>
                <w:rFonts w:cstheme="majorBidi"/>
                <w:sz w:val="18"/>
                <w:szCs w:val="18"/>
                <w:lang w:val="en-GB"/>
              </w:rPr>
              <w:t xml:space="preserve"> </w:t>
            </w:r>
            <w:r w:rsidR="00C60085" w:rsidRPr="00845FB7">
              <w:rPr>
                <w:rFonts w:cstheme="majorBidi"/>
                <w:sz w:val="18"/>
                <w:szCs w:val="18"/>
                <w:lang w:val="en-GB"/>
              </w:rPr>
              <w:t xml:space="preserve">requested in </w:t>
            </w:r>
            <w:r w:rsidR="00BA7CFD" w:rsidRPr="00845FB7">
              <w:rPr>
                <w:rFonts w:cstheme="majorBidi"/>
                <w:sz w:val="18"/>
                <w:szCs w:val="18"/>
                <w:lang w:val="en-GB"/>
              </w:rPr>
              <w:t xml:space="preserve">the </w:t>
            </w:r>
            <w:r w:rsidR="00C60085" w:rsidRPr="00845FB7">
              <w:rPr>
                <w:rFonts w:cstheme="majorBidi"/>
                <w:sz w:val="18"/>
                <w:szCs w:val="18"/>
                <w:lang w:val="en-GB"/>
              </w:rPr>
              <w:t>5</w:t>
            </w:r>
            <w:r w:rsidR="00BA7CFD" w:rsidRPr="00845FB7">
              <w:rPr>
                <w:rFonts w:cstheme="majorBidi"/>
                <w:sz w:val="18"/>
                <w:szCs w:val="18"/>
                <w:lang w:val="en-GB"/>
              </w:rPr>
              <w:t xml:space="preserve"> per cent</w:t>
            </w:r>
            <w:r w:rsidR="00C60085" w:rsidRPr="00845FB7">
              <w:rPr>
                <w:rFonts w:cstheme="majorBidi"/>
                <w:sz w:val="18"/>
                <w:szCs w:val="18"/>
                <w:lang w:val="en-GB"/>
              </w:rPr>
              <w:t xml:space="preserve"> scenario</w:t>
            </w:r>
          </w:p>
        </w:tc>
        <w:tc>
          <w:tcPr>
            <w:tcW w:w="1843" w:type="dxa"/>
            <w:noWrap/>
            <w:vAlign w:val="center"/>
            <w:hideMark/>
          </w:tcPr>
          <w:p w14:paraId="4056CC8A" w14:textId="5E90C224" w:rsidR="00C60085" w:rsidRPr="00845FB7" w:rsidRDefault="0052633D" w:rsidP="00CD11AC">
            <w:pPr>
              <w:jc w:val="right"/>
              <w:rPr>
                <w:rFonts w:cstheme="majorBidi"/>
                <w:b/>
                <w:bCs/>
                <w:sz w:val="18"/>
                <w:szCs w:val="18"/>
                <w:lang w:val="en-GB"/>
              </w:rPr>
            </w:pPr>
            <w:r w:rsidRPr="00845FB7">
              <w:rPr>
                <w:rFonts w:cstheme="majorBidi"/>
                <w:b/>
                <w:bCs/>
                <w:sz w:val="18"/>
                <w:szCs w:val="18"/>
                <w:lang w:val="en-GB"/>
              </w:rPr>
              <w:t>250,000</w:t>
            </w:r>
          </w:p>
        </w:tc>
        <w:tc>
          <w:tcPr>
            <w:tcW w:w="1701" w:type="dxa"/>
            <w:noWrap/>
            <w:vAlign w:val="center"/>
            <w:hideMark/>
          </w:tcPr>
          <w:p w14:paraId="5CF1A9D1" w14:textId="4B694418" w:rsidR="00C60085" w:rsidRPr="00845FB7" w:rsidRDefault="00C60085" w:rsidP="00AD1451">
            <w:pPr>
              <w:ind w:right="360"/>
              <w:jc w:val="center"/>
              <w:rPr>
                <w:rFonts w:cstheme="majorBidi"/>
                <w:b/>
                <w:bCs/>
                <w:sz w:val="18"/>
                <w:szCs w:val="18"/>
                <w:lang w:val="en-GB"/>
              </w:rPr>
            </w:pPr>
          </w:p>
        </w:tc>
        <w:tc>
          <w:tcPr>
            <w:tcW w:w="1701" w:type="dxa"/>
            <w:noWrap/>
            <w:vAlign w:val="center"/>
            <w:hideMark/>
          </w:tcPr>
          <w:p w14:paraId="3E0C8F0B" w14:textId="270D552F" w:rsidR="00C60085" w:rsidRPr="00845FB7" w:rsidRDefault="00596AC2" w:rsidP="00CD11AC">
            <w:pPr>
              <w:jc w:val="right"/>
              <w:rPr>
                <w:rFonts w:cstheme="majorBidi"/>
                <w:b/>
                <w:bCs/>
                <w:sz w:val="18"/>
                <w:szCs w:val="18"/>
                <w:lang w:val="en-GB"/>
              </w:rPr>
            </w:pPr>
            <w:r w:rsidRPr="00845FB7">
              <w:rPr>
                <w:rFonts w:cstheme="majorBidi"/>
                <w:b/>
                <w:bCs/>
                <w:sz w:val="18"/>
                <w:szCs w:val="18"/>
                <w:lang w:val="en-GB"/>
              </w:rPr>
              <w:t>250,000</w:t>
            </w:r>
          </w:p>
        </w:tc>
      </w:tr>
      <w:tr w:rsidR="00C60085" w:rsidRPr="00845FB7" w14:paraId="06142445" w14:textId="77777777" w:rsidTr="00BD36F8">
        <w:trPr>
          <w:trHeight w:val="510"/>
        </w:trPr>
        <w:tc>
          <w:tcPr>
            <w:tcW w:w="4531" w:type="dxa"/>
            <w:vAlign w:val="center"/>
            <w:hideMark/>
          </w:tcPr>
          <w:p w14:paraId="427B6748" w14:textId="04284CB6" w:rsidR="00C60085" w:rsidRPr="00845FB7" w:rsidRDefault="00E2051A" w:rsidP="00CD11AC">
            <w:pPr>
              <w:jc w:val="left"/>
              <w:rPr>
                <w:rFonts w:cstheme="majorBidi"/>
                <w:sz w:val="18"/>
                <w:szCs w:val="18"/>
                <w:lang w:val="en-GB"/>
              </w:rPr>
            </w:pPr>
            <w:r w:rsidRPr="00845FB7">
              <w:rPr>
                <w:rFonts w:cstheme="majorBidi"/>
                <w:sz w:val="18"/>
                <w:szCs w:val="18"/>
                <w:lang w:val="en-GB"/>
              </w:rPr>
              <w:t>2026–2027</w:t>
            </w:r>
            <w:r w:rsidR="003C136C" w:rsidRPr="00845FB7">
              <w:rPr>
                <w:rFonts w:cstheme="majorBidi"/>
                <w:sz w:val="18"/>
                <w:szCs w:val="18"/>
                <w:lang w:val="en-GB"/>
              </w:rPr>
              <w:t xml:space="preserve"> </w:t>
            </w:r>
            <w:r w:rsidR="00C60085" w:rsidRPr="00845FB7">
              <w:rPr>
                <w:rFonts w:cstheme="majorBidi"/>
                <w:sz w:val="18"/>
                <w:szCs w:val="18"/>
                <w:lang w:val="en-GB"/>
              </w:rPr>
              <w:t xml:space="preserve">requested in </w:t>
            </w:r>
            <w:r w:rsidR="00BA7CFD" w:rsidRPr="00845FB7">
              <w:rPr>
                <w:rFonts w:cstheme="majorBidi"/>
                <w:sz w:val="18"/>
                <w:szCs w:val="18"/>
                <w:lang w:val="en-GB"/>
              </w:rPr>
              <w:t>the z</w:t>
            </w:r>
            <w:r w:rsidR="00C60085" w:rsidRPr="00845FB7">
              <w:rPr>
                <w:rFonts w:cstheme="majorBidi"/>
                <w:sz w:val="18"/>
                <w:szCs w:val="18"/>
                <w:lang w:val="en-GB"/>
              </w:rPr>
              <w:t>ero nominal growth scenario</w:t>
            </w:r>
          </w:p>
        </w:tc>
        <w:tc>
          <w:tcPr>
            <w:tcW w:w="1843" w:type="dxa"/>
            <w:noWrap/>
            <w:vAlign w:val="center"/>
            <w:hideMark/>
          </w:tcPr>
          <w:p w14:paraId="1335FAC5" w14:textId="4763273A" w:rsidR="00C60085" w:rsidRPr="00845FB7" w:rsidRDefault="003A5C09" w:rsidP="00AD1451">
            <w:pPr>
              <w:ind w:right="90"/>
              <w:jc w:val="right"/>
              <w:rPr>
                <w:rFonts w:cstheme="majorBidi"/>
                <w:b/>
                <w:bCs/>
                <w:sz w:val="18"/>
                <w:szCs w:val="18"/>
                <w:lang w:val="en-GB"/>
              </w:rPr>
            </w:pPr>
            <w:r w:rsidRPr="00845FB7">
              <w:rPr>
                <w:rFonts w:cstheme="majorBidi"/>
                <w:b/>
                <w:bCs/>
                <w:sz w:val="18"/>
                <w:szCs w:val="18"/>
                <w:lang w:val="en-GB"/>
              </w:rPr>
              <w:t>110,000</w:t>
            </w:r>
          </w:p>
        </w:tc>
        <w:tc>
          <w:tcPr>
            <w:tcW w:w="1701" w:type="dxa"/>
            <w:noWrap/>
            <w:vAlign w:val="center"/>
            <w:hideMark/>
          </w:tcPr>
          <w:p w14:paraId="18E2183B" w14:textId="3FDA843B" w:rsidR="00C60085" w:rsidRPr="00845FB7" w:rsidRDefault="003A5C09" w:rsidP="00CD11AC">
            <w:pPr>
              <w:jc w:val="right"/>
              <w:rPr>
                <w:rFonts w:cstheme="majorBidi"/>
                <w:b/>
                <w:bCs/>
                <w:sz w:val="18"/>
                <w:szCs w:val="18"/>
                <w:lang w:val="en-GB"/>
              </w:rPr>
            </w:pPr>
            <w:r w:rsidRPr="00845FB7">
              <w:rPr>
                <w:rFonts w:cstheme="majorBidi"/>
                <w:b/>
                <w:bCs/>
                <w:sz w:val="18"/>
                <w:szCs w:val="18"/>
                <w:lang w:val="en-GB"/>
              </w:rPr>
              <w:t>85,000</w:t>
            </w:r>
          </w:p>
        </w:tc>
        <w:tc>
          <w:tcPr>
            <w:tcW w:w="1701" w:type="dxa"/>
            <w:noWrap/>
            <w:vAlign w:val="center"/>
            <w:hideMark/>
          </w:tcPr>
          <w:p w14:paraId="34C85FE8" w14:textId="72E77CF6" w:rsidR="00C60085" w:rsidRPr="00845FB7" w:rsidRDefault="00596AC2" w:rsidP="00CD11AC">
            <w:pPr>
              <w:jc w:val="right"/>
              <w:rPr>
                <w:rFonts w:cstheme="majorBidi"/>
                <w:b/>
                <w:bCs/>
                <w:sz w:val="18"/>
                <w:szCs w:val="18"/>
                <w:lang w:val="en-GB"/>
              </w:rPr>
            </w:pPr>
            <w:r w:rsidRPr="00845FB7">
              <w:rPr>
                <w:rFonts w:cstheme="majorBidi"/>
                <w:b/>
                <w:bCs/>
                <w:sz w:val="18"/>
                <w:szCs w:val="18"/>
                <w:lang w:val="en-GB"/>
              </w:rPr>
              <w:t>195,000</w:t>
            </w:r>
          </w:p>
        </w:tc>
      </w:tr>
    </w:tbl>
    <w:p w14:paraId="42577AE1" w14:textId="77777777" w:rsidR="00CD7960" w:rsidRDefault="00CD7960" w:rsidP="00E723F8">
      <w:pPr>
        <w:pStyle w:val="Heading2"/>
        <w:rPr>
          <w:rFonts w:cstheme="majorBidi"/>
          <w:color w:val="E8BC00"/>
          <w:sz w:val="36"/>
          <w:szCs w:val="36"/>
          <w:lang w:val="en-GB"/>
        </w:rPr>
        <w:sectPr w:rsidR="00CD7960" w:rsidSect="00906D6E">
          <w:headerReference w:type="first" r:id="rId50"/>
          <w:footerReference w:type="first" r:id="rId51"/>
          <w:pgSz w:w="11906" w:h="16838" w:code="9"/>
          <w:pgMar w:top="907" w:right="992" w:bottom="1418" w:left="1418" w:header="539" w:footer="975" w:gutter="0"/>
          <w:cols w:space="708"/>
          <w:titlePg/>
          <w:docGrid w:linePitch="360"/>
        </w:sectPr>
      </w:pPr>
    </w:p>
    <w:p w14:paraId="6624D7BE" w14:textId="663ADD95" w:rsidR="00E723F8" w:rsidRPr="00845FB7" w:rsidRDefault="00E723F8" w:rsidP="00E723F8">
      <w:pPr>
        <w:pStyle w:val="Heading2"/>
        <w:rPr>
          <w:rFonts w:cstheme="majorBidi"/>
          <w:color w:val="E8BC00"/>
          <w:sz w:val="36"/>
          <w:szCs w:val="36"/>
          <w:lang w:val="en-GB"/>
        </w:rPr>
      </w:pPr>
      <w:r w:rsidRPr="00845FB7">
        <w:rPr>
          <w:rFonts w:cstheme="majorBidi"/>
          <w:color w:val="E8BC00"/>
          <w:sz w:val="36"/>
          <w:szCs w:val="36"/>
          <w:lang w:val="en-GB"/>
        </w:rPr>
        <w:lastRenderedPageBreak/>
        <w:t>Activity 7. National Reporting</w:t>
      </w:r>
    </w:p>
    <w:p w14:paraId="2E7579DA" w14:textId="3731A883" w:rsidR="00E723F8" w:rsidRPr="00845FB7" w:rsidRDefault="00E723F8" w:rsidP="00E723F8">
      <w:pPr>
        <w:pStyle w:val="Heading3"/>
        <w:rPr>
          <w:sz w:val="24"/>
          <w:lang w:val="en-GB"/>
        </w:rPr>
      </w:pPr>
      <w:r w:rsidRPr="00845FB7">
        <w:rPr>
          <w:sz w:val="24"/>
          <w:lang w:val="en-GB"/>
        </w:rPr>
        <w:t>Budget</w:t>
      </w:r>
    </w:p>
    <w:p w14:paraId="6603B68A" w14:textId="077D6B47" w:rsidR="002E6496" w:rsidRPr="00845FB7" w:rsidRDefault="002E6496" w:rsidP="002E6496">
      <w:pPr>
        <w:rPr>
          <w:lang w:val="en-GB"/>
        </w:rPr>
      </w:pPr>
      <w:r w:rsidRPr="00845FB7">
        <w:rPr>
          <w:lang w:val="en-GB"/>
        </w:rPr>
        <w:fldChar w:fldCharType="begin">
          <w:ffData>
            <w:name w:val=""/>
            <w:enabled w:val="0"/>
            <w:calcOnExit w:val="0"/>
            <w:checkBox>
              <w:sizeAuto/>
              <w:default w:val="1"/>
            </w:checkBox>
          </w:ffData>
        </w:fldChar>
      </w:r>
      <w:r w:rsidRPr="00845FB7">
        <w:rPr>
          <w:lang w:val="en-GB"/>
        </w:rPr>
        <w:instrText xml:space="preserve"> FORMCHECKBOX </w:instrText>
      </w:r>
      <w:r w:rsidR="0092003F">
        <w:rPr>
          <w:lang w:val="en-GB"/>
        </w:rPr>
      </w:r>
      <w:r w:rsidR="0092003F">
        <w:rPr>
          <w:lang w:val="en-GB"/>
        </w:rPr>
        <w:fldChar w:fldCharType="separate"/>
      </w:r>
      <w:r w:rsidRPr="00845FB7">
        <w:rPr>
          <w:lang w:val="en-GB"/>
        </w:rPr>
        <w:fldChar w:fldCharType="end"/>
      </w:r>
      <w:r w:rsidRPr="00845FB7">
        <w:rPr>
          <w:lang w:val="en-GB"/>
        </w:rPr>
        <w:t xml:space="preserve"> </w:t>
      </w:r>
      <w:r w:rsidR="004723A4" w:rsidRPr="00845FB7">
        <w:rPr>
          <w:rFonts w:cstheme="majorBidi"/>
          <w:lang w:val="en-GB"/>
        </w:rPr>
        <w:t>General Trust Fund</w:t>
      </w:r>
      <w:r w:rsidRPr="00845FB7">
        <w:rPr>
          <w:lang w:val="en-GB"/>
        </w:rPr>
        <w:t xml:space="preserve">                     </w:t>
      </w:r>
      <w:r w:rsidR="005B15F9" w:rsidRPr="00845FB7">
        <w:rPr>
          <w:lang w:val="en-GB"/>
        </w:rPr>
        <w:fldChar w:fldCharType="begin">
          <w:ffData>
            <w:name w:val=""/>
            <w:enabled/>
            <w:calcOnExit w:val="0"/>
            <w:checkBox>
              <w:sizeAuto/>
              <w:default w:val="0"/>
            </w:checkBox>
          </w:ffData>
        </w:fldChar>
      </w:r>
      <w:r w:rsidR="005B15F9" w:rsidRPr="00845FB7">
        <w:rPr>
          <w:lang w:val="en-GB"/>
        </w:rPr>
        <w:instrText xml:space="preserve"> FORMCHECKBOX </w:instrText>
      </w:r>
      <w:r w:rsidR="0092003F">
        <w:rPr>
          <w:lang w:val="en-GB"/>
        </w:rPr>
      </w:r>
      <w:r w:rsidR="0092003F">
        <w:rPr>
          <w:lang w:val="en-GB"/>
        </w:rPr>
        <w:fldChar w:fldCharType="separate"/>
      </w:r>
      <w:r w:rsidR="005B15F9" w:rsidRPr="00845FB7">
        <w:rPr>
          <w:lang w:val="en-GB"/>
        </w:rPr>
        <w:fldChar w:fldCharType="end"/>
      </w:r>
      <w:r w:rsidRPr="00845FB7">
        <w:rPr>
          <w:lang w:val="en-GB"/>
        </w:rPr>
        <w:t xml:space="preserve"> </w:t>
      </w:r>
      <w:r w:rsidR="004723A4" w:rsidRPr="00845FB7">
        <w:rPr>
          <w:rFonts w:cstheme="majorBidi"/>
          <w:lang w:val="en-GB"/>
        </w:rPr>
        <w:t>Special Trust Fund</w:t>
      </w:r>
    </w:p>
    <w:p w14:paraId="4F8025E7" w14:textId="77777777" w:rsidR="008304F3" w:rsidRPr="00845FB7" w:rsidRDefault="008304F3" w:rsidP="008304F3">
      <w:pPr>
        <w:pStyle w:val="Heading3"/>
        <w:rPr>
          <w:sz w:val="24"/>
          <w:lang w:val="en-GB"/>
        </w:rPr>
      </w:pPr>
      <w:r w:rsidRPr="00845FB7">
        <w:rPr>
          <w:sz w:val="24"/>
          <w:lang w:val="en-GB"/>
        </w:rPr>
        <w:t>Reference</w:t>
      </w:r>
    </w:p>
    <w:p w14:paraId="225C3F04" w14:textId="2D41219B" w:rsidR="002B6D6E" w:rsidRPr="00845FB7" w:rsidRDefault="008304F3" w:rsidP="002A243F">
      <w:pPr>
        <w:tabs>
          <w:tab w:val="left" w:pos="2552"/>
        </w:tabs>
        <w:spacing w:after="60"/>
        <w:ind w:left="2496" w:hanging="2496"/>
        <w:jc w:val="left"/>
        <w:rPr>
          <w:lang w:val="en-GB"/>
        </w:rPr>
      </w:pPr>
      <w:r w:rsidRPr="00845FB7">
        <w:rPr>
          <w:rFonts w:cstheme="majorBidi"/>
          <w:b/>
          <w:bCs/>
          <w:szCs w:val="20"/>
          <w:lang w:val="en-GB"/>
        </w:rPr>
        <w:t>UNEP/MC/COP.</w:t>
      </w:r>
      <w:r w:rsidR="00E01303" w:rsidRPr="00845FB7">
        <w:rPr>
          <w:rFonts w:cstheme="majorBidi"/>
          <w:b/>
          <w:bCs/>
          <w:szCs w:val="20"/>
          <w:lang w:val="en-GB"/>
        </w:rPr>
        <w:t>6</w:t>
      </w:r>
      <w:r w:rsidRPr="00845FB7">
        <w:rPr>
          <w:rFonts w:cstheme="majorBidi"/>
          <w:b/>
          <w:bCs/>
          <w:szCs w:val="20"/>
          <w:lang w:val="en-GB"/>
        </w:rPr>
        <w:t>/15:</w:t>
      </w:r>
      <w:r w:rsidRPr="00845FB7">
        <w:rPr>
          <w:rFonts w:cstheme="majorBidi"/>
          <w:szCs w:val="20"/>
          <w:lang w:val="en-GB"/>
        </w:rPr>
        <w:t xml:space="preserve"> </w:t>
      </w:r>
      <w:r w:rsidRPr="00845FB7">
        <w:rPr>
          <w:rFonts w:cstheme="majorBidi"/>
          <w:szCs w:val="20"/>
          <w:lang w:val="en-GB"/>
        </w:rPr>
        <w:tab/>
      </w:r>
      <w:r w:rsidR="002B6D6E" w:rsidRPr="00845FB7">
        <w:rPr>
          <w:rFonts w:cstheme="majorBidi"/>
          <w:szCs w:val="20"/>
          <w:lang w:val="en-GB"/>
        </w:rPr>
        <w:t>National reporting (</w:t>
      </w:r>
      <w:r w:rsidR="00DD1E0C" w:rsidRPr="00845FB7">
        <w:rPr>
          <w:rFonts w:cstheme="majorBidi"/>
          <w:szCs w:val="20"/>
          <w:lang w:val="en-GB"/>
        </w:rPr>
        <w:t>A</w:t>
      </w:r>
      <w:r w:rsidR="002B6D6E" w:rsidRPr="00845FB7">
        <w:rPr>
          <w:rFonts w:cstheme="majorBidi"/>
          <w:szCs w:val="20"/>
          <w:lang w:val="en-GB"/>
        </w:rPr>
        <w:t>rticle 21): second short national reports</w:t>
      </w:r>
    </w:p>
    <w:p w14:paraId="0E92AAB9" w14:textId="413BD103" w:rsidR="00FE25E2" w:rsidRPr="00845FB7" w:rsidRDefault="008304F3" w:rsidP="002A243F">
      <w:pPr>
        <w:tabs>
          <w:tab w:val="left" w:pos="2552"/>
        </w:tabs>
        <w:spacing w:after="60"/>
        <w:ind w:left="2496" w:hanging="2496"/>
        <w:jc w:val="left"/>
        <w:rPr>
          <w:rFonts w:cstheme="majorBidi"/>
          <w:szCs w:val="20"/>
          <w:lang w:val="en-GB"/>
        </w:rPr>
      </w:pPr>
      <w:r w:rsidRPr="00845FB7">
        <w:rPr>
          <w:rFonts w:cstheme="majorBidi"/>
          <w:b/>
          <w:bCs/>
          <w:szCs w:val="20"/>
          <w:lang w:val="en-GB"/>
        </w:rPr>
        <w:t>UNEP/MC/COP.</w:t>
      </w:r>
      <w:r w:rsidR="00E01303" w:rsidRPr="00845FB7">
        <w:rPr>
          <w:rFonts w:cstheme="majorBidi"/>
          <w:b/>
          <w:bCs/>
          <w:szCs w:val="20"/>
          <w:lang w:val="en-GB"/>
        </w:rPr>
        <w:t>6</w:t>
      </w:r>
      <w:r w:rsidRPr="00845FB7">
        <w:rPr>
          <w:rFonts w:cstheme="majorBidi"/>
          <w:b/>
          <w:bCs/>
          <w:szCs w:val="20"/>
          <w:lang w:val="en-GB"/>
        </w:rPr>
        <w:t>/INF/20:</w:t>
      </w:r>
      <w:r w:rsidRPr="00845FB7">
        <w:rPr>
          <w:szCs w:val="20"/>
          <w:lang w:val="en-GB"/>
        </w:rPr>
        <w:t xml:space="preserve"> </w:t>
      </w:r>
      <w:r w:rsidRPr="00845FB7">
        <w:rPr>
          <w:szCs w:val="20"/>
          <w:lang w:val="en-GB"/>
        </w:rPr>
        <w:tab/>
      </w:r>
      <w:r w:rsidR="00FE25E2" w:rsidRPr="00845FB7">
        <w:rPr>
          <w:rFonts w:cstheme="majorBidi"/>
          <w:szCs w:val="20"/>
          <w:lang w:val="en-GB"/>
        </w:rPr>
        <w:t xml:space="preserve">Report on the second short national reports under </w:t>
      </w:r>
      <w:r w:rsidR="00DD1E0C" w:rsidRPr="00845FB7">
        <w:rPr>
          <w:rFonts w:cstheme="majorBidi"/>
          <w:szCs w:val="20"/>
          <w:lang w:val="en-GB"/>
        </w:rPr>
        <w:t>A</w:t>
      </w:r>
      <w:r w:rsidR="00FE25E2" w:rsidRPr="00845FB7">
        <w:rPr>
          <w:rFonts w:cstheme="majorBidi"/>
          <w:szCs w:val="20"/>
          <w:lang w:val="en-GB"/>
        </w:rPr>
        <w:t>rticle 21 of the Minamata Convention on Mercury</w:t>
      </w:r>
    </w:p>
    <w:p w14:paraId="17EF28C6" w14:textId="4FE87F01" w:rsidR="0088249F" w:rsidRPr="00845FB7" w:rsidRDefault="0088249F" w:rsidP="002A243F">
      <w:pPr>
        <w:tabs>
          <w:tab w:val="left" w:pos="2552"/>
        </w:tabs>
        <w:spacing w:after="60"/>
        <w:ind w:left="2496" w:hanging="2496"/>
        <w:jc w:val="left"/>
        <w:rPr>
          <w:szCs w:val="20"/>
          <w:lang w:val="en-GB"/>
        </w:rPr>
      </w:pPr>
      <w:r w:rsidRPr="00845FB7">
        <w:rPr>
          <w:rFonts w:cstheme="majorBidi"/>
          <w:b/>
          <w:bCs/>
          <w:szCs w:val="20"/>
          <w:lang w:val="en-GB"/>
        </w:rPr>
        <w:t>UNEP/MC/COP.6/INF/2</w:t>
      </w:r>
      <w:r w:rsidR="000269C0" w:rsidRPr="00845FB7">
        <w:rPr>
          <w:rFonts w:cstheme="majorBidi"/>
          <w:b/>
          <w:bCs/>
          <w:szCs w:val="20"/>
          <w:lang w:val="en-GB"/>
        </w:rPr>
        <w:t>1</w:t>
      </w:r>
      <w:r w:rsidRPr="00845FB7">
        <w:rPr>
          <w:rFonts w:cstheme="majorBidi"/>
          <w:b/>
          <w:bCs/>
          <w:szCs w:val="20"/>
          <w:lang w:val="en-GB"/>
        </w:rPr>
        <w:t>:</w:t>
      </w:r>
      <w:r w:rsidR="00D51C2F" w:rsidRPr="00845FB7">
        <w:rPr>
          <w:rFonts w:cstheme="majorBidi"/>
          <w:b/>
          <w:bCs/>
          <w:szCs w:val="20"/>
          <w:lang w:val="en-GB"/>
        </w:rPr>
        <w:t xml:space="preserve"> </w:t>
      </w:r>
      <w:r w:rsidR="00D51C2F" w:rsidRPr="00845FB7">
        <w:rPr>
          <w:rFonts w:cstheme="majorBidi"/>
          <w:b/>
          <w:bCs/>
          <w:szCs w:val="20"/>
          <w:lang w:val="en-GB"/>
        </w:rPr>
        <w:tab/>
      </w:r>
      <w:r w:rsidR="0039334E" w:rsidRPr="00845FB7">
        <w:rPr>
          <w:rFonts w:cstheme="majorBidi"/>
          <w:szCs w:val="20"/>
          <w:lang w:val="en-GB"/>
        </w:rPr>
        <w:t>U</w:t>
      </w:r>
      <w:r w:rsidR="00D51C2F" w:rsidRPr="00845FB7">
        <w:rPr>
          <w:rFonts w:cstheme="majorBidi"/>
          <w:szCs w:val="20"/>
          <w:lang w:val="en-GB"/>
        </w:rPr>
        <w:t>pdated guidance for completing the national reporting format</w:t>
      </w:r>
      <w:r w:rsidR="0039334E" w:rsidRPr="00845FB7">
        <w:rPr>
          <w:rFonts w:cstheme="majorBidi"/>
          <w:szCs w:val="20"/>
          <w:lang w:val="en-GB"/>
        </w:rPr>
        <w:t xml:space="preserve"> </w:t>
      </w:r>
    </w:p>
    <w:p w14:paraId="370926E6" w14:textId="0D364959" w:rsidR="00E723F8" w:rsidRPr="006C6BA4" w:rsidRDefault="00E723F8" w:rsidP="00E723F8">
      <w:pPr>
        <w:pStyle w:val="Heading3"/>
        <w:rPr>
          <w:sz w:val="24"/>
          <w:lang w:val="fr-CH"/>
        </w:rPr>
      </w:pPr>
      <w:r w:rsidRPr="006C6BA4">
        <w:rPr>
          <w:sz w:val="24"/>
          <w:lang w:val="fr-CH"/>
        </w:rPr>
        <w:t>Mandate</w:t>
      </w:r>
    </w:p>
    <w:p w14:paraId="54106608" w14:textId="3788BD08" w:rsidR="00E723F8" w:rsidRPr="006C6BA4" w:rsidRDefault="00E723F8" w:rsidP="00BD36F8">
      <w:pPr>
        <w:spacing w:after="60"/>
        <w:rPr>
          <w:rFonts w:cstheme="majorBidi"/>
          <w:szCs w:val="20"/>
          <w:lang w:val="fr-CH"/>
        </w:rPr>
      </w:pPr>
      <w:proofErr w:type="gramStart"/>
      <w:r w:rsidRPr="006C6BA4">
        <w:rPr>
          <w:rFonts w:cstheme="majorBidi"/>
          <w:b/>
          <w:bCs/>
          <w:szCs w:val="20"/>
          <w:lang w:val="fr-CH"/>
        </w:rPr>
        <w:t>Convention:</w:t>
      </w:r>
      <w:proofErr w:type="gramEnd"/>
      <w:r w:rsidRPr="006C6BA4">
        <w:rPr>
          <w:rFonts w:cstheme="majorBidi"/>
          <w:szCs w:val="20"/>
          <w:lang w:val="fr-CH"/>
        </w:rPr>
        <w:t xml:space="preserve"> </w:t>
      </w:r>
      <w:r w:rsidR="00DD1E0C" w:rsidRPr="006C6BA4">
        <w:rPr>
          <w:rFonts w:cstheme="majorBidi"/>
          <w:szCs w:val="20"/>
          <w:lang w:val="fr-CH"/>
        </w:rPr>
        <w:t>A</w:t>
      </w:r>
      <w:r w:rsidRPr="006C6BA4">
        <w:rPr>
          <w:rFonts w:cstheme="majorBidi"/>
          <w:szCs w:val="20"/>
          <w:lang w:val="fr-CH"/>
        </w:rPr>
        <w:t>rticle</w:t>
      </w:r>
      <w:r w:rsidR="007C63D4" w:rsidRPr="006C6BA4">
        <w:rPr>
          <w:rFonts w:cstheme="majorBidi"/>
          <w:szCs w:val="20"/>
          <w:lang w:val="fr-CH"/>
        </w:rPr>
        <w:t>s</w:t>
      </w:r>
      <w:r w:rsidRPr="006C6BA4">
        <w:rPr>
          <w:rFonts w:cstheme="majorBidi"/>
          <w:szCs w:val="20"/>
          <w:lang w:val="fr-CH"/>
        </w:rPr>
        <w:t xml:space="preserve"> 21</w:t>
      </w:r>
      <w:r w:rsidR="007C63D4" w:rsidRPr="006C6BA4">
        <w:rPr>
          <w:rFonts w:cstheme="majorBidi"/>
          <w:szCs w:val="20"/>
          <w:lang w:val="fr-CH"/>
        </w:rPr>
        <w:t xml:space="preserve">, </w:t>
      </w:r>
      <w:r w:rsidRPr="006C6BA4">
        <w:rPr>
          <w:rFonts w:cstheme="majorBidi"/>
          <w:szCs w:val="20"/>
          <w:lang w:val="fr-CH"/>
        </w:rPr>
        <w:t>23</w:t>
      </w:r>
      <w:r w:rsidR="007C63D4" w:rsidRPr="006C6BA4">
        <w:rPr>
          <w:rFonts w:cstheme="majorBidi"/>
          <w:szCs w:val="20"/>
          <w:lang w:val="fr-CH"/>
        </w:rPr>
        <w:t>.</w:t>
      </w:r>
      <w:r w:rsidRPr="006C6BA4">
        <w:rPr>
          <w:rFonts w:cstheme="majorBidi"/>
          <w:szCs w:val="20"/>
          <w:lang w:val="fr-CH"/>
        </w:rPr>
        <w:t xml:space="preserve">5, 15.4(b), 22.3(b) </w:t>
      </w:r>
    </w:p>
    <w:p w14:paraId="2A664E9A" w14:textId="3D583BA7" w:rsidR="00E723F8" w:rsidRPr="00845FB7" w:rsidRDefault="00E723F8" w:rsidP="00BD36F8">
      <w:pPr>
        <w:spacing w:after="60"/>
        <w:rPr>
          <w:rFonts w:cstheme="majorBidi"/>
          <w:szCs w:val="20"/>
          <w:lang w:val="en-GB"/>
        </w:rPr>
      </w:pPr>
      <w:r w:rsidRPr="00845FB7">
        <w:rPr>
          <w:rFonts w:cstheme="majorBidi"/>
          <w:b/>
          <w:bCs/>
          <w:szCs w:val="20"/>
          <w:lang w:val="en-GB"/>
        </w:rPr>
        <w:t>COP decision</w:t>
      </w:r>
      <w:r w:rsidR="007C63D4" w:rsidRPr="00845FB7">
        <w:rPr>
          <w:rFonts w:cstheme="majorBidi"/>
          <w:b/>
          <w:bCs/>
          <w:szCs w:val="20"/>
          <w:lang w:val="en-GB"/>
        </w:rPr>
        <w:t>(</w:t>
      </w:r>
      <w:r w:rsidRPr="00845FB7">
        <w:rPr>
          <w:rFonts w:cstheme="majorBidi"/>
          <w:b/>
          <w:bCs/>
          <w:szCs w:val="20"/>
          <w:lang w:val="en-GB"/>
        </w:rPr>
        <w:t>s</w:t>
      </w:r>
      <w:r w:rsidR="007C63D4" w:rsidRPr="00845FB7">
        <w:rPr>
          <w:rFonts w:cstheme="majorBidi"/>
          <w:b/>
          <w:bCs/>
          <w:szCs w:val="20"/>
          <w:lang w:val="en-GB"/>
        </w:rPr>
        <w:t>)</w:t>
      </w:r>
      <w:r w:rsidRPr="00845FB7">
        <w:rPr>
          <w:rFonts w:cstheme="majorBidi"/>
          <w:b/>
          <w:bCs/>
          <w:szCs w:val="20"/>
          <w:lang w:val="en-GB"/>
        </w:rPr>
        <w:t>:</w:t>
      </w:r>
      <w:r w:rsidRPr="00845FB7">
        <w:rPr>
          <w:rFonts w:cstheme="majorBidi"/>
          <w:szCs w:val="20"/>
          <w:lang w:val="en-GB"/>
        </w:rPr>
        <w:t xml:space="preserve"> </w:t>
      </w:r>
      <w:r w:rsidR="007C63D4" w:rsidRPr="00845FB7">
        <w:rPr>
          <w:rFonts w:cstheme="majorBidi"/>
          <w:szCs w:val="20"/>
          <w:lang w:val="en-GB"/>
        </w:rPr>
        <w:t xml:space="preserve"> </w:t>
      </w:r>
      <w:r w:rsidRPr="00845FB7">
        <w:rPr>
          <w:rFonts w:cstheme="majorBidi"/>
          <w:szCs w:val="20"/>
          <w:lang w:val="en-GB"/>
        </w:rPr>
        <w:t>MC-1/8</w:t>
      </w:r>
      <w:r w:rsidR="007C63D4" w:rsidRPr="00845FB7">
        <w:rPr>
          <w:rFonts w:cstheme="majorBidi"/>
          <w:szCs w:val="20"/>
          <w:lang w:val="en-GB"/>
        </w:rPr>
        <w:t xml:space="preserve">, </w:t>
      </w:r>
      <w:r w:rsidRPr="00845FB7">
        <w:rPr>
          <w:rFonts w:cstheme="majorBidi"/>
          <w:szCs w:val="20"/>
          <w:lang w:val="en-GB"/>
        </w:rPr>
        <w:t>MC-3/13</w:t>
      </w:r>
      <w:r w:rsidR="00565E64" w:rsidRPr="00845FB7">
        <w:rPr>
          <w:rFonts w:cstheme="majorBidi"/>
          <w:szCs w:val="20"/>
          <w:lang w:val="en-GB"/>
        </w:rPr>
        <w:t>, MC-4/8</w:t>
      </w:r>
      <w:r w:rsidR="00D51C2F" w:rsidRPr="00845FB7">
        <w:rPr>
          <w:rFonts w:cstheme="majorBidi"/>
          <w:szCs w:val="20"/>
          <w:lang w:val="en-GB"/>
        </w:rPr>
        <w:t>, MC-5/</w:t>
      </w:r>
      <w:r w:rsidR="00A21642" w:rsidRPr="00845FB7">
        <w:rPr>
          <w:rFonts w:cstheme="majorBidi"/>
          <w:szCs w:val="20"/>
          <w:lang w:val="en-GB"/>
        </w:rPr>
        <w:t>13</w:t>
      </w:r>
    </w:p>
    <w:p w14:paraId="31E236F9" w14:textId="38B240C8" w:rsidR="00E723F8" w:rsidRPr="00845FB7" w:rsidRDefault="00E723F8" w:rsidP="00E723F8">
      <w:pPr>
        <w:pStyle w:val="Heading3"/>
        <w:rPr>
          <w:sz w:val="24"/>
          <w:lang w:val="en-GB"/>
        </w:rPr>
      </w:pPr>
      <w:r w:rsidRPr="00845FB7">
        <w:rPr>
          <w:sz w:val="24"/>
          <w:lang w:val="en-GB"/>
        </w:rPr>
        <w:t>Background and rationale</w:t>
      </w:r>
    </w:p>
    <w:p w14:paraId="4E63BDCE" w14:textId="74C94C22" w:rsidR="00E723F8" w:rsidRPr="00845FB7" w:rsidRDefault="005B4EA9" w:rsidP="00BD36F8">
      <w:pPr>
        <w:spacing w:after="120" w:line="276" w:lineRule="auto"/>
        <w:rPr>
          <w:rFonts w:cstheme="majorBidi"/>
          <w:lang w:val="en-GB"/>
        </w:rPr>
      </w:pPr>
      <w:r w:rsidRPr="00845FB7">
        <w:rPr>
          <w:rFonts w:cstheme="majorBidi"/>
          <w:lang w:val="en-GB"/>
        </w:rPr>
        <w:t>Article 21 on Reporting</w:t>
      </w:r>
      <w:r w:rsidR="00E723F8" w:rsidRPr="00845FB7">
        <w:rPr>
          <w:rFonts w:cstheme="majorBidi"/>
          <w:lang w:val="en-GB"/>
        </w:rPr>
        <w:t xml:space="preserve"> sets out that each Party shall report to the Conference of the Parties, through the </w:t>
      </w:r>
      <w:r w:rsidR="00E31745" w:rsidRPr="00845FB7">
        <w:rPr>
          <w:rFonts w:cstheme="majorBidi"/>
          <w:lang w:val="en-GB"/>
        </w:rPr>
        <w:t>S</w:t>
      </w:r>
      <w:r w:rsidR="00E723F8" w:rsidRPr="00845FB7">
        <w:rPr>
          <w:rFonts w:cstheme="majorBidi"/>
          <w:lang w:val="en-GB"/>
        </w:rPr>
        <w:t>ecretariat, on the measures it has taken to implement the provisions of this Convention, and on the effectiveness of such measures and the possible challenges in meeting the objective of the Convention. At its first meeting</w:t>
      </w:r>
      <w:r w:rsidR="001F34B9" w:rsidRPr="00845FB7">
        <w:rPr>
          <w:rFonts w:cstheme="majorBidi"/>
          <w:lang w:val="en-GB"/>
        </w:rPr>
        <w:t>,</w:t>
      </w:r>
      <w:r w:rsidR="00E723F8" w:rsidRPr="00845FB7">
        <w:rPr>
          <w:rFonts w:cstheme="majorBidi"/>
          <w:lang w:val="en-GB"/>
        </w:rPr>
        <w:t xml:space="preserve"> the Conference decided upon the reporting format and the timing of national reports. Accordingly, </w:t>
      </w:r>
      <w:r w:rsidR="00E31745" w:rsidRPr="00845FB7">
        <w:rPr>
          <w:rFonts w:cstheme="majorBidi"/>
          <w:lang w:val="en-GB"/>
        </w:rPr>
        <w:t>P</w:t>
      </w:r>
      <w:r w:rsidR="00E723F8" w:rsidRPr="00845FB7">
        <w:rPr>
          <w:rFonts w:cstheme="majorBidi"/>
          <w:lang w:val="en-GB"/>
        </w:rPr>
        <w:t xml:space="preserve">arties are to report on a biennial basis on the four questions marked by </w:t>
      </w:r>
      <w:r w:rsidR="00714313" w:rsidRPr="00845FB7">
        <w:rPr>
          <w:rFonts w:cstheme="majorBidi"/>
          <w:lang w:val="en-GB"/>
        </w:rPr>
        <w:t xml:space="preserve">an </w:t>
      </w:r>
      <w:r w:rsidR="00E723F8" w:rsidRPr="00845FB7">
        <w:rPr>
          <w:rFonts w:cstheme="majorBidi"/>
          <w:lang w:val="en-GB"/>
        </w:rPr>
        <w:t xml:space="preserve">asterisk in the reporting format, and every four years to the full reporting format, that is to all forty-three questions. </w:t>
      </w:r>
      <w:r w:rsidR="15FE990B" w:rsidRPr="00845FB7">
        <w:rPr>
          <w:rFonts w:cstheme="majorBidi"/>
          <w:lang w:val="en-GB"/>
        </w:rPr>
        <w:t xml:space="preserve">Work, on the second full national report, </w:t>
      </w:r>
      <w:r w:rsidR="5B57F973" w:rsidRPr="00845FB7">
        <w:rPr>
          <w:rFonts w:cstheme="majorBidi"/>
          <w:lang w:val="en-GB"/>
        </w:rPr>
        <w:t>encompassing the reporting period from 1 January 202</w:t>
      </w:r>
      <w:r w:rsidR="5909E704" w:rsidRPr="00845FB7">
        <w:rPr>
          <w:rFonts w:cstheme="majorBidi"/>
          <w:lang w:val="en-GB"/>
        </w:rPr>
        <w:t>1</w:t>
      </w:r>
      <w:r w:rsidR="5B57F973" w:rsidRPr="00845FB7">
        <w:rPr>
          <w:rFonts w:cstheme="majorBidi"/>
          <w:lang w:val="en-GB"/>
        </w:rPr>
        <w:t xml:space="preserve"> to 31 December 202</w:t>
      </w:r>
      <w:r w:rsidR="3B3C82A6" w:rsidRPr="00845FB7">
        <w:rPr>
          <w:rFonts w:cstheme="majorBidi"/>
          <w:lang w:val="en-GB"/>
        </w:rPr>
        <w:t>4</w:t>
      </w:r>
      <w:r w:rsidR="5B57F973" w:rsidRPr="00845FB7">
        <w:rPr>
          <w:rFonts w:cstheme="majorBidi"/>
          <w:lang w:val="en-GB"/>
        </w:rPr>
        <w:t>,</w:t>
      </w:r>
      <w:r w:rsidR="1A912C10" w:rsidRPr="00845FB7">
        <w:rPr>
          <w:rFonts w:cstheme="majorBidi"/>
          <w:lang w:val="en-GB"/>
        </w:rPr>
        <w:t xml:space="preserve"> and to be submitted by 31 December 2025 and third short national report encompassing the period from 1 January 2025 to 31 December 2026, and to be submitted by 31 December 2027 </w:t>
      </w:r>
      <w:r w:rsidR="5B57F973" w:rsidRPr="00845FB7">
        <w:rPr>
          <w:rFonts w:cstheme="majorBidi"/>
          <w:lang w:val="en-GB"/>
        </w:rPr>
        <w:t>is included in the current work program</w:t>
      </w:r>
      <w:r w:rsidR="1BEEA393" w:rsidRPr="00845FB7">
        <w:rPr>
          <w:rFonts w:cstheme="majorBidi"/>
          <w:lang w:val="en-GB"/>
        </w:rPr>
        <w:t>.</w:t>
      </w:r>
      <w:r w:rsidR="00E723F8" w:rsidRPr="00845FB7">
        <w:rPr>
          <w:rFonts w:cstheme="majorBidi"/>
          <w:lang w:val="en-GB"/>
        </w:rPr>
        <w:t xml:space="preserve"> </w:t>
      </w:r>
    </w:p>
    <w:p w14:paraId="63756F63" w14:textId="3C17B99A" w:rsidR="00E723F8" w:rsidRPr="00845FB7" w:rsidRDefault="00E723F8" w:rsidP="00BD36F8">
      <w:pPr>
        <w:spacing w:after="120" w:line="276" w:lineRule="auto"/>
        <w:rPr>
          <w:rFonts w:cstheme="majorBidi"/>
          <w:szCs w:val="20"/>
          <w:lang w:val="en-GB"/>
        </w:rPr>
      </w:pPr>
      <w:r w:rsidRPr="00845FB7">
        <w:rPr>
          <w:rFonts w:cstheme="majorBidi"/>
          <w:szCs w:val="20"/>
          <w:lang w:val="en-GB"/>
        </w:rPr>
        <w:t>The Conference of the Parties draws on the national reports in its reviews and evaluations of the implementation of the Convention (</w:t>
      </w:r>
      <w:r w:rsidR="002B40E4" w:rsidRPr="00845FB7">
        <w:rPr>
          <w:rFonts w:cstheme="majorBidi"/>
          <w:szCs w:val="20"/>
          <w:lang w:val="en-GB"/>
        </w:rPr>
        <w:t>A</w:t>
      </w:r>
      <w:r w:rsidR="001A10F0" w:rsidRPr="00845FB7">
        <w:rPr>
          <w:rFonts w:cstheme="majorBidi"/>
          <w:szCs w:val="20"/>
          <w:lang w:val="en-GB"/>
        </w:rPr>
        <w:t>rticle</w:t>
      </w:r>
      <w:r w:rsidRPr="00845FB7">
        <w:rPr>
          <w:rFonts w:cstheme="majorBidi"/>
          <w:szCs w:val="20"/>
          <w:lang w:val="en-GB"/>
        </w:rPr>
        <w:t xml:space="preserve"> 23), and the Implementation and Compliance Committee (</w:t>
      </w:r>
      <w:r w:rsidR="002B40E4" w:rsidRPr="00845FB7">
        <w:rPr>
          <w:rFonts w:cstheme="majorBidi"/>
          <w:szCs w:val="20"/>
          <w:lang w:val="en-GB"/>
        </w:rPr>
        <w:t>A</w:t>
      </w:r>
      <w:r w:rsidR="001A10F0" w:rsidRPr="00845FB7">
        <w:rPr>
          <w:rFonts w:cstheme="majorBidi"/>
          <w:szCs w:val="20"/>
          <w:lang w:val="en-GB"/>
        </w:rPr>
        <w:t>rticle</w:t>
      </w:r>
      <w:r w:rsidRPr="00845FB7">
        <w:rPr>
          <w:rFonts w:cstheme="majorBidi"/>
          <w:szCs w:val="20"/>
          <w:lang w:val="en-GB"/>
        </w:rPr>
        <w:t xml:space="preserve"> 15) may consider issues </w:t>
      </w:r>
      <w:proofErr w:type="gramStart"/>
      <w:r w:rsidRPr="00845FB7">
        <w:rPr>
          <w:rFonts w:cstheme="majorBidi"/>
          <w:szCs w:val="20"/>
          <w:lang w:val="en-GB"/>
        </w:rPr>
        <w:t>on the basis of</w:t>
      </w:r>
      <w:proofErr w:type="gramEnd"/>
      <w:r w:rsidRPr="00845FB7">
        <w:rPr>
          <w:rFonts w:cstheme="majorBidi"/>
          <w:szCs w:val="20"/>
          <w:lang w:val="en-GB"/>
        </w:rPr>
        <w:t xml:space="preserve"> the reports. Further, the national reports may be drawn from for the effectiveness evaluation of the Convention (</w:t>
      </w:r>
      <w:r w:rsidR="002B40E4" w:rsidRPr="00845FB7">
        <w:rPr>
          <w:rFonts w:cstheme="majorBidi"/>
          <w:szCs w:val="20"/>
          <w:lang w:val="en-GB"/>
        </w:rPr>
        <w:t>A</w:t>
      </w:r>
      <w:r w:rsidR="001A10F0" w:rsidRPr="00845FB7">
        <w:rPr>
          <w:rFonts w:cstheme="majorBidi"/>
          <w:szCs w:val="20"/>
          <w:lang w:val="en-GB"/>
        </w:rPr>
        <w:t>rticle</w:t>
      </w:r>
      <w:r w:rsidRPr="00845FB7">
        <w:rPr>
          <w:rFonts w:cstheme="majorBidi"/>
          <w:szCs w:val="20"/>
          <w:lang w:val="en-GB"/>
        </w:rPr>
        <w:t xml:space="preserve"> 22). </w:t>
      </w:r>
    </w:p>
    <w:p w14:paraId="2B3F03DB" w14:textId="468706FF" w:rsidR="00E723F8" w:rsidRPr="00845FB7" w:rsidRDefault="00E723F8" w:rsidP="00BD36F8">
      <w:pPr>
        <w:spacing w:after="120" w:line="276" w:lineRule="auto"/>
        <w:rPr>
          <w:rFonts w:cstheme="majorBidi"/>
          <w:lang w:val="en-GB"/>
        </w:rPr>
      </w:pPr>
      <w:r w:rsidRPr="00845FB7">
        <w:rPr>
          <w:rFonts w:cstheme="majorBidi"/>
          <w:lang w:val="en-GB"/>
        </w:rPr>
        <w:t xml:space="preserve">Parties use </w:t>
      </w:r>
      <w:r w:rsidR="00586D8E" w:rsidRPr="00845FB7">
        <w:rPr>
          <w:rFonts w:cstheme="majorBidi"/>
          <w:lang w:val="en-GB"/>
        </w:rPr>
        <w:t>the Online Reporting Tool</w:t>
      </w:r>
      <w:r w:rsidRPr="00845FB7">
        <w:rPr>
          <w:rFonts w:cstheme="majorBidi"/>
          <w:lang w:val="en-GB"/>
        </w:rPr>
        <w:t xml:space="preserve"> developed by the </w:t>
      </w:r>
      <w:r w:rsidR="00986ACF" w:rsidRPr="00845FB7">
        <w:rPr>
          <w:rFonts w:cstheme="majorBidi"/>
          <w:lang w:val="en-GB"/>
        </w:rPr>
        <w:t>S</w:t>
      </w:r>
      <w:r w:rsidRPr="00845FB7">
        <w:rPr>
          <w:rFonts w:cstheme="majorBidi"/>
          <w:lang w:val="en-GB"/>
        </w:rPr>
        <w:t xml:space="preserve">ecretariat to submit their reports. The </w:t>
      </w:r>
      <w:r w:rsidR="00986ACF" w:rsidRPr="00845FB7">
        <w:rPr>
          <w:rFonts w:cstheme="majorBidi"/>
          <w:lang w:val="en-GB"/>
        </w:rPr>
        <w:t>S</w:t>
      </w:r>
      <w:r w:rsidRPr="00845FB7">
        <w:rPr>
          <w:rFonts w:cstheme="majorBidi"/>
          <w:lang w:val="en-GB"/>
        </w:rPr>
        <w:t xml:space="preserve">ecretariat stores, analyses and manages all data reported by </w:t>
      </w:r>
      <w:r w:rsidR="00986ACF" w:rsidRPr="00845FB7">
        <w:rPr>
          <w:rFonts w:cstheme="majorBidi"/>
          <w:lang w:val="en-GB"/>
        </w:rPr>
        <w:t>P</w:t>
      </w:r>
      <w:r w:rsidRPr="00845FB7">
        <w:rPr>
          <w:rFonts w:cstheme="majorBidi"/>
          <w:lang w:val="en-GB"/>
        </w:rPr>
        <w:t xml:space="preserve">arties based on the relevant provisions and related decisions. The </w:t>
      </w:r>
      <w:r w:rsidR="00BF3A2C" w:rsidRPr="00845FB7">
        <w:rPr>
          <w:rFonts w:cstheme="majorBidi"/>
          <w:lang w:val="en-GB"/>
        </w:rPr>
        <w:t>S</w:t>
      </w:r>
      <w:r w:rsidRPr="00845FB7">
        <w:rPr>
          <w:rFonts w:cstheme="majorBidi"/>
          <w:lang w:val="en-GB"/>
        </w:rPr>
        <w:t xml:space="preserve">ecretariat engages and communicates with </w:t>
      </w:r>
      <w:r w:rsidR="00BF3A2C" w:rsidRPr="00845FB7">
        <w:rPr>
          <w:rFonts w:cstheme="majorBidi"/>
          <w:lang w:val="en-GB"/>
        </w:rPr>
        <w:t>P</w:t>
      </w:r>
      <w:r w:rsidRPr="00845FB7">
        <w:rPr>
          <w:rFonts w:cstheme="majorBidi"/>
          <w:lang w:val="en-GB"/>
        </w:rPr>
        <w:t xml:space="preserve">arties on issues related to reporting </w:t>
      </w:r>
      <w:proofErr w:type="gramStart"/>
      <w:r w:rsidRPr="00845FB7">
        <w:rPr>
          <w:rFonts w:cstheme="majorBidi"/>
          <w:lang w:val="en-GB"/>
        </w:rPr>
        <w:t>in order to</w:t>
      </w:r>
      <w:proofErr w:type="gramEnd"/>
      <w:r w:rsidRPr="00845FB7">
        <w:rPr>
          <w:rFonts w:cstheme="majorBidi"/>
          <w:lang w:val="en-GB"/>
        </w:rPr>
        <w:t xml:space="preserve"> fulfil the provisions of the Convention and related decisions. The </w:t>
      </w:r>
      <w:r w:rsidR="00BF3A2C" w:rsidRPr="00845FB7">
        <w:rPr>
          <w:rFonts w:cstheme="majorBidi"/>
          <w:lang w:val="en-GB"/>
        </w:rPr>
        <w:t>S</w:t>
      </w:r>
      <w:r w:rsidRPr="00845FB7">
        <w:rPr>
          <w:rFonts w:cstheme="majorBidi"/>
          <w:lang w:val="en-GB"/>
        </w:rPr>
        <w:t xml:space="preserve">ecretariat also supports </w:t>
      </w:r>
      <w:r w:rsidR="00BF3A2C" w:rsidRPr="00845FB7">
        <w:rPr>
          <w:rFonts w:cstheme="majorBidi"/>
          <w:lang w:val="en-GB"/>
        </w:rPr>
        <w:t>P</w:t>
      </w:r>
      <w:r w:rsidRPr="00845FB7">
        <w:rPr>
          <w:rFonts w:cstheme="majorBidi"/>
          <w:lang w:val="en-GB"/>
        </w:rPr>
        <w:t xml:space="preserve">arties in their obligation to report through the development of draft reporting guidance, as well as information and training sessions. The reporting </w:t>
      </w:r>
      <w:r w:rsidR="3263910D" w:rsidRPr="00845FB7">
        <w:rPr>
          <w:rFonts w:cstheme="majorBidi"/>
          <w:lang w:val="en-GB"/>
        </w:rPr>
        <w:t>rate</w:t>
      </w:r>
      <w:r w:rsidR="7B3B3422" w:rsidRPr="00845FB7">
        <w:rPr>
          <w:rFonts w:cstheme="majorBidi"/>
          <w:lang w:val="en-GB"/>
        </w:rPr>
        <w:t>s</w:t>
      </w:r>
      <w:r w:rsidRPr="00845FB7">
        <w:rPr>
          <w:rFonts w:cstheme="majorBidi"/>
          <w:lang w:val="en-GB"/>
        </w:rPr>
        <w:t xml:space="preserve"> for the </w:t>
      </w:r>
      <w:r w:rsidR="00A94137" w:rsidRPr="00845FB7">
        <w:rPr>
          <w:rFonts w:cstheme="majorBidi"/>
          <w:lang w:val="en-GB"/>
        </w:rPr>
        <w:t xml:space="preserve">past </w:t>
      </w:r>
      <w:r w:rsidR="5911EA81" w:rsidRPr="00845FB7">
        <w:rPr>
          <w:rFonts w:cstheme="majorBidi"/>
          <w:lang w:val="en-GB"/>
        </w:rPr>
        <w:t xml:space="preserve">three reporting periods </w:t>
      </w:r>
      <w:r w:rsidR="65024C8D" w:rsidRPr="00845FB7">
        <w:rPr>
          <w:rFonts w:cstheme="majorBidi"/>
          <w:lang w:val="en-GB"/>
        </w:rPr>
        <w:t>remain</w:t>
      </w:r>
      <w:r w:rsidRPr="00845FB7">
        <w:rPr>
          <w:rFonts w:cstheme="majorBidi"/>
          <w:lang w:val="en-GB"/>
        </w:rPr>
        <w:t xml:space="preserve"> high, </w:t>
      </w:r>
      <w:r w:rsidR="58AD4F9C" w:rsidRPr="00845FB7">
        <w:rPr>
          <w:rFonts w:cstheme="majorBidi"/>
          <w:lang w:val="en-GB"/>
        </w:rPr>
        <w:t xml:space="preserve">noting the increase in the number of </w:t>
      </w:r>
      <w:r w:rsidR="00D60241" w:rsidRPr="00845FB7">
        <w:rPr>
          <w:rFonts w:cstheme="majorBidi"/>
          <w:lang w:val="en-GB"/>
        </w:rPr>
        <w:t>P</w:t>
      </w:r>
      <w:r w:rsidR="58AD4F9C" w:rsidRPr="00845FB7">
        <w:rPr>
          <w:rFonts w:cstheme="majorBidi"/>
          <w:lang w:val="en-GB"/>
        </w:rPr>
        <w:t>arties since the first reporting cycle.</w:t>
      </w:r>
      <w:r w:rsidR="3263910D" w:rsidRPr="00845FB7">
        <w:rPr>
          <w:rFonts w:cstheme="majorBidi"/>
          <w:lang w:val="en-GB"/>
        </w:rPr>
        <w:t xml:space="preserve"> </w:t>
      </w:r>
      <w:r w:rsidR="42E1CE9F" w:rsidRPr="00845FB7">
        <w:rPr>
          <w:rFonts w:cstheme="majorBidi"/>
          <w:lang w:val="en-GB"/>
        </w:rPr>
        <w:t>T</w:t>
      </w:r>
      <w:r w:rsidR="3263910D" w:rsidRPr="00845FB7">
        <w:rPr>
          <w:rFonts w:cstheme="majorBidi"/>
          <w:lang w:val="en-GB"/>
        </w:rPr>
        <w:t>he</w:t>
      </w:r>
      <w:r w:rsidRPr="00845FB7">
        <w:rPr>
          <w:rFonts w:cstheme="majorBidi"/>
          <w:lang w:val="en-GB"/>
        </w:rPr>
        <w:t xml:space="preserve"> </w:t>
      </w:r>
      <w:r w:rsidR="00BF3A2C" w:rsidRPr="00845FB7">
        <w:rPr>
          <w:rFonts w:cstheme="majorBidi"/>
          <w:lang w:val="en-GB"/>
        </w:rPr>
        <w:t>S</w:t>
      </w:r>
      <w:r w:rsidRPr="00845FB7">
        <w:rPr>
          <w:rFonts w:cstheme="majorBidi"/>
          <w:lang w:val="en-GB"/>
        </w:rPr>
        <w:t xml:space="preserve">ecretariat aims to support </w:t>
      </w:r>
      <w:r w:rsidR="00BF3A2C" w:rsidRPr="00845FB7">
        <w:rPr>
          <w:rFonts w:cstheme="majorBidi"/>
          <w:lang w:val="en-GB"/>
        </w:rPr>
        <w:t>P</w:t>
      </w:r>
      <w:r w:rsidRPr="00845FB7">
        <w:rPr>
          <w:rFonts w:cstheme="majorBidi"/>
          <w:lang w:val="en-GB"/>
        </w:rPr>
        <w:t xml:space="preserve">arties to maintain this </w:t>
      </w:r>
      <w:r w:rsidR="60E870AC" w:rsidRPr="00845FB7">
        <w:rPr>
          <w:rFonts w:cstheme="majorBidi"/>
          <w:lang w:val="en-GB"/>
        </w:rPr>
        <w:t>strong</w:t>
      </w:r>
      <w:r w:rsidRPr="00845FB7">
        <w:rPr>
          <w:rFonts w:cstheme="majorBidi"/>
          <w:lang w:val="en-GB"/>
        </w:rPr>
        <w:t xml:space="preserve"> record </w:t>
      </w:r>
      <w:r w:rsidR="70B48E98" w:rsidRPr="00845FB7">
        <w:rPr>
          <w:rFonts w:cstheme="majorBidi"/>
          <w:lang w:val="en-GB"/>
        </w:rPr>
        <w:t xml:space="preserve">of reporting </w:t>
      </w:r>
      <w:r w:rsidRPr="00845FB7">
        <w:rPr>
          <w:rFonts w:cstheme="majorBidi"/>
          <w:lang w:val="en-GB"/>
        </w:rPr>
        <w:t>for subsequent reporting cycles.</w:t>
      </w:r>
    </w:p>
    <w:p w14:paraId="2B83A8B3" w14:textId="57910A9B" w:rsidR="00E723F8" w:rsidRPr="00845FB7" w:rsidRDefault="00E723F8" w:rsidP="00BD36F8">
      <w:pPr>
        <w:spacing w:after="120" w:line="276" w:lineRule="auto"/>
        <w:rPr>
          <w:rFonts w:cstheme="majorBidi"/>
          <w:szCs w:val="20"/>
          <w:lang w:val="en-GB"/>
        </w:rPr>
      </w:pPr>
      <w:r w:rsidRPr="00845FB7">
        <w:rPr>
          <w:rFonts w:cstheme="majorBidi"/>
          <w:szCs w:val="20"/>
          <w:lang w:val="en-GB"/>
        </w:rPr>
        <w:t xml:space="preserve">All complete submitted national reports are available on the Convention website. The </w:t>
      </w:r>
      <w:r w:rsidR="00BF3A2C" w:rsidRPr="00845FB7">
        <w:rPr>
          <w:rFonts w:cstheme="majorBidi"/>
          <w:szCs w:val="20"/>
          <w:lang w:val="en-GB"/>
        </w:rPr>
        <w:t>S</w:t>
      </w:r>
      <w:r w:rsidRPr="00845FB7">
        <w:rPr>
          <w:rFonts w:cstheme="majorBidi"/>
          <w:szCs w:val="20"/>
          <w:lang w:val="en-GB"/>
        </w:rPr>
        <w:t xml:space="preserve">ecretariat makes the information accessible and comparable for implementation and compliance purposes. </w:t>
      </w:r>
    </w:p>
    <w:p w14:paraId="74EBA115" w14:textId="37224314" w:rsidR="00E723F8" w:rsidRPr="00845FB7" w:rsidRDefault="00E723F8" w:rsidP="00E723F8">
      <w:pPr>
        <w:pStyle w:val="Heading3"/>
        <w:rPr>
          <w:sz w:val="24"/>
          <w:lang w:val="en-GB"/>
        </w:rPr>
      </w:pPr>
      <w:r w:rsidRPr="00845FB7">
        <w:rPr>
          <w:sz w:val="24"/>
          <w:lang w:val="en-GB"/>
        </w:rPr>
        <w:lastRenderedPageBreak/>
        <w:t>Outcomes and activities</w:t>
      </w:r>
    </w:p>
    <w:p w14:paraId="4C89E7A9" w14:textId="7374C9D4" w:rsidR="00E723F8" w:rsidRPr="00845FB7" w:rsidRDefault="00E723F8" w:rsidP="00BD36F8">
      <w:pPr>
        <w:pStyle w:val="Heading2"/>
        <w:spacing w:before="360" w:after="120"/>
        <w:rPr>
          <w:sz w:val="28"/>
          <w:szCs w:val="28"/>
          <w:lang w:val="en-GB"/>
        </w:rPr>
      </w:pPr>
      <w:r w:rsidRPr="00845FB7">
        <w:rPr>
          <w:sz w:val="28"/>
          <w:szCs w:val="28"/>
          <w:lang w:val="en-GB"/>
        </w:rPr>
        <w:t xml:space="preserve">Component 7.1. Process and analyse national reports on measures taken by </w:t>
      </w:r>
      <w:r w:rsidR="006133EB" w:rsidRPr="00845FB7">
        <w:rPr>
          <w:sz w:val="28"/>
          <w:szCs w:val="28"/>
          <w:lang w:val="en-GB"/>
        </w:rPr>
        <w:t xml:space="preserve">Parties </w:t>
      </w:r>
    </w:p>
    <w:p w14:paraId="0E8F9C77" w14:textId="60E45743" w:rsidR="00E723F8" w:rsidRPr="00845FB7" w:rsidRDefault="00E723F8" w:rsidP="00E723F8">
      <w:pPr>
        <w:pStyle w:val="Heading4"/>
        <w:rPr>
          <w:sz w:val="20"/>
          <w:szCs w:val="20"/>
          <w:lang w:val="en-GB"/>
        </w:rPr>
      </w:pPr>
      <w:r w:rsidRPr="00845FB7">
        <w:rPr>
          <w:sz w:val="20"/>
          <w:szCs w:val="20"/>
          <w:lang w:val="en-GB"/>
        </w:rPr>
        <w:t xml:space="preserve">(Reporting Period: </w:t>
      </w:r>
      <w:r w:rsidR="00635A83" w:rsidRPr="00845FB7">
        <w:rPr>
          <w:sz w:val="20"/>
          <w:szCs w:val="20"/>
          <w:lang w:val="en-GB"/>
        </w:rPr>
        <w:t xml:space="preserve">01 January </w:t>
      </w:r>
      <w:r w:rsidR="3A725442" w:rsidRPr="00845FB7">
        <w:rPr>
          <w:sz w:val="20"/>
          <w:szCs w:val="20"/>
          <w:lang w:val="en-GB"/>
        </w:rPr>
        <w:t>202</w:t>
      </w:r>
      <w:r w:rsidR="00582D82" w:rsidRPr="00845FB7">
        <w:rPr>
          <w:sz w:val="20"/>
          <w:szCs w:val="20"/>
          <w:lang w:val="en-GB"/>
        </w:rPr>
        <w:t>1</w:t>
      </w:r>
      <w:r w:rsidR="00D93550" w:rsidRPr="00845FB7">
        <w:rPr>
          <w:sz w:val="20"/>
          <w:szCs w:val="20"/>
          <w:lang w:val="en-GB"/>
        </w:rPr>
        <w:t xml:space="preserve"> –</w:t>
      </w:r>
      <w:r w:rsidRPr="00845FB7">
        <w:rPr>
          <w:sz w:val="20"/>
          <w:szCs w:val="20"/>
          <w:lang w:val="en-GB"/>
        </w:rPr>
        <w:t xml:space="preserve"> 31</w:t>
      </w:r>
      <w:r w:rsidR="00D93550" w:rsidRPr="00845FB7">
        <w:rPr>
          <w:sz w:val="20"/>
          <w:szCs w:val="20"/>
          <w:lang w:val="en-GB"/>
        </w:rPr>
        <w:t xml:space="preserve"> </w:t>
      </w:r>
      <w:r w:rsidRPr="00845FB7">
        <w:rPr>
          <w:sz w:val="20"/>
          <w:szCs w:val="20"/>
          <w:lang w:val="en-GB"/>
        </w:rPr>
        <w:t xml:space="preserve">December </w:t>
      </w:r>
      <w:r w:rsidR="3A725442" w:rsidRPr="00845FB7">
        <w:rPr>
          <w:sz w:val="20"/>
          <w:szCs w:val="20"/>
          <w:lang w:val="en-GB"/>
        </w:rPr>
        <w:t>202</w:t>
      </w:r>
      <w:r w:rsidR="00582D82" w:rsidRPr="00845FB7">
        <w:rPr>
          <w:sz w:val="20"/>
          <w:szCs w:val="20"/>
          <w:lang w:val="en-GB"/>
        </w:rPr>
        <w:t>4</w:t>
      </w:r>
      <w:r w:rsidR="0039439D" w:rsidRPr="00845FB7">
        <w:rPr>
          <w:sz w:val="20"/>
          <w:szCs w:val="20"/>
          <w:lang w:val="en-GB"/>
        </w:rPr>
        <w:t>, for submittal</w:t>
      </w:r>
      <w:r w:rsidR="00D84E51" w:rsidRPr="00845FB7">
        <w:rPr>
          <w:sz w:val="20"/>
          <w:szCs w:val="20"/>
          <w:lang w:val="en-GB"/>
        </w:rPr>
        <w:t xml:space="preserve"> </w:t>
      </w:r>
      <w:r w:rsidR="00CA607A" w:rsidRPr="00845FB7">
        <w:rPr>
          <w:sz w:val="20"/>
          <w:szCs w:val="20"/>
          <w:lang w:val="en-GB"/>
        </w:rPr>
        <w:t xml:space="preserve">by </w:t>
      </w:r>
      <w:r w:rsidR="00D84E51" w:rsidRPr="00845FB7">
        <w:rPr>
          <w:sz w:val="20"/>
          <w:szCs w:val="20"/>
          <w:lang w:val="en-GB"/>
        </w:rPr>
        <w:t xml:space="preserve">31 December </w:t>
      </w:r>
      <w:r w:rsidR="3A725442" w:rsidRPr="00845FB7">
        <w:rPr>
          <w:sz w:val="20"/>
          <w:szCs w:val="20"/>
          <w:lang w:val="en-GB"/>
        </w:rPr>
        <w:t>202</w:t>
      </w:r>
      <w:r w:rsidR="00582D82" w:rsidRPr="00845FB7">
        <w:rPr>
          <w:sz w:val="20"/>
          <w:szCs w:val="20"/>
          <w:lang w:val="en-GB"/>
        </w:rPr>
        <w:t>5</w:t>
      </w:r>
      <w:r w:rsidRPr="00845FB7">
        <w:rPr>
          <w:sz w:val="20"/>
          <w:szCs w:val="20"/>
          <w:lang w:val="en-GB"/>
        </w:rPr>
        <w:t xml:space="preserve"> for COP-</w:t>
      </w:r>
      <w:r w:rsidR="77BF1D0D" w:rsidRPr="00845FB7">
        <w:rPr>
          <w:sz w:val="20"/>
          <w:szCs w:val="20"/>
          <w:lang w:val="en-GB"/>
        </w:rPr>
        <w:t>7</w:t>
      </w:r>
      <w:r w:rsidR="00635A83" w:rsidRPr="00845FB7">
        <w:rPr>
          <w:sz w:val="20"/>
          <w:szCs w:val="20"/>
          <w:lang w:val="en-GB"/>
        </w:rPr>
        <w:t xml:space="preserve"> </w:t>
      </w:r>
      <w:r w:rsidRPr="00845FB7">
        <w:rPr>
          <w:sz w:val="20"/>
          <w:szCs w:val="20"/>
          <w:lang w:val="en-GB"/>
        </w:rPr>
        <w:t>review</w:t>
      </w:r>
      <w:r w:rsidR="007B479B" w:rsidRPr="00845FB7">
        <w:rPr>
          <w:sz w:val="20"/>
          <w:szCs w:val="20"/>
          <w:lang w:val="en-GB"/>
        </w:rPr>
        <w:t>)</w:t>
      </w:r>
    </w:p>
    <w:p w14:paraId="36724232" w14:textId="77777777" w:rsidR="00E723F8" w:rsidRPr="00845FB7" w:rsidRDefault="00E723F8" w:rsidP="00BD36F8">
      <w:pPr>
        <w:spacing w:before="240"/>
        <w:rPr>
          <w:rFonts w:cstheme="majorBidi"/>
          <w:b/>
          <w:bCs/>
          <w:szCs w:val="20"/>
          <w:lang w:val="en-GB" w:eastAsia="en-GB"/>
        </w:rPr>
      </w:pPr>
      <w:r w:rsidRPr="00845FB7">
        <w:rPr>
          <w:rFonts w:cstheme="majorBidi"/>
          <w:b/>
          <w:bCs/>
          <w:lang w:val="en-GB" w:eastAsia="en-GB"/>
        </w:rPr>
        <w:t>OUTCOMES</w:t>
      </w:r>
    </w:p>
    <w:p w14:paraId="58623E25" w14:textId="19CE47E2" w:rsidR="00E723F8" w:rsidRPr="00845FB7" w:rsidRDefault="00E723F8" w:rsidP="00BD36F8">
      <w:pPr>
        <w:spacing w:after="0"/>
        <w:rPr>
          <w:rFonts w:cstheme="majorBidi"/>
          <w:lang w:val="en-GB" w:eastAsia="en-GB"/>
        </w:rPr>
      </w:pPr>
      <w:r w:rsidRPr="00845FB7">
        <w:rPr>
          <w:rFonts w:cstheme="majorBidi"/>
          <w:lang w:val="en-GB" w:eastAsia="en-GB"/>
        </w:rPr>
        <w:t xml:space="preserve">The Conference of the Parties is fully enabled to keep under continuous review and evaluation the implementation of the Convention, based on the responses submitted in the </w:t>
      </w:r>
      <w:r w:rsidR="44AA14A0" w:rsidRPr="00845FB7">
        <w:rPr>
          <w:rFonts w:cstheme="majorBidi"/>
          <w:lang w:val="en-GB" w:eastAsia="en-GB"/>
        </w:rPr>
        <w:t>202</w:t>
      </w:r>
      <w:r w:rsidR="209BF31A" w:rsidRPr="00845FB7">
        <w:rPr>
          <w:rFonts w:cstheme="majorBidi"/>
          <w:lang w:val="en-GB" w:eastAsia="en-GB"/>
        </w:rPr>
        <w:t>5</w:t>
      </w:r>
      <w:r w:rsidR="44AA14A0" w:rsidRPr="00845FB7">
        <w:rPr>
          <w:rFonts w:cstheme="majorBidi"/>
          <w:lang w:val="en-GB" w:eastAsia="en-GB"/>
        </w:rPr>
        <w:t xml:space="preserve"> </w:t>
      </w:r>
      <w:r w:rsidR="6122A1A1" w:rsidRPr="00845FB7">
        <w:rPr>
          <w:rFonts w:cstheme="majorBidi"/>
          <w:lang w:val="en-GB" w:eastAsia="en-GB"/>
        </w:rPr>
        <w:t>full</w:t>
      </w:r>
      <w:r w:rsidR="007C0E07" w:rsidRPr="00845FB7">
        <w:rPr>
          <w:rFonts w:cstheme="majorBidi"/>
          <w:lang w:val="en-GB" w:eastAsia="en-GB"/>
        </w:rPr>
        <w:t xml:space="preserve"> </w:t>
      </w:r>
      <w:r w:rsidRPr="00845FB7">
        <w:rPr>
          <w:rFonts w:cstheme="majorBidi"/>
          <w:lang w:val="en-GB" w:eastAsia="en-GB"/>
        </w:rPr>
        <w:t xml:space="preserve">national reports submitted by </w:t>
      </w:r>
      <w:r w:rsidR="005D1B67" w:rsidRPr="00845FB7">
        <w:rPr>
          <w:rFonts w:cstheme="majorBidi"/>
          <w:lang w:val="en-GB" w:eastAsia="en-GB"/>
        </w:rPr>
        <w:t>P</w:t>
      </w:r>
      <w:r w:rsidRPr="00845FB7">
        <w:rPr>
          <w:rFonts w:cstheme="majorBidi"/>
          <w:lang w:val="en-GB" w:eastAsia="en-GB"/>
        </w:rPr>
        <w:t xml:space="preserve">arties on the measures taken by </w:t>
      </w:r>
      <w:r w:rsidR="005D1B67" w:rsidRPr="00845FB7">
        <w:rPr>
          <w:rFonts w:cstheme="majorBidi"/>
          <w:lang w:val="en-GB" w:eastAsia="en-GB"/>
        </w:rPr>
        <w:t>P</w:t>
      </w:r>
      <w:r w:rsidRPr="00845FB7">
        <w:rPr>
          <w:rFonts w:cstheme="majorBidi"/>
          <w:lang w:val="en-GB" w:eastAsia="en-GB"/>
        </w:rPr>
        <w:t xml:space="preserve">arties to implement the provisions of the Convention for the </w:t>
      </w:r>
      <w:r w:rsidR="007C0E07" w:rsidRPr="00845FB7">
        <w:rPr>
          <w:rFonts w:cstheme="majorBidi"/>
          <w:lang w:val="en-GB" w:eastAsia="en-GB"/>
        </w:rPr>
        <w:t xml:space="preserve">second </w:t>
      </w:r>
      <w:r w:rsidR="006B1532" w:rsidRPr="00845FB7">
        <w:rPr>
          <w:rFonts w:cstheme="majorBidi"/>
          <w:lang w:val="en-GB" w:eastAsia="en-GB"/>
        </w:rPr>
        <w:t xml:space="preserve">full </w:t>
      </w:r>
      <w:r w:rsidRPr="00845FB7">
        <w:rPr>
          <w:rFonts w:cstheme="majorBidi"/>
          <w:lang w:val="en-GB" w:eastAsia="en-GB"/>
        </w:rPr>
        <w:t xml:space="preserve">reporting period. The Implementation and Compliance Committee is fully informed of the response submitted in the national reports for this reporting period, for its consideration of issues at the planned Committee meetings in </w:t>
      </w:r>
      <w:r w:rsidR="525EDA31" w:rsidRPr="00845FB7">
        <w:rPr>
          <w:rFonts w:cstheme="majorBidi"/>
          <w:lang w:val="en-GB" w:eastAsia="en-GB"/>
        </w:rPr>
        <w:t>202</w:t>
      </w:r>
      <w:r w:rsidR="697FCB6E" w:rsidRPr="00845FB7">
        <w:rPr>
          <w:rFonts w:cstheme="majorBidi"/>
          <w:lang w:val="en-GB" w:eastAsia="en-GB"/>
        </w:rPr>
        <w:t>6</w:t>
      </w:r>
      <w:r w:rsidR="00DB2173" w:rsidRPr="00845FB7">
        <w:rPr>
          <w:rFonts w:cstheme="majorBidi"/>
          <w:lang w:val="en-GB" w:eastAsia="en-GB"/>
        </w:rPr>
        <w:t xml:space="preserve"> </w:t>
      </w:r>
      <w:r w:rsidRPr="00845FB7">
        <w:rPr>
          <w:rFonts w:cstheme="majorBidi"/>
          <w:lang w:val="en-GB" w:eastAsia="en-GB"/>
        </w:rPr>
        <w:t xml:space="preserve">and </w:t>
      </w:r>
      <w:r w:rsidR="3263910D" w:rsidRPr="00845FB7">
        <w:rPr>
          <w:rFonts w:cstheme="majorBidi"/>
          <w:lang w:val="en-GB" w:eastAsia="en-GB"/>
        </w:rPr>
        <w:t>202</w:t>
      </w:r>
      <w:r w:rsidR="0AEB2C95" w:rsidRPr="00845FB7">
        <w:rPr>
          <w:rFonts w:cstheme="majorBidi"/>
          <w:lang w:val="en-GB" w:eastAsia="en-GB"/>
        </w:rPr>
        <w:t>7</w:t>
      </w:r>
      <w:r w:rsidRPr="00845FB7">
        <w:rPr>
          <w:rFonts w:cstheme="majorBidi"/>
          <w:lang w:val="en-GB" w:eastAsia="en-GB"/>
        </w:rPr>
        <w:t xml:space="preserve"> to promote implementation and review compliance with the provisions of the Convention. </w:t>
      </w:r>
      <w:r w:rsidR="00974B10" w:rsidRPr="00845FB7">
        <w:rPr>
          <w:rFonts w:cstheme="majorBidi"/>
          <w:lang w:val="en-GB" w:eastAsia="en-GB"/>
        </w:rPr>
        <w:t>T</w:t>
      </w:r>
      <w:r w:rsidR="52AF708B" w:rsidRPr="00845FB7">
        <w:rPr>
          <w:rFonts w:cstheme="majorBidi"/>
          <w:lang w:val="en-GB" w:eastAsia="en-GB"/>
        </w:rPr>
        <w:t xml:space="preserve">he Effectiveness Evaluation Group </w:t>
      </w:r>
      <w:r w:rsidR="00E9430B" w:rsidRPr="00845FB7">
        <w:rPr>
          <w:rFonts w:cstheme="majorBidi"/>
          <w:lang w:val="en-GB" w:eastAsia="en-GB"/>
        </w:rPr>
        <w:t xml:space="preserve">is fully informed of the </w:t>
      </w:r>
      <w:r w:rsidR="006E5AC1" w:rsidRPr="00845FB7">
        <w:rPr>
          <w:rFonts w:cstheme="majorBidi"/>
          <w:lang w:val="en-GB" w:eastAsia="en-GB"/>
        </w:rPr>
        <w:t xml:space="preserve">measures, effectiveness and </w:t>
      </w:r>
      <w:r w:rsidR="00BF70CD" w:rsidRPr="00845FB7">
        <w:rPr>
          <w:rFonts w:cstheme="majorBidi"/>
          <w:lang w:val="en-GB" w:eastAsia="en-GB"/>
        </w:rPr>
        <w:t xml:space="preserve">challenges </w:t>
      </w:r>
      <w:r w:rsidR="009B73E3" w:rsidRPr="00845FB7">
        <w:rPr>
          <w:rFonts w:cstheme="majorBidi"/>
          <w:lang w:val="en-GB" w:eastAsia="en-GB"/>
        </w:rPr>
        <w:t xml:space="preserve">reported by </w:t>
      </w:r>
      <w:r w:rsidR="00D60241" w:rsidRPr="00845FB7">
        <w:rPr>
          <w:rFonts w:cstheme="majorBidi"/>
          <w:lang w:val="en-GB" w:eastAsia="en-GB"/>
        </w:rPr>
        <w:t>P</w:t>
      </w:r>
      <w:r w:rsidR="009B73E3" w:rsidRPr="00845FB7">
        <w:rPr>
          <w:rFonts w:cstheme="majorBidi"/>
          <w:lang w:val="en-GB" w:eastAsia="en-GB"/>
        </w:rPr>
        <w:t xml:space="preserve">arties in </w:t>
      </w:r>
      <w:r w:rsidR="005E7EA2" w:rsidRPr="00845FB7">
        <w:rPr>
          <w:rFonts w:cstheme="majorBidi"/>
          <w:lang w:val="en-GB" w:eastAsia="en-GB"/>
        </w:rPr>
        <w:t xml:space="preserve">developing the first effectiveness </w:t>
      </w:r>
      <w:r w:rsidR="009B73E3" w:rsidRPr="00845FB7">
        <w:rPr>
          <w:rFonts w:cstheme="majorBidi"/>
          <w:lang w:val="en-GB" w:eastAsia="en-GB"/>
        </w:rPr>
        <w:t>evaluati</w:t>
      </w:r>
      <w:r w:rsidR="005E7EA2" w:rsidRPr="00845FB7">
        <w:rPr>
          <w:rFonts w:cstheme="majorBidi"/>
          <w:lang w:val="en-GB" w:eastAsia="en-GB"/>
        </w:rPr>
        <w:t>on report to be considered at COP-7</w:t>
      </w:r>
      <w:r w:rsidR="52AF708B" w:rsidRPr="00845FB7">
        <w:rPr>
          <w:rFonts w:cstheme="majorBidi"/>
          <w:lang w:val="en-GB" w:eastAsia="en-GB"/>
        </w:rPr>
        <w:t>.</w:t>
      </w:r>
    </w:p>
    <w:p w14:paraId="4BF7044E" w14:textId="255FB88A" w:rsidR="00E723F8" w:rsidRPr="00845FB7" w:rsidRDefault="00E723F8" w:rsidP="00BD36F8">
      <w:pPr>
        <w:spacing w:before="240"/>
        <w:rPr>
          <w:rFonts w:cstheme="majorBidi"/>
          <w:b/>
          <w:bCs/>
          <w:lang w:val="en-GB" w:eastAsia="en-GB"/>
        </w:rPr>
      </w:pPr>
      <w:r w:rsidRPr="00845FB7">
        <w:rPr>
          <w:rFonts w:cstheme="majorBidi"/>
          <w:b/>
          <w:bCs/>
          <w:lang w:val="en-GB" w:eastAsia="en-GB"/>
        </w:rPr>
        <w:t>ACTIVITIES</w:t>
      </w:r>
    </w:p>
    <w:p w14:paraId="5E6D0FA2" w14:textId="523E1D47" w:rsidR="00E723F8" w:rsidRPr="00845FB7" w:rsidRDefault="00E723F8" w:rsidP="00BD36F8">
      <w:pPr>
        <w:pStyle w:val="ListParagraph"/>
        <w:numPr>
          <w:ilvl w:val="0"/>
          <w:numId w:val="3"/>
        </w:numPr>
        <w:spacing w:after="60"/>
        <w:rPr>
          <w:rFonts w:cstheme="majorBidi"/>
          <w:lang w:val="en-GB" w:eastAsia="en-GB"/>
        </w:rPr>
      </w:pPr>
      <w:r w:rsidRPr="00845FB7">
        <w:rPr>
          <w:rFonts w:cstheme="majorBidi"/>
          <w:lang w:val="en-GB" w:eastAsia="en-GB"/>
        </w:rPr>
        <w:t xml:space="preserve">Process the </w:t>
      </w:r>
      <w:r w:rsidR="00DB2173" w:rsidRPr="00845FB7">
        <w:rPr>
          <w:rFonts w:cstheme="majorBidi"/>
          <w:lang w:val="en-GB" w:eastAsia="en-GB"/>
        </w:rPr>
        <w:t xml:space="preserve">second </w:t>
      </w:r>
      <w:r w:rsidR="00D60241" w:rsidRPr="00845FB7">
        <w:rPr>
          <w:rFonts w:cstheme="majorBidi"/>
          <w:lang w:val="en-GB" w:eastAsia="en-GB"/>
        </w:rPr>
        <w:t>full national</w:t>
      </w:r>
      <w:r w:rsidRPr="00845FB7">
        <w:rPr>
          <w:rFonts w:cstheme="majorBidi"/>
          <w:lang w:val="en-GB" w:eastAsia="en-GB"/>
        </w:rPr>
        <w:t xml:space="preserve"> reports submitted </w:t>
      </w:r>
      <w:r w:rsidR="00112EAB" w:rsidRPr="00845FB7">
        <w:rPr>
          <w:rFonts w:cstheme="majorBidi"/>
          <w:lang w:val="en-GB" w:eastAsia="en-GB"/>
        </w:rPr>
        <w:t xml:space="preserve">by </w:t>
      </w:r>
      <w:r w:rsidR="00D352E0" w:rsidRPr="00845FB7">
        <w:rPr>
          <w:rFonts w:cstheme="majorBidi"/>
          <w:lang w:val="en-GB" w:eastAsia="en-GB"/>
        </w:rPr>
        <w:t>31</w:t>
      </w:r>
      <w:r w:rsidR="00040666" w:rsidRPr="00845FB7">
        <w:rPr>
          <w:rFonts w:cstheme="majorBidi"/>
          <w:lang w:val="en-GB" w:eastAsia="en-GB"/>
        </w:rPr>
        <w:t xml:space="preserve"> December </w:t>
      </w:r>
      <w:r w:rsidR="525EDA31" w:rsidRPr="00845FB7">
        <w:rPr>
          <w:rFonts w:cstheme="majorBidi"/>
          <w:lang w:val="en-GB" w:eastAsia="en-GB"/>
        </w:rPr>
        <w:t>202</w:t>
      </w:r>
      <w:r w:rsidR="688C65F4" w:rsidRPr="00845FB7">
        <w:rPr>
          <w:rFonts w:cstheme="majorBidi"/>
          <w:lang w:val="en-GB" w:eastAsia="en-GB"/>
        </w:rPr>
        <w:t>5</w:t>
      </w:r>
      <w:r w:rsidR="00DB2173" w:rsidRPr="00845FB7">
        <w:rPr>
          <w:rFonts w:cstheme="majorBidi"/>
          <w:lang w:val="en-GB" w:eastAsia="en-GB"/>
        </w:rPr>
        <w:t xml:space="preserve"> </w:t>
      </w:r>
      <w:r w:rsidRPr="00845FB7">
        <w:rPr>
          <w:rFonts w:cstheme="majorBidi"/>
          <w:lang w:val="en-GB" w:eastAsia="en-GB"/>
        </w:rPr>
        <w:t xml:space="preserve">for the </w:t>
      </w:r>
      <w:r w:rsidR="00DB2173" w:rsidRPr="00845FB7">
        <w:rPr>
          <w:rFonts w:cstheme="majorBidi"/>
          <w:lang w:val="en-GB" w:eastAsia="en-GB"/>
        </w:rPr>
        <w:t>01 January 2021</w:t>
      </w:r>
      <w:r w:rsidRPr="00845FB7">
        <w:rPr>
          <w:rFonts w:cstheme="majorBidi"/>
          <w:lang w:val="en-GB" w:eastAsia="en-GB"/>
        </w:rPr>
        <w:t xml:space="preserve"> to 31 December </w:t>
      </w:r>
      <w:r w:rsidR="525EDA31" w:rsidRPr="00845FB7">
        <w:rPr>
          <w:rFonts w:cstheme="majorBidi"/>
          <w:lang w:val="en-GB" w:eastAsia="en-GB"/>
        </w:rPr>
        <w:t>202</w:t>
      </w:r>
      <w:r w:rsidR="6BBE0B11" w:rsidRPr="00845FB7">
        <w:rPr>
          <w:rFonts w:cstheme="majorBidi"/>
          <w:lang w:val="en-GB" w:eastAsia="en-GB"/>
        </w:rPr>
        <w:t>4</w:t>
      </w:r>
      <w:r w:rsidR="00DB2173" w:rsidRPr="00845FB7">
        <w:rPr>
          <w:rFonts w:cstheme="majorBidi"/>
          <w:lang w:val="en-GB" w:eastAsia="en-GB"/>
        </w:rPr>
        <w:t xml:space="preserve"> </w:t>
      </w:r>
      <w:r w:rsidRPr="00845FB7">
        <w:rPr>
          <w:rFonts w:cstheme="majorBidi"/>
          <w:lang w:val="en-GB" w:eastAsia="en-GB"/>
        </w:rPr>
        <w:t>reporting period, which includes follow-up for completeness and clarity</w:t>
      </w:r>
      <w:r w:rsidR="006D61EB" w:rsidRPr="00845FB7">
        <w:rPr>
          <w:rFonts w:cstheme="majorBidi"/>
          <w:lang w:val="en-GB" w:eastAsia="en-GB"/>
        </w:rPr>
        <w:t xml:space="preserve"> and sup</w:t>
      </w:r>
      <w:r w:rsidR="00022CB6" w:rsidRPr="00845FB7">
        <w:rPr>
          <w:rFonts w:cstheme="majorBidi"/>
          <w:lang w:val="en-GB" w:eastAsia="en-GB"/>
        </w:rPr>
        <w:t xml:space="preserve">port to </w:t>
      </w:r>
      <w:r w:rsidR="00D60241" w:rsidRPr="00845FB7">
        <w:rPr>
          <w:rFonts w:cstheme="majorBidi"/>
          <w:lang w:val="en-GB" w:eastAsia="en-GB"/>
        </w:rPr>
        <w:t>P</w:t>
      </w:r>
      <w:r w:rsidR="00022CB6" w:rsidRPr="00845FB7">
        <w:rPr>
          <w:rFonts w:cstheme="majorBidi"/>
          <w:lang w:val="en-GB" w:eastAsia="en-GB"/>
        </w:rPr>
        <w:t xml:space="preserve">arties that </w:t>
      </w:r>
      <w:r w:rsidR="00DF2B76" w:rsidRPr="00845FB7">
        <w:rPr>
          <w:rFonts w:cstheme="majorBidi"/>
          <w:lang w:val="en-GB" w:eastAsia="en-GB"/>
        </w:rPr>
        <w:t>have not reported by the deadli</w:t>
      </w:r>
      <w:r w:rsidR="00B132D8" w:rsidRPr="00845FB7">
        <w:rPr>
          <w:rFonts w:cstheme="majorBidi"/>
          <w:lang w:val="en-GB" w:eastAsia="en-GB"/>
        </w:rPr>
        <w:t>ne</w:t>
      </w:r>
      <w:r w:rsidRPr="00845FB7">
        <w:rPr>
          <w:rFonts w:cstheme="majorBidi"/>
          <w:lang w:val="en-GB" w:eastAsia="en-GB"/>
        </w:rPr>
        <w:t xml:space="preserve"> as required</w:t>
      </w:r>
      <w:r w:rsidR="00CD7960">
        <w:rPr>
          <w:rFonts w:cstheme="majorBidi"/>
          <w:lang w:val="en-GB" w:eastAsia="en-GB"/>
        </w:rPr>
        <w:t xml:space="preserve"> </w:t>
      </w:r>
      <w:r w:rsidRPr="00845FB7">
        <w:rPr>
          <w:rFonts w:cstheme="majorBidi"/>
          <w:lang w:val="en-GB" w:eastAsia="en-GB"/>
        </w:rPr>
        <w:t>(staff costs)</w:t>
      </w:r>
      <w:r w:rsidR="001A10F0" w:rsidRPr="00845FB7">
        <w:rPr>
          <w:rFonts w:cstheme="majorBidi"/>
          <w:lang w:val="en-GB" w:eastAsia="en-GB"/>
        </w:rPr>
        <w:t>;</w:t>
      </w:r>
    </w:p>
    <w:p w14:paraId="18FD97E4" w14:textId="356CDDE4" w:rsidR="00E723F8" w:rsidRPr="00845FB7" w:rsidRDefault="00E723F8" w:rsidP="00BD36F8">
      <w:pPr>
        <w:pStyle w:val="ListParagraph"/>
        <w:numPr>
          <w:ilvl w:val="0"/>
          <w:numId w:val="3"/>
        </w:numPr>
        <w:spacing w:after="60"/>
        <w:rPr>
          <w:rFonts w:cstheme="majorBidi"/>
          <w:lang w:val="en-GB" w:eastAsia="en-GB"/>
        </w:rPr>
      </w:pPr>
      <w:r w:rsidRPr="00845FB7">
        <w:rPr>
          <w:rFonts w:cstheme="majorBidi"/>
          <w:lang w:val="en-GB" w:eastAsia="en-GB"/>
        </w:rPr>
        <w:t xml:space="preserve">Analyse the responses submitted for the </w:t>
      </w:r>
      <w:r w:rsidR="00DB2173" w:rsidRPr="00845FB7">
        <w:rPr>
          <w:rFonts w:cstheme="majorBidi"/>
          <w:lang w:val="en-GB" w:eastAsia="en-GB"/>
        </w:rPr>
        <w:t xml:space="preserve">second </w:t>
      </w:r>
      <w:r w:rsidR="69DE6676" w:rsidRPr="00845FB7">
        <w:rPr>
          <w:rFonts w:cstheme="majorBidi"/>
          <w:lang w:val="en-GB" w:eastAsia="en-GB"/>
        </w:rPr>
        <w:t>full</w:t>
      </w:r>
      <w:r w:rsidRPr="00845FB7">
        <w:rPr>
          <w:rFonts w:cstheme="majorBidi"/>
          <w:lang w:val="en-GB" w:eastAsia="en-GB"/>
        </w:rPr>
        <w:t xml:space="preserve"> national report</w:t>
      </w:r>
      <w:r w:rsidR="00D60241" w:rsidRPr="00845FB7">
        <w:rPr>
          <w:rFonts w:cstheme="majorBidi"/>
          <w:lang w:val="en-GB" w:eastAsia="en-GB"/>
        </w:rPr>
        <w:t xml:space="preserve"> </w:t>
      </w:r>
      <w:r w:rsidRPr="00845FB7">
        <w:rPr>
          <w:rFonts w:cstheme="majorBidi"/>
          <w:lang w:val="en-GB" w:eastAsia="en-GB"/>
        </w:rPr>
        <w:t>(staff costs)</w:t>
      </w:r>
      <w:r w:rsidR="00426632" w:rsidRPr="00845FB7">
        <w:rPr>
          <w:rFonts w:cstheme="majorBidi"/>
          <w:lang w:val="en-GB" w:eastAsia="en-GB"/>
        </w:rPr>
        <w:t>;</w:t>
      </w:r>
    </w:p>
    <w:p w14:paraId="53B8B7BB" w14:textId="760192E2" w:rsidR="00E723F8" w:rsidRPr="00845FB7" w:rsidRDefault="00E723F8" w:rsidP="00BD36F8">
      <w:pPr>
        <w:pStyle w:val="ListParagraph"/>
        <w:numPr>
          <w:ilvl w:val="0"/>
          <w:numId w:val="3"/>
        </w:numPr>
        <w:spacing w:after="60"/>
        <w:rPr>
          <w:rFonts w:cstheme="majorBidi"/>
          <w:lang w:val="en-GB" w:eastAsia="en-GB"/>
        </w:rPr>
      </w:pPr>
      <w:r w:rsidRPr="00845FB7">
        <w:rPr>
          <w:rFonts w:cstheme="majorBidi"/>
          <w:lang w:val="en-GB" w:eastAsia="en-GB"/>
        </w:rPr>
        <w:t>Develop COP-</w:t>
      </w:r>
      <w:r w:rsidR="0CD39CAD" w:rsidRPr="00845FB7">
        <w:rPr>
          <w:rFonts w:cstheme="majorBidi"/>
          <w:lang w:val="en-GB" w:eastAsia="en-GB"/>
        </w:rPr>
        <w:t>7</w:t>
      </w:r>
      <w:r w:rsidR="00DB2173" w:rsidRPr="00845FB7">
        <w:rPr>
          <w:rFonts w:cstheme="majorBidi"/>
          <w:lang w:val="en-GB" w:eastAsia="en-GB"/>
        </w:rPr>
        <w:t xml:space="preserve"> </w:t>
      </w:r>
      <w:r w:rsidRPr="00845FB7">
        <w:rPr>
          <w:rFonts w:cstheme="majorBidi"/>
          <w:lang w:val="en-GB" w:eastAsia="en-GB"/>
        </w:rPr>
        <w:t xml:space="preserve">report on the measures taken by </w:t>
      </w:r>
      <w:r w:rsidR="00426632" w:rsidRPr="00845FB7">
        <w:rPr>
          <w:rFonts w:cstheme="majorBidi"/>
          <w:lang w:val="en-GB" w:eastAsia="en-GB"/>
        </w:rPr>
        <w:t>P</w:t>
      </w:r>
      <w:r w:rsidRPr="00845FB7">
        <w:rPr>
          <w:rFonts w:cstheme="majorBidi"/>
          <w:lang w:val="en-GB" w:eastAsia="en-GB"/>
        </w:rPr>
        <w:t>arties, their reported effectiveness and reported challenges in meeting the objective of the Convention, for the consideration by the Conference of the Parties, for the reporting period, and follow-up any decisions COP-</w:t>
      </w:r>
      <w:r w:rsidR="7373B007" w:rsidRPr="00845FB7">
        <w:rPr>
          <w:rFonts w:cstheme="majorBidi"/>
          <w:lang w:val="en-GB" w:eastAsia="en-GB"/>
        </w:rPr>
        <w:t>6</w:t>
      </w:r>
      <w:r w:rsidR="00DB2173" w:rsidRPr="00845FB7">
        <w:rPr>
          <w:rFonts w:cstheme="majorBidi"/>
          <w:lang w:val="en-GB" w:eastAsia="en-GB"/>
        </w:rPr>
        <w:t xml:space="preserve"> </w:t>
      </w:r>
      <w:r w:rsidRPr="00845FB7">
        <w:rPr>
          <w:rFonts w:cstheme="majorBidi"/>
          <w:lang w:val="en-GB" w:eastAsia="en-GB"/>
        </w:rPr>
        <w:t>may take in this regard</w:t>
      </w:r>
      <w:r w:rsidR="00D60241" w:rsidRPr="00845FB7">
        <w:rPr>
          <w:rFonts w:cstheme="majorBidi"/>
          <w:lang w:val="en-GB" w:eastAsia="en-GB"/>
        </w:rPr>
        <w:t xml:space="preserve"> </w:t>
      </w:r>
      <w:r w:rsidRPr="00845FB7">
        <w:rPr>
          <w:rFonts w:cstheme="majorBidi"/>
          <w:lang w:val="en-GB" w:eastAsia="en-GB"/>
        </w:rPr>
        <w:t>(staff costs).</w:t>
      </w:r>
    </w:p>
    <w:p w14:paraId="706D59B9" w14:textId="1218E3AE" w:rsidR="00E723F8" w:rsidRPr="00845FB7" w:rsidRDefault="00E723F8" w:rsidP="00D60241">
      <w:pPr>
        <w:pStyle w:val="ListParagraph"/>
        <w:numPr>
          <w:ilvl w:val="0"/>
          <w:numId w:val="3"/>
        </w:numPr>
        <w:spacing w:after="60"/>
        <w:rPr>
          <w:rFonts w:cstheme="majorBidi"/>
          <w:lang w:val="en-GB" w:eastAsia="en-GB"/>
        </w:rPr>
      </w:pPr>
      <w:r w:rsidRPr="00845FB7">
        <w:rPr>
          <w:rFonts w:cstheme="majorBidi"/>
          <w:lang w:val="en-GB" w:eastAsia="en-GB"/>
        </w:rPr>
        <w:t>Develop</w:t>
      </w:r>
      <w:r w:rsidR="00D60241" w:rsidRPr="00845FB7">
        <w:rPr>
          <w:rFonts w:cstheme="majorBidi"/>
          <w:lang w:val="en-GB" w:eastAsia="en-GB"/>
        </w:rPr>
        <w:t xml:space="preserve"> </w:t>
      </w:r>
      <w:r w:rsidR="3263910D" w:rsidRPr="00845FB7">
        <w:rPr>
          <w:rFonts w:cstheme="majorBidi"/>
          <w:lang w:val="en-GB" w:eastAsia="en-GB"/>
        </w:rPr>
        <w:t>report</w:t>
      </w:r>
      <w:r w:rsidR="08BAFD60" w:rsidRPr="00845FB7">
        <w:rPr>
          <w:rFonts w:cstheme="majorBidi"/>
          <w:lang w:val="en-GB" w:eastAsia="en-GB"/>
        </w:rPr>
        <w:t>s</w:t>
      </w:r>
      <w:r w:rsidRPr="00845FB7">
        <w:rPr>
          <w:rFonts w:cstheme="majorBidi"/>
          <w:lang w:val="en-GB" w:eastAsia="en-GB"/>
        </w:rPr>
        <w:t xml:space="preserve"> to the Implementation and Compliance Committee </w:t>
      </w:r>
      <w:r w:rsidR="10F6A881" w:rsidRPr="00845FB7">
        <w:rPr>
          <w:rFonts w:cstheme="majorBidi"/>
          <w:lang w:val="en-GB" w:eastAsia="en-GB"/>
        </w:rPr>
        <w:t xml:space="preserve">and </w:t>
      </w:r>
      <w:r w:rsidR="002D20B7" w:rsidRPr="00845FB7">
        <w:rPr>
          <w:rFonts w:cstheme="majorBidi"/>
          <w:lang w:val="en-GB" w:eastAsia="en-GB"/>
        </w:rPr>
        <w:t>the Effectiveness Evaluation Group</w:t>
      </w:r>
      <w:r w:rsidR="10F6A881" w:rsidRPr="00845FB7">
        <w:rPr>
          <w:rFonts w:cstheme="majorBidi"/>
          <w:lang w:val="en-GB" w:eastAsia="en-GB"/>
        </w:rPr>
        <w:t xml:space="preserve"> </w:t>
      </w:r>
      <w:r w:rsidRPr="00845FB7">
        <w:rPr>
          <w:rFonts w:cstheme="majorBidi"/>
          <w:lang w:val="en-GB" w:eastAsia="en-GB"/>
        </w:rPr>
        <w:t>on the responses received for the</w:t>
      </w:r>
      <w:r w:rsidR="00DB2173" w:rsidRPr="00845FB7">
        <w:rPr>
          <w:rFonts w:cstheme="majorBidi"/>
          <w:lang w:val="en-GB" w:eastAsia="en-GB"/>
        </w:rPr>
        <w:t xml:space="preserve"> </w:t>
      </w:r>
      <w:r w:rsidR="009757BB" w:rsidRPr="00845FB7">
        <w:rPr>
          <w:rFonts w:cstheme="majorBidi"/>
          <w:lang w:val="en-GB" w:eastAsia="en-GB"/>
        </w:rPr>
        <w:t xml:space="preserve">second </w:t>
      </w:r>
      <w:r w:rsidR="743BC115" w:rsidRPr="00845FB7">
        <w:rPr>
          <w:rFonts w:cstheme="majorBidi"/>
          <w:lang w:val="en-GB" w:eastAsia="en-GB"/>
        </w:rPr>
        <w:t>full</w:t>
      </w:r>
      <w:r w:rsidRPr="00845FB7">
        <w:rPr>
          <w:rFonts w:cstheme="majorBidi"/>
          <w:lang w:val="en-GB" w:eastAsia="en-GB"/>
        </w:rPr>
        <w:t xml:space="preserve"> reports, for consideration by the </w:t>
      </w:r>
      <w:r w:rsidR="5BF0D922" w:rsidRPr="00845FB7">
        <w:rPr>
          <w:rFonts w:cstheme="majorBidi"/>
          <w:lang w:val="en-GB" w:eastAsia="en-GB"/>
        </w:rPr>
        <w:t>respective bodies</w:t>
      </w:r>
      <w:r w:rsidRPr="00845FB7">
        <w:rPr>
          <w:rFonts w:cstheme="majorBidi"/>
          <w:lang w:val="en-GB" w:eastAsia="en-GB"/>
        </w:rPr>
        <w:t xml:space="preserve"> for the reporting period, and </w:t>
      </w:r>
      <w:r w:rsidR="0F354A97" w:rsidRPr="00845FB7">
        <w:rPr>
          <w:rFonts w:cstheme="majorBidi"/>
          <w:lang w:val="en-GB" w:eastAsia="en-GB"/>
        </w:rPr>
        <w:t>their</w:t>
      </w:r>
      <w:r w:rsidRPr="00845FB7">
        <w:rPr>
          <w:rFonts w:cstheme="majorBidi"/>
          <w:lang w:val="en-GB" w:eastAsia="en-GB"/>
        </w:rPr>
        <w:t xml:space="preserve"> report to the Conference of the Parties. </w:t>
      </w:r>
    </w:p>
    <w:p w14:paraId="2E17F16A" w14:textId="6A01DE7E" w:rsidR="00E723F8" w:rsidRPr="00845FB7" w:rsidRDefault="00E723F8"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Support </w:t>
      </w:r>
      <w:r w:rsidR="006E626D" w:rsidRPr="00845FB7">
        <w:rPr>
          <w:rFonts w:cstheme="majorBidi"/>
          <w:szCs w:val="20"/>
          <w:lang w:val="en-GB" w:eastAsia="en-GB"/>
        </w:rPr>
        <w:t>P</w:t>
      </w:r>
      <w:r w:rsidRPr="00845FB7">
        <w:rPr>
          <w:rFonts w:cstheme="majorBidi"/>
          <w:szCs w:val="20"/>
          <w:lang w:val="en-GB" w:eastAsia="en-GB"/>
        </w:rPr>
        <w:t>arties as needed to clarify information needed for the completion of national reports for the reporting period (staff cost).</w:t>
      </w:r>
    </w:p>
    <w:p w14:paraId="3AE92543" w14:textId="5256A90D" w:rsidR="00244557" w:rsidRPr="00845FB7" w:rsidRDefault="00E723F8" w:rsidP="002B6D1F">
      <w:pPr>
        <w:pStyle w:val="ListParagraph"/>
        <w:numPr>
          <w:ilvl w:val="0"/>
          <w:numId w:val="3"/>
        </w:numPr>
        <w:spacing w:after="60"/>
        <w:rPr>
          <w:rFonts w:cstheme="majorBidi"/>
          <w:lang w:val="en-GB" w:eastAsia="en-GB"/>
        </w:rPr>
      </w:pPr>
      <w:r w:rsidRPr="00845FB7">
        <w:rPr>
          <w:rFonts w:cstheme="majorBidi"/>
          <w:lang w:val="en-GB" w:eastAsia="en-GB"/>
        </w:rPr>
        <w:t>Analyse the outcome of reported efforts (e.g. as contained in MIAs, national plans, national inventories etc).</w:t>
      </w:r>
    </w:p>
    <w:p w14:paraId="165643F2" w14:textId="58F814A7" w:rsidR="00E723F8" w:rsidRPr="00845FB7" w:rsidRDefault="00244557" w:rsidP="00BD36F8">
      <w:pPr>
        <w:jc w:val="left"/>
        <w:rPr>
          <w:rFonts w:cstheme="majorBidi"/>
          <w:szCs w:val="20"/>
          <w:lang w:val="en-GB" w:eastAsia="en-GB"/>
        </w:rPr>
      </w:pPr>
      <w:r w:rsidRPr="00845FB7">
        <w:rPr>
          <w:rFonts w:cstheme="majorBidi"/>
          <w:szCs w:val="20"/>
          <w:lang w:val="en-GB" w:eastAsia="en-GB"/>
        </w:rPr>
        <w:br w:type="page"/>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E723F8" w:rsidRPr="00845FB7" w14:paraId="08173EE8" w14:textId="77777777" w:rsidTr="5A33BAD2">
        <w:tc>
          <w:tcPr>
            <w:tcW w:w="4508" w:type="dxa"/>
          </w:tcPr>
          <w:p w14:paraId="58154D2E" w14:textId="7F5E54DF" w:rsidR="00E723F8" w:rsidRPr="00845FB7" w:rsidRDefault="00E723F8" w:rsidP="00BD36F8">
            <w:pPr>
              <w:spacing w:before="240" w:after="120"/>
              <w:ind w:left="363"/>
              <w:rPr>
                <w:rFonts w:cstheme="majorBidi"/>
                <w:b/>
                <w:bCs/>
                <w:szCs w:val="20"/>
                <w:lang w:val="en-GB" w:eastAsia="en-GB"/>
              </w:rPr>
            </w:pPr>
            <w:r w:rsidRPr="00845FB7">
              <w:rPr>
                <w:rFonts w:cstheme="majorBidi"/>
                <w:b/>
                <w:bCs/>
                <w:szCs w:val="20"/>
                <w:lang w:val="en-GB" w:eastAsia="en-GB"/>
              </w:rPr>
              <w:lastRenderedPageBreak/>
              <w:t>INDICATORS OF ACHIEVEMENT</w:t>
            </w:r>
          </w:p>
          <w:p w14:paraId="443EBD9F" w14:textId="67C89B99" w:rsidR="00E723F8" w:rsidRPr="00845FB7" w:rsidRDefault="00E723F8" w:rsidP="00BD36F8">
            <w:pPr>
              <w:pStyle w:val="ListParagraph"/>
              <w:numPr>
                <w:ilvl w:val="0"/>
                <w:numId w:val="5"/>
              </w:numPr>
              <w:spacing w:after="60"/>
              <w:rPr>
                <w:rFonts w:cstheme="majorBidi"/>
                <w:lang w:val="en-GB" w:eastAsia="en-GB"/>
              </w:rPr>
            </w:pPr>
            <w:r w:rsidRPr="00845FB7">
              <w:rPr>
                <w:rFonts w:cstheme="majorBidi"/>
                <w:lang w:val="en-GB" w:eastAsia="en-GB"/>
              </w:rPr>
              <w:t xml:space="preserve">Submitted </w:t>
            </w:r>
            <w:r w:rsidR="525EDA31" w:rsidRPr="00845FB7">
              <w:rPr>
                <w:rFonts w:cstheme="majorBidi"/>
                <w:lang w:val="en-GB" w:eastAsia="en-GB"/>
              </w:rPr>
              <w:t>202</w:t>
            </w:r>
            <w:r w:rsidR="2C0E9738" w:rsidRPr="00845FB7">
              <w:rPr>
                <w:rFonts w:cstheme="majorBidi"/>
                <w:lang w:val="en-GB" w:eastAsia="en-GB"/>
              </w:rPr>
              <w:t>5</w:t>
            </w:r>
            <w:r w:rsidR="525EDA31" w:rsidRPr="00845FB7">
              <w:rPr>
                <w:rFonts w:cstheme="majorBidi"/>
                <w:lang w:val="en-GB" w:eastAsia="en-GB"/>
              </w:rPr>
              <w:t xml:space="preserve"> </w:t>
            </w:r>
            <w:r w:rsidR="660E8BE2" w:rsidRPr="00845FB7">
              <w:rPr>
                <w:rFonts w:cstheme="majorBidi"/>
                <w:lang w:val="en-GB" w:eastAsia="en-GB"/>
              </w:rPr>
              <w:t>full</w:t>
            </w:r>
            <w:r w:rsidR="009757BB" w:rsidRPr="00845FB7">
              <w:rPr>
                <w:rFonts w:cstheme="majorBidi"/>
                <w:lang w:val="en-GB" w:eastAsia="en-GB"/>
              </w:rPr>
              <w:t xml:space="preserve"> </w:t>
            </w:r>
            <w:r w:rsidRPr="00845FB7">
              <w:rPr>
                <w:rFonts w:cstheme="majorBidi"/>
                <w:lang w:val="en-GB" w:eastAsia="en-GB"/>
              </w:rPr>
              <w:t>national reports for the reporting period are processed, analysed and published</w:t>
            </w:r>
            <w:r w:rsidR="006B458B" w:rsidRPr="00845FB7">
              <w:rPr>
                <w:rFonts w:cstheme="majorBidi"/>
                <w:lang w:val="en-GB" w:eastAsia="en-GB"/>
              </w:rPr>
              <w:t>;</w:t>
            </w:r>
          </w:p>
          <w:p w14:paraId="35FD436C" w14:textId="23777914" w:rsidR="00E723F8" w:rsidRPr="00845FB7" w:rsidRDefault="00E723F8"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 xml:space="preserve">COP is fully informed on measures </w:t>
            </w:r>
            <w:r w:rsidR="005436E4" w:rsidRPr="00845FB7">
              <w:rPr>
                <w:rFonts w:cstheme="majorBidi"/>
                <w:szCs w:val="20"/>
                <w:lang w:val="en-GB" w:eastAsia="en-GB"/>
              </w:rPr>
              <w:t>P</w:t>
            </w:r>
            <w:r w:rsidRPr="00845FB7">
              <w:rPr>
                <w:rFonts w:cstheme="majorBidi"/>
                <w:szCs w:val="20"/>
                <w:lang w:val="en-GB" w:eastAsia="en-GB"/>
              </w:rPr>
              <w:t>arties are taking and their effectiveness, to keep implementation under review</w:t>
            </w:r>
            <w:r w:rsidR="006B458B" w:rsidRPr="00845FB7">
              <w:rPr>
                <w:rFonts w:cstheme="majorBidi"/>
                <w:szCs w:val="20"/>
                <w:lang w:val="en-GB" w:eastAsia="en-GB"/>
              </w:rPr>
              <w:t>;</w:t>
            </w:r>
          </w:p>
          <w:p w14:paraId="7407BA23" w14:textId="73A37BAB" w:rsidR="00E723F8" w:rsidRPr="00845FB7" w:rsidRDefault="00E723F8" w:rsidP="6FBF3F57">
            <w:pPr>
              <w:pStyle w:val="ListParagraph"/>
              <w:numPr>
                <w:ilvl w:val="0"/>
                <w:numId w:val="5"/>
              </w:numPr>
              <w:spacing w:after="60"/>
              <w:rPr>
                <w:rFonts w:cstheme="majorBidi"/>
                <w:lang w:val="en-GB" w:eastAsia="en-GB"/>
              </w:rPr>
            </w:pPr>
            <w:r w:rsidRPr="00845FB7">
              <w:rPr>
                <w:rFonts w:cstheme="majorBidi"/>
                <w:lang w:val="en-GB" w:eastAsia="en-GB"/>
              </w:rPr>
              <w:t xml:space="preserve">ICC </w:t>
            </w:r>
            <w:r w:rsidR="2837B2D3" w:rsidRPr="00845FB7">
              <w:rPr>
                <w:rFonts w:cstheme="majorBidi"/>
                <w:lang w:val="en-GB" w:eastAsia="en-GB"/>
              </w:rPr>
              <w:t xml:space="preserve">and EEG </w:t>
            </w:r>
            <w:r w:rsidR="00D60241" w:rsidRPr="00845FB7">
              <w:rPr>
                <w:rFonts w:cstheme="majorBidi"/>
                <w:lang w:val="en-GB" w:eastAsia="en-GB"/>
              </w:rPr>
              <w:t>are fully</w:t>
            </w:r>
            <w:r w:rsidRPr="00845FB7">
              <w:rPr>
                <w:rFonts w:cstheme="majorBidi"/>
                <w:lang w:val="en-GB" w:eastAsia="en-GB"/>
              </w:rPr>
              <w:t xml:space="preserve"> informed on </w:t>
            </w:r>
            <w:r w:rsidR="04227A60" w:rsidRPr="00845FB7">
              <w:rPr>
                <w:rFonts w:cstheme="majorBidi"/>
                <w:lang w:val="en-GB" w:eastAsia="en-GB"/>
              </w:rPr>
              <w:t xml:space="preserve">relevant responses on </w:t>
            </w:r>
            <w:r w:rsidRPr="00845FB7">
              <w:rPr>
                <w:rFonts w:cstheme="majorBidi"/>
                <w:lang w:val="en-GB" w:eastAsia="en-GB"/>
              </w:rPr>
              <w:t>measures</w:t>
            </w:r>
            <w:r w:rsidR="00E56C31" w:rsidRPr="00845FB7">
              <w:rPr>
                <w:rFonts w:cstheme="majorBidi"/>
                <w:lang w:val="en-GB" w:eastAsia="en-GB"/>
              </w:rPr>
              <w:t>,</w:t>
            </w:r>
            <w:r w:rsidR="001C7ED7" w:rsidRPr="00845FB7">
              <w:rPr>
                <w:rFonts w:cstheme="majorBidi"/>
                <w:lang w:val="en-GB" w:eastAsia="en-GB"/>
              </w:rPr>
              <w:t xml:space="preserve"> effectiveness</w:t>
            </w:r>
            <w:r w:rsidR="04227A60" w:rsidRPr="00845FB7">
              <w:rPr>
                <w:rFonts w:cstheme="majorBidi"/>
                <w:lang w:val="en-GB" w:eastAsia="en-GB"/>
              </w:rPr>
              <w:t xml:space="preserve"> and challenges reported </w:t>
            </w:r>
            <w:r w:rsidR="00D60241" w:rsidRPr="00845FB7">
              <w:rPr>
                <w:rFonts w:cstheme="majorBidi"/>
                <w:lang w:val="en-GB" w:eastAsia="en-GB"/>
              </w:rPr>
              <w:t>by Parties</w:t>
            </w:r>
            <w:r w:rsidR="3422530D" w:rsidRPr="00845FB7">
              <w:rPr>
                <w:rFonts w:cstheme="majorBidi"/>
                <w:lang w:val="en-GB" w:eastAsia="en-GB"/>
              </w:rPr>
              <w:t xml:space="preserve"> </w:t>
            </w:r>
            <w:r w:rsidR="00D60241" w:rsidRPr="00845FB7">
              <w:rPr>
                <w:rFonts w:cstheme="majorBidi"/>
                <w:lang w:val="en-GB" w:eastAsia="en-GB"/>
              </w:rPr>
              <w:t>i</w:t>
            </w:r>
            <w:r w:rsidR="3422530D" w:rsidRPr="00845FB7">
              <w:rPr>
                <w:rFonts w:cstheme="majorBidi"/>
                <w:lang w:val="en-GB" w:eastAsia="en-GB"/>
              </w:rPr>
              <w:t>n their second full national reports.</w:t>
            </w:r>
          </w:p>
          <w:p w14:paraId="501044B9" w14:textId="04EE55BC" w:rsidR="00E723F8" w:rsidRPr="00845FB7" w:rsidRDefault="00E723F8" w:rsidP="00D60241">
            <w:pPr>
              <w:pStyle w:val="ListParagraph"/>
              <w:spacing w:after="60"/>
              <w:rPr>
                <w:rFonts w:cstheme="majorBidi"/>
                <w:lang w:val="en-GB" w:eastAsia="en-GB"/>
              </w:rPr>
            </w:pPr>
          </w:p>
        </w:tc>
        <w:tc>
          <w:tcPr>
            <w:tcW w:w="4508" w:type="dxa"/>
          </w:tcPr>
          <w:p w14:paraId="1C6608B4" w14:textId="11D1C31E" w:rsidR="00E723F8" w:rsidRPr="00845FB7" w:rsidRDefault="00E723F8"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116899F7" w14:textId="52B4F9BB" w:rsidR="00E723F8" w:rsidRPr="00845FB7" w:rsidRDefault="005436E4" w:rsidP="00BD36F8">
            <w:pPr>
              <w:pStyle w:val="ListParagraph"/>
              <w:numPr>
                <w:ilvl w:val="0"/>
                <w:numId w:val="4"/>
              </w:numPr>
              <w:spacing w:after="60"/>
              <w:rPr>
                <w:rFonts w:cstheme="majorBidi"/>
                <w:lang w:val="en-GB" w:eastAsia="en-GB"/>
              </w:rPr>
            </w:pPr>
            <w:r w:rsidRPr="00845FB7">
              <w:rPr>
                <w:rFonts w:cstheme="majorBidi"/>
                <w:lang w:val="en-GB" w:eastAsia="en-GB"/>
              </w:rPr>
              <w:t>S</w:t>
            </w:r>
            <w:r w:rsidR="00E723F8" w:rsidRPr="00845FB7">
              <w:rPr>
                <w:rFonts w:cstheme="majorBidi"/>
                <w:lang w:val="en-GB" w:eastAsia="en-GB"/>
              </w:rPr>
              <w:t>ecretariat report to COP-</w:t>
            </w:r>
            <w:r w:rsidR="5CC2D5A0" w:rsidRPr="00845FB7">
              <w:rPr>
                <w:rFonts w:cstheme="majorBidi"/>
                <w:lang w:val="en-GB" w:eastAsia="en-GB"/>
              </w:rPr>
              <w:t>7</w:t>
            </w:r>
            <w:r w:rsidR="006B458B" w:rsidRPr="00845FB7">
              <w:rPr>
                <w:rFonts w:cstheme="majorBidi"/>
                <w:lang w:val="en-GB" w:eastAsia="en-GB"/>
              </w:rPr>
              <w:t>;</w:t>
            </w:r>
          </w:p>
          <w:p w14:paraId="74E75186" w14:textId="2DAA4828" w:rsidR="00E723F8" w:rsidRPr="00845FB7" w:rsidRDefault="000F4C7D"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Secretariat </w:t>
            </w:r>
            <w:r w:rsidR="00E723F8" w:rsidRPr="00845FB7">
              <w:rPr>
                <w:rFonts w:cstheme="majorBidi"/>
                <w:szCs w:val="20"/>
                <w:lang w:val="en-GB" w:eastAsia="en-GB"/>
              </w:rPr>
              <w:t>report to ICC</w:t>
            </w:r>
            <w:r w:rsidR="00E9576F" w:rsidRPr="00845FB7">
              <w:rPr>
                <w:rFonts w:cstheme="majorBidi"/>
                <w:szCs w:val="20"/>
                <w:lang w:val="en-GB" w:eastAsia="en-GB"/>
              </w:rPr>
              <w:t xml:space="preserve"> and EEG</w:t>
            </w:r>
            <w:r w:rsidR="006B458B" w:rsidRPr="00845FB7">
              <w:rPr>
                <w:rFonts w:cstheme="majorBidi"/>
                <w:szCs w:val="20"/>
                <w:lang w:val="en-GB" w:eastAsia="en-GB"/>
              </w:rPr>
              <w:t>;</w:t>
            </w:r>
          </w:p>
          <w:p w14:paraId="692F75BE" w14:textId="138E6520" w:rsidR="00E723F8" w:rsidRPr="00845FB7" w:rsidRDefault="00E723F8" w:rsidP="00BD36F8">
            <w:pPr>
              <w:pStyle w:val="ListParagraph"/>
              <w:numPr>
                <w:ilvl w:val="0"/>
                <w:numId w:val="4"/>
              </w:numPr>
              <w:spacing w:after="60"/>
              <w:rPr>
                <w:rFonts w:cstheme="majorBidi"/>
                <w:lang w:val="en-GB" w:eastAsia="en-GB"/>
              </w:rPr>
            </w:pPr>
            <w:r w:rsidRPr="00845FB7">
              <w:rPr>
                <w:rFonts w:cstheme="majorBidi"/>
                <w:lang w:val="en-GB" w:eastAsia="en-GB"/>
              </w:rPr>
              <w:t xml:space="preserve">ICC </w:t>
            </w:r>
            <w:r w:rsidR="313B07E7" w:rsidRPr="00845FB7">
              <w:rPr>
                <w:rFonts w:cstheme="majorBidi"/>
                <w:lang w:val="en-GB" w:eastAsia="en-GB"/>
              </w:rPr>
              <w:t xml:space="preserve">and EEG </w:t>
            </w:r>
            <w:r w:rsidR="3263910D" w:rsidRPr="00845FB7">
              <w:rPr>
                <w:rFonts w:cstheme="majorBidi"/>
                <w:lang w:val="en-GB" w:eastAsia="en-GB"/>
              </w:rPr>
              <w:t>report</w:t>
            </w:r>
            <w:r w:rsidR="03A8684B" w:rsidRPr="00845FB7">
              <w:rPr>
                <w:rFonts w:cstheme="majorBidi"/>
                <w:lang w:val="en-GB" w:eastAsia="en-GB"/>
              </w:rPr>
              <w:t>s</w:t>
            </w:r>
            <w:r w:rsidRPr="00845FB7">
              <w:rPr>
                <w:rFonts w:cstheme="majorBidi"/>
                <w:lang w:val="en-GB" w:eastAsia="en-GB"/>
              </w:rPr>
              <w:t xml:space="preserve"> to COP-</w:t>
            </w:r>
            <w:r w:rsidR="039C3688" w:rsidRPr="00845FB7">
              <w:rPr>
                <w:rFonts w:cstheme="majorBidi"/>
                <w:lang w:val="en-GB" w:eastAsia="en-GB"/>
              </w:rPr>
              <w:t>7</w:t>
            </w:r>
            <w:r w:rsidR="006B458B" w:rsidRPr="00845FB7">
              <w:rPr>
                <w:rFonts w:cstheme="majorBidi"/>
                <w:lang w:val="en-GB" w:eastAsia="en-GB"/>
              </w:rPr>
              <w:t>;</w:t>
            </w:r>
          </w:p>
          <w:p w14:paraId="24C2E66E" w14:textId="1A186CF3" w:rsidR="00E723F8" w:rsidRPr="00845FB7" w:rsidRDefault="00E723F8" w:rsidP="6FBF3F57">
            <w:pPr>
              <w:pStyle w:val="ListParagraph"/>
              <w:numPr>
                <w:ilvl w:val="0"/>
                <w:numId w:val="4"/>
              </w:numPr>
              <w:spacing w:after="60"/>
              <w:rPr>
                <w:rFonts w:cstheme="majorBidi"/>
                <w:lang w:val="en-GB" w:eastAsia="en-GB"/>
              </w:rPr>
            </w:pPr>
            <w:r w:rsidRPr="00845FB7">
              <w:rPr>
                <w:rFonts w:cstheme="majorBidi"/>
                <w:lang w:val="en-GB" w:eastAsia="en-GB"/>
              </w:rPr>
              <w:t xml:space="preserve">Complete and published national reports are available on the Minamata </w:t>
            </w:r>
            <w:r w:rsidR="005436E4" w:rsidRPr="00845FB7">
              <w:rPr>
                <w:rFonts w:cstheme="majorBidi"/>
                <w:lang w:val="en-GB" w:eastAsia="en-GB"/>
              </w:rPr>
              <w:t xml:space="preserve">Convention </w:t>
            </w:r>
            <w:r w:rsidRPr="00845FB7">
              <w:rPr>
                <w:rFonts w:cstheme="majorBidi"/>
                <w:lang w:val="en-GB" w:eastAsia="en-GB"/>
              </w:rPr>
              <w:t>website.</w:t>
            </w:r>
          </w:p>
          <w:p w14:paraId="5CC4E1CC" w14:textId="590EF2C5" w:rsidR="00E723F8" w:rsidRPr="00845FB7" w:rsidRDefault="00E723F8" w:rsidP="00922BDA">
            <w:pPr>
              <w:pStyle w:val="ListParagraph"/>
              <w:spacing w:after="60"/>
              <w:rPr>
                <w:rFonts w:cstheme="majorBidi"/>
                <w:lang w:val="en-GB" w:eastAsia="en-GB"/>
              </w:rPr>
            </w:pPr>
          </w:p>
        </w:tc>
      </w:tr>
    </w:tbl>
    <w:p w14:paraId="7ED4FE0E" w14:textId="6978F589" w:rsidR="00E723F8" w:rsidRPr="00845FB7" w:rsidRDefault="00E723F8" w:rsidP="00BD36F8">
      <w:pPr>
        <w:pStyle w:val="Heading2"/>
        <w:spacing w:before="360" w:after="120"/>
        <w:rPr>
          <w:sz w:val="28"/>
          <w:szCs w:val="28"/>
          <w:lang w:val="en-GB"/>
        </w:rPr>
      </w:pPr>
      <w:r w:rsidRPr="00845FB7">
        <w:rPr>
          <w:sz w:val="28"/>
          <w:szCs w:val="28"/>
          <w:lang w:val="en-GB"/>
        </w:rPr>
        <w:t>Component 7.2. Ongoing management of information contained in national reports</w:t>
      </w:r>
    </w:p>
    <w:p w14:paraId="4C234CA1" w14:textId="77777777" w:rsidR="00E723F8" w:rsidRPr="00845FB7" w:rsidRDefault="00E723F8" w:rsidP="00BD36F8">
      <w:pPr>
        <w:spacing w:before="240"/>
        <w:rPr>
          <w:rFonts w:cstheme="majorBidi"/>
          <w:b/>
          <w:bCs/>
          <w:szCs w:val="20"/>
          <w:lang w:val="en-GB" w:eastAsia="en-GB"/>
        </w:rPr>
      </w:pPr>
      <w:r w:rsidRPr="00845FB7">
        <w:rPr>
          <w:rFonts w:cstheme="majorBidi"/>
          <w:b/>
          <w:bCs/>
          <w:lang w:val="en-GB" w:eastAsia="en-GB"/>
        </w:rPr>
        <w:t>OUTCOMES</w:t>
      </w:r>
    </w:p>
    <w:p w14:paraId="013FABE9" w14:textId="30E656BC" w:rsidR="00E723F8" w:rsidRPr="00845FB7" w:rsidRDefault="00E723F8" w:rsidP="00BD36F8">
      <w:pPr>
        <w:spacing w:after="60"/>
        <w:rPr>
          <w:rFonts w:cstheme="majorBidi"/>
          <w:szCs w:val="20"/>
          <w:lang w:val="en-GB" w:eastAsia="en-GB"/>
        </w:rPr>
      </w:pPr>
      <w:r w:rsidRPr="00845FB7">
        <w:rPr>
          <w:rFonts w:cstheme="majorBidi"/>
          <w:szCs w:val="20"/>
          <w:lang w:val="en-GB" w:eastAsia="en-GB"/>
        </w:rPr>
        <w:t xml:space="preserve">The </w:t>
      </w:r>
      <w:r w:rsidR="00FF654C" w:rsidRPr="00845FB7">
        <w:rPr>
          <w:rFonts w:cstheme="majorBidi"/>
          <w:szCs w:val="20"/>
          <w:lang w:val="en-GB" w:eastAsia="en-GB"/>
        </w:rPr>
        <w:t>S</w:t>
      </w:r>
      <w:r w:rsidRPr="00845FB7">
        <w:rPr>
          <w:rFonts w:cstheme="majorBidi"/>
          <w:szCs w:val="20"/>
          <w:lang w:val="en-GB" w:eastAsia="en-GB"/>
        </w:rPr>
        <w:t xml:space="preserve">ecretariat is fully enabled to store, analyse and manage the data and information contained in the national reports submitted through the </w:t>
      </w:r>
      <w:r w:rsidR="001B5F69" w:rsidRPr="00845FB7">
        <w:rPr>
          <w:rFonts w:cstheme="majorBidi"/>
          <w:szCs w:val="20"/>
          <w:lang w:val="en-GB" w:eastAsia="en-GB"/>
        </w:rPr>
        <w:t>Online Reporting Tool</w:t>
      </w:r>
      <w:r w:rsidRPr="00845FB7">
        <w:rPr>
          <w:rFonts w:cstheme="majorBidi"/>
          <w:szCs w:val="20"/>
          <w:lang w:val="en-GB" w:eastAsia="en-GB"/>
        </w:rPr>
        <w:t xml:space="preserve"> to ensure accurate recording of information, sound safeguarding of information, collating and comparing of information for analysis, as well as populate information dashboards for status overviews.</w:t>
      </w:r>
    </w:p>
    <w:p w14:paraId="02B2C0F2" w14:textId="6DBDA878" w:rsidR="00E723F8" w:rsidRPr="00845FB7" w:rsidRDefault="00E723F8" w:rsidP="00BD36F8">
      <w:pPr>
        <w:spacing w:before="240"/>
        <w:rPr>
          <w:rFonts w:cstheme="majorBidi"/>
          <w:b/>
          <w:bCs/>
          <w:szCs w:val="20"/>
          <w:lang w:val="en-GB" w:eastAsia="en-GB"/>
        </w:rPr>
      </w:pPr>
      <w:r w:rsidRPr="00845FB7">
        <w:rPr>
          <w:rFonts w:cstheme="majorBidi"/>
          <w:b/>
          <w:bCs/>
          <w:lang w:val="en-GB" w:eastAsia="en-GB"/>
        </w:rPr>
        <w:t>ACTIVITIES</w:t>
      </w:r>
    </w:p>
    <w:p w14:paraId="1EA0B957" w14:textId="48EF416C" w:rsidR="00E723F8" w:rsidRPr="00845FB7" w:rsidRDefault="00E723F8" w:rsidP="00BD36F8">
      <w:pPr>
        <w:pStyle w:val="ListParagraph"/>
        <w:keepNext/>
        <w:keepLines/>
        <w:numPr>
          <w:ilvl w:val="0"/>
          <w:numId w:val="3"/>
        </w:numPr>
        <w:spacing w:after="60"/>
        <w:rPr>
          <w:rFonts w:cstheme="majorBidi"/>
          <w:lang w:val="en-GB" w:eastAsia="en-GB"/>
        </w:rPr>
      </w:pPr>
      <w:r w:rsidRPr="00845FB7">
        <w:rPr>
          <w:rFonts w:cstheme="majorBidi"/>
          <w:lang w:val="en-GB" w:eastAsia="en-GB"/>
        </w:rPr>
        <w:t xml:space="preserve">Maintain and service </w:t>
      </w:r>
      <w:r w:rsidR="00D60241" w:rsidRPr="00845FB7">
        <w:rPr>
          <w:rFonts w:cstheme="majorBidi"/>
          <w:lang w:val="en-GB" w:eastAsia="en-GB"/>
        </w:rPr>
        <w:t>the Online</w:t>
      </w:r>
      <w:r w:rsidR="00292A4E" w:rsidRPr="00845FB7">
        <w:rPr>
          <w:rFonts w:cstheme="majorBidi"/>
          <w:lang w:val="en-GB" w:eastAsia="en-GB"/>
        </w:rPr>
        <w:t xml:space="preserve"> Reporting Tool</w:t>
      </w:r>
      <w:r w:rsidR="006008E3" w:rsidRPr="00845FB7">
        <w:rPr>
          <w:rFonts w:cstheme="majorBidi"/>
          <w:lang w:val="en-GB" w:eastAsia="en-GB"/>
        </w:rPr>
        <w:t xml:space="preserve"> </w:t>
      </w:r>
      <w:r w:rsidRPr="00845FB7">
        <w:rPr>
          <w:rFonts w:cstheme="majorBidi"/>
          <w:lang w:val="en-GB" w:eastAsia="en-GB"/>
        </w:rPr>
        <w:t xml:space="preserve">for </w:t>
      </w:r>
      <w:r w:rsidR="00FF654C" w:rsidRPr="00845FB7">
        <w:rPr>
          <w:rFonts w:cstheme="majorBidi"/>
          <w:lang w:val="en-GB" w:eastAsia="en-GB"/>
        </w:rPr>
        <w:t>P</w:t>
      </w:r>
      <w:r w:rsidRPr="00845FB7">
        <w:rPr>
          <w:rFonts w:cstheme="majorBidi"/>
          <w:lang w:val="en-GB" w:eastAsia="en-GB"/>
        </w:rPr>
        <w:t>arties to submit national reports</w:t>
      </w:r>
      <w:r w:rsidR="7F3F0270" w:rsidRPr="00845FB7">
        <w:rPr>
          <w:rFonts w:cstheme="majorBidi"/>
          <w:lang w:val="en-GB" w:eastAsia="en-GB"/>
        </w:rPr>
        <w:t xml:space="preserve">, </w:t>
      </w:r>
      <w:r w:rsidR="54172C89" w:rsidRPr="00845FB7">
        <w:rPr>
          <w:rFonts w:cstheme="majorBidi"/>
          <w:lang w:val="en-GB" w:eastAsia="en-GB"/>
        </w:rPr>
        <w:t>related notification</w:t>
      </w:r>
      <w:r w:rsidR="20AD8806" w:rsidRPr="00845FB7">
        <w:rPr>
          <w:rFonts w:cstheme="majorBidi"/>
          <w:lang w:val="en-GB" w:eastAsia="en-GB"/>
        </w:rPr>
        <w:t>s</w:t>
      </w:r>
      <w:r w:rsidR="54172C89" w:rsidRPr="00845FB7">
        <w:rPr>
          <w:rFonts w:cstheme="majorBidi"/>
          <w:lang w:val="en-GB" w:eastAsia="en-GB"/>
        </w:rPr>
        <w:t xml:space="preserve"> and reports,</w:t>
      </w:r>
      <w:r w:rsidRPr="00845FB7">
        <w:rPr>
          <w:rFonts w:cstheme="majorBidi"/>
          <w:lang w:val="en-GB" w:eastAsia="en-GB"/>
        </w:rPr>
        <w:t xml:space="preserve"> and provide support to </w:t>
      </w:r>
      <w:r w:rsidR="001D5AD1" w:rsidRPr="00845FB7">
        <w:rPr>
          <w:rFonts w:cstheme="majorBidi"/>
          <w:lang w:val="en-GB" w:eastAsia="en-GB"/>
        </w:rPr>
        <w:t>P</w:t>
      </w:r>
      <w:r w:rsidRPr="00845FB7">
        <w:rPr>
          <w:rFonts w:cstheme="majorBidi"/>
          <w:lang w:val="en-GB" w:eastAsia="en-GB"/>
        </w:rPr>
        <w:t xml:space="preserve">arties in the use of the </w:t>
      </w:r>
      <w:r w:rsidR="006008E3" w:rsidRPr="00845FB7">
        <w:rPr>
          <w:rFonts w:cstheme="majorBidi"/>
          <w:lang w:val="en-GB" w:eastAsia="en-GB"/>
        </w:rPr>
        <w:t>O</w:t>
      </w:r>
      <w:r w:rsidR="001B5F69" w:rsidRPr="00845FB7">
        <w:rPr>
          <w:rFonts w:cstheme="majorBidi"/>
          <w:lang w:val="en-GB" w:eastAsia="en-GB"/>
        </w:rPr>
        <w:t>nline Reporting Tool</w:t>
      </w:r>
      <w:r w:rsidR="00BA3C14" w:rsidRPr="00845FB7">
        <w:rPr>
          <w:rFonts w:cstheme="majorBidi"/>
          <w:lang w:val="en-GB" w:eastAsia="en-GB"/>
        </w:rPr>
        <w:t>.</w:t>
      </w:r>
    </w:p>
    <w:p w14:paraId="0CFAB4E9" w14:textId="22A6C15D" w:rsidR="00E723F8" w:rsidRPr="00845FB7" w:rsidRDefault="02411D90" w:rsidP="6FBF3F57">
      <w:pPr>
        <w:pStyle w:val="ListParagraph"/>
        <w:numPr>
          <w:ilvl w:val="0"/>
          <w:numId w:val="3"/>
        </w:numPr>
        <w:spacing w:after="60"/>
        <w:rPr>
          <w:rFonts w:cstheme="majorBidi"/>
          <w:szCs w:val="20"/>
          <w:lang w:val="en-GB" w:eastAsia="en-GB"/>
        </w:rPr>
      </w:pPr>
      <w:r w:rsidRPr="00845FB7">
        <w:rPr>
          <w:rFonts w:cstheme="majorBidi"/>
          <w:lang w:val="en-GB" w:eastAsia="en-GB"/>
        </w:rPr>
        <w:t>Improve data management of external files and links that are attached or submitted as part of the national reports.</w:t>
      </w:r>
    </w:p>
    <w:p w14:paraId="16F31124" w14:textId="4AEA9954" w:rsidR="00E723F8" w:rsidRPr="00845FB7" w:rsidRDefault="24D1C27F" w:rsidP="00BD36F8">
      <w:pPr>
        <w:pStyle w:val="ListParagraph"/>
        <w:numPr>
          <w:ilvl w:val="0"/>
          <w:numId w:val="3"/>
        </w:numPr>
        <w:spacing w:after="60"/>
        <w:rPr>
          <w:rFonts w:cstheme="majorBidi"/>
          <w:szCs w:val="20"/>
          <w:lang w:val="en-GB" w:eastAsia="en-GB"/>
        </w:rPr>
      </w:pPr>
      <w:r w:rsidRPr="00845FB7">
        <w:rPr>
          <w:rFonts w:cstheme="majorBidi"/>
          <w:lang w:val="en-GB" w:eastAsia="en-GB"/>
        </w:rPr>
        <w:t>Continue to improve</w:t>
      </w:r>
      <w:r w:rsidR="00875E00" w:rsidRPr="00845FB7">
        <w:rPr>
          <w:rFonts w:cstheme="majorBidi"/>
          <w:lang w:val="en-GB" w:eastAsia="en-GB"/>
        </w:rPr>
        <w:t xml:space="preserve"> the</w:t>
      </w:r>
      <w:r w:rsidR="00E723F8" w:rsidRPr="00845FB7">
        <w:rPr>
          <w:rFonts w:cstheme="majorBidi"/>
          <w:lang w:val="en-GB" w:eastAsia="en-GB"/>
        </w:rPr>
        <w:t xml:space="preserve"> interactive dashboard that draws from the national reports contained in the </w:t>
      </w:r>
      <w:r w:rsidR="00841DEA" w:rsidRPr="00845FB7">
        <w:rPr>
          <w:rFonts w:cstheme="majorBidi"/>
          <w:lang w:val="en-GB" w:eastAsia="en-GB"/>
        </w:rPr>
        <w:t xml:space="preserve">Online Reporting </w:t>
      </w:r>
      <w:r w:rsidR="00D60241" w:rsidRPr="00845FB7">
        <w:rPr>
          <w:rFonts w:cstheme="majorBidi"/>
          <w:lang w:val="en-GB" w:eastAsia="en-GB"/>
        </w:rPr>
        <w:t>Tool.</w:t>
      </w:r>
    </w:p>
    <w:p w14:paraId="05E544B2" w14:textId="4A612CAC" w:rsidR="00E723F8" w:rsidRPr="00845FB7" w:rsidRDefault="74EDFEC4" w:rsidP="00BD36F8">
      <w:pPr>
        <w:pStyle w:val="ListParagraph"/>
        <w:numPr>
          <w:ilvl w:val="0"/>
          <w:numId w:val="3"/>
        </w:numPr>
        <w:spacing w:after="60"/>
        <w:rPr>
          <w:rFonts w:cstheme="majorBidi"/>
          <w:lang w:val="en-GB" w:eastAsia="en-GB"/>
        </w:rPr>
      </w:pPr>
      <w:r w:rsidRPr="00845FB7">
        <w:rPr>
          <w:rFonts w:cstheme="majorBidi"/>
          <w:lang w:val="en-GB" w:eastAsia="en-GB"/>
        </w:rPr>
        <w:t xml:space="preserve">Improve </w:t>
      </w:r>
      <w:r w:rsidR="1E172101" w:rsidRPr="00845FB7">
        <w:rPr>
          <w:rFonts w:cstheme="majorBidi"/>
          <w:lang w:val="en-GB" w:eastAsia="en-GB"/>
        </w:rPr>
        <w:t xml:space="preserve">on </w:t>
      </w:r>
      <w:r w:rsidRPr="00845FB7">
        <w:rPr>
          <w:rFonts w:cstheme="majorBidi"/>
          <w:lang w:val="en-GB" w:eastAsia="en-GB"/>
        </w:rPr>
        <w:t xml:space="preserve">the </w:t>
      </w:r>
      <w:r w:rsidR="00E723F8" w:rsidRPr="00845FB7">
        <w:rPr>
          <w:rFonts w:cstheme="majorBidi"/>
          <w:lang w:val="en-GB" w:eastAsia="en-GB"/>
        </w:rPr>
        <w:t>visualizations drawn from the responses submitted in national reports and related information to inform on the status of implementation and achievements of the Convention.</w:t>
      </w:r>
    </w:p>
    <w:p w14:paraId="47891BBF" w14:textId="697AAD82" w:rsidR="00E723F8" w:rsidRPr="00845FB7" w:rsidRDefault="0090111E" w:rsidP="00BD36F8">
      <w:pPr>
        <w:pStyle w:val="ListParagraph"/>
        <w:numPr>
          <w:ilvl w:val="0"/>
          <w:numId w:val="3"/>
        </w:numPr>
        <w:spacing w:after="60"/>
        <w:rPr>
          <w:rFonts w:cstheme="majorBidi"/>
          <w:szCs w:val="20"/>
          <w:lang w:val="en-GB" w:eastAsia="en-GB"/>
        </w:rPr>
      </w:pPr>
      <w:r w:rsidRPr="00845FB7">
        <w:rPr>
          <w:rFonts w:cstheme="majorBidi"/>
          <w:lang w:val="en-GB" w:eastAsia="en-GB"/>
        </w:rPr>
        <w:t xml:space="preserve">Update the Online Reporting </w:t>
      </w:r>
      <w:r w:rsidR="00D60241" w:rsidRPr="00845FB7">
        <w:rPr>
          <w:rFonts w:cstheme="majorBidi"/>
          <w:lang w:val="en-GB" w:eastAsia="en-GB"/>
        </w:rPr>
        <w:t>Tool for</w:t>
      </w:r>
      <w:r w:rsidRPr="00845FB7">
        <w:rPr>
          <w:rFonts w:cstheme="majorBidi"/>
          <w:lang w:val="en-GB" w:eastAsia="en-GB"/>
        </w:rPr>
        <w:t xml:space="preserve"> the </w:t>
      </w:r>
      <w:r w:rsidR="3F11D650" w:rsidRPr="00845FB7">
        <w:rPr>
          <w:rFonts w:cstheme="majorBidi"/>
          <w:lang w:val="en-GB" w:eastAsia="en-GB"/>
        </w:rPr>
        <w:t xml:space="preserve">third short national reports </w:t>
      </w:r>
      <w:r w:rsidR="00333489" w:rsidRPr="00845FB7">
        <w:rPr>
          <w:rFonts w:cstheme="majorBidi"/>
          <w:lang w:val="en-GB" w:eastAsia="en-GB"/>
        </w:rPr>
        <w:t xml:space="preserve">if needed </w:t>
      </w:r>
      <w:r w:rsidR="3F11D650" w:rsidRPr="00845FB7">
        <w:rPr>
          <w:rFonts w:cstheme="majorBidi"/>
          <w:lang w:val="en-GB" w:eastAsia="en-GB"/>
        </w:rPr>
        <w:t>based on relevant decisions taken at COP-6.</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E723F8" w:rsidRPr="00845FB7" w14:paraId="4321F4CC" w14:textId="77777777" w:rsidTr="00E723F8">
        <w:tc>
          <w:tcPr>
            <w:tcW w:w="4508" w:type="dxa"/>
          </w:tcPr>
          <w:p w14:paraId="281AED02" w14:textId="5520A289" w:rsidR="00E723F8" w:rsidRPr="00845FB7" w:rsidRDefault="00E723F8"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2C031D1A" w14:textId="5977FAF3" w:rsidR="00E723F8" w:rsidRPr="00845FB7" w:rsidRDefault="00E723F8" w:rsidP="00BD36F8">
            <w:pPr>
              <w:pStyle w:val="ListParagraph"/>
              <w:numPr>
                <w:ilvl w:val="0"/>
                <w:numId w:val="5"/>
              </w:numPr>
              <w:spacing w:after="60"/>
              <w:rPr>
                <w:rFonts w:cstheme="majorBidi"/>
                <w:b/>
                <w:bCs/>
                <w:lang w:val="en-GB" w:eastAsia="en-GB"/>
              </w:rPr>
            </w:pPr>
            <w:r w:rsidRPr="00845FB7">
              <w:rPr>
                <w:rFonts w:cstheme="majorBidi"/>
                <w:lang w:val="en-GB" w:eastAsia="en-GB"/>
              </w:rPr>
              <w:t xml:space="preserve">User-friendly access to submit national reports </w:t>
            </w:r>
            <w:r w:rsidR="733CF923" w:rsidRPr="00845FB7">
              <w:rPr>
                <w:rFonts w:cstheme="majorBidi"/>
                <w:lang w:val="en-GB" w:eastAsia="en-GB"/>
              </w:rPr>
              <w:t xml:space="preserve">and other required information </w:t>
            </w:r>
            <w:r w:rsidRPr="00845FB7">
              <w:rPr>
                <w:rFonts w:cstheme="majorBidi"/>
                <w:lang w:val="en-GB" w:eastAsia="en-GB"/>
              </w:rPr>
              <w:t xml:space="preserve">in the </w:t>
            </w:r>
            <w:r w:rsidR="00D33F8A" w:rsidRPr="00845FB7">
              <w:rPr>
                <w:rFonts w:cstheme="majorBidi"/>
                <w:lang w:val="en-GB" w:eastAsia="en-GB"/>
              </w:rPr>
              <w:t>Online Reporting Tool</w:t>
            </w:r>
            <w:r w:rsidRPr="00845FB7">
              <w:rPr>
                <w:rFonts w:cstheme="majorBidi"/>
                <w:lang w:val="en-GB" w:eastAsia="en-GB"/>
              </w:rPr>
              <w:t xml:space="preserve"> via the </w:t>
            </w:r>
            <w:r w:rsidR="006B458B" w:rsidRPr="00845FB7">
              <w:rPr>
                <w:rFonts w:cstheme="majorBidi"/>
                <w:lang w:val="en-GB" w:eastAsia="en-GB"/>
              </w:rPr>
              <w:t>n</w:t>
            </w:r>
            <w:r w:rsidRPr="00845FB7">
              <w:rPr>
                <w:rFonts w:cstheme="majorBidi"/>
                <w:lang w:val="en-GB" w:eastAsia="en-GB"/>
              </w:rPr>
              <w:t xml:space="preserve">ational </w:t>
            </w:r>
            <w:r w:rsidR="006B458B" w:rsidRPr="00845FB7">
              <w:rPr>
                <w:rFonts w:cstheme="majorBidi"/>
                <w:lang w:val="en-GB" w:eastAsia="en-GB"/>
              </w:rPr>
              <w:t>f</w:t>
            </w:r>
            <w:r w:rsidRPr="00845FB7">
              <w:rPr>
                <w:rFonts w:cstheme="majorBidi"/>
                <w:lang w:val="en-GB" w:eastAsia="en-GB"/>
              </w:rPr>
              <w:t xml:space="preserve">ocal </w:t>
            </w:r>
            <w:r w:rsidR="006B458B" w:rsidRPr="00845FB7">
              <w:rPr>
                <w:rFonts w:cstheme="majorBidi"/>
                <w:lang w:val="en-GB" w:eastAsia="en-GB"/>
              </w:rPr>
              <w:t>p</w:t>
            </w:r>
            <w:r w:rsidRPr="00845FB7">
              <w:rPr>
                <w:rFonts w:cstheme="majorBidi"/>
                <w:lang w:val="en-GB" w:eastAsia="en-GB"/>
              </w:rPr>
              <w:t>oint</w:t>
            </w:r>
            <w:r w:rsidR="006B458B" w:rsidRPr="00845FB7">
              <w:rPr>
                <w:rFonts w:cstheme="majorBidi"/>
                <w:lang w:val="en-GB" w:eastAsia="en-GB"/>
              </w:rPr>
              <w:t>;</w:t>
            </w:r>
          </w:p>
          <w:p w14:paraId="0E802AD7" w14:textId="79F1433C" w:rsidR="00E723F8" w:rsidRPr="00845FB7" w:rsidRDefault="00E723F8"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 xml:space="preserve">Accurate recording and storing of information of national reports submitted by </w:t>
            </w:r>
            <w:r w:rsidR="001D5AD1" w:rsidRPr="00845FB7">
              <w:rPr>
                <w:rFonts w:cstheme="majorBidi"/>
                <w:szCs w:val="20"/>
                <w:lang w:val="en-GB" w:eastAsia="en-GB"/>
              </w:rPr>
              <w:t>P</w:t>
            </w:r>
            <w:r w:rsidRPr="00845FB7">
              <w:rPr>
                <w:rFonts w:cstheme="majorBidi"/>
                <w:szCs w:val="20"/>
                <w:lang w:val="en-GB" w:eastAsia="en-GB"/>
              </w:rPr>
              <w:t>arties</w:t>
            </w:r>
            <w:r w:rsidR="006B458B" w:rsidRPr="00845FB7">
              <w:rPr>
                <w:rFonts w:cstheme="majorBidi"/>
                <w:szCs w:val="20"/>
                <w:lang w:val="en-GB" w:eastAsia="en-GB"/>
              </w:rPr>
              <w:t>;</w:t>
            </w:r>
          </w:p>
          <w:p w14:paraId="65F83D04" w14:textId="44C3B4B4" w:rsidR="00E723F8" w:rsidRPr="00845FB7" w:rsidRDefault="00E723F8"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Collating of information into various relevant dashboards</w:t>
            </w:r>
            <w:r w:rsidR="006B458B" w:rsidRPr="00845FB7">
              <w:rPr>
                <w:rFonts w:cstheme="majorBidi"/>
                <w:szCs w:val="20"/>
                <w:lang w:val="en-GB" w:eastAsia="en-GB"/>
              </w:rPr>
              <w:t>;</w:t>
            </w:r>
          </w:p>
          <w:p w14:paraId="7F49A428" w14:textId="22F82E3E" w:rsidR="00E723F8" w:rsidRPr="00845FB7" w:rsidRDefault="00E723F8"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Collating and analysis of information into visualizations for status overviews</w:t>
            </w:r>
            <w:r w:rsidR="006B458B" w:rsidRPr="00845FB7">
              <w:rPr>
                <w:rFonts w:cstheme="majorBidi"/>
                <w:szCs w:val="20"/>
                <w:lang w:val="en-GB" w:eastAsia="en-GB"/>
              </w:rPr>
              <w:t>;</w:t>
            </w:r>
          </w:p>
          <w:p w14:paraId="472B8D57" w14:textId="77777777" w:rsidR="00E723F8" w:rsidRPr="00845FB7" w:rsidRDefault="00E723F8"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Parties and stakeholders have user-friendly access to key information.</w:t>
            </w:r>
          </w:p>
        </w:tc>
        <w:tc>
          <w:tcPr>
            <w:tcW w:w="4508" w:type="dxa"/>
          </w:tcPr>
          <w:p w14:paraId="04D8A63B" w14:textId="5F9151FF" w:rsidR="00E723F8" w:rsidRPr="00845FB7" w:rsidRDefault="00E723F8"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066DD4B8" w14:textId="0E975EDA" w:rsidR="00E723F8" w:rsidRPr="00845FB7" w:rsidRDefault="00E723F8"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Online </w:t>
            </w:r>
            <w:r w:rsidR="002463A3" w:rsidRPr="00845FB7">
              <w:rPr>
                <w:rFonts w:cstheme="majorBidi"/>
                <w:szCs w:val="20"/>
                <w:lang w:val="en-GB" w:eastAsia="en-GB"/>
              </w:rPr>
              <w:t>R</w:t>
            </w:r>
            <w:r w:rsidRPr="00845FB7">
              <w:rPr>
                <w:rFonts w:cstheme="majorBidi"/>
                <w:szCs w:val="20"/>
                <w:lang w:val="en-GB" w:eastAsia="en-GB"/>
              </w:rPr>
              <w:t xml:space="preserve">eporting </w:t>
            </w:r>
            <w:r w:rsidR="002463A3" w:rsidRPr="00845FB7">
              <w:rPr>
                <w:rFonts w:cstheme="majorBidi"/>
                <w:szCs w:val="20"/>
                <w:lang w:val="en-GB" w:eastAsia="en-GB"/>
              </w:rPr>
              <w:t xml:space="preserve">Tool </w:t>
            </w:r>
            <w:r w:rsidRPr="00845FB7">
              <w:rPr>
                <w:rFonts w:cstheme="majorBidi"/>
                <w:szCs w:val="20"/>
                <w:lang w:val="en-GB" w:eastAsia="en-GB"/>
              </w:rPr>
              <w:t xml:space="preserve">fully functional on the Minamata </w:t>
            </w:r>
            <w:r w:rsidR="00D33F8A" w:rsidRPr="00845FB7">
              <w:rPr>
                <w:rFonts w:cstheme="majorBidi"/>
                <w:szCs w:val="20"/>
                <w:lang w:val="en-GB" w:eastAsia="en-GB"/>
              </w:rPr>
              <w:t xml:space="preserve">Convention </w:t>
            </w:r>
            <w:r w:rsidRPr="00845FB7">
              <w:rPr>
                <w:rFonts w:cstheme="majorBidi"/>
                <w:szCs w:val="20"/>
                <w:lang w:val="en-GB" w:eastAsia="en-GB"/>
              </w:rPr>
              <w:t>website</w:t>
            </w:r>
            <w:r w:rsidR="006B458B" w:rsidRPr="00845FB7">
              <w:rPr>
                <w:rFonts w:cstheme="majorBidi"/>
                <w:szCs w:val="20"/>
                <w:lang w:val="en-GB" w:eastAsia="en-GB"/>
              </w:rPr>
              <w:t>;</w:t>
            </w:r>
          </w:p>
          <w:p w14:paraId="3E863B8F" w14:textId="103416CA" w:rsidR="00E723F8" w:rsidRPr="00845FB7" w:rsidRDefault="00E723F8"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Information and guidance on how to use the </w:t>
            </w:r>
            <w:r w:rsidR="00D33F8A" w:rsidRPr="00845FB7">
              <w:rPr>
                <w:rFonts w:cstheme="majorBidi"/>
                <w:szCs w:val="20"/>
                <w:lang w:val="en-GB" w:eastAsia="en-GB"/>
              </w:rPr>
              <w:t>Online R</w:t>
            </w:r>
            <w:r w:rsidRPr="00845FB7">
              <w:rPr>
                <w:rFonts w:cstheme="majorBidi"/>
                <w:szCs w:val="20"/>
                <w:lang w:val="en-GB" w:eastAsia="en-GB"/>
              </w:rPr>
              <w:t xml:space="preserve">eporting </w:t>
            </w:r>
            <w:r w:rsidR="00D33F8A" w:rsidRPr="00845FB7">
              <w:rPr>
                <w:rFonts w:cstheme="majorBidi"/>
                <w:szCs w:val="20"/>
                <w:lang w:val="en-GB" w:eastAsia="en-GB"/>
              </w:rPr>
              <w:t xml:space="preserve">Tool </w:t>
            </w:r>
            <w:r w:rsidRPr="00845FB7">
              <w:rPr>
                <w:rFonts w:cstheme="majorBidi"/>
                <w:szCs w:val="20"/>
                <w:lang w:val="en-GB" w:eastAsia="en-GB"/>
              </w:rPr>
              <w:t>available on the website</w:t>
            </w:r>
            <w:r w:rsidR="006B458B" w:rsidRPr="00845FB7">
              <w:rPr>
                <w:rFonts w:cstheme="majorBidi"/>
                <w:szCs w:val="20"/>
                <w:lang w:val="en-GB" w:eastAsia="en-GB"/>
              </w:rPr>
              <w:t>;</w:t>
            </w:r>
          </w:p>
          <w:p w14:paraId="3EA7B6F0" w14:textId="79DFC4A7" w:rsidR="00E723F8" w:rsidRPr="00845FB7" w:rsidRDefault="00E723F8" w:rsidP="00BD36F8">
            <w:pPr>
              <w:pStyle w:val="ListParagraph"/>
              <w:numPr>
                <w:ilvl w:val="0"/>
                <w:numId w:val="4"/>
              </w:numPr>
              <w:spacing w:after="60"/>
              <w:rPr>
                <w:rFonts w:cstheme="majorBidi"/>
                <w:lang w:val="en-GB" w:eastAsia="en-GB"/>
              </w:rPr>
            </w:pPr>
            <w:r w:rsidRPr="00845FB7">
              <w:rPr>
                <w:rFonts w:cstheme="majorBidi"/>
                <w:lang w:val="en-GB" w:eastAsia="en-GB"/>
              </w:rPr>
              <w:t xml:space="preserve">Dashboard and visualisations available on the website and utilised in various reports by the </w:t>
            </w:r>
            <w:r w:rsidR="005B4EA9" w:rsidRPr="00845FB7">
              <w:rPr>
                <w:rFonts w:cstheme="majorBidi"/>
                <w:lang w:val="en-GB" w:eastAsia="en-GB"/>
              </w:rPr>
              <w:t>S</w:t>
            </w:r>
            <w:r w:rsidRPr="00845FB7">
              <w:rPr>
                <w:rFonts w:cstheme="majorBidi"/>
                <w:lang w:val="en-GB" w:eastAsia="en-GB"/>
              </w:rPr>
              <w:t>ecretariat to support COP</w:t>
            </w:r>
            <w:r w:rsidR="084AE786" w:rsidRPr="00845FB7">
              <w:rPr>
                <w:rFonts w:cstheme="majorBidi"/>
                <w:lang w:val="en-GB" w:eastAsia="en-GB"/>
              </w:rPr>
              <w:t>,</w:t>
            </w:r>
            <w:r w:rsidRPr="00845FB7">
              <w:rPr>
                <w:rFonts w:cstheme="majorBidi"/>
                <w:lang w:val="en-GB" w:eastAsia="en-GB"/>
              </w:rPr>
              <w:t xml:space="preserve"> ICC</w:t>
            </w:r>
            <w:r w:rsidR="723DD4CF" w:rsidRPr="00845FB7">
              <w:rPr>
                <w:rFonts w:cstheme="majorBidi"/>
                <w:lang w:val="en-GB" w:eastAsia="en-GB"/>
              </w:rPr>
              <w:t>, and EEG</w:t>
            </w:r>
            <w:r w:rsidRPr="00845FB7">
              <w:rPr>
                <w:rFonts w:cstheme="majorBidi"/>
                <w:lang w:val="en-GB" w:eastAsia="en-GB"/>
              </w:rPr>
              <w:t xml:space="preserve"> considerations. </w:t>
            </w:r>
          </w:p>
        </w:tc>
      </w:tr>
    </w:tbl>
    <w:p w14:paraId="4040B756" w14:textId="77777777" w:rsidR="000B74C0" w:rsidRPr="00845FB7" w:rsidRDefault="000B74C0">
      <w:pPr>
        <w:jc w:val="left"/>
        <w:rPr>
          <w:b/>
          <w:bCs/>
          <w:sz w:val="28"/>
          <w:szCs w:val="28"/>
          <w:lang w:val="en-GB"/>
        </w:rPr>
      </w:pPr>
      <w:r w:rsidRPr="00845FB7">
        <w:rPr>
          <w:sz w:val="28"/>
          <w:szCs w:val="28"/>
          <w:lang w:val="en-GB"/>
        </w:rPr>
        <w:br w:type="page"/>
      </w:r>
    </w:p>
    <w:p w14:paraId="08B90743" w14:textId="7DE7CA16" w:rsidR="00E723F8" w:rsidRPr="00845FB7" w:rsidRDefault="00E723F8" w:rsidP="00BD36F8">
      <w:pPr>
        <w:pStyle w:val="Heading2"/>
        <w:spacing w:before="360" w:after="120"/>
        <w:rPr>
          <w:sz w:val="28"/>
          <w:szCs w:val="28"/>
          <w:lang w:val="en-GB"/>
        </w:rPr>
      </w:pPr>
      <w:r w:rsidRPr="00845FB7">
        <w:rPr>
          <w:sz w:val="28"/>
          <w:szCs w:val="28"/>
          <w:lang w:val="en-GB"/>
        </w:rPr>
        <w:lastRenderedPageBreak/>
        <w:t xml:space="preserve">Component 7.3. Enhance </w:t>
      </w:r>
      <w:r w:rsidR="33C29ABE" w:rsidRPr="00845FB7">
        <w:rPr>
          <w:sz w:val="28"/>
          <w:szCs w:val="28"/>
          <w:lang w:val="en-GB"/>
        </w:rPr>
        <w:t>P</w:t>
      </w:r>
      <w:r w:rsidRPr="00845FB7">
        <w:rPr>
          <w:sz w:val="28"/>
          <w:szCs w:val="28"/>
          <w:lang w:val="en-GB"/>
        </w:rPr>
        <w:t>arties’ capacity on national reporting</w:t>
      </w:r>
    </w:p>
    <w:p w14:paraId="3D583DF4" w14:textId="7F496565" w:rsidR="00E723F8" w:rsidRPr="00845FB7" w:rsidRDefault="00E723F8" w:rsidP="5A33BAD2">
      <w:pPr>
        <w:spacing w:before="240"/>
        <w:rPr>
          <w:rFonts w:cstheme="majorBidi"/>
          <w:b/>
          <w:bCs/>
          <w:lang w:val="en-GB" w:eastAsia="en-GB"/>
        </w:rPr>
      </w:pPr>
      <w:r w:rsidRPr="00845FB7">
        <w:rPr>
          <w:rFonts w:cstheme="majorBidi"/>
          <w:b/>
          <w:bCs/>
          <w:lang w:val="en-GB" w:eastAsia="en-GB"/>
        </w:rPr>
        <w:t>OUTCOMES</w:t>
      </w:r>
    </w:p>
    <w:p w14:paraId="7D4D7E59" w14:textId="67C8DFA5" w:rsidR="00E723F8" w:rsidRPr="00845FB7" w:rsidRDefault="00E723F8" w:rsidP="00BD36F8">
      <w:pPr>
        <w:spacing w:after="60"/>
        <w:rPr>
          <w:rFonts w:cstheme="majorBidi"/>
          <w:szCs w:val="20"/>
          <w:lang w:val="en-GB" w:eastAsia="en-GB"/>
        </w:rPr>
      </w:pPr>
      <w:r w:rsidRPr="00845FB7">
        <w:rPr>
          <w:rFonts w:cstheme="majorBidi"/>
          <w:szCs w:val="20"/>
          <w:lang w:val="en-GB" w:eastAsia="en-GB"/>
        </w:rPr>
        <w:t xml:space="preserve">Parties’ ability to collate and have available quality and relevant data to inform on their measures to implement the Convention, on the effectiveness of the measures, and on challenges in meeting the objective of the Convention, are enhanced for national reporting purposes under </w:t>
      </w:r>
      <w:r w:rsidR="002B40E4" w:rsidRPr="00845FB7">
        <w:rPr>
          <w:rFonts w:cstheme="majorBidi"/>
          <w:szCs w:val="20"/>
          <w:lang w:val="en-GB" w:eastAsia="en-GB"/>
        </w:rPr>
        <w:t>A</w:t>
      </w:r>
      <w:r w:rsidRPr="00845FB7">
        <w:rPr>
          <w:rFonts w:cstheme="majorBidi"/>
          <w:szCs w:val="20"/>
          <w:lang w:val="en-GB" w:eastAsia="en-GB"/>
        </w:rPr>
        <w:t xml:space="preserve">rticle 21, but also to inform assessments, including the evaluation of the effectiveness of the Convention under </w:t>
      </w:r>
      <w:r w:rsidR="002B40E4" w:rsidRPr="00845FB7">
        <w:rPr>
          <w:rFonts w:cstheme="majorBidi"/>
          <w:szCs w:val="20"/>
          <w:lang w:val="en-GB" w:eastAsia="en-GB"/>
        </w:rPr>
        <w:t>A</w:t>
      </w:r>
      <w:r w:rsidRPr="00845FB7">
        <w:rPr>
          <w:rFonts w:cstheme="majorBidi"/>
          <w:szCs w:val="20"/>
          <w:lang w:val="en-GB" w:eastAsia="en-GB"/>
        </w:rPr>
        <w:t>rticle 22, as well as to review progress on the Sustainable Development Goals.</w:t>
      </w:r>
    </w:p>
    <w:p w14:paraId="20F50BD4" w14:textId="77777777" w:rsidR="00E723F8" w:rsidRPr="00845FB7" w:rsidRDefault="00E723F8" w:rsidP="00BD36F8">
      <w:pPr>
        <w:spacing w:before="240"/>
        <w:rPr>
          <w:rFonts w:cstheme="majorBidi"/>
          <w:b/>
          <w:bCs/>
          <w:szCs w:val="20"/>
          <w:lang w:val="en-GB" w:eastAsia="en-GB"/>
        </w:rPr>
      </w:pPr>
      <w:r w:rsidRPr="00845FB7">
        <w:rPr>
          <w:rFonts w:cstheme="majorBidi"/>
          <w:b/>
          <w:bCs/>
          <w:lang w:val="en-GB" w:eastAsia="en-GB"/>
        </w:rPr>
        <w:t>ACTIVITIES</w:t>
      </w:r>
    </w:p>
    <w:p w14:paraId="73D38247" w14:textId="73004804" w:rsidR="00E723F8" w:rsidRPr="00845FB7" w:rsidRDefault="002B40E4" w:rsidP="00BD36F8">
      <w:pPr>
        <w:pStyle w:val="ListParagraph"/>
        <w:numPr>
          <w:ilvl w:val="0"/>
          <w:numId w:val="3"/>
        </w:numPr>
        <w:spacing w:after="60"/>
        <w:rPr>
          <w:rFonts w:cstheme="majorBidi"/>
          <w:lang w:val="en-GB" w:eastAsia="en-GB"/>
        </w:rPr>
      </w:pPr>
      <w:r w:rsidRPr="00845FB7">
        <w:rPr>
          <w:rFonts w:cstheme="majorBidi"/>
          <w:lang w:val="en-GB" w:eastAsia="en-GB"/>
        </w:rPr>
        <w:t>Keep the</w:t>
      </w:r>
      <w:r w:rsidR="3263910D" w:rsidRPr="00845FB7">
        <w:rPr>
          <w:rFonts w:cstheme="majorBidi"/>
          <w:lang w:val="en-GB" w:eastAsia="en-GB"/>
        </w:rPr>
        <w:t xml:space="preserve"> </w:t>
      </w:r>
      <w:r w:rsidR="00E723F8" w:rsidRPr="00845FB7">
        <w:rPr>
          <w:rFonts w:cstheme="majorBidi"/>
          <w:lang w:val="en-GB" w:eastAsia="en-GB"/>
        </w:rPr>
        <w:t xml:space="preserve">guidance on </w:t>
      </w:r>
      <w:r w:rsidR="73C7F70A" w:rsidRPr="00845FB7">
        <w:rPr>
          <w:rFonts w:cstheme="majorBidi"/>
          <w:lang w:val="en-GB" w:eastAsia="en-GB"/>
        </w:rPr>
        <w:t xml:space="preserve">completing </w:t>
      </w:r>
      <w:r w:rsidR="00E723F8" w:rsidRPr="00845FB7">
        <w:rPr>
          <w:rFonts w:cstheme="majorBidi"/>
          <w:lang w:val="en-GB" w:eastAsia="en-GB"/>
        </w:rPr>
        <w:t xml:space="preserve">the </w:t>
      </w:r>
      <w:r w:rsidR="170E932F" w:rsidRPr="00845FB7">
        <w:rPr>
          <w:rFonts w:cstheme="majorBidi"/>
          <w:lang w:val="en-GB" w:eastAsia="en-GB"/>
        </w:rPr>
        <w:t xml:space="preserve">national reports </w:t>
      </w:r>
      <w:r w:rsidR="005959B7" w:rsidRPr="00845FB7">
        <w:rPr>
          <w:rFonts w:cstheme="majorBidi"/>
          <w:lang w:val="en-GB" w:eastAsia="en-GB"/>
        </w:rPr>
        <w:t xml:space="preserve">updated </w:t>
      </w:r>
      <w:r w:rsidR="170E932F" w:rsidRPr="00845FB7">
        <w:rPr>
          <w:rFonts w:cstheme="majorBidi"/>
          <w:lang w:val="en-GB" w:eastAsia="en-GB"/>
        </w:rPr>
        <w:t>based on relevant</w:t>
      </w:r>
      <w:r w:rsidR="001830A4" w:rsidRPr="00845FB7">
        <w:rPr>
          <w:rFonts w:cstheme="majorBidi"/>
          <w:lang w:val="en-GB" w:eastAsia="en-GB"/>
        </w:rPr>
        <w:t xml:space="preserve"> COP-</w:t>
      </w:r>
      <w:r w:rsidR="109ADB69" w:rsidRPr="00845FB7">
        <w:rPr>
          <w:rFonts w:cstheme="majorBidi"/>
          <w:lang w:val="en-GB" w:eastAsia="en-GB"/>
        </w:rPr>
        <w:t>6 decisions that may affect reporting information</w:t>
      </w:r>
      <w:r w:rsidR="001830A4" w:rsidRPr="00845FB7">
        <w:rPr>
          <w:rFonts w:cstheme="majorBidi"/>
          <w:lang w:val="en-GB" w:eastAsia="en-GB"/>
        </w:rPr>
        <w:t xml:space="preserve"> </w:t>
      </w:r>
      <w:r w:rsidR="00E723F8" w:rsidRPr="00845FB7">
        <w:rPr>
          <w:rFonts w:cstheme="majorBidi"/>
          <w:lang w:val="en-GB" w:eastAsia="en-GB"/>
        </w:rPr>
        <w:t>and prepare for formal dissemination.</w:t>
      </w:r>
    </w:p>
    <w:p w14:paraId="1439DBD3" w14:textId="76068F52" w:rsidR="00E723F8" w:rsidRPr="00845FB7" w:rsidRDefault="6E6A2877" w:rsidP="00BD36F8">
      <w:pPr>
        <w:pStyle w:val="ListParagraph"/>
        <w:numPr>
          <w:ilvl w:val="0"/>
          <w:numId w:val="3"/>
        </w:numPr>
        <w:spacing w:after="60"/>
        <w:rPr>
          <w:rFonts w:cstheme="majorBidi"/>
          <w:lang w:val="en-GB" w:eastAsia="en-GB"/>
        </w:rPr>
      </w:pPr>
      <w:r w:rsidRPr="00845FB7">
        <w:rPr>
          <w:rFonts w:cstheme="majorBidi"/>
          <w:lang w:val="en-GB" w:eastAsia="en-GB"/>
        </w:rPr>
        <w:t>Translate the national reporting guidance and c</w:t>
      </w:r>
      <w:r w:rsidR="00E723F8" w:rsidRPr="00845FB7">
        <w:rPr>
          <w:rFonts w:cstheme="majorBidi"/>
          <w:lang w:val="en-GB" w:eastAsia="en-GB"/>
        </w:rPr>
        <w:t xml:space="preserve">ontinue training </w:t>
      </w:r>
      <w:r w:rsidR="00C00C08" w:rsidRPr="00845FB7">
        <w:rPr>
          <w:rFonts w:cstheme="majorBidi"/>
          <w:lang w:val="en-GB" w:eastAsia="en-GB"/>
        </w:rPr>
        <w:t>P</w:t>
      </w:r>
      <w:r w:rsidR="00E723F8" w:rsidRPr="00845FB7">
        <w:rPr>
          <w:rFonts w:cstheme="majorBidi"/>
          <w:lang w:val="en-GB" w:eastAsia="en-GB"/>
        </w:rPr>
        <w:t>arties on the use of the</w:t>
      </w:r>
      <w:r w:rsidR="0070713E" w:rsidRPr="00845FB7">
        <w:rPr>
          <w:rFonts w:cstheme="majorBidi"/>
          <w:lang w:val="en-GB" w:eastAsia="en-GB"/>
        </w:rPr>
        <w:t xml:space="preserve"> </w:t>
      </w:r>
      <w:r w:rsidR="00E723F8" w:rsidRPr="00845FB7">
        <w:rPr>
          <w:rFonts w:cstheme="majorBidi"/>
          <w:lang w:val="en-GB" w:eastAsia="en-GB"/>
        </w:rPr>
        <w:t xml:space="preserve">guidance to support and enhance their ability to collect and collate the information at the national level required to complete national reports under Article 21, including drawing on lessons-learned on measures implemented, their effectiveness and challenges encountered as per the submitted short and full reports of the </w:t>
      </w:r>
      <w:r w:rsidR="3D5765EC" w:rsidRPr="00845FB7">
        <w:rPr>
          <w:rFonts w:cstheme="majorBidi"/>
          <w:lang w:val="en-GB" w:eastAsia="en-GB"/>
        </w:rPr>
        <w:t>past reporting cycles</w:t>
      </w:r>
      <w:r w:rsidR="00830F81" w:rsidRPr="00845FB7">
        <w:rPr>
          <w:rFonts w:cstheme="majorBidi"/>
          <w:lang w:val="en-GB" w:eastAsia="en-GB"/>
        </w:rPr>
        <w:t>.</w:t>
      </w:r>
    </w:p>
    <w:p w14:paraId="0AB2F536" w14:textId="28F14107" w:rsidR="00E723F8" w:rsidRPr="00845FB7" w:rsidRDefault="00E723F8" w:rsidP="00BD36F8">
      <w:pPr>
        <w:pStyle w:val="ListParagraph"/>
        <w:numPr>
          <w:ilvl w:val="0"/>
          <w:numId w:val="3"/>
        </w:numPr>
        <w:spacing w:after="60"/>
        <w:rPr>
          <w:rFonts w:cstheme="majorBidi"/>
          <w:lang w:val="en-GB" w:eastAsia="en-GB"/>
        </w:rPr>
      </w:pPr>
      <w:r w:rsidRPr="00845FB7">
        <w:rPr>
          <w:rFonts w:cstheme="majorBidi"/>
          <w:lang w:val="en-GB" w:eastAsia="en-GB"/>
        </w:rPr>
        <w:t xml:space="preserve">Engage </w:t>
      </w:r>
      <w:r w:rsidR="00E87E1B" w:rsidRPr="00845FB7">
        <w:rPr>
          <w:rFonts w:cstheme="majorBidi"/>
          <w:lang w:val="en-GB" w:eastAsia="en-GB"/>
        </w:rPr>
        <w:t>P</w:t>
      </w:r>
      <w:r w:rsidRPr="00845FB7">
        <w:rPr>
          <w:rFonts w:cstheme="majorBidi"/>
          <w:lang w:val="en-GB" w:eastAsia="en-GB"/>
        </w:rPr>
        <w:t xml:space="preserve">arties on enhancing their national reporting to inform assessments, including the evaluation of the effectiveness of the Convention under </w:t>
      </w:r>
      <w:r w:rsidR="002B40E4" w:rsidRPr="00845FB7">
        <w:rPr>
          <w:rFonts w:cstheme="majorBidi"/>
          <w:lang w:val="en-GB" w:eastAsia="en-GB"/>
        </w:rPr>
        <w:t>A</w:t>
      </w:r>
      <w:r w:rsidRPr="00845FB7">
        <w:rPr>
          <w:rFonts w:cstheme="majorBidi"/>
          <w:lang w:val="en-GB" w:eastAsia="en-GB"/>
        </w:rPr>
        <w:t>rticle 22.</w:t>
      </w:r>
    </w:p>
    <w:p w14:paraId="0E75DE01" w14:textId="3B96533F" w:rsidR="00E723F8" w:rsidRPr="00845FB7" w:rsidRDefault="00E723F8"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Develop additional information tools, as required to clarify information sought to inform the evaluation of the effectiveness of the Convention as per </w:t>
      </w:r>
      <w:r w:rsidR="002B40E4" w:rsidRPr="00845FB7">
        <w:rPr>
          <w:rFonts w:cstheme="majorBidi"/>
          <w:szCs w:val="20"/>
          <w:lang w:val="en-GB" w:eastAsia="en-GB"/>
        </w:rPr>
        <w:t>A</w:t>
      </w:r>
      <w:r w:rsidRPr="00845FB7">
        <w:rPr>
          <w:rFonts w:cstheme="majorBidi"/>
          <w:szCs w:val="20"/>
          <w:lang w:val="en-GB" w:eastAsia="en-GB"/>
        </w:rPr>
        <w:t>rticle 21.</w:t>
      </w:r>
    </w:p>
    <w:p w14:paraId="59A45F96" w14:textId="7827B5CA" w:rsidR="00E723F8" w:rsidRPr="00845FB7" w:rsidRDefault="00E723F8" w:rsidP="5A33BAD2">
      <w:pPr>
        <w:pStyle w:val="ListParagraph"/>
        <w:numPr>
          <w:ilvl w:val="0"/>
          <w:numId w:val="3"/>
        </w:numPr>
        <w:spacing w:after="60"/>
        <w:rPr>
          <w:rFonts w:cstheme="majorBidi"/>
          <w:lang w:val="en-GB" w:eastAsia="en-GB"/>
        </w:rPr>
      </w:pPr>
      <w:r w:rsidRPr="00845FB7">
        <w:rPr>
          <w:rFonts w:cstheme="majorBidi"/>
          <w:lang w:val="en-GB" w:eastAsia="en-GB"/>
        </w:rPr>
        <w:t>Develop additional information tools required to clarify information sought for other assessments.</w:t>
      </w:r>
    </w:p>
    <w:p w14:paraId="47AFD961" w14:textId="3A95D200" w:rsidR="6E256117" w:rsidRPr="00845FB7" w:rsidRDefault="6E256117" w:rsidP="5A33BAD2">
      <w:pPr>
        <w:pStyle w:val="ListParagraph"/>
        <w:numPr>
          <w:ilvl w:val="0"/>
          <w:numId w:val="3"/>
        </w:numPr>
        <w:spacing w:after="60"/>
        <w:rPr>
          <w:rFonts w:cstheme="majorBidi"/>
          <w:lang w:val="en-GB" w:eastAsia="en-GB"/>
        </w:rPr>
      </w:pPr>
      <w:r w:rsidRPr="00845FB7">
        <w:rPr>
          <w:rFonts w:cstheme="majorBidi"/>
          <w:lang w:val="en-GB" w:eastAsia="en-GB"/>
        </w:rPr>
        <w:t xml:space="preserve">Prepare for the launch of the third short national report by </w:t>
      </w:r>
      <w:r w:rsidR="0038363B" w:rsidRPr="00845FB7">
        <w:rPr>
          <w:rFonts w:cstheme="majorBidi"/>
          <w:lang w:val="en-GB" w:eastAsia="en-GB"/>
        </w:rPr>
        <w:t xml:space="preserve">e.g. </w:t>
      </w:r>
      <w:r w:rsidRPr="00845FB7">
        <w:rPr>
          <w:rFonts w:cstheme="majorBidi"/>
          <w:lang w:val="en-GB" w:eastAsia="en-GB"/>
        </w:rPr>
        <w:t>uploading updated training materials.</w:t>
      </w:r>
    </w:p>
    <w:p w14:paraId="757AE7FC" w14:textId="3FF411D7" w:rsidR="6E256117" w:rsidRPr="00845FB7" w:rsidRDefault="6E256117" w:rsidP="5A33BAD2">
      <w:pPr>
        <w:pStyle w:val="ListParagraph"/>
        <w:numPr>
          <w:ilvl w:val="0"/>
          <w:numId w:val="3"/>
        </w:numPr>
        <w:spacing w:after="60"/>
        <w:rPr>
          <w:rFonts w:cstheme="majorBidi"/>
          <w:lang w:val="en-GB" w:eastAsia="en-GB"/>
        </w:rPr>
      </w:pPr>
      <w:r w:rsidRPr="00845FB7">
        <w:rPr>
          <w:rFonts w:cstheme="majorBidi"/>
          <w:lang w:val="en-GB" w:eastAsia="en-GB"/>
        </w:rPr>
        <w:t>Conduct online training sessions to support Parties to complete their third short national reports.</w:t>
      </w:r>
    </w:p>
    <w:p w14:paraId="33B80277" w14:textId="05DA4A65" w:rsidR="002B40E4" w:rsidRPr="00845FB7" w:rsidRDefault="002B40E4" w:rsidP="5A33BAD2">
      <w:pPr>
        <w:pStyle w:val="ListParagraph"/>
        <w:numPr>
          <w:ilvl w:val="0"/>
          <w:numId w:val="3"/>
        </w:numPr>
        <w:spacing w:after="60"/>
        <w:rPr>
          <w:rFonts w:cstheme="majorBidi"/>
          <w:lang w:val="en-GB" w:eastAsia="en-GB"/>
        </w:rPr>
      </w:pPr>
      <w:r w:rsidRPr="00845FB7">
        <w:rPr>
          <w:rFonts w:cstheme="majorBidi"/>
          <w:lang w:val="en-GB" w:eastAsia="en-GB"/>
        </w:rPr>
        <w:t>Facilitate submission of reports through timely and regular communication with national focal points and social media announcements.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E723F8" w:rsidRPr="00845FB7" w14:paraId="3FB9DBCC" w14:textId="77777777" w:rsidTr="00E723F8">
        <w:tc>
          <w:tcPr>
            <w:tcW w:w="4508" w:type="dxa"/>
          </w:tcPr>
          <w:p w14:paraId="52C6A77B" w14:textId="3E1556BB" w:rsidR="00E723F8" w:rsidRPr="00845FB7" w:rsidRDefault="00E723F8"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2A13FDDD" w14:textId="0955A882" w:rsidR="00E723F8" w:rsidRPr="00845FB7" w:rsidRDefault="00E723F8" w:rsidP="00BD36F8">
            <w:pPr>
              <w:pStyle w:val="ListParagraph"/>
              <w:numPr>
                <w:ilvl w:val="0"/>
                <w:numId w:val="5"/>
              </w:numPr>
              <w:spacing w:after="60"/>
              <w:rPr>
                <w:rFonts w:cstheme="majorBidi"/>
                <w:lang w:val="en-GB" w:eastAsia="en-GB"/>
              </w:rPr>
            </w:pPr>
            <w:r w:rsidRPr="00845FB7">
              <w:rPr>
                <w:rFonts w:cstheme="majorBidi"/>
                <w:lang w:val="en-GB" w:eastAsia="en-GB"/>
              </w:rPr>
              <w:t xml:space="preserve">Reporting guidance </w:t>
            </w:r>
            <w:r w:rsidR="48D522CB" w:rsidRPr="00845FB7">
              <w:rPr>
                <w:rFonts w:cstheme="majorBidi"/>
                <w:lang w:val="en-GB" w:eastAsia="en-GB"/>
              </w:rPr>
              <w:t>updated</w:t>
            </w:r>
            <w:r w:rsidRPr="00845FB7">
              <w:rPr>
                <w:rFonts w:cstheme="majorBidi"/>
                <w:lang w:val="en-GB" w:eastAsia="en-GB"/>
              </w:rPr>
              <w:t xml:space="preserve"> for use</w:t>
            </w:r>
            <w:r w:rsidR="002A221B" w:rsidRPr="00845FB7">
              <w:rPr>
                <w:rFonts w:cstheme="majorBidi"/>
                <w:lang w:val="en-GB" w:eastAsia="en-GB"/>
              </w:rPr>
              <w:t>;</w:t>
            </w:r>
            <w:r w:rsidRPr="00845FB7">
              <w:rPr>
                <w:rFonts w:cstheme="majorBidi"/>
                <w:lang w:val="en-GB" w:eastAsia="en-GB"/>
              </w:rPr>
              <w:t xml:space="preserve"> </w:t>
            </w:r>
          </w:p>
          <w:p w14:paraId="5BFEDB81" w14:textId="29B3E3D2" w:rsidR="00E723F8" w:rsidRPr="00845FB7" w:rsidRDefault="00E723F8"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Parties are fully informed and supported on information required to submit complete and timely national reports</w:t>
            </w:r>
            <w:r w:rsidR="002A221B" w:rsidRPr="00845FB7">
              <w:rPr>
                <w:rFonts w:cstheme="majorBidi"/>
                <w:szCs w:val="20"/>
                <w:lang w:val="en-GB" w:eastAsia="en-GB"/>
              </w:rPr>
              <w:t>;</w:t>
            </w:r>
          </w:p>
          <w:p w14:paraId="5B37C3FF" w14:textId="0EABA1E2" w:rsidR="00E723F8" w:rsidRPr="00845FB7" w:rsidRDefault="00E723F8"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 xml:space="preserve">Information product(s) to enhance national reporting for information to be of </w:t>
            </w:r>
            <w:r w:rsidR="001B6B12" w:rsidRPr="00845FB7">
              <w:rPr>
                <w:rFonts w:cstheme="majorBidi"/>
                <w:szCs w:val="20"/>
                <w:lang w:val="en-GB" w:eastAsia="en-GB"/>
              </w:rPr>
              <w:t>good use</w:t>
            </w:r>
            <w:r w:rsidRPr="00845FB7">
              <w:rPr>
                <w:rFonts w:cstheme="majorBidi"/>
                <w:szCs w:val="20"/>
                <w:lang w:val="en-GB" w:eastAsia="en-GB"/>
              </w:rPr>
              <w:t xml:space="preserve"> also for </w:t>
            </w:r>
            <w:r w:rsidR="002B40E4" w:rsidRPr="00845FB7">
              <w:rPr>
                <w:rFonts w:cstheme="majorBidi"/>
                <w:szCs w:val="20"/>
                <w:lang w:val="en-GB" w:eastAsia="en-GB"/>
              </w:rPr>
              <w:t>A</w:t>
            </w:r>
            <w:r w:rsidRPr="00845FB7">
              <w:rPr>
                <w:rFonts w:cstheme="majorBidi"/>
                <w:szCs w:val="20"/>
                <w:lang w:val="en-GB" w:eastAsia="en-GB"/>
              </w:rPr>
              <w:t>rticle 22 (effectiveness evaluation) and other assessments.</w:t>
            </w:r>
          </w:p>
        </w:tc>
        <w:tc>
          <w:tcPr>
            <w:tcW w:w="4508" w:type="dxa"/>
          </w:tcPr>
          <w:p w14:paraId="580D2204" w14:textId="78018562" w:rsidR="00E723F8" w:rsidRPr="00845FB7" w:rsidRDefault="00E723F8"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0ADEE127" w14:textId="24D09576" w:rsidR="00E723F8" w:rsidRPr="00845FB7" w:rsidRDefault="00E723F8"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Reporting guidance available to </w:t>
            </w:r>
            <w:r w:rsidR="00993213" w:rsidRPr="00845FB7">
              <w:rPr>
                <w:rFonts w:cstheme="majorBidi"/>
                <w:szCs w:val="20"/>
                <w:lang w:val="en-GB" w:eastAsia="en-GB"/>
              </w:rPr>
              <w:t>P</w:t>
            </w:r>
            <w:r w:rsidRPr="00845FB7">
              <w:rPr>
                <w:rFonts w:cstheme="majorBidi"/>
                <w:szCs w:val="20"/>
                <w:lang w:val="en-GB" w:eastAsia="en-GB"/>
              </w:rPr>
              <w:t>arties on the website</w:t>
            </w:r>
            <w:r w:rsidR="002A221B" w:rsidRPr="00845FB7">
              <w:rPr>
                <w:rFonts w:cstheme="majorBidi"/>
                <w:szCs w:val="20"/>
                <w:lang w:val="en-GB" w:eastAsia="en-GB"/>
              </w:rPr>
              <w:t>;</w:t>
            </w:r>
          </w:p>
          <w:p w14:paraId="237045A6" w14:textId="451F866D" w:rsidR="00E723F8" w:rsidRPr="00845FB7" w:rsidRDefault="00E723F8"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Training opportunities on reporting guidance indicated on the website</w:t>
            </w:r>
            <w:r w:rsidR="002A221B" w:rsidRPr="00845FB7">
              <w:rPr>
                <w:rFonts w:cstheme="majorBidi"/>
                <w:szCs w:val="20"/>
                <w:lang w:val="en-GB" w:eastAsia="en-GB"/>
              </w:rPr>
              <w:t>;</w:t>
            </w:r>
          </w:p>
          <w:p w14:paraId="252CB8CA" w14:textId="5E82F971" w:rsidR="00E723F8" w:rsidRPr="00845FB7" w:rsidRDefault="00E723F8"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Information product for enhancing information availability and quality for </w:t>
            </w:r>
            <w:r w:rsidR="002B40E4" w:rsidRPr="00845FB7">
              <w:rPr>
                <w:rFonts w:cstheme="majorBidi"/>
                <w:szCs w:val="20"/>
                <w:lang w:val="en-GB" w:eastAsia="en-GB"/>
              </w:rPr>
              <w:t>A</w:t>
            </w:r>
            <w:r w:rsidR="002A221B" w:rsidRPr="00845FB7">
              <w:rPr>
                <w:rFonts w:cstheme="majorBidi"/>
                <w:szCs w:val="20"/>
                <w:lang w:val="en-GB" w:eastAsia="en-GB"/>
              </w:rPr>
              <w:t>rticle</w:t>
            </w:r>
            <w:r w:rsidRPr="00845FB7">
              <w:rPr>
                <w:rFonts w:cstheme="majorBidi"/>
                <w:szCs w:val="20"/>
                <w:lang w:val="en-GB" w:eastAsia="en-GB"/>
              </w:rPr>
              <w:t xml:space="preserve"> 22, and potentially other assessments.</w:t>
            </w:r>
          </w:p>
        </w:tc>
      </w:tr>
    </w:tbl>
    <w:p w14:paraId="583206B6" w14:textId="0BFCC219" w:rsidR="00E723F8" w:rsidRPr="00845FB7" w:rsidRDefault="00E723F8" w:rsidP="00E723F8">
      <w:pPr>
        <w:pStyle w:val="Heading3"/>
        <w:rPr>
          <w:sz w:val="24"/>
          <w:lang w:val="en-GB"/>
        </w:rPr>
      </w:pPr>
      <w:r w:rsidRPr="00845FB7">
        <w:rPr>
          <w:sz w:val="24"/>
          <w:lang w:val="en-GB"/>
        </w:rPr>
        <w:t>Partners</w:t>
      </w:r>
    </w:p>
    <w:p w14:paraId="123859A6" w14:textId="50C0B8A6" w:rsidR="00E723F8" w:rsidRPr="00845FB7" w:rsidRDefault="1B5934AD" w:rsidP="5A33BAD2">
      <w:pPr>
        <w:spacing w:after="60" w:line="276" w:lineRule="auto"/>
        <w:rPr>
          <w:rFonts w:cstheme="majorBidi"/>
          <w:lang w:val="en-GB"/>
        </w:rPr>
      </w:pPr>
      <w:r w:rsidRPr="00845FB7">
        <w:rPr>
          <w:rFonts w:cstheme="majorBidi"/>
          <w:lang w:val="en-GB"/>
        </w:rPr>
        <w:t xml:space="preserve">WHO, ILO, </w:t>
      </w:r>
      <w:proofErr w:type="spellStart"/>
      <w:r w:rsidR="00E723F8" w:rsidRPr="00845FB7">
        <w:rPr>
          <w:rFonts w:cstheme="majorBidi"/>
          <w:lang w:val="en-GB"/>
        </w:rPr>
        <w:t>InforMEA</w:t>
      </w:r>
      <w:proofErr w:type="spellEnd"/>
      <w:r w:rsidR="062E207D" w:rsidRPr="00845FB7">
        <w:rPr>
          <w:rFonts w:cstheme="majorBidi"/>
          <w:lang w:val="en-GB"/>
        </w:rPr>
        <w:t>, UN</w:t>
      </w:r>
      <w:r w:rsidR="7EBEAA2D" w:rsidRPr="00845FB7">
        <w:rPr>
          <w:rFonts w:cstheme="majorBidi"/>
          <w:lang w:val="en-GB"/>
        </w:rPr>
        <w:t>SSC</w:t>
      </w:r>
      <w:r w:rsidR="3E702897" w:rsidRPr="00845FB7">
        <w:rPr>
          <w:rFonts w:cstheme="majorBidi"/>
          <w:lang w:val="en-GB"/>
        </w:rPr>
        <w:t xml:space="preserve">, </w:t>
      </w:r>
      <w:r w:rsidR="3E702897" w:rsidRPr="00845FB7">
        <w:rPr>
          <w:lang w:val="en-GB"/>
        </w:rPr>
        <w:t>Basel and Stockholm Convention Regional Centres</w:t>
      </w:r>
    </w:p>
    <w:p w14:paraId="16D3ED81" w14:textId="7511980D" w:rsidR="00E723F8" w:rsidRPr="00845FB7" w:rsidRDefault="00E723F8" w:rsidP="00E723F8">
      <w:pPr>
        <w:pStyle w:val="Heading3"/>
        <w:rPr>
          <w:sz w:val="24"/>
          <w:lang w:val="en-GB"/>
        </w:rPr>
      </w:pPr>
      <w:r w:rsidRPr="00845FB7">
        <w:rPr>
          <w:sz w:val="24"/>
          <w:lang w:val="en-GB"/>
        </w:rPr>
        <w:t>Socio-economic aspects</w:t>
      </w:r>
    </w:p>
    <w:p w14:paraId="5B4B2A2E" w14:textId="77777777" w:rsidR="00E723F8" w:rsidRPr="00845FB7" w:rsidRDefault="00E723F8"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National reporting under the Convention will contribute directly to achieve the 2030 Agenda for Sustainable Development. Contributions will be made to the following targets:</w:t>
      </w:r>
    </w:p>
    <w:p w14:paraId="6D9E0904" w14:textId="77777777" w:rsidR="00E723F8" w:rsidRPr="00845FB7" w:rsidRDefault="00E723F8" w:rsidP="00BD36F8">
      <w:pPr>
        <w:pStyle w:val="ListParagraph"/>
        <w:numPr>
          <w:ilvl w:val="0"/>
          <w:numId w:val="8"/>
        </w:numPr>
        <w:spacing w:after="120" w:line="276" w:lineRule="auto"/>
        <w:rPr>
          <w:rFonts w:cstheme="majorBidi"/>
          <w:szCs w:val="20"/>
          <w:lang w:val="en-GB"/>
        </w:rPr>
      </w:pPr>
      <w:r w:rsidRPr="00845FB7">
        <w:rPr>
          <w:rFonts w:cstheme="majorBidi"/>
          <w:szCs w:val="20"/>
          <w:lang w:val="en-GB"/>
        </w:rPr>
        <w:t xml:space="preserve">Target 3.9: By 2030, substantially reduce the number of deaths and illnesses from hazardous chemicals and air, water and soil pollution and contamination </w:t>
      </w:r>
    </w:p>
    <w:p w14:paraId="62CCC447" w14:textId="77777777" w:rsidR="00E723F8" w:rsidRPr="00845FB7" w:rsidRDefault="00E723F8" w:rsidP="00BD36F8">
      <w:pPr>
        <w:pStyle w:val="ListParagraph"/>
        <w:numPr>
          <w:ilvl w:val="0"/>
          <w:numId w:val="8"/>
        </w:numPr>
        <w:spacing w:after="120" w:line="276" w:lineRule="auto"/>
        <w:rPr>
          <w:rFonts w:cstheme="majorBidi"/>
          <w:szCs w:val="20"/>
          <w:lang w:val="en-GB"/>
        </w:rPr>
      </w:pPr>
      <w:r w:rsidRPr="00845FB7">
        <w:rPr>
          <w:rFonts w:cstheme="majorBidi"/>
          <w:szCs w:val="20"/>
          <w:lang w:val="en-GB"/>
        </w:rPr>
        <w:t xml:space="preserve">Target 6.3: By 2030, improve water quality by reducing pollution, eliminating dumping and minimizing release of hazardous chemicals and materials, halving the proportion of untreated wastewater and substantially increasing recycling and safe reuse globally </w:t>
      </w:r>
    </w:p>
    <w:p w14:paraId="6492D24C" w14:textId="77777777" w:rsidR="00E723F8" w:rsidRPr="00845FB7" w:rsidRDefault="00E723F8" w:rsidP="00BD36F8">
      <w:pPr>
        <w:pStyle w:val="ListParagraph"/>
        <w:numPr>
          <w:ilvl w:val="0"/>
          <w:numId w:val="8"/>
        </w:numPr>
        <w:spacing w:after="120" w:line="276" w:lineRule="auto"/>
        <w:rPr>
          <w:rFonts w:cstheme="majorBidi"/>
          <w:szCs w:val="20"/>
          <w:lang w:val="en-GB"/>
        </w:rPr>
      </w:pPr>
      <w:r w:rsidRPr="00845FB7">
        <w:rPr>
          <w:rFonts w:cstheme="majorBidi"/>
          <w:szCs w:val="20"/>
          <w:lang w:val="en-GB"/>
        </w:rPr>
        <w:lastRenderedPageBreak/>
        <w:t xml:space="preserve">Target 12.4: By 2020, achieve the environmentally sound management of chemicals and all wastes throughout their life cycle, in accordance with agreed international frameworks, and significantly reduce their release to air, water and soil </w:t>
      </w:r>
      <w:proofErr w:type="gramStart"/>
      <w:r w:rsidRPr="00845FB7">
        <w:rPr>
          <w:rFonts w:cstheme="majorBidi"/>
          <w:szCs w:val="20"/>
          <w:lang w:val="en-GB"/>
        </w:rPr>
        <w:t>in order to</w:t>
      </w:r>
      <w:proofErr w:type="gramEnd"/>
      <w:r w:rsidRPr="00845FB7">
        <w:rPr>
          <w:rFonts w:cstheme="majorBidi"/>
          <w:szCs w:val="20"/>
          <w:lang w:val="en-GB"/>
        </w:rPr>
        <w:t xml:space="preserve"> minimize their adverse impacts on human health and the environment.</w:t>
      </w:r>
    </w:p>
    <w:p w14:paraId="6F9AAD22" w14:textId="50FB4ED2" w:rsidR="00E723F8" w:rsidRPr="00845FB7" w:rsidRDefault="00E723F8" w:rsidP="00E723F8">
      <w:pPr>
        <w:jc w:val="left"/>
        <w:rPr>
          <w:rFonts w:eastAsiaTheme="majorEastAsia" w:cstheme="majorBidi"/>
          <w:b/>
          <w:sz w:val="26"/>
          <w:szCs w:val="24"/>
          <w:lang w:val="en-GB"/>
          <w14:textOutline w14:w="9525" w14:cap="rnd" w14:cmpd="sng" w14:algn="ctr">
            <w14:noFill/>
            <w14:prstDash w14:val="solid"/>
            <w14:bevel/>
          </w14:textOutline>
        </w:rPr>
      </w:pPr>
    </w:p>
    <w:p w14:paraId="1BF0F767" w14:textId="77777777" w:rsidR="00E723F8" w:rsidRPr="00845FB7" w:rsidRDefault="00E723F8" w:rsidP="00E723F8">
      <w:pPr>
        <w:pStyle w:val="Heading3"/>
        <w:rPr>
          <w:lang w:val="en-GB"/>
        </w:rPr>
        <w:sectPr w:rsidR="00E723F8" w:rsidRPr="00845FB7" w:rsidSect="00906D6E">
          <w:pgSz w:w="11906" w:h="16838" w:code="9"/>
          <w:pgMar w:top="907" w:right="992" w:bottom="1418" w:left="1418" w:header="539" w:footer="975" w:gutter="0"/>
          <w:cols w:space="708"/>
          <w:titlePg/>
          <w:docGrid w:linePitch="360"/>
        </w:sectPr>
      </w:pPr>
    </w:p>
    <w:p w14:paraId="064FDC40" w14:textId="270D313B" w:rsidR="00E723F8" w:rsidRPr="00845FB7" w:rsidRDefault="00E723F8" w:rsidP="00E723F8">
      <w:pPr>
        <w:pStyle w:val="Heading3"/>
        <w:rPr>
          <w:sz w:val="24"/>
          <w:lang w:val="en-GB"/>
        </w:rPr>
      </w:pPr>
      <w:r w:rsidRPr="00845FB7">
        <w:rPr>
          <w:sz w:val="24"/>
          <w:lang w:val="en-GB"/>
        </w:rPr>
        <w:lastRenderedPageBreak/>
        <w:t>Resources requirements</w:t>
      </w:r>
    </w:p>
    <w:tbl>
      <w:tblPr>
        <w:tblW w:w="145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851"/>
        <w:gridCol w:w="850"/>
        <w:gridCol w:w="993"/>
        <w:gridCol w:w="708"/>
        <w:gridCol w:w="851"/>
        <w:gridCol w:w="850"/>
        <w:gridCol w:w="851"/>
        <w:gridCol w:w="992"/>
        <w:gridCol w:w="992"/>
        <w:gridCol w:w="856"/>
        <w:gridCol w:w="989"/>
        <w:gridCol w:w="849"/>
      </w:tblGrid>
      <w:tr w:rsidR="00B17ED1" w:rsidRPr="00922BDA" w14:paraId="7F0223F7" w14:textId="77777777" w:rsidTr="001D625A">
        <w:trPr>
          <w:trHeight w:val="315"/>
        </w:trPr>
        <w:tc>
          <w:tcPr>
            <w:tcW w:w="3961" w:type="dxa"/>
            <w:vMerge w:val="restart"/>
            <w:tcBorders>
              <w:top w:val="single" w:sz="6" w:space="0" w:color="auto"/>
              <w:left w:val="single" w:sz="6" w:space="0" w:color="auto"/>
              <w:bottom w:val="single" w:sz="6" w:space="0" w:color="auto"/>
              <w:right w:val="single" w:sz="6" w:space="0" w:color="auto"/>
            </w:tcBorders>
            <w:vAlign w:val="center"/>
            <w:hideMark/>
          </w:tcPr>
          <w:p w14:paraId="3B71F45A"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Activity/Output</w:t>
            </w:r>
            <w:r w:rsidRPr="00922BDA">
              <w:rPr>
                <w:rFonts w:eastAsia="Times New Roman" w:cs="Segoe UI"/>
                <w:color w:val="000000"/>
                <w:sz w:val="16"/>
                <w:szCs w:val="16"/>
                <w:lang w:val="en-GB"/>
              </w:rPr>
              <w:t> </w:t>
            </w:r>
          </w:p>
        </w:tc>
        <w:tc>
          <w:tcPr>
            <w:tcW w:w="5103" w:type="dxa"/>
            <w:gridSpan w:val="6"/>
            <w:tcBorders>
              <w:top w:val="single" w:sz="6" w:space="0" w:color="auto"/>
              <w:left w:val="single" w:sz="6" w:space="0" w:color="auto"/>
              <w:bottom w:val="single" w:sz="6" w:space="0" w:color="auto"/>
              <w:right w:val="single" w:sz="6" w:space="0" w:color="auto"/>
            </w:tcBorders>
            <w:vAlign w:val="center"/>
            <w:hideMark/>
          </w:tcPr>
          <w:p w14:paraId="1DB7F4B1" w14:textId="21A07FE6"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5 per cent scenario (</w:t>
            </w:r>
            <w:r w:rsidR="00E2051A" w:rsidRPr="00922BDA">
              <w:rPr>
                <w:rFonts w:eastAsia="Times New Roman" w:cs="Segoe UI"/>
                <w:b/>
                <w:bCs/>
                <w:color w:val="000000"/>
                <w:sz w:val="16"/>
                <w:szCs w:val="16"/>
                <w:lang w:val="en-GB"/>
              </w:rPr>
              <w:t>2026–2027</w:t>
            </w:r>
            <w:r w:rsidRPr="00922BDA">
              <w:rPr>
                <w:rFonts w:eastAsia="Times New Roman" w:cs="Segoe UI"/>
                <w:b/>
                <w:bCs/>
                <w:color w:val="000000"/>
                <w:sz w:val="16"/>
                <w:szCs w:val="16"/>
                <w:lang w:val="en-GB"/>
              </w:rPr>
              <w:t>)</w:t>
            </w:r>
            <w:r w:rsidRPr="00922BDA">
              <w:rPr>
                <w:rFonts w:eastAsia="Times New Roman" w:cs="Segoe UI"/>
                <w:color w:val="000000"/>
                <w:sz w:val="16"/>
                <w:szCs w:val="16"/>
                <w:lang w:val="en-GB"/>
              </w:rPr>
              <w:t> </w:t>
            </w:r>
          </w:p>
        </w:tc>
        <w:tc>
          <w:tcPr>
            <w:tcW w:w="5529" w:type="dxa"/>
            <w:gridSpan w:val="6"/>
            <w:tcBorders>
              <w:top w:val="single" w:sz="6" w:space="0" w:color="auto"/>
              <w:left w:val="single" w:sz="6" w:space="0" w:color="auto"/>
              <w:bottom w:val="single" w:sz="6" w:space="0" w:color="auto"/>
              <w:right w:val="single" w:sz="6" w:space="0" w:color="auto"/>
            </w:tcBorders>
            <w:vAlign w:val="center"/>
            <w:hideMark/>
          </w:tcPr>
          <w:p w14:paraId="3532F588" w14:textId="23A0E054"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Zero nominal growth scenario (</w:t>
            </w:r>
            <w:r w:rsidR="00E2051A" w:rsidRPr="00922BDA">
              <w:rPr>
                <w:rFonts w:eastAsia="Times New Roman" w:cs="Segoe UI"/>
                <w:b/>
                <w:bCs/>
                <w:color w:val="000000"/>
                <w:sz w:val="16"/>
                <w:szCs w:val="16"/>
                <w:lang w:val="en-GB"/>
              </w:rPr>
              <w:t>2026–2027</w:t>
            </w:r>
            <w:r w:rsidRPr="00922BDA">
              <w:rPr>
                <w:rFonts w:eastAsia="Times New Roman" w:cs="Segoe UI"/>
                <w:b/>
                <w:bCs/>
                <w:color w:val="000000"/>
                <w:sz w:val="16"/>
                <w:szCs w:val="16"/>
                <w:lang w:val="en-GB"/>
              </w:rPr>
              <w:t>)</w:t>
            </w:r>
            <w:r w:rsidRPr="00922BDA">
              <w:rPr>
                <w:rFonts w:eastAsia="Times New Roman" w:cs="Segoe UI"/>
                <w:color w:val="000000"/>
                <w:sz w:val="16"/>
                <w:szCs w:val="16"/>
                <w:lang w:val="en-GB"/>
              </w:rPr>
              <w:t> </w:t>
            </w:r>
          </w:p>
        </w:tc>
      </w:tr>
      <w:tr w:rsidR="00B17ED1" w:rsidRPr="00922BDA" w14:paraId="2BBA76F7" w14:textId="77777777" w:rsidTr="001D625A">
        <w:trPr>
          <w:trHeight w:val="315"/>
        </w:trPr>
        <w:tc>
          <w:tcPr>
            <w:tcW w:w="3961" w:type="dxa"/>
            <w:vMerge/>
            <w:tcBorders>
              <w:top w:val="single" w:sz="6" w:space="0" w:color="auto"/>
              <w:left w:val="single" w:sz="6" w:space="0" w:color="auto"/>
              <w:bottom w:val="single" w:sz="6" w:space="0" w:color="auto"/>
              <w:right w:val="single" w:sz="6" w:space="0" w:color="auto"/>
            </w:tcBorders>
            <w:vAlign w:val="center"/>
            <w:hideMark/>
          </w:tcPr>
          <w:p w14:paraId="102AB877" w14:textId="77777777" w:rsidR="001F50DC" w:rsidRPr="00922BDA" w:rsidRDefault="001F50DC" w:rsidP="001D625A">
            <w:pPr>
              <w:spacing w:after="0" w:line="240" w:lineRule="auto"/>
              <w:rPr>
                <w:rFonts w:ascii="Segoe UI" w:eastAsia="Times New Roman" w:hAnsi="Segoe UI" w:cs="Segoe UI"/>
                <w:sz w:val="16"/>
                <w:szCs w:val="16"/>
                <w:lang w:val="en-GB"/>
              </w:rPr>
            </w:pPr>
          </w:p>
        </w:tc>
        <w:tc>
          <w:tcPr>
            <w:tcW w:w="2694" w:type="dxa"/>
            <w:gridSpan w:val="3"/>
            <w:tcBorders>
              <w:top w:val="single" w:sz="6" w:space="0" w:color="auto"/>
              <w:left w:val="single" w:sz="6" w:space="0" w:color="auto"/>
              <w:bottom w:val="single" w:sz="6" w:space="0" w:color="auto"/>
              <w:right w:val="single" w:sz="6" w:space="0" w:color="auto"/>
            </w:tcBorders>
            <w:vAlign w:val="center"/>
            <w:hideMark/>
          </w:tcPr>
          <w:p w14:paraId="51F358EA"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General trust fund</w:t>
            </w:r>
            <w:r w:rsidRPr="00922BDA">
              <w:rPr>
                <w:rFonts w:eastAsia="Times New Roman" w:cs="Segoe UI"/>
                <w:color w:val="000000"/>
                <w:sz w:val="16"/>
                <w:szCs w:val="16"/>
                <w:lang w:val="en-GB"/>
              </w:rPr>
              <w:t> </w:t>
            </w:r>
          </w:p>
        </w:tc>
        <w:tc>
          <w:tcPr>
            <w:tcW w:w="2409" w:type="dxa"/>
            <w:gridSpan w:val="3"/>
            <w:tcBorders>
              <w:top w:val="single" w:sz="6" w:space="0" w:color="auto"/>
              <w:left w:val="single" w:sz="6" w:space="0" w:color="auto"/>
              <w:bottom w:val="single" w:sz="6" w:space="0" w:color="auto"/>
              <w:right w:val="single" w:sz="6" w:space="0" w:color="auto"/>
            </w:tcBorders>
            <w:vAlign w:val="center"/>
            <w:hideMark/>
          </w:tcPr>
          <w:p w14:paraId="7FA6DEDF"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Special trust fund</w:t>
            </w:r>
            <w:r w:rsidRPr="00922BDA">
              <w:rPr>
                <w:rFonts w:eastAsia="Times New Roman" w:cs="Segoe UI"/>
                <w:color w:val="000000"/>
                <w:sz w:val="16"/>
                <w:szCs w:val="16"/>
                <w:lang w:val="en-GB"/>
              </w:rPr>
              <w:t> </w:t>
            </w:r>
          </w:p>
        </w:tc>
        <w:tc>
          <w:tcPr>
            <w:tcW w:w="2835" w:type="dxa"/>
            <w:gridSpan w:val="3"/>
            <w:tcBorders>
              <w:top w:val="single" w:sz="6" w:space="0" w:color="auto"/>
              <w:left w:val="single" w:sz="6" w:space="0" w:color="auto"/>
              <w:bottom w:val="single" w:sz="6" w:space="0" w:color="auto"/>
              <w:right w:val="single" w:sz="6" w:space="0" w:color="auto"/>
            </w:tcBorders>
            <w:vAlign w:val="center"/>
            <w:hideMark/>
          </w:tcPr>
          <w:p w14:paraId="3FC1175C"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General trust fund</w:t>
            </w:r>
            <w:r w:rsidRPr="00922BDA">
              <w:rPr>
                <w:rFonts w:eastAsia="Times New Roman" w:cs="Segoe UI"/>
                <w:color w:val="000000"/>
                <w:sz w:val="16"/>
                <w:szCs w:val="16"/>
                <w:lang w:val="en-GB"/>
              </w:rPr>
              <w:t> </w:t>
            </w:r>
          </w:p>
        </w:tc>
        <w:tc>
          <w:tcPr>
            <w:tcW w:w="2694" w:type="dxa"/>
            <w:gridSpan w:val="3"/>
            <w:tcBorders>
              <w:top w:val="single" w:sz="6" w:space="0" w:color="auto"/>
              <w:left w:val="single" w:sz="6" w:space="0" w:color="auto"/>
              <w:bottom w:val="single" w:sz="6" w:space="0" w:color="auto"/>
              <w:right w:val="single" w:sz="6" w:space="0" w:color="auto"/>
            </w:tcBorders>
            <w:vAlign w:val="center"/>
            <w:hideMark/>
          </w:tcPr>
          <w:p w14:paraId="6DA9F21F"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Special trust fund</w:t>
            </w:r>
            <w:r w:rsidRPr="00922BDA">
              <w:rPr>
                <w:rFonts w:eastAsia="Times New Roman" w:cs="Segoe UI"/>
                <w:color w:val="000000"/>
                <w:sz w:val="16"/>
                <w:szCs w:val="16"/>
                <w:lang w:val="en-GB"/>
              </w:rPr>
              <w:t> </w:t>
            </w:r>
          </w:p>
        </w:tc>
      </w:tr>
      <w:tr w:rsidR="00B17ED1" w:rsidRPr="00922BDA" w14:paraId="38E82527" w14:textId="77777777" w:rsidTr="001D625A">
        <w:trPr>
          <w:trHeight w:val="540"/>
        </w:trPr>
        <w:tc>
          <w:tcPr>
            <w:tcW w:w="3961" w:type="dxa"/>
            <w:tcBorders>
              <w:top w:val="single" w:sz="6" w:space="0" w:color="auto"/>
              <w:left w:val="single" w:sz="6" w:space="0" w:color="auto"/>
              <w:bottom w:val="single" w:sz="6" w:space="0" w:color="auto"/>
              <w:right w:val="single" w:sz="6" w:space="0" w:color="auto"/>
            </w:tcBorders>
            <w:vAlign w:val="center"/>
            <w:hideMark/>
          </w:tcPr>
          <w:p w14:paraId="2B72A432"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811CA0F"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2026</w:t>
            </w: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0D818EA0"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2027</w:t>
            </w:r>
            <w:r w:rsidRPr="00922BDA">
              <w:rPr>
                <w:rFonts w:eastAsia="Times New Roman" w:cs="Segoe UI"/>
                <w:color w:val="000000"/>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3E493630" w14:textId="13F39AEC"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 xml:space="preserve">Total </w:t>
            </w:r>
            <w:r w:rsidRPr="00922BDA">
              <w:rPr>
                <w:rFonts w:eastAsia="Times New Roman" w:cs="Segoe UI"/>
                <w:color w:val="000000"/>
                <w:sz w:val="16"/>
                <w:szCs w:val="16"/>
                <w:lang w:val="en-GB"/>
              </w:rPr>
              <w:t> </w:t>
            </w:r>
            <w:r w:rsidRPr="00922BDA">
              <w:rPr>
                <w:rFonts w:eastAsia="Times New Roman" w:cs="Segoe UI"/>
                <w:color w:val="000000"/>
                <w:sz w:val="16"/>
                <w:szCs w:val="16"/>
                <w:lang w:val="en-GB"/>
              </w:rPr>
              <w:br/>
            </w:r>
            <w:r w:rsidRPr="00922BDA">
              <w:rPr>
                <w:rFonts w:eastAsia="Times New Roman" w:cs="Segoe UI"/>
                <w:b/>
                <w:bCs/>
                <w:color w:val="000000"/>
                <w:sz w:val="16"/>
                <w:szCs w:val="16"/>
                <w:lang w:val="en-GB"/>
              </w:rPr>
              <w:t>(</w:t>
            </w:r>
            <w:r w:rsidR="00E2051A" w:rsidRPr="00922BDA">
              <w:rPr>
                <w:rFonts w:eastAsia="Times New Roman" w:cs="Segoe UI"/>
                <w:b/>
                <w:bCs/>
                <w:color w:val="000000"/>
                <w:sz w:val="16"/>
                <w:szCs w:val="16"/>
                <w:lang w:val="en-GB"/>
              </w:rPr>
              <w:t>2026–2027</w:t>
            </w:r>
            <w:r w:rsidRPr="00922BDA">
              <w:rPr>
                <w:rFonts w:eastAsia="Times New Roman" w:cs="Segoe UI"/>
                <w:b/>
                <w:bCs/>
                <w:color w:val="000000"/>
                <w:sz w:val="16"/>
                <w:szCs w:val="16"/>
                <w:lang w:val="en-GB"/>
              </w:rPr>
              <w:t>)</w:t>
            </w:r>
            <w:r w:rsidRPr="00922BDA">
              <w:rPr>
                <w:rFonts w:eastAsia="Times New Roman" w:cs="Segoe UI"/>
                <w:color w:val="000000"/>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19B0B3C5"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2026</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AED485C"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2027</w:t>
            </w: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6BFDC94F" w14:textId="0707004B"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 xml:space="preserve">Total </w:t>
            </w:r>
            <w:r w:rsidRPr="00922BDA">
              <w:rPr>
                <w:rFonts w:eastAsia="Times New Roman" w:cs="Segoe UI"/>
                <w:color w:val="000000"/>
                <w:sz w:val="16"/>
                <w:szCs w:val="16"/>
                <w:lang w:val="en-GB"/>
              </w:rPr>
              <w:t> </w:t>
            </w:r>
            <w:r w:rsidRPr="00922BDA">
              <w:rPr>
                <w:rFonts w:eastAsia="Times New Roman" w:cs="Segoe UI"/>
                <w:color w:val="000000"/>
                <w:sz w:val="16"/>
                <w:szCs w:val="16"/>
                <w:lang w:val="en-GB"/>
              </w:rPr>
              <w:br/>
            </w:r>
            <w:r w:rsidRPr="00922BDA">
              <w:rPr>
                <w:rFonts w:eastAsia="Times New Roman" w:cs="Segoe UI"/>
                <w:b/>
                <w:bCs/>
                <w:color w:val="000000"/>
                <w:sz w:val="16"/>
                <w:szCs w:val="16"/>
                <w:lang w:val="en-GB"/>
              </w:rPr>
              <w:t>(</w:t>
            </w:r>
            <w:r w:rsidR="00E2051A" w:rsidRPr="00922BDA">
              <w:rPr>
                <w:rFonts w:eastAsia="Times New Roman" w:cs="Segoe UI"/>
                <w:b/>
                <w:bCs/>
                <w:color w:val="000000"/>
                <w:sz w:val="16"/>
                <w:szCs w:val="16"/>
                <w:lang w:val="en-GB"/>
              </w:rPr>
              <w:t>2026–2027</w:t>
            </w:r>
            <w:r w:rsidRPr="00922BDA">
              <w:rPr>
                <w:rFonts w:eastAsia="Times New Roman" w:cs="Segoe UI"/>
                <w:b/>
                <w:bCs/>
                <w:color w:val="000000"/>
                <w:sz w:val="16"/>
                <w:szCs w:val="16"/>
                <w:lang w:val="en-GB"/>
              </w:rPr>
              <w:t>)</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220DE61"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2026</w:t>
            </w: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41FFDA52"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2027</w:t>
            </w: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0F6766A4" w14:textId="2FE87BA8"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 xml:space="preserve">Total </w:t>
            </w:r>
            <w:r w:rsidRPr="00922BDA">
              <w:rPr>
                <w:rFonts w:eastAsia="Times New Roman" w:cs="Segoe UI"/>
                <w:color w:val="000000"/>
                <w:sz w:val="16"/>
                <w:szCs w:val="16"/>
                <w:lang w:val="en-GB"/>
              </w:rPr>
              <w:t> </w:t>
            </w:r>
            <w:r w:rsidRPr="00922BDA">
              <w:rPr>
                <w:rFonts w:eastAsia="Times New Roman" w:cs="Segoe UI"/>
                <w:color w:val="000000"/>
                <w:sz w:val="16"/>
                <w:szCs w:val="16"/>
                <w:lang w:val="en-GB"/>
              </w:rPr>
              <w:br/>
            </w:r>
            <w:r w:rsidRPr="00922BDA">
              <w:rPr>
                <w:rFonts w:eastAsia="Times New Roman" w:cs="Segoe UI"/>
                <w:b/>
                <w:bCs/>
                <w:color w:val="000000"/>
                <w:sz w:val="16"/>
                <w:szCs w:val="16"/>
                <w:lang w:val="en-GB"/>
              </w:rPr>
              <w:t>(</w:t>
            </w:r>
            <w:r w:rsidR="00E2051A" w:rsidRPr="00922BDA">
              <w:rPr>
                <w:rFonts w:eastAsia="Times New Roman" w:cs="Segoe UI"/>
                <w:b/>
                <w:bCs/>
                <w:color w:val="000000"/>
                <w:sz w:val="16"/>
                <w:szCs w:val="16"/>
                <w:lang w:val="en-GB"/>
              </w:rPr>
              <w:t>2026–2027</w:t>
            </w:r>
            <w:r w:rsidRPr="00922BDA">
              <w:rPr>
                <w:rFonts w:eastAsia="Times New Roman" w:cs="Segoe UI"/>
                <w:b/>
                <w:bCs/>
                <w:color w:val="000000"/>
                <w:sz w:val="16"/>
                <w:szCs w:val="16"/>
                <w:lang w:val="en-GB"/>
              </w:rPr>
              <w:t>)</w:t>
            </w:r>
            <w:r w:rsidRPr="00922BDA">
              <w:rPr>
                <w:rFonts w:eastAsia="Times New Roman" w:cs="Segoe UI"/>
                <w:color w:val="000000"/>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0CD96CCF"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2026</w:t>
            </w:r>
            <w:r w:rsidRPr="00922BDA">
              <w:rPr>
                <w:rFonts w:eastAsia="Times New Roman" w:cs="Segoe UI"/>
                <w:color w:val="000000"/>
                <w:sz w:val="16"/>
                <w:szCs w:val="16"/>
                <w:lang w:val="en-GB"/>
              </w:rPr>
              <w:t> </w:t>
            </w:r>
          </w:p>
        </w:tc>
        <w:tc>
          <w:tcPr>
            <w:tcW w:w="989" w:type="dxa"/>
            <w:tcBorders>
              <w:top w:val="single" w:sz="6" w:space="0" w:color="auto"/>
              <w:left w:val="single" w:sz="6" w:space="0" w:color="auto"/>
              <w:bottom w:val="single" w:sz="6" w:space="0" w:color="auto"/>
              <w:right w:val="single" w:sz="6" w:space="0" w:color="auto"/>
            </w:tcBorders>
            <w:vAlign w:val="center"/>
            <w:hideMark/>
          </w:tcPr>
          <w:p w14:paraId="0C3002C4" w14:textId="77777777"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2027</w:t>
            </w:r>
            <w:r w:rsidRPr="00922BDA">
              <w:rPr>
                <w:rFonts w:eastAsia="Times New Roman" w:cs="Segoe UI"/>
                <w:color w:val="000000"/>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28E6CA35" w14:textId="201D9600" w:rsidR="001F50DC" w:rsidRPr="00922BDA" w:rsidRDefault="001F50DC" w:rsidP="001D625A">
            <w:pPr>
              <w:spacing w:after="0" w:line="240" w:lineRule="auto"/>
              <w:jc w:val="center"/>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 xml:space="preserve">Total </w:t>
            </w:r>
            <w:r w:rsidRPr="00922BDA">
              <w:rPr>
                <w:rFonts w:eastAsia="Times New Roman" w:cs="Segoe UI"/>
                <w:color w:val="000000"/>
                <w:sz w:val="16"/>
                <w:szCs w:val="16"/>
                <w:lang w:val="en-GB"/>
              </w:rPr>
              <w:t> </w:t>
            </w:r>
            <w:r w:rsidRPr="00922BDA">
              <w:rPr>
                <w:rFonts w:eastAsia="Times New Roman" w:cs="Segoe UI"/>
                <w:color w:val="000000"/>
                <w:sz w:val="16"/>
                <w:szCs w:val="16"/>
                <w:lang w:val="en-GB"/>
              </w:rPr>
              <w:br/>
            </w:r>
            <w:r w:rsidRPr="00922BDA">
              <w:rPr>
                <w:rFonts w:eastAsia="Times New Roman" w:cs="Segoe UI"/>
                <w:b/>
                <w:bCs/>
                <w:color w:val="000000"/>
                <w:sz w:val="16"/>
                <w:szCs w:val="16"/>
                <w:lang w:val="en-GB"/>
              </w:rPr>
              <w:t>(</w:t>
            </w:r>
            <w:r w:rsidR="00E2051A" w:rsidRPr="00922BDA">
              <w:rPr>
                <w:rFonts w:eastAsia="Times New Roman" w:cs="Segoe UI"/>
                <w:b/>
                <w:bCs/>
                <w:color w:val="000000"/>
                <w:sz w:val="16"/>
                <w:szCs w:val="16"/>
                <w:lang w:val="en-GB"/>
              </w:rPr>
              <w:t>2026–2027</w:t>
            </w:r>
            <w:r w:rsidRPr="00922BDA">
              <w:rPr>
                <w:rFonts w:eastAsia="Times New Roman" w:cs="Segoe UI"/>
                <w:b/>
                <w:bCs/>
                <w:color w:val="000000"/>
                <w:sz w:val="16"/>
                <w:szCs w:val="16"/>
                <w:lang w:val="en-GB"/>
              </w:rPr>
              <w:t>)</w:t>
            </w:r>
            <w:r w:rsidRPr="00922BDA">
              <w:rPr>
                <w:rFonts w:eastAsia="Times New Roman" w:cs="Segoe UI"/>
                <w:color w:val="000000"/>
                <w:sz w:val="16"/>
                <w:szCs w:val="16"/>
                <w:lang w:val="en-GB"/>
              </w:rPr>
              <w:t> </w:t>
            </w:r>
          </w:p>
        </w:tc>
      </w:tr>
      <w:tr w:rsidR="001F50DC" w:rsidRPr="00922BDA" w14:paraId="612AD44E" w14:textId="77777777" w:rsidTr="001D625A">
        <w:trPr>
          <w:trHeight w:val="315"/>
        </w:trPr>
        <w:tc>
          <w:tcPr>
            <w:tcW w:w="14593" w:type="dxa"/>
            <w:gridSpan w:val="13"/>
            <w:tcBorders>
              <w:top w:val="single" w:sz="6" w:space="0" w:color="auto"/>
              <w:left w:val="single" w:sz="6" w:space="0" w:color="auto"/>
              <w:bottom w:val="single" w:sz="6" w:space="0" w:color="auto"/>
              <w:right w:val="single" w:sz="6" w:space="0" w:color="auto"/>
            </w:tcBorders>
            <w:vAlign w:val="center"/>
            <w:hideMark/>
          </w:tcPr>
          <w:p w14:paraId="3CE6111A"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b/>
                <w:bCs/>
                <w:color w:val="000000"/>
                <w:sz w:val="16"/>
                <w:szCs w:val="16"/>
                <w:shd w:val="clear" w:color="auto" w:fill="FFFFFF"/>
                <w:lang w:val="en-GB"/>
              </w:rPr>
              <w:t>7. National reporting under the Minamata Convention</w:t>
            </w:r>
            <w:r w:rsidRPr="00922BDA">
              <w:rPr>
                <w:rFonts w:eastAsia="Times New Roman" w:cs="Segoe UI"/>
                <w:color w:val="000000"/>
                <w:sz w:val="16"/>
                <w:szCs w:val="16"/>
                <w:lang w:val="en-GB"/>
              </w:rPr>
              <w:t> </w:t>
            </w:r>
          </w:p>
        </w:tc>
      </w:tr>
      <w:tr w:rsidR="001F50DC" w:rsidRPr="00922BDA" w14:paraId="306C9A2E" w14:textId="77777777" w:rsidTr="001D625A">
        <w:trPr>
          <w:trHeight w:val="315"/>
        </w:trPr>
        <w:tc>
          <w:tcPr>
            <w:tcW w:w="14593" w:type="dxa"/>
            <w:gridSpan w:val="13"/>
            <w:tcBorders>
              <w:top w:val="single" w:sz="6" w:space="0" w:color="auto"/>
              <w:left w:val="single" w:sz="6" w:space="0" w:color="auto"/>
              <w:bottom w:val="single" w:sz="6" w:space="0" w:color="auto"/>
              <w:right w:val="single" w:sz="6" w:space="0" w:color="auto"/>
            </w:tcBorders>
            <w:shd w:val="clear" w:color="auto" w:fill="E1F2FA"/>
            <w:vAlign w:val="center"/>
            <w:hideMark/>
          </w:tcPr>
          <w:p w14:paraId="431FA793"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b/>
                <w:bCs/>
                <w:color w:val="000000"/>
                <w:sz w:val="16"/>
                <w:szCs w:val="16"/>
                <w:shd w:val="clear" w:color="auto" w:fill="FFFFFF"/>
                <w:lang w:val="en-GB"/>
              </w:rPr>
              <w:t>7.1. Process and analyse national reports</w:t>
            </w:r>
            <w:r w:rsidRPr="00922BDA">
              <w:rPr>
                <w:rFonts w:eastAsia="Times New Roman" w:cs="Segoe UI"/>
                <w:color w:val="000000"/>
                <w:sz w:val="16"/>
                <w:szCs w:val="16"/>
                <w:lang w:val="en-GB"/>
              </w:rPr>
              <w:t> </w:t>
            </w:r>
          </w:p>
        </w:tc>
      </w:tr>
      <w:tr w:rsidR="00B17ED1" w:rsidRPr="00922BDA" w14:paraId="0F8C9991" w14:textId="77777777" w:rsidTr="001D625A">
        <w:trPr>
          <w:trHeight w:val="435"/>
        </w:trPr>
        <w:tc>
          <w:tcPr>
            <w:tcW w:w="3961" w:type="dxa"/>
            <w:tcBorders>
              <w:top w:val="single" w:sz="6" w:space="0" w:color="auto"/>
              <w:left w:val="single" w:sz="6" w:space="0" w:color="auto"/>
              <w:bottom w:val="single" w:sz="6" w:space="0" w:color="auto"/>
              <w:right w:val="single" w:sz="6" w:space="0" w:color="auto"/>
            </w:tcBorders>
            <w:vAlign w:val="center"/>
            <w:hideMark/>
          </w:tcPr>
          <w:p w14:paraId="5163A024"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color w:val="000000"/>
                <w:sz w:val="16"/>
                <w:szCs w:val="16"/>
                <w:shd w:val="clear" w:color="auto" w:fill="FFFFFF"/>
                <w:lang w:val="en-GB"/>
              </w:rPr>
              <w:t>Expert support</w:t>
            </w:r>
            <w:r w:rsidRPr="00922BDA">
              <w:rPr>
                <w:rFonts w:ascii="Times New Roman" w:eastAsia="Times New Roman" w:hAnsi="Times New Roman" w:cs="Times New Roman"/>
                <w:color w:val="000000"/>
                <w:sz w:val="16"/>
                <w:szCs w:val="16"/>
                <w:shd w:val="clear" w:color="auto" w:fill="FFFFFF"/>
                <w:lang w:val="en-GB"/>
              </w:rPr>
              <w:t> </w:t>
            </w:r>
            <w:r w:rsidRPr="00922BDA">
              <w:rPr>
                <w:rFonts w:eastAsia="Times New Roman" w:cs="Segoe UI"/>
                <w:color w:val="000000"/>
                <w:sz w:val="16"/>
                <w:szCs w:val="16"/>
                <w:shd w:val="clear" w:color="auto" w:fill="FFFFFF"/>
                <w:lang w:val="en-GB"/>
              </w:rPr>
              <w:t>to ascertain outcomes of national efforts</w:t>
            </w:r>
            <w:r w:rsidRPr="00922BDA">
              <w:rPr>
                <w:rFonts w:ascii="Times New Roman" w:eastAsia="Times New Roman" w:hAnsi="Times New Roman" w:cs="Times New Roman"/>
                <w:color w:val="000000"/>
                <w:sz w:val="16"/>
                <w:szCs w:val="16"/>
                <w:shd w:val="clear" w:color="auto" w:fill="FFFFFF"/>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6035F3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35,000 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A68AE86"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15,000 </w:t>
            </w:r>
          </w:p>
        </w:tc>
        <w:tc>
          <w:tcPr>
            <w:tcW w:w="993" w:type="dxa"/>
            <w:tcBorders>
              <w:top w:val="single" w:sz="6" w:space="0" w:color="auto"/>
              <w:left w:val="single" w:sz="6" w:space="0" w:color="auto"/>
              <w:bottom w:val="single" w:sz="6" w:space="0" w:color="auto"/>
              <w:right w:val="single" w:sz="6" w:space="0" w:color="auto"/>
            </w:tcBorders>
            <w:vAlign w:val="center"/>
            <w:hideMark/>
          </w:tcPr>
          <w:p w14:paraId="1CFC3A1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50,000</w:t>
            </w:r>
            <w:r w:rsidRPr="00922BDA">
              <w:rPr>
                <w:rFonts w:eastAsia="Times New Roman" w:cs="Segoe UI"/>
                <w:color w:val="000000"/>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134DAED2"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6386AA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5D617E7C"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03E3CC2"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25,000 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EAD8C8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12F618A1"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25,000</w:t>
            </w:r>
            <w:r w:rsidRPr="00922BDA">
              <w:rPr>
                <w:rFonts w:eastAsia="Times New Roman" w:cs="Segoe UI"/>
                <w:color w:val="000000"/>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061B8FB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p>
        </w:tc>
        <w:tc>
          <w:tcPr>
            <w:tcW w:w="989" w:type="dxa"/>
            <w:tcBorders>
              <w:top w:val="single" w:sz="6" w:space="0" w:color="auto"/>
              <w:left w:val="single" w:sz="6" w:space="0" w:color="auto"/>
              <w:bottom w:val="single" w:sz="6" w:space="0" w:color="auto"/>
              <w:right w:val="single" w:sz="6" w:space="0" w:color="auto"/>
            </w:tcBorders>
            <w:vAlign w:val="center"/>
            <w:hideMark/>
          </w:tcPr>
          <w:p w14:paraId="6A650DE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41D47B5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p>
        </w:tc>
      </w:tr>
      <w:tr w:rsidR="00B17ED1" w:rsidRPr="00922BDA" w14:paraId="25DC66C2"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hideMark/>
          </w:tcPr>
          <w:p w14:paraId="1FEC04C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Component total</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C80FDF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35,000</w:t>
            </w: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3B9CEB1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15,000</w:t>
            </w:r>
            <w:r w:rsidRPr="00922BDA">
              <w:rPr>
                <w:rFonts w:eastAsia="Times New Roman" w:cs="Segoe UI"/>
                <w:color w:val="000000"/>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0DF3A7D3"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50,000</w:t>
            </w:r>
            <w:r w:rsidRPr="00922BDA">
              <w:rPr>
                <w:rFonts w:eastAsia="Times New Roman" w:cs="Segoe UI"/>
                <w:color w:val="000000"/>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577A14A8"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177440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577A8A73"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131E54EB"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25,000</w:t>
            </w: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0DAC72F9"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2BC36564"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25,000</w:t>
            </w:r>
            <w:r w:rsidRPr="00922BDA">
              <w:rPr>
                <w:rFonts w:eastAsia="Times New Roman" w:cs="Segoe UI"/>
                <w:color w:val="000000"/>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02158A3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p>
        </w:tc>
        <w:tc>
          <w:tcPr>
            <w:tcW w:w="989" w:type="dxa"/>
            <w:tcBorders>
              <w:top w:val="single" w:sz="6" w:space="0" w:color="auto"/>
              <w:left w:val="single" w:sz="6" w:space="0" w:color="auto"/>
              <w:bottom w:val="single" w:sz="6" w:space="0" w:color="auto"/>
              <w:right w:val="single" w:sz="6" w:space="0" w:color="auto"/>
            </w:tcBorders>
            <w:vAlign w:val="center"/>
            <w:hideMark/>
          </w:tcPr>
          <w:p w14:paraId="0F6528F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36E26228"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p>
        </w:tc>
      </w:tr>
      <w:tr w:rsidR="001F50DC" w:rsidRPr="00922BDA" w14:paraId="3B995F69" w14:textId="77777777" w:rsidTr="001D625A">
        <w:trPr>
          <w:trHeight w:val="315"/>
        </w:trPr>
        <w:tc>
          <w:tcPr>
            <w:tcW w:w="14593" w:type="dxa"/>
            <w:gridSpan w:val="13"/>
            <w:tcBorders>
              <w:top w:val="single" w:sz="6" w:space="0" w:color="auto"/>
              <w:left w:val="single" w:sz="6" w:space="0" w:color="auto"/>
              <w:bottom w:val="single" w:sz="6" w:space="0" w:color="auto"/>
              <w:right w:val="single" w:sz="6" w:space="0" w:color="auto"/>
            </w:tcBorders>
            <w:vAlign w:val="center"/>
            <w:hideMark/>
          </w:tcPr>
          <w:p w14:paraId="135EEC3B"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b/>
                <w:bCs/>
                <w:color w:val="000000"/>
                <w:sz w:val="16"/>
                <w:szCs w:val="16"/>
                <w:shd w:val="clear" w:color="auto" w:fill="FFFFFF"/>
                <w:lang w:val="en-GB"/>
              </w:rPr>
              <w:t>7.2.</w:t>
            </w:r>
            <w:r w:rsidRPr="00922BDA">
              <w:rPr>
                <w:rFonts w:ascii="Times New Roman" w:eastAsia="Times New Roman" w:hAnsi="Times New Roman" w:cs="Times New Roman"/>
                <w:b/>
                <w:bCs/>
                <w:color w:val="000000"/>
                <w:sz w:val="16"/>
                <w:szCs w:val="16"/>
                <w:shd w:val="clear" w:color="auto" w:fill="FFFFFF"/>
                <w:lang w:val="en-GB"/>
              </w:rPr>
              <w:t> </w:t>
            </w:r>
            <w:r w:rsidRPr="00922BDA">
              <w:rPr>
                <w:rFonts w:eastAsia="Times New Roman" w:cs="Segoe UI"/>
                <w:b/>
                <w:bCs/>
                <w:color w:val="000000"/>
                <w:sz w:val="16"/>
                <w:szCs w:val="16"/>
                <w:shd w:val="clear" w:color="auto" w:fill="FFFFFF"/>
                <w:lang w:val="en-GB"/>
              </w:rPr>
              <w:t>Ongoing management of information contained in national reports</w:t>
            </w:r>
            <w:r w:rsidRPr="00922BDA">
              <w:rPr>
                <w:rFonts w:ascii="Times New Roman" w:eastAsia="Times New Roman" w:hAnsi="Times New Roman" w:cs="Times New Roman"/>
                <w:b/>
                <w:bCs/>
                <w:color w:val="000000"/>
                <w:sz w:val="16"/>
                <w:szCs w:val="16"/>
                <w:shd w:val="clear" w:color="auto" w:fill="FFFFFF"/>
                <w:lang w:val="en-GB"/>
              </w:rPr>
              <w:t> </w:t>
            </w:r>
            <w:r w:rsidRPr="00922BDA">
              <w:rPr>
                <w:rFonts w:eastAsia="Times New Roman" w:cs="Segoe UI"/>
                <w:color w:val="000000"/>
                <w:sz w:val="16"/>
                <w:szCs w:val="16"/>
                <w:lang w:val="en-GB"/>
              </w:rPr>
              <w:t> </w:t>
            </w:r>
          </w:p>
        </w:tc>
      </w:tr>
      <w:tr w:rsidR="00B17ED1" w:rsidRPr="00922BDA" w14:paraId="11CE22B9"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hideMark/>
          </w:tcPr>
          <w:p w14:paraId="05EE2008"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color w:val="000000"/>
                <w:sz w:val="16"/>
                <w:szCs w:val="16"/>
                <w:shd w:val="clear" w:color="auto" w:fill="FFFFFF"/>
                <w:lang w:val="en-GB"/>
              </w:rPr>
              <w:t>ORT maintenance and improvements</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1B4F8111"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30,000 </w:t>
            </w:r>
          </w:p>
        </w:tc>
        <w:tc>
          <w:tcPr>
            <w:tcW w:w="850" w:type="dxa"/>
            <w:tcBorders>
              <w:top w:val="single" w:sz="6" w:space="0" w:color="auto"/>
              <w:left w:val="single" w:sz="6" w:space="0" w:color="auto"/>
              <w:bottom w:val="single" w:sz="6" w:space="0" w:color="auto"/>
              <w:right w:val="single" w:sz="6" w:space="0" w:color="auto"/>
            </w:tcBorders>
            <w:vAlign w:val="center"/>
            <w:hideMark/>
          </w:tcPr>
          <w:p w14:paraId="54171874"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15120B96"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30,000</w:t>
            </w:r>
            <w:r w:rsidRPr="00922BDA">
              <w:rPr>
                <w:rFonts w:eastAsia="Times New Roman" w:cs="Segoe UI"/>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70532D1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1F6B782"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30EAC76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9EF7CD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25,000 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3957BE8"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08BF3C6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25,000</w:t>
            </w:r>
            <w:r w:rsidRPr="00922BDA">
              <w:rPr>
                <w:rFonts w:eastAsia="Times New Roman" w:cs="Segoe UI"/>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2B7D6CC6"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89" w:type="dxa"/>
            <w:tcBorders>
              <w:top w:val="single" w:sz="6" w:space="0" w:color="auto"/>
              <w:left w:val="single" w:sz="6" w:space="0" w:color="auto"/>
              <w:bottom w:val="single" w:sz="6" w:space="0" w:color="auto"/>
              <w:right w:val="single" w:sz="6" w:space="0" w:color="auto"/>
            </w:tcBorders>
            <w:vAlign w:val="center"/>
            <w:hideMark/>
          </w:tcPr>
          <w:p w14:paraId="05C2BF9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1B3D17F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r>
      <w:tr w:rsidR="00B17ED1" w:rsidRPr="00922BDA" w14:paraId="4031BC98"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tcPr>
          <w:p w14:paraId="2C16D692" w14:textId="77777777" w:rsidR="001F50DC" w:rsidRPr="00922BDA" w:rsidRDefault="001F50DC" w:rsidP="001D625A">
            <w:pPr>
              <w:spacing w:after="0" w:line="240" w:lineRule="auto"/>
              <w:textAlignment w:val="baseline"/>
              <w:rPr>
                <w:rFonts w:eastAsia="Times New Roman" w:cs="Segoe UI"/>
                <w:b/>
                <w:bCs/>
                <w:color w:val="000000"/>
                <w:sz w:val="16"/>
                <w:szCs w:val="16"/>
                <w:lang w:val="en-GB"/>
              </w:rPr>
            </w:pPr>
            <w:r w:rsidRPr="00922BDA">
              <w:rPr>
                <w:rFonts w:eastAsia="Times New Roman" w:cs="Segoe UI"/>
                <w:color w:val="000000"/>
                <w:sz w:val="16"/>
                <w:szCs w:val="16"/>
                <w:shd w:val="clear" w:color="auto" w:fill="FFFFFF"/>
                <w:lang w:val="en-GB"/>
              </w:rPr>
              <w:t>Update dashboard, interface and database</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tcPr>
          <w:p w14:paraId="03325DD5" w14:textId="77777777" w:rsidR="001F50DC" w:rsidRPr="00922BDA" w:rsidRDefault="001F50DC" w:rsidP="001D625A">
            <w:pPr>
              <w:spacing w:after="0" w:line="240" w:lineRule="auto"/>
              <w:jc w:val="right"/>
              <w:textAlignment w:val="baseline"/>
              <w:rPr>
                <w:rFonts w:eastAsia="Times New Roman" w:cs="Segoe UI"/>
                <w:color w:val="000000"/>
                <w:sz w:val="16"/>
                <w:szCs w:val="16"/>
                <w:lang w:val="en-GB"/>
              </w:rPr>
            </w:pPr>
            <w:r w:rsidRPr="00922BDA">
              <w:rPr>
                <w:rFonts w:eastAsia="Times New Roman" w:cs="Segoe UI"/>
                <w:sz w:val="16"/>
                <w:szCs w:val="16"/>
                <w:lang w:val="en-GB"/>
              </w:rPr>
              <w:t>10,000 </w:t>
            </w:r>
          </w:p>
        </w:tc>
        <w:tc>
          <w:tcPr>
            <w:tcW w:w="850" w:type="dxa"/>
            <w:tcBorders>
              <w:top w:val="single" w:sz="6" w:space="0" w:color="auto"/>
              <w:left w:val="single" w:sz="6" w:space="0" w:color="auto"/>
              <w:bottom w:val="single" w:sz="6" w:space="0" w:color="auto"/>
              <w:right w:val="single" w:sz="6" w:space="0" w:color="auto"/>
            </w:tcBorders>
            <w:vAlign w:val="center"/>
          </w:tcPr>
          <w:p w14:paraId="3E467019" w14:textId="77777777" w:rsidR="001F50DC" w:rsidRPr="00922BDA" w:rsidRDefault="001F50DC" w:rsidP="001D625A">
            <w:pPr>
              <w:spacing w:after="0" w:line="240" w:lineRule="auto"/>
              <w:jc w:val="right"/>
              <w:textAlignment w:val="baseline"/>
              <w:rPr>
                <w:rFonts w:eastAsia="Times New Roman" w:cs="Segoe UI"/>
                <w:sz w:val="16"/>
                <w:szCs w:val="16"/>
                <w:lang w:val="en-GB"/>
              </w:rPr>
            </w:pPr>
            <w:r w:rsidRPr="00922BDA">
              <w:rPr>
                <w:rFonts w:eastAsia="Times New Roman" w:cs="Segoe UI"/>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tcPr>
          <w:p w14:paraId="2F474002" w14:textId="77777777" w:rsidR="001F50DC" w:rsidRPr="00922BDA" w:rsidRDefault="001F50DC" w:rsidP="001D625A">
            <w:pPr>
              <w:spacing w:after="0" w:line="240" w:lineRule="auto"/>
              <w:jc w:val="right"/>
              <w:textAlignment w:val="baseline"/>
              <w:rPr>
                <w:rFonts w:eastAsia="Times New Roman" w:cs="Segoe UI"/>
                <w:sz w:val="16"/>
                <w:szCs w:val="16"/>
                <w:lang w:val="en-GB"/>
              </w:rPr>
            </w:pPr>
            <w:r w:rsidRPr="00922BDA">
              <w:rPr>
                <w:rFonts w:eastAsia="Times New Roman" w:cs="Segoe UI"/>
                <w:b/>
                <w:bCs/>
                <w:sz w:val="16"/>
                <w:szCs w:val="16"/>
                <w:lang w:val="en-GB"/>
              </w:rPr>
              <w:t>10,000</w:t>
            </w:r>
            <w:r w:rsidRPr="00922BDA">
              <w:rPr>
                <w:rFonts w:eastAsia="Times New Roman" w:cs="Segoe UI"/>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tcPr>
          <w:p w14:paraId="5B6F5DCC" w14:textId="77777777" w:rsidR="001F50DC" w:rsidRPr="00922BDA" w:rsidRDefault="001F50DC" w:rsidP="001D625A">
            <w:pPr>
              <w:spacing w:after="0" w:line="240" w:lineRule="auto"/>
              <w:jc w:val="right"/>
              <w:textAlignment w:val="baseline"/>
              <w:rPr>
                <w:rFonts w:eastAsia="Times New Roman" w:cs="Segoe UI"/>
                <w:sz w:val="16"/>
                <w:szCs w:val="16"/>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5A6E497A" w14:textId="77777777" w:rsidR="001F50DC" w:rsidRPr="00922BDA" w:rsidRDefault="001F50DC" w:rsidP="001D625A">
            <w:pPr>
              <w:spacing w:after="0" w:line="240" w:lineRule="auto"/>
              <w:jc w:val="right"/>
              <w:textAlignment w:val="baseline"/>
              <w:rPr>
                <w:rFonts w:eastAsia="Times New Roman" w:cs="Segoe UI"/>
                <w:color w:val="000000"/>
                <w:sz w:val="16"/>
                <w:szCs w:val="16"/>
                <w:lang w:val="en-GB"/>
              </w:rPr>
            </w:pPr>
          </w:p>
        </w:tc>
        <w:tc>
          <w:tcPr>
            <w:tcW w:w="850" w:type="dxa"/>
            <w:tcBorders>
              <w:top w:val="single" w:sz="6" w:space="0" w:color="auto"/>
              <w:left w:val="single" w:sz="6" w:space="0" w:color="auto"/>
              <w:bottom w:val="single" w:sz="6" w:space="0" w:color="auto"/>
              <w:right w:val="single" w:sz="6" w:space="0" w:color="auto"/>
            </w:tcBorders>
            <w:vAlign w:val="center"/>
          </w:tcPr>
          <w:p w14:paraId="5405BC83" w14:textId="77777777" w:rsidR="001F50DC" w:rsidRPr="00922BDA" w:rsidRDefault="001F50DC" w:rsidP="001D625A">
            <w:pPr>
              <w:spacing w:after="0" w:line="240" w:lineRule="auto"/>
              <w:jc w:val="right"/>
              <w:textAlignment w:val="baseline"/>
              <w:rPr>
                <w:rFonts w:eastAsia="Times New Roman" w:cs="Segoe UI"/>
                <w:color w:val="000000"/>
                <w:sz w:val="16"/>
                <w:szCs w:val="16"/>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7B1DDCB5" w14:textId="77777777" w:rsidR="001F50DC" w:rsidRPr="00922BDA" w:rsidRDefault="001F50DC" w:rsidP="001D625A">
            <w:pPr>
              <w:spacing w:after="0" w:line="240" w:lineRule="auto"/>
              <w:jc w:val="right"/>
              <w:textAlignment w:val="baseline"/>
              <w:rPr>
                <w:rFonts w:eastAsia="Times New Roman" w:cs="Segoe UI"/>
                <w:color w:val="000000"/>
                <w:sz w:val="16"/>
                <w:szCs w:val="16"/>
                <w:lang w:val="en-GB"/>
              </w:rPr>
            </w:pPr>
            <w:r w:rsidRPr="00922BDA">
              <w:rPr>
                <w:rFonts w:eastAsia="Times New Roman" w:cs="Segoe UI"/>
                <w:color w:val="000000"/>
                <w:sz w:val="16"/>
                <w:szCs w:val="16"/>
                <w:lang w:val="en-GB"/>
              </w:rPr>
              <w:t>5,000 </w:t>
            </w:r>
          </w:p>
        </w:tc>
        <w:tc>
          <w:tcPr>
            <w:tcW w:w="992" w:type="dxa"/>
            <w:tcBorders>
              <w:top w:val="single" w:sz="6" w:space="0" w:color="auto"/>
              <w:left w:val="single" w:sz="6" w:space="0" w:color="auto"/>
              <w:bottom w:val="single" w:sz="6" w:space="0" w:color="auto"/>
              <w:right w:val="single" w:sz="6" w:space="0" w:color="auto"/>
            </w:tcBorders>
            <w:vAlign w:val="center"/>
          </w:tcPr>
          <w:p w14:paraId="43A8F3E8" w14:textId="77777777" w:rsidR="001F50DC" w:rsidRPr="00922BDA" w:rsidRDefault="001F50DC" w:rsidP="001D625A">
            <w:pPr>
              <w:spacing w:after="0" w:line="240" w:lineRule="auto"/>
              <w:jc w:val="right"/>
              <w:textAlignment w:val="baseline"/>
              <w:rPr>
                <w:rFonts w:eastAsia="Times New Roman" w:cs="Segoe UI"/>
                <w:sz w:val="16"/>
                <w:szCs w:val="16"/>
                <w:lang w:val="en-GB"/>
              </w:rPr>
            </w:pPr>
            <w:r w:rsidRPr="00922BDA">
              <w:rPr>
                <w:rFonts w:eastAsia="Times New Roman" w:cs="Segoe UI"/>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tcPr>
          <w:p w14:paraId="43A1D157" w14:textId="77777777" w:rsidR="001F50DC" w:rsidRPr="00922BDA" w:rsidRDefault="001F50DC" w:rsidP="001D625A">
            <w:pPr>
              <w:spacing w:after="0" w:line="240" w:lineRule="auto"/>
              <w:jc w:val="right"/>
              <w:textAlignment w:val="baseline"/>
              <w:rPr>
                <w:rFonts w:eastAsia="Times New Roman" w:cs="Segoe UI"/>
                <w:sz w:val="16"/>
                <w:szCs w:val="16"/>
                <w:lang w:val="en-GB"/>
              </w:rPr>
            </w:pPr>
            <w:r w:rsidRPr="00922BDA">
              <w:rPr>
                <w:rFonts w:eastAsia="Times New Roman" w:cs="Segoe UI"/>
                <w:b/>
                <w:bCs/>
                <w:sz w:val="16"/>
                <w:szCs w:val="16"/>
                <w:lang w:val="en-GB"/>
              </w:rPr>
              <w:t>5,000</w:t>
            </w:r>
            <w:r w:rsidRPr="00922BDA">
              <w:rPr>
                <w:rFonts w:eastAsia="Times New Roman" w:cs="Segoe UI"/>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tcPr>
          <w:p w14:paraId="31E8CA14" w14:textId="77777777" w:rsidR="001F50DC" w:rsidRPr="00922BDA" w:rsidRDefault="001F50DC" w:rsidP="001D625A">
            <w:pPr>
              <w:spacing w:after="0" w:line="240" w:lineRule="auto"/>
              <w:jc w:val="right"/>
              <w:textAlignment w:val="baseline"/>
              <w:rPr>
                <w:rFonts w:eastAsia="Times New Roman" w:cs="Segoe UI"/>
                <w:sz w:val="16"/>
                <w:szCs w:val="16"/>
                <w:lang w:val="en-GB"/>
              </w:rPr>
            </w:pPr>
          </w:p>
        </w:tc>
        <w:tc>
          <w:tcPr>
            <w:tcW w:w="989" w:type="dxa"/>
            <w:tcBorders>
              <w:top w:val="single" w:sz="6" w:space="0" w:color="auto"/>
              <w:left w:val="single" w:sz="6" w:space="0" w:color="auto"/>
              <w:bottom w:val="single" w:sz="6" w:space="0" w:color="auto"/>
              <w:right w:val="single" w:sz="6" w:space="0" w:color="auto"/>
            </w:tcBorders>
            <w:vAlign w:val="center"/>
          </w:tcPr>
          <w:p w14:paraId="4A9D2214" w14:textId="77777777" w:rsidR="001F50DC" w:rsidRPr="00922BDA" w:rsidRDefault="001F50DC" w:rsidP="001D625A">
            <w:pPr>
              <w:spacing w:after="0" w:line="240" w:lineRule="auto"/>
              <w:jc w:val="right"/>
              <w:textAlignment w:val="baseline"/>
              <w:rPr>
                <w:rFonts w:eastAsia="Times New Roman" w:cs="Segoe UI"/>
                <w:sz w:val="16"/>
                <w:szCs w:val="16"/>
                <w:lang w:val="en-GB"/>
              </w:rPr>
            </w:pPr>
          </w:p>
        </w:tc>
        <w:tc>
          <w:tcPr>
            <w:tcW w:w="849" w:type="dxa"/>
            <w:tcBorders>
              <w:top w:val="single" w:sz="6" w:space="0" w:color="auto"/>
              <w:left w:val="single" w:sz="6" w:space="0" w:color="auto"/>
              <w:bottom w:val="single" w:sz="6" w:space="0" w:color="auto"/>
              <w:right w:val="single" w:sz="6" w:space="0" w:color="auto"/>
            </w:tcBorders>
            <w:vAlign w:val="center"/>
          </w:tcPr>
          <w:p w14:paraId="093137AE" w14:textId="77777777" w:rsidR="001F50DC" w:rsidRPr="00922BDA" w:rsidRDefault="001F50DC" w:rsidP="001D625A">
            <w:pPr>
              <w:spacing w:after="0" w:line="240" w:lineRule="auto"/>
              <w:jc w:val="right"/>
              <w:textAlignment w:val="baseline"/>
              <w:rPr>
                <w:rFonts w:eastAsia="Times New Roman" w:cs="Segoe UI"/>
                <w:sz w:val="16"/>
                <w:szCs w:val="16"/>
                <w:lang w:val="en-GB"/>
              </w:rPr>
            </w:pPr>
          </w:p>
        </w:tc>
      </w:tr>
      <w:tr w:rsidR="00B17ED1" w:rsidRPr="00922BDA" w14:paraId="5F9E9361"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hideMark/>
          </w:tcPr>
          <w:p w14:paraId="4F1CD76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Component total</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0806F8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40,000</w:t>
            </w: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A42363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59280A4B"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40,000</w:t>
            </w:r>
            <w:r w:rsidRPr="00922BDA">
              <w:rPr>
                <w:rFonts w:eastAsia="Times New Roman" w:cs="Segoe UI"/>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701FBF6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CFDC7C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EE6DC1C"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99719C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30,000</w:t>
            </w: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4C5C296"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21C6CAB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30,000</w:t>
            </w:r>
            <w:r w:rsidRPr="00922BDA">
              <w:rPr>
                <w:rFonts w:eastAsia="Times New Roman" w:cs="Segoe UI"/>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625C6AC2"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89" w:type="dxa"/>
            <w:tcBorders>
              <w:top w:val="single" w:sz="6" w:space="0" w:color="auto"/>
              <w:left w:val="single" w:sz="6" w:space="0" w:color="auto"/>
              <w:bottom w:val="single" w:sz="6" w:space="0" w:color="auto"/>
              <w:right w:val="single" w:sz="6" w:space="0" w:color="auto"/>
            </w:tcBorders>
            <w:vAlign w:val="center"/>
            <w:hideMark/>
          </w:tcPr>
          <w:p w14:paraId="0E7873D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3E01A18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r>
      <w:tr w:rsidR="001F50DC" w:rsidRPr="00922BDA" w14:paraId="5A273722" w14:textId="77777777" w:rsidTr="001D625A">
        <w:trPr>
          <w:trHeight w:val="315"/>
        </w:trPr>
        <w:tc>
          <w:tcPr>
            <w:tcW w:w="14593" w:type="dxa"/>
            <w:gridSpan w:val="13"/>
            <w:tcBorders>
              <w:top w:val="single" w:sz="6" w:space="0" w:color="auto"/>
              <w:left w:val="single" w:sz="6" w:space="0" w:color="auto"/>
              <w:bottom w:val="single" w:sz="6" w:space="0" w:color="auto"/>
              <w:right w:val="single" w:sz="6" w:space="0" w:color="auto"/>
            </w:tcBorders>
            <w:vAlign w:val="center"/>
            <w:hideMark/>
          </w:tcPr>
          <w:p w14:paraId="6188DA2F"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b/>
                <w:bCs/>
                <w:color w:val="000000"/>
                <w:sz w:val="16"/>
                <w:szCs w:val="16"/>
                <w:shd w:val="clear" w:color="auto" w:fill="FFFFFF"/>
                <w:lang w:val="en-GB"/>
              </w:rPr>
              <w:t>7.3.</w:t>
            </w:r>
            <w:r w:rsidRPr="00922BDA">
              <w:rPr>
                <w:rFonts w:ascii="Times New Roman" w:eastAsia="Times New Roman" w:hAnsi="Times New Roman" w:cs="Times New Roman"/>
                <w:b/>
                <w:bCs/>
                <w:color w:val="000000"/>
                <w:sz w:val="16"/>
                <w:szCs w:val="16"/>
                <w:shd w:val="clear" w:color="auto" w:fill="FFFFFF"/>
                <w:lang w:val="en-GB"/>
              </w:rPr>
              <w:t> </w:t>
            </w:r>
            <w:r w:rsidRPr="00922BDA">
              <w:rPr>
                <w:rFonts w:eastAsia="Times New Roman" w:cs="Segoe UI"/>
                <w:b/>
                <w:bCs/>
                <w:color w:val="000000"/>
                <w:sz w:val="16"/>
                <w:szCs w:val="16"/>
                <w:shd w:val="clear" w:color="auto" w:fill="FFFFFF"/>
                <w:lang w:val="en-GB"/>
              </w:rPr>
              <w:t>Enhance Parties’ capacity on national reporting</w:t>
            </w:r>
            <w:r w:rsidRPr="00922BDA">
              <w:rPr>
                <w:rFonts w:ascii="Times New Roman" w:eastAsia="Times New Roman" w:hAnsi="Times New Roman" w:cs="Times New Roman"/>
                <w:b/>
                <w:bCs/>
                <w:color w:val="000000"/>
                <w:sz w:val="16"/>
                <w:szCs w:val="16"/>
                <w:shd w:val="clear" w:color="auto" w:fill="FFFFFF"/>
                <w:lang w:val="en-GB"/>
              </w:rPr>
              <w:t> </w:t>
            </w:r>
            <w:r w:rsidRPr="00922BDA">
              <w:rPr>
                <w:rFonts w:eastAsia="Times New Roman" w:cs="Segoe UI"/>
                <w:color w:val="000000"/>
                <w:sz w:val="16"/>
                <w:szCs w:val="16"/>
                <w:lang w:val="en-GB"/>
              </w:rPr>
              <w:t> </w:t>
            </w:r>
          </w:p>
        </w:tc>
      </w:tr>
      <w:tr w:rsidR="00B17ED1" w:rsidRPr="00922BDA" w14:paraId="515E05D2"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hideMark/>
          </w:tcPr>
          <w:p w14:paraId="2D7AE912"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color w:val="000000"/>
                <w:sz w:val="16"/>
                <w:szCs w:val="16"/>
                <w:shd w:val="clear" w:color="auto" w:fill="FFFFFF"/>
                <w:lang w:val="en-GB"/>
              </w:rPr>
              <w:t>Update training tools on reporting</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5F4C2995"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25,000 </w:t>
            </w:r>
          </w:p>
        </w:tc>
        <w:tc>
          <w:tcPr>
            <w:tcW w:w="850" w:type="dxa"/>
            <w:tcBorders>
              <w:top w:val="single" w:sz="6" w:space="0" w:color="auto"/>
              <w:left w:val="single" w:sz="6" w:space="0" w:color="auto"/>
              <w:bottom w:val="single" w:sz="6" w:space="0" w:color="auto"/>
              <w:right w:val="single" w:sz="6" w:space="0" w:color="auto"/>
            </w:tcBorders>
            <w:vAlign w:val="center"/>
            <w:hideMark/>
          </w:tcPr>
          <w:p w14:paraId="07E4355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58DFEA6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25,000</w:t>
            </w:r>
            <w:r w:rsidRPr="00922BDA">
              <w:rPr>
                <w:rFonts w:eastAsia="Times New Roman" w:cs="Segoe UI"/>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21306569"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58AF2783"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528BB989"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55599AA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16,000 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98EE95C"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2A9B4F75"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16,000</w:t>
            </w:r>
            <w:r w:rsidRPr="00922BDA">
              <w:rPr>
                <w:rFonts w:eastAsia="Times New Roman" w:cs="Segoe UI"/>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2343F799"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89" w:type="dxa"/>
            <w:tcBorders>
              <w:top w:val="single" w:sz="6" w:space="0" w:color="auto"/>
              <w:left w:val="single" w:sz="6" w:space="0" w:color="auto"/>
              <w:bottom w:val="single" w:sz="6" w:space="0" w:color="auto"/>
              <w:right w:val="single" w:sz="6" w:space="0" w:color="auto"/>
            </w:tcBorders>
            <w:vAlign w:val="center"/>
            <w:hideMark/>
          </w:tcPr>
          <w:p w14:paraId="017E75F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6B81105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r>
      <w:tr w:rsidR="00B17ED1" w:rsidRPr="00922BDA" w14:paraId="0CAB77BF"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hideMark/>
          </w:tcPr>
          <w:p w14:paraId="1F1231AB"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color w:val="0D0D0D" w:themeColor="text1" w:themeTint="F2"/>
                <w:sz w:val="16"/>
                <w:szCs w:val="16"/>
                <w:lang w:val="en-GB"/>
              </w:rPr>
              <w:t>Expert support to enhance reporting capacity                    </w:t>
            </w:r>
          </w:p>
        </w:tc>
        <w:tc>
          <w:tcPr>
            <w:tcW w:w="851" w:type="dxa"/>
            <w:tcBorders>
              <w:top w:val="single" w:sz="6" w:space="0" w:color="auto"/>
              <w:left w:val="single" w:sz="6" w:space="0" w:color="auto"/>
              <w:bottom w:val="single" w:sz="6" w:space="0" w:color="auto"/>
              <w:right w:val="single" w:sz="6" w:space="0" w:color="auto"/>
            </w:tcBorders>
            <w:vAlign w:val="center"/>
            <w:hideMark/>
          </w:tcPr>
          <w:p w14:paraId="18082193"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5,000 </w:t>
            </w:r>
          </w:p>
        </w:tc>
        <w:tc>
          <w:tcPr>
            <w:tcW w:w="850" w:type="dxa"/>
            <w:tcBorders>
              <w:top w:val="single" w:sz="6" w:space="0" w:color="auto"/>
              <w:left w:val="single" w:sz="6" w:space="0" w:color="auto"/>
              <w:bottom w:val="single" w:sz="6" w:space="0" w:color="auto"/>
              <w:right w:val="single" w:sz="6" w:space="0" w:color="auto"/>
            </w:tcBorders>
            <w:vAlign w:val="center"/>
            <w:hideMark/>
          </w:tcPr>
          <w:p w14:paraId="0AFCBD94"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15,000 </w:t>
            </w:r>
          </w:p>
        </w:tc>
        <w:tc>
          <w:tcPr>
            <w:tcW w:w="993" w:type="dxa"/>
            <w:tcBorders>
              <w:top w:val="single" w:sz="6" w:space="0" w:color="auto"/>
              <w:left w:val="single" w:sz="6" w:space="0" w:color="auto"/>
              <w:bottom w:val="single" w:sz="6" w:space="0" w:color="auto"/>
              <w:right w:val="single" w:sz="6" w:space="0" w:color="auto"/>
            </w:tcBorders>
            <w:vAlign w:val="center"/>
            <w:hideMark/>
          </w:tcPr>
          <w:p w14:paraId="1D017A95"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20,000</w:t>
            </w:r>
            <w:r w:rsidRPr="00922BDA">
              <w:rPr>
                <w:rFonts w:eastAsia="Times New Roman" w:cs="Segoe UI"/>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5CC87939"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11DF6A68"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4301E46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AA54932"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71F5D8F4"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12,000 </w:t>
            </w:r>
          </w:p>
        </w:tc>
        <w:tc>
          <w:tcPr>
            <w:tcW w:w="992" w:type="dxa"/>
            <w:tcBorders>
              <w:top w:val="single" w:sz="6" w:space="0" w:color="auto"/>
              <w:left w:val="single" w:sz="6" w:space="0" w:color="auto"/>
              <w:bottom w:val="single" w:sz="6" w:space="0" w:color="auto"/>
              <w:right w:val="single" w:sz="6" w:space="0" w:color="auto"/>
            </w:tcBorders>
            <w:vAlign w:val="center"/>
            <w:hideMark/>
          </w:tcPr>
          <w:p w14:paraId="7F910804"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12,000</w:t>
            </w:r>
            <w:r w:rsidRPr="00922BDA">
              <w:rPr>
                <w:rFonts w:eastAsia="Times New Roman" w:cs="Segoe UI"/>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79ED798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89" w:type="dxa"/>
            <w:tcBorders>
              <w:top w:val="single" w:sz="6" w:space="0" w:color="auto"/>
              <w:left w:val="single" w:sz="6" w:space="0" w:color="auto"/>
              <w:bottom w:val="single" w:sz="6" w:space="0" w:color="auto"/>
              <w:right w:val="single" w:sz="6" w:space="0" w:color="auto"/>
            </w:tcBorders>
            <w:vAlign w:val="center"/>
            <w:hideMark/>
          </w:tcPr>
          <w:p w14:paraId="265D69B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68AE9588"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r>
      <w:tr w:rsidR="00B17ED1" w:rsidRPr="00922BDA" w14:paraId="52EFEA0B"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hideMark/>
          </w:tcPr>
          <w:p w14:paraId="291D9F19"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Component total</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06D4B36"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30,000</w:t>
            </w: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2BEB3B3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15,000</w:t>
            </w:r>
            <w:r w:rsidRPr="00922BDA">
              <w:rPr>
                <w:rFonts w:eastAsia="Times New Roman" w:cs="Segoe UI"/>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7A4CB7A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45,000</w:t>
            </w:r>
            <w:r w:rsidRPr="00922BDA">
              <w:rPr>
                <w:rFonts w:eastAsia="Times New Roman" w:cs="Segoe UI"/>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6C2D69DC"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25431D2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1AC1266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7EE9EAD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16,000</w:t>
            </w:r>
            <w:r w:rsidRPr="00922BDA">
              <w:rPr>
                <w:rFonts w:eastAsia="Times New Roman" w:cs="Segoe UI"/>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6EE4371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12,000</w:t>
            </w:r>
            <w:r w:rsidRPr="00922BDA">
              <w:rPr>
                <w:rFonts w:eastAsia="Times New Roman" w:cs="Segoe UI"/>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4423461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sz w:val="16"/>
                <w:szCs w:val="16"/>
                <w:lang w:val="en-GB"/>
              </w:rPr>
              <w:t>28,000</w:t>
            </w:r>
            <w:r w:rsidRPr="00922BDA">
              <w:rPr>
                <w:rFonts w:eastAsia="Times New Roman" w:cs="Segoe UI"/>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184522F2"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989" w:type="dxa"/>
            <w:tcBorders>
              <w:top w:val="single" w:sz="6" w:space="0" w:color="auto"/>
              <w:left w:val="single" w:sz="6" w:space="0" w:color="auto"/>
              <w:bottom w:val="single" w:sz="6" w:space="0" w:color="auto"/>
              <w:right w:val="single" w:sz="6" w:space="0" w:color="auto"/>
            </w:tcBorders>
            <w:vAlign w:val="center"/>
            <w:hideMark/>
          </w:tcPr>
          <w:p w14:paraId="2F5A6D0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3B15EB48" w14:textId="77777777" w:rsidR="001F50DC" w:rsidRPr="00922BDA" w:rsidRDefault="001F50DC" w:rsidP="001D625A">
            <w:pPr>
              <w:spacing w:after="0" w:line="240" w:lineRule="auto"/>
              <w:ind w:right="90"/>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r>
      <w:tr w:rsidR="00B17ED1" w:rsidRPr="00922BDA" w14:paraId="7BB999EC" w14:textId="77777777" w:rsidTr="001D625A">
        <w:trPr>
          <w:trHeight w:val="315"/>
        </w:trPr>
        <w:tc>
          <w:tcPr>
            <w:tcW w:w="3961" w:type="dxa"/>
            <w:tcBorders>
              <w:top w:val="single" w:sz="6" w:space="0" w:color="auto"/>
              <w:left w:val="single" w:sz="6" w:space="0" w:color="auto"/>
              <w:bottom w:val="single" w:sz="6" w:space="0" w:color="auto"/>
              <w:right w:val="single" w:sz="6" w:space="0" w:color="auto"/>
            </w:tcBorders>
            <w:vAlign w:val="center"/>
            <w:hideMark/>
          </w:tcPr>
          <w:p w14:paraId="58F28D5F" w14:textId="77777777" w:rsidR="001F50DC" w:rsidRPr="00922BDA" w:rsidRDefault="001F50DC" w:rsidP="001D625A">
            <w:pPr>
              <w:spacing w:after="0" w:line="240" w:lineRule="auto"/>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Grand Total</w:t>
            </w: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C266C7F"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105,000</w:t>
            </w: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191D2F1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30,000</w:t>
            </w:r>
            <w:r w:rsidRPr="00922BDA">
              <w:rPr>
                <w:rFonts w:eastAsia="Times New Roman" w:cs="Segoe UI"/>
                <w:color w:val="000000"/>
                <w:sz w:val="16"/>
                <w:szCs w:val="16"/>
                <w:lang w:val="en-GB"/>
              </w:rPr>
              <w:t> </w:t>
            </w:r>
          </w:p>
        </w:tc>
        <w:tc>
          <w:tcPr>
            <w:tcW w:w="993" w:type="dxa"/>
            <w:tcBorders>
              <w:top w:val="single" w:sz="6" w:space="0" w:color="auto"/>
              <w:left w:val="single" w:sz="6" w:space="0" w:color="auto"/>
              <w:bottom w:val="single" w:sz="6" w:space="0" w:color="auto"/>
              <w:right w:val="single" w:sz="6" w:space="0" w:color="auto"/>
            </w:tcBorders>
            <w:vAlign w:val="center"/>
            <w:hideMark/>
          </w:tcPr>
          <w:p w14:paraId="0FA33416"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135,000</w:t>
            </w:r>
            <w:r w:rsidRPr="00922BDA">
              <w:rPr>
                <w:rFonts w:eastAsia="Times New Roman" w:cs="Segoe UI"/>
                <w:color w:val="000000"/>
                <w:sz w:val="16"/>
                <w:szCs w:val="16"/>
                <w:lang w:val="en-GB"/>
              </w:rPr>
              <w:t> </w:t>
            </w:r>
          </w:p>
        </w:tc>
        <w:tc>
          <w:tcPr>
            <w:tcW w:w="708" w:type="dxa"/>
            <w:tcBorders>
              <w:top w:val="single" w:sz="6" w:space="0" w:color="auto"/>
              <w:left w:val="single" w:sz="6" w:space="0" w:color="auto"/>
              <w:bottom w:val="single" w:sz="6" w:space="0" w:color="auto"/>
              <w:right w:val="single" w:sz="6" w:space="0" w:color="auto"/>
            </w:tcBorders>
            <w:vAlign w:val="center"/>
            <w:hideMark/>
          </w:tcPr>
          <w:p w14:paraId="0311D71C"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5E75F99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0" w:type="dxa"/>
            <w:tcBorders>
              <w:top w:val="single" w:sz="6" w:space="0" w:color="auto"/>
              <w:left w:val="single" w:sz="6" w:space="0" w:color="auto"/>
              <w:bottom w:val="single" w:sz="6" w:space="0" w:color="auto"/>
              <w:right w:val="single" w:sz="6" w:space="0" w:color="auto"/>
            </w:tcBorders>
            <w:vAlign w:val="center"/>
            <w:hideMark/>
          </w:tcPr>
          <w:p w14:paraId="6EF57E22"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color w:val="000000"/>
                <w:sz w:val="16"/>
                <w:szCs w:val="16"/>
                <w:lang w:val="en-GB"/>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5AF4D27D"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71,000</w:t>
            </w: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7D3BF43A"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12,000</w:t>
            </w:r>
            <w:r w:rsidRPr="00922BDA">
              <w:rPr>
                <w:rFonts w:eastAsia="Times New Roman" w:cs="Segoe UI"/>
                <w:color w:val="000000"/>
                <w:sz w:val="16"/>
                <w:szCs w:val="16"/>
                <w:lang w:val="en-GB"/>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001547B7"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b/>
                <w:bCs/>
                <w:color w:val="000000"/>
                <w:sz w:val="16"/>
                <w:szCs w:val="16"/>
                <w:lang w:val="en-GB"/>
              </w:rPr>
              <w:t>83,000</w:t>
            </w:r>
            <w:r w:rsidRPr="00922BDA">
              <w:rPr>
                <w:rFonts w:eastAsia="Times New Roman" w:cs="Segoe UI"/>
                <w:color w:val="000000"/>
                <w:sz w:val="16"/>
                <w:szCs w:val="16"/>
                <w:lang w:val="en-GB"/>
              </w:rPr>
              <w:t> </w:t>
            </w:r>
          </w:p>
        </w:tc>
        <w:tc>
          <w:tcPr>
            <w:tcW w:w="856" w:type="dxa"/>
            <w:tcBorders>
              <w:top w:val="single" w:sz="6" w:space="0" w:color="auto"/>
              <w:left w:val="single" w:sz="6" w:space="0" w:color="auto"/>
              <w:bottom w:val="single" w:sz="6" w:space="0" w:color="auto"/>
              <w:right w:val="single" w:sz="6" w:space="0" w:color="auto"/>
            </w:tcBorders>
            <w:vAlign w:val="center"/>
            <w:hideMark/>
          </w:tcPr>
          <w:p w14:paraId="4B6CE7A9"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p>
        </w:tc>
        <w:tc>
          <w:tcPr>
            <w:tcW w:w="989" w:type="dxa"/>
            <w:tcBorders>
              <w:top w:val="single" w:sz="6" w:space="0" w:color="auto"/>
              <w:left w:val="single" w:sz="6" w:space="0" w:color="auto"/>
              <w:bottom w:val="single" w:sz="6" w:space="0" w:color="auto"/>
              <w:right w:val="single" w:sz="6" w:space="0" w:color="auto"/>
            </w:tcBorders>
            <w:vAlign w:val="center"/>
            <w:hideMark/>
          </w:tcPr>
          <w:p w14:paraId="2C00105E"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r w:rsidRPr="00922BDA">
              <w:rPr>
                <w:rFonts w:eastAsia="Times New Roman" w:cs="Segoe UI"/>
                <w:sz w:val="16"/>
                <w:szCs w:val="16"/>
                <w:lang w:val="en-GB"/>
              </w:rPr>
              <w:t> </w:t>
            </w:r>
          </w:p>
        </w:tc>
        <w:tc>
          <w:tcPr>
            <w:tcW w:w="849" w:type="dxa"/>
            <w:tcBorders>
              <w:top w:val="single" w:sz="6" w:space="0" w:color="auto"/>
              <w:left w:val="single" w:sz="6" w:space="0" w:color="auto"/>
              <w:bottom w:val="single" w:sz="6" w:space="0" w:color="auto"/>
              <w:right w:val="single" w:sz="6" w:space="0" w:color="auto"/>
            </w:tcBorders>
            <w:vAlign w:val="center"/>
            <w:hideMark/>
          </w:tcPr>
          <w:p w14:paraId="1980C2B0" w14:textId="77777777" w:rsidR="001F50DC" w:rsidRPr="00922BDA" w:rsidRDefault="001F50DC" w:rsidP="001D625A">
            <w:pPr>
              <w:spacing w:after="0" w:line="240" w:lineRule="auto"/>
              <w:jc w:val="right"/>
              <w:textAlignment w:val="baseline"/>
              <w:rPr>
                <w:rFonts w:ascii="Segoe UI" w:eastAsia="Times New Roman" w:hAnsi="Segoe UI" w:cs="Segoe UI"/>
                <w:sz w:val="16"/>
                <w:szCs w:val="16"/>
                <w:lang w:val="en-GB"/>
              </w:rPr>
            </w:pPr>
          </w:p>
        </w:tc>
      </w:tr>
    </w:tbl>
    <w:p w14:paraId="5F227B1E" w14:textId="77777777" w:rsidR="00215326" w:rsidRPr="00845FB7" w:rsidRDefault="00215326" w:rsidP="00215326">
      <w:pPr>
        <w:rPr>
          <w:lang w:val="en-GB"/>
        </w:rPr>
      </w:pPr>
    </w:p>
    <w:p w14:paraId="4CE5A5F3" w14:textId="77777777" w:rsidR="00215326" w:rsidRPr="00845FB7" w:rsidRDefault="00215326" w:rsidP="002A243F">
      <w:pPr>
        <w:rPr>
          <w:lang w:val="en-GB"/>
        </w:rPr>
      </w:pPr>
    </w:p>
    <w:p w14:paraId="315FD221" w14:textId="77777777" w:rsidR="00E723F8" w:rsidRPr="00845FB7" w:rsidRDefault="00E723F8" w:rsidP="00E723F8">
      <w:pPr>
        <w:pStyle w:val="Heading3"/>
        <w:rPr>
          <w:lang w:val="en-GB"/>
        </w:rPr>
        <w:sectPr w:rsidR="00E723F8" w:rsidRPr="00845FB7" w:rsidSect="00BD36F8">
          <w:pgSz w:w="16838" w:h="11906" w:orient="landscape" w:code="9"/>
          <w:pgMar w:top="907" w:right="992" w:bottom="1418" w:left="1418" w:header="539" w:footer="975" w:gutter="0"/>
          <w:cols w:space="708"/>
          <w:titlePg/>
          <w:docGrid w:linePitch="360"/>
        </w:sectPr>
      </w:pPr>
    </w:p>
    <w:p w14:paraId="440D196D" w14:textId="52F3F68E" w:rsidR="00E723F8" w:rsidRPr="00845FB7" w:rsidRDefault="00E723F8" w:rsidP="00E723F8">
      <w:pPr>
        <w:pStyle w:val="Heading3"/>
        <w:rPr>
          <w:bCs/>
          <w:sz w:val="24"/>
          <w:lang w:val="en-GB"/>
        </w:rPr>
      </w:pPr>
      <w:r w:rsidRPr="00845FB7">
        <w:rPr>
          <w:sz w:val="24"/>
          <w:lang w:val="en-GB"/>
        </w:rPr>
        <w:lastRenderedPageBreak/>
        <w:t>Overview of resources</w:t>
      </w:r>
    </w:p>
    <w:tbl>
      <w:tblPr>
        <w:tblStyle w:val="TableGridLight"/>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824"/>
        <w:gridCol w:w="1719"/>
      </w:tblGrid>
      <w:tr w:rsidR="00E723F8" w:rsidRPr="00845FB7" w14:paraId="36C565DB" w14:textId="77777777" w:rsidTr="00BD36F8">
        <w:trPr>
          <w:trHeight w:val="600"/>
        </w:trPr>
        <w:tc>
          <w:tcPr>
            <w:tcW w:w="4390" w:type="dxa"/>
            <w:noWrap/>
            <w:vAlign w:val="center"/>
            <w:hideMark/>
          </w:tcPr>
          <w:p w14:paraId="4595317B" w14:textId="77777777" w:rsidR="00E723F8" w:rsidRPr="00845FB7" w:rsidRDefault="00E723F8" w:rsidP="00E723F8">
            <w:pPr>
              <w:rPr>
                <w:rFonts w:cstheme="majorBidi"/>
                <w:b/>
                <w:bCs/>
                <w:sz w:val="18"/>
                <w:szCs w:val="18"/>
                <w:lang w:val="en-GB"/>
              </w:rPr>
            </w:pPr>
            <w:r w:rsidRPr="00845FB7">
              <w:rPr>
                <w:rFonts w:cstheme="majorBidi"/>
                <w:b/>
                <w:bCs/>
                <w:sz w:val="18"/>
                <w:szCs w:val="18"/>
                <w:lang w:val="en-GB"/>
              </w:rPr>
              <w:t>Budget</w:t>
            </w:r>
          </w:p>
        </w:tc>
        <w:tc>
          <w:tcPr>
            <w:tcW w:w="1701" w:type="dxa"/>
            <w:vAlign w:val="center"/>
            <w:hideMark/>
          </w:tcPr>
          <w:p w14:paraId="07980F15" w14:textId="00170406" w:rsidR="00E723F8" w:rsidRPr="00845FB7" w:rsidRDefault="00E723F8" w:rsidP="00E723F8">
            <w:pPr>
              <w:jc w:val="center"/>
              <w:rPr>
                <w:rFonts w:cstheme="majorBidi"/>
                <w:b/>
                <w:bCs/>
                <w:sz w:val="18"/>
                <w:szCs w:val="18"/>
                <w:lang w:val="en-GB"/>
              </w:rPr>
            </w:pPr>
            <w:r w:rsidRPr="00845FB7">
              <w:rPr>
                <w:rFonts w:cstheme="majorBidi"/>
                <w:b/>
                <w:bCs/>
                <w:sz w:val="18"/>
                <w:szCs w:val="18"/>
                <w:lang w:val="en-GB"/>
              </w:rPr>
              <w:t xml:space="preserve">General </w:t>
            </w:r>
            <w:r w:rsidR="002A221B" w:rsidRPr="00845FB7">
              <w:rPr>
                <w:rFonts w:cstheme="majorBidi"/>
                <w:b/>
                <w:bCs/>
                <w:sz w:val="18"/>
                <w:szCs w:val="18"/>
                <w:lang w:val="en-GB"/>
              </w:rPr>
              <w:t>t</w:t>
            </w:r>
            <w:r w:rsidRPr="00845FB7">
              <w:rPr>
                <w:rFonts w:cstheme="majorBidi"/>
                <w:b/>
                <w:bCs/>
                <w:sz w:val="18"/>
                <w:szCs w:val="18"/>
                <w:lang w:val="en-GB"/>
              </w:rPr>
              <w:t xml:space="preserve">rust </w:t>
            </w:r>
            <w:r w:rsidR="002A221B" w:rsidRPr="00845FB7">
              <w:rPr>
                <w:rFonts w:cstheme="majorBidi"/>
                <w:b/>
                <w:bCs/>
                <w:sz w:val="18"/>
                <w:szCs w:val="18"/>
                <w:lang w:val="en-GB"/>
              </w:rPr>
              <w:t>f</w:t>
            </w:r>
            <w:r w:rsidRPr="00845FB7">
              <w:rPr>
                <w:rFonts w:cstheme="majorBidi"/>
                <w:b/>
                <w:bCs/>
                <w:sz w:val="18"/>
                <w:szCs w:val="18"/>
                <w:lang w:val="en-GB"/>
              </w:rPr>
              <w:t>und</w:t>
            </w:r>
          </w:p>
        </w:tc>
        <w:tc>
          <w:tcPr>
            <w:tcW w:w="1824" w:type="dxa"/>
            <w:vAlign w:val="center"/>
            <w:hideMark/>
          </w:tcPr>
          <w:p w14:paraId="6F875279" w14:textId="4B0F2FAA" w:rsidR="00E723F8" w:rsidRPr="00845FB7" w:rsidRDefault="00E723F8" w:rsidP="00E723F8">
            <w:pPr>
              <w:jc w:val="center"/>
              <w:rPr>
                <w:rFonts w:cstheme="majorBidi"/>
                <w:b/>
                <w:bCs/>
                <w:sz w:val="18"/>
                <w:szCs w:val="18"/>
                <w:lang w:val="en-GB"/>
              </w:rPr>
            </w:pPr>
            <w:r w:rsidRPr="00845FB7">
              <w:rPr>
                <w:rFonts w:cstheme="majorBidi"/>
                <w:b/>
                <w:bCs/>
                <w:sz w:val="18"/>
                <w:szCs w:val="18"/>
                <w:lang w:val="en-GB"/>
              </w:rPr>
              <w:t xml:space="preserve">Special </w:t>
            </w:r>
            <w:r w:rsidR="002A221B" w:rsidRPr="00845FB7">
              <w:rPr>
                <w:rFonts w:cstheme="majorBidi"/>
                <w:b/>
                <w:bCs/>
                <w:sz w:val="18"/>
                <w:szCs w:val="18"/>
                <w:lang w:val="en-GB"/>
              </w:rPr>
              <w:t>t</w:t>
            </w:r>
            <w:r w:rsidRPr="00845FB7">
              <w:rPr>
                <w:rFonts w:cstheme="majorBidi"/>
                <w:b/>
                <w:bCs/>
                <w:sz w:val="18"/>
                <w:szCs w:val="18"/>
                <w:lang w:val="en-GB"/>
              </w:rPr>
              <w:t xml:space="preserve">rust </w:t>
            </w:r>
            <w:r w:rsidR="002A221B" w:rsidRPr="00845FB7">
              <w:rPr>
                <w:rFonts w:cstheme="majorBidi"/>
                <w:b/>
                <w:bCs/>
                <w:sz w:val="18"/>
                <w:szCs w:val="18"/>
                <w:lang w:val="en-GB"/>
              </w:rPr>
              <w:t>f</w:t>
            </w:r>
            <w:r w:rsidRPr="00845FB7">
              <w:rPr>
                <w:rFonts w:cstheme="majorBidi"/>
                <w:b/>
                <w:bCs/>
                <w:sz w:val="18"/>
                <w:szCs w:val="18"/>
                <w:lang w:val="en-GB"/>
              </w:rPr>
              <w:t>und</w:t>
            </w:r>
          </w:p>
        </w:tc>
        <w:tc>
          <w:tcPr>
            <w:tcW w:w="1719" w:type="dxa"/>
            <w:vAlign w:val="center"/>
            <w:hideMark/>
          </w:tcPr>
          <w:p w14:paraId="3573CE7D" w14:textId="21586483" w:rsidR="00E723F8" w:rsidRPr="00845FB7" w:rsidRDefault="00E723F8" w:rsidP="00E723F8">
            <w:pPr>
              <w:jc w:val="center"/>
              <w:rPr>
                <w:rFonts w:cstheme="majorBidi"/>
                <w:b/>
                <w:bCs/>
                <w:sz w:val="18"/>
                <w:szCs w:val="18"/>
                <w:lang w:val="en-GB"/>
              </w:rPr>
            </w:pPr>
            <w:r w:rsidRPr="00845FB7">
              <w:rPr>
                <w:rFonts w:cstheme="majorBidi"/>
                <w:b/>
                <w:bCs/>
                <w:sz w:val="18"/>
                <w:szCs w:val="18"/>
                <w:lang w:val="en-GB"/>
              </w:rPr>
              <w:t xml:space="preserve">Total </w:t>
            </w:r>
            <w:r w:rsidR="002A221B" w:rsidRPr="00845FB7">
              <w:rPr>
                <w:rFonts w:cstheme="majorBidi"/>
                <w:b/>
                <w:bCs/>
                <w:sz w:val="18"/>
                <w:szCs w:val="18"/>
                <w:lang w:val="en-GB"/>
              </w:rPr>
              <w:t>c</w:t>
            </w:r>
            <w:r w:rsidRPr="00845FB7">
              <w:rPr>
                <w:rFonts w:cstheme="majorBidi"/>
                <w:b/>
                <w:bCs/>
                <w:sz w:val="18"/>
                <w:szCs w:val="18"/>
                <w:lang w:val="en-GB"/>
              </w:rPr>
              <w:t>ontribution</w:t>
            </w:r>
          </w:p>
        </w:tc>
      </w:tr>
      <w:tr w:rsidR="00D80D9F" w:rsidRPr="00845FB7" w14:paraId="28D41E41" w14:textId="77777777" w:rsidTr="00BD36F8">
        <w:trPr>
          <w:trHeight w:val="510"/>
        </w:trPr>
        <w:tc>
          <w:tcPr>
            <w:tcW w:w="4390" w:type="dxa"/>
            <w:vAlign w:val="center"/>
          </w:tcPr>
          <w:p w14:paraId="3636012A" w14:textId="21AF78FD" w:rsidR="00D80D9F" w:rsidRPr="00845FB7" w:rsidRDefault="00962B5D" w:rsidP="00E723F8">
            <w:pPr>
              <w:jc w:val="left"/>
              <w:rPr>
                <w:rFonts w:cstheme="majorBidi"/>
                <w:sz w:val="18"/>
                <w:szCs w:val="18"/>
                <w:lang w:val="en-GB"/>
              </w:rPr>
            </w:pPr>
            <w:r w:rsidRPr="00845FB7">
              <w:rPr>
                <w:rFonts w:cstheme="majorBidi"/>
                <w:sz w:val="18"/>
                <w:szCs w:val="18"/>
                <w:lang w:val="en-GB"/>
              </w:rPr>
              <w:t>2024</w:t>
            </w:r>
            <w:r w:rsidR="00D80D9F" w:rsidRPr="00845FB7">
              <w:rPr>
                <w:rFonts w:cstheme="majorBidi"/>
                <w:sz w:val="18"/>
                <w:szCs w:val="18"/>
                <w:lang w:val="en-GB"/>
              </w:rPr>
              <w:t>-</w:t>
            </w:r>
            <w:r w:rsidRPr="00845FB7">
              <w:rPr>
                <w:rFonts w:cstheme="majorBidi"/>
                <w:sz w:val="18"/>
                <w:szCs w:val="18"/>
                <w:lang w:val="en-GB"/>
              </w:rPr>
              <w:t xml:space="preserve">2025 </w:t>
            </w:r>
            <w:r w:rsidR="00D80D9F" w:rsidRPr="00845FB7">
              <w:rPr>
                <w:rFonts w:cstheme="majorBidi"/>
                <w:sz w:val="18"/>
                <w:szCs w:val="18"/>
                <w:lang w:val="en-GB"/>
              </w:rPr>
              <w:t>approved</w:t>
            </w:r>
          </w:p>
        </w:tc>
        <w:tc>
          <w:tcPr>
            <w:tcW w:w="1701" w:type="dxa"/>
            <w:noWrap/>
            <w:vAlign w:val="center"/>
          </w:tcPr>
          <w:p w14:paraId="50D77655" w14:textId="282D531A" w:rsidR="00D80D9F" w:rsidRPr="00845FB7" w:rsidRDefault="00910F70" w:rsidP="00E723F8">
            <w:pPr>
              <w:jc w:val="right"/>
              <w:rPr>
                <w:rFonts w:cstheme="majorBidi"/>
                <w:b/>
                <w:bCs/>
                <w:sz w:val="18"/>
                <w:szCs w:val="18"/>
                <w:lang w:val="en-GB"/>
              </w:rPr>
            </w:pPr>
            <w:r w:rsidRPr="00845FB7">
              <w:rPr>
                <w:rFonts w:cstheme="majorBidi"/>
                <w:b/>
                <w:bCs/>
                <w:sz w:val="18"/>
                <w:szCs w:val="18"/>
                <w:lang w:val="en-GB"/>
              </w:rPr>
              <w:t>125</w:t>
            </w:r>
            <w:r w:rsidR="00350237" w:rsidRPr="00845FB7">
              <w:rPr>
                <w:rFonts w:cstheme="majorBidi"/>
                <w:b/>
                <w:bCs/>
                <w:sz w:val="18"/>
                <w:szCs w:val="18"/>
                <w:lang w:val="en-GB"/>
              </w:rPr>
              <w:t>,000</w:t>
            </w:r>
          </w:p>
        </w:tc>
        <w:tc>
          <w:tcPr>
            <w:tcW w:w="1824" w:type="dxa"/>
            <w:noWrap/>
            <w:vAlign w:val="center"/>
          </w:tcPr>
          <w:p w14:paraId="74E37F0E" w14:textId="77777777" w:rsidR="00D80D9F" w:rsidRPr="00845FB7" w:rsidRDefault="00D80D9F" w:rsidP="00E723F8">
            <w:pPr>
              <w:jc w:val="right"/>
              <w:rPr>
                <w:rFonts w:cstheme="majorBidi"/>
                <w:sz w:val="18"/>
                <w:szCs w:val="18"/>
                <w:lang w:val="en-GB"/>
              </w:rPr>
            </w:pPr>
          </w:p>
        </w:tc>
        <w:tc>
          <w:tcPr>
            <w:tcW w:w="1719" w:type="dxa"/>
            <w:noWrap/>
            <w:vAlign w:val="center"/>
          </w:tcPr>
          <w:p w14:paraId="568E36AB" w14:textId="3D7FDDBC" w:rsidR="00D80D9F" w:rsidRPr="00845FB7" w:rsidRDefault="00910F70" w:rsidP="00E723F8">
            <w:pPr>
              <w:jc w:val="right"/>
              <w:rPr>
                <w:rFonts w:cstheme="majorBidi"/>
                <w:b/>
                <w:bCs/>
                <w:sz w:val="18"/>
                <w:szCs w:val="18"/>
                <w:lang w:val="en-GB"/>
              </w:rPr>
            </w:pPr>
            <w:r w:rsidRPr="00845FB7">
              <w:rPr>
                <w:rFonts w:cstheme="majorBidi"/>
                <w:b/>
                <w:bCs/>
                <w:sz w:val="18"/>
                <w:szCs w:val="18"/>
                <w:lang w:val="en-GB"/>
              </w:rPr>
              <w:t>12</w:t>
            </w:r>
            <w:r w:rsidR="00F5653D" w:rsidRPr="00845FB7">
              <w:rPr>
                <w:rFonts w:cstheme="majorBidi"/>
                <w:b/>
                <w:bCs/>
                <w:sz w:val="18"/>
                <w:szCs w:val="18"/>
                <w:lang w:val="en-GB"/>
              </w:rPr>
              <w:t>5</w:t>
            </w:r>
            <w:r w:rsidR="00517104" w:rsidRPr="00845FB7">
              <w:rPr>
                <w:rFonts w:cstheme="majorBidi"/>
                <w:b/>
                <w:bCs/>
                <w:sz w:val="18"/>
                <w:szCs w:val="18"/>
                <w:lang w:val="en-GB"/>
              </w:rPr>
              <w:t>,000</w:t>
            </w:r>
          </w:p>
        </w:tc>
      </w:tr>
      <w:tr w:rsidR="00D80D9F" w:rsidRPr="00845FB7" w14:paraId="729267ED" w14:textId="77777777" w:rsidTr="00BD36F8">
        <w:trPr>
          <w:trHeight w:val="510"/>
        </w:trPr>
        <w:tc>
          <w:tcPr>
            <w:tcW w:w="4390" w:type="dxa"/>
            <w:vAlign w:val="center"/>
          </w:tcPr>
          <w:p w14:paraId="637D6734" w14:textId="4B551AD6" w:rsidR="00D80D9F" w:rsidRPr="00845FB7" w:rsidRDefault="00E2051A" w:rsidP="00D80D9F">
            <w:pPr>
              <w:jc w:val="left"/>
              <w:rPr>
                <w:rFonts w:cstheme="majorBidi"/>
                <w:sz w:val="18"/>
                <w:szCs w:val="18"/>
                <w:lang w:val="en-GB"/>
              </w:rPr>
            </w:pPr>
            <w:r w:rsidRPr="00845FB7">
              <w:rPr>
                <w:rFonts w:cstheme="majorBidi"/>
                <w:sz w:val="18"/>
                <w:szCs w:val="18"/>
                <w:lang w:val="en-GB"/>
              </w:rPr>
              <w:t>2026–2027</w:t>
            </w:r>
            <w:r w:rsidR="00962B5D" w:rsidRPr="00845FB7">
              <w:rPr>
                <w:rFonts w:cstheme="majorBidi"/>
                <w:sz w:val="18"/>
                <w:szCs w:val="18"/>
                <w:lang w:val="en-GB"/>
              </w:rPr>
              <w:t xml:space="preserve"> </w:t>
            </w:r>
            <w:r w:rsidR="00D80D9F" w:rsidRPr="00845FB7">
              <w:rPr>
                <w:rFonts w:cstheme="majorBidi"/>
                <w:sz w:val="18"/>
                <w:szCs w:val="18"/>
                <w:lang w:val="en-GB"/>
              </w:rPr>
              <w:t>requested in the 5 per cent scenario</w:t>
            </w:r>
          </w:p>
        </w:tc>
        <w:tc>
          <w:tcPr>
            <w:tcW w:w="1701" w:type="dxa"/>
            <w:noWrap/>
            <w:vAlign w:val="center"/>
          </w:tcPr>
          <w:p w14:paraId="5CED11D4" w14:textId="3D3D758E" w:rsidR="00D80D9F" w:rsidRPr="00845FB7" w:rsidRDefault="00475F6D" w:rsidP="00D80D9F">
            <w:pPr>
              <w:jc w:val="right"/>
              <w:rPr>
                <w:rFonts w:cstheme="majorBidi"/>
                <w:b/>
                <w:bCs/>
                <w:sz w:val="18"/>
                <w:szCs w:val="18"/>
                <w:lang w:val="en-GB"/>
              </w:rPr>
            </w:pPr>
            <w:r w:rsidRPr="00845FB7">
              <w:rPr>
                <w:rFonts w:cstheme="majorBidi"/>
                <w:b/>
                <w:bCs/>
                <w:sz w:val="18"/>
                <w:szCs w:val="18"/>
                <w:lang w:val="en-GB"/>
              </w:rPr>
              <w:t>13</w:t>
            </w:r>
            <w:r w:rsidR="00F5653D" w:rsidRPr="00845FB7">
              <w:rPr>
                <w:rFonts w:cstheme="majorBidi"/>
                <w:b/>
                <w:bCs/>
                <w:sz w:val="18"/>
                <w:szCs w:val="18"/>
                <w:lang w:val="en-GB"/>
              </w:rPr>
              <w:t>5</w:t>
            </w:r>
            <w:r w:rsidR="00220904" w:rsidRPr="00845FB7">
              <w:rPr>
                <w:rFonts w:cstheme="majorBidi"/>
                <w:b/>
                <w:bCs/>
                <w:sz w:val="18"/>
                <w:szCs w:val="18"/>
                <w:lang w:val="en-GB"/>
              </w:rPr>
              <w:t>,000</w:t>
            </w:r>
          </w:p>
        </w:tc>
        <w:tc>
          <w:tcPr>
            <w:tcW w:w="1824" w:type="dxa"/>
            <w:noWrap/>
            <w:vAlign w:val="center"/>
          </w:tcPr>
          <w:p w14:paraId="0DD1C6FD" w14:textId="77777777" w:rsidR="00D80D9F" w:rsidRPr="00845FB7" w:rsidRDefault="00D80D9F" w:rsidP="00D80D9F">
            <w:pPr>
              <w:jc w:val="right"/>
              <w:rPr>
                <w:rFonts w:cstheme="majorBidi"/>
                <w:sz w:val="18"/>
                <w:szCs w:val="18"/>
                <w:lang w:val="en-GB"/>
              </w:rPr>
            </w:pPr>
          </w:p>
        </w:tc>
        <w:tc>
          <w:tcPr>
            <w:tcW w:w="1719" w:type="dxa"/>
            <w:noWrap/>
            <w:vAlign w:val="center"/>
          </w:tcPr>
          <w:p w14:paraId="43CB8AA3" w14:textId="69AE6CA4" w:rsidR="00D80D9F" w:rsidRPr="00845FB7" w:rsidRDefault="00475F6D" w:rsidP="00D80D9F">
            <w:pPr>
              <w:jc w:val="right"/>
              <w:rPr>
                <w:rFonts w:cstheme="majorBidi"/>
                <w:b/>
                <w:bCs/>
                <w:sz w:val="18"/>
                <w:szCs w:val="18"/>
                <w:lang w:val="en-GB"/>
              </w:rPr>
            </w:pPr>
            <w:r w:rsidRPr="00845FB7">
              <w:rPr>
                <w:rFonts w:cstheme="majorBidi"/>
                <w:b/>
                <w:bCs/>
                <w:sz w:val="18"/>
                <w:szCs w:val="18"/>
                <w:lang w:val="en-GB"/>
              </w:rPr>
              <w:t>135</w:t>
            </w:r>
            <w:r w:rsidR="00220904" w:rsidRPr="00845FB7">
              <w:rPr>
                <w:rFonts w:cstheme="majorBidi"/>
                <w:b/>
                <w:bCs/>
                <w:sz w:val="18"/>
                <w:szCs w:val="18"/>
                <w:lang w:val="en-GB"/>
              </w:rPr>
              <w:t>,000</w:t>
            </w:r>
          </w:p>
        </w:tc>
      </w:tr>
      <w:tr w:rsidR="00D80D9F" w:rsidRPr="00845FB7" w14:paraId="47843508" w14:textId="77777777" w:rsidTr="00BD36F8">
        <w:trPr>
          <w:trHeight w:val="510"/>
        </w:trPr>
        <w:tc>
          <w:tcPr>
            <w:tcW w:w="4390" w:type="dxa"/>
            <w:vAlign w:val="center"/>
          </w:tcPr>
          <w:p w14:paraId="393C9DCF" w14:textId="04B8F60C" w:rsidR="00D80D9F" w:rsidRPr="00845FB7" w:rsidRDefault="00E2051A" w:rsidP="00D80D9F">
            <w:pPr>
              <w:jc w:val="left"/>
              <w:rPr>
                <w:rFonts w:cstheme="majorBidi"/>
                <w:sz w:val="18"/>
                <w:szCs w:val="18"/>
                <w:lang w:val="en-GB"/>
              </w:rPr>
            </w:pPr>
            <w:r w:rsidRPr="00845FB7">
              <w:rPr>
                <w:rFonts w:cstheme="majorBidi"/>
                <w:sz w:val="18"/>
                <w:szCs w:val="18"/>
                <w:lang w:val="en-GB"/>
              </w:rPr>
              <w:t>2026–2027</w:t>
            </w:r>
            <w:r w:rsidR="00962B5D" w:rsidRPr="00845FB7">
              <w:rPr>
                <w:rFonts w:cstheme="majorBidi"/>
                <w:sz w:val="18"/>
                <w:szCs w:val="18"/>
                <w:lang w:val="en-GB"/>
              </w:rPr>
              <w:t xml:space="preserve"> </w:t>
            </w:r>
            <w:r w:rsidR="00D80D9F" w:rsidRPr="00845FB7">
              <w:rPr>
                <w:rFonts w:cstheme="majorBidi"/>
                <w:sz w:val="18"/>
                <w:szCs w:val="18"/>
                <w:lang w:val="en-GB"/>
              </w:rPr>
              <w:t>requested in the zero nominal growth scenario</w:t>
            </w:r>
          </w:p>
        </w:tc>
        <w:tc>
          <w:tcPr>
            <w:tcW w:w="1701" w:type="dxa"/>
            <w:noWrap/>
            <w:vAlign w:val="center"/>
          </w:tcPr>
          <w:p w14:paraId="657EEE68" w14:textId="631DB691" w:rsidR="00D80D9F" w:rsidRPr="00845FB7" w:rsidRDefault="00F5653D" w:rsidP="00D80D9F">
            <w:pPr>
              <w:jc w:val="right"/>
              <w:rPr>
                <w:rFonts w:cstheme="majorBidi"/>
                <w:b/>
                <w:bCs/>
                <w:sz w:val="18"/>
                <w:szCs w:val="18"/>
                <w:lang w:val="en-GB"/>
              </w:rPr>
            </w:pPr>
            <w:r w:rsidRPr="00845FB7">
              <w:rPr>
                <w:rFonts w:cstheme="majorBidi"/>
                <w:b/>
                <w:bCs/>
                <w:sz w:val="18"/>
                <w:szCs w:val="18"/>
                <w:lang w:val="en-GB"/>
              </w:rPr>
              <w:t>83,000</w:t>
            </w:r>
          </w:p>
        </w:tc>
        <w:tc>
          <w:tcPr>
            <w:tcW w:w="1824" w:type="dxa"/>
            <w:noWrap/>
            <w:vAlign w:val="center"/>
          </w:tcPr>
          <w:p w14:paraId="518CEE50" w14:textId="30F0E664" w:rsidR="00D80D9F" w:rsidRPr="00845FB7" w:rsidRDefault="00D80D9F" w:rsidP="00D80D9F">
            <w:pPr>
              <w:jc w:val="right"/>
              <w:rPr>
                <w:rFonts w:cstheme="majorBidi"/>
                <w:sz w:val="18"/>
                <w:szCs w:val="18"/>
                <w:lang w:val="en-GB"/>
              </w:rPr>
            </w:pPr>
          </w:p>
        </w:tc>
        <w:tc>
          <w:tcPr>
            <w:tcW w:w="1719" w:type="dxa"/>
            <w:noWrap/>
            <w:vAlign w:val="center"/>
          </w:tcPr>
          <w:p w14:paraId="269F476F" w14:textId="4929B2B6" w:rsidR="00D80D9F" w:rsidRPr="00845FB7" w:rsidRDefault="00F5653D" w:rsidP="00D80D9F">
            <w:pPr>
              <w:jc w:val="right"/>
              <w:rPr>
                <w:rFonts w:cstheme="majorBidi"/>
                <w:b/>
                <w:bCs/>
                <w:sz w:val="18"/>
                <w:szCs w:val="18"/>
                <w:lang w:val="en-GB"/>
              </w:rPr>
            </w:pPr>
            <w:r w:rsidRPr="00845FB7">
              <w:rPr>
                <w:rFonts w:cstheme="majorBidi"/>
                <w:b/>
                <w:bCs/>
                <w:sz w:val="18"/>
                <w:szCs w:val="18"/>
                <w:lang w:val="en-GB"/>
              </w:rPr>
              <w:t>83</w:t>
            </w:r>
            <w:r w:rsidR="00220904" w:rsidRPr="00845FB7">
              <w:rPr>
                <w:rFonts w:cstheme="majorBidi"/>
                <w:b/>
                <w:bCs/>
                <w:sz w:val="18"/>
                <w:szCs w:val="18"/>
                <w:lang w:val="en-GB"/>
              </w:rPr>
              <w:t>,000</w:t>
            </w:r>
          </w:p>
        </w:tc>
      </w:tr>
    </w:tbl>
    <w:p w14:paraId="76B02541" w14:textId="16737C46" w:rsidR="00E723F8" w:rsidRPr="00845FB7" w:rsidRDefault="00E723F8" w:rsidP="00BA1053">
      <w:pPr>
        <w:rPr>
          <w:u w:val="single"/>
          <w:lang w:val="en-GB"/>
        </w:rPr>
      </w:pPr>
    </w:p>
    <w:p w14:paraId="63B4A009" w14:textId="6AFC9EB6" w:rsidR="00F75134" w:rsidRPr="00845FB7" w:rsidRDefault="000B74C0" w:rsidP="00BD36F8">
      <w:pPr>
        <w:jc w:val="left"/>
        <w:rPr>
          <w:u w:val="single"/>
          <w:lang w:val="en-GB"/>
        </w:rPr>
      </w:pPr>
      <w:r w:rsidRPr="00845FB7">
        <w:rPr>
          <w:u w:val="single"/>
          <w:lang w:val="en-GB"/>
        </w:rPr>
        <w:br w:type="page"/>
      </w:r>
    </w:p>
    <w:p w14:paraId="18BFCBA4" w14:textId="6CE77295" w:rsidR="00F75134" w:rsidRPr="00845FB7" w:rsidRDefault="00F75134" w:rsidP="00BA1053">
      <w:pPr>
        <w:rPr>
          <w:color w:val="0563C1" w:themeColor="hyperlink"/>
          <w:u w:val="single"/>
          <w:lang w:val="en-GB"/>
        </w:rPr>
        <w:sectPr w:rsidR="00F75134" w:rsidRPr="00845FB7" w:rsidSect="00906D6E">
          <w:headerReference w:type="default" r:id="rId52"/>
          <w:footerReference w:type="default" r:id="rId53"/>
          <w:headerReference w:type="first" r:id="rId54"/>
          <w:footerReference w:type="first" r:id="rId55"/>
          <w:pgSz w:w="11906" w:h="16838" w:code="9"/>
          <w:pgMar w:top="907" w:right="992" w:bottom="1418" w:left="1418" w:header="539" w:footer="975" w:gutter="0"/>
          <w:cols w:space="708"/>
          <w:titlePg/>
          <w:docGrid w:linePitch="360"/>
        </w:sectPr>
      </w:pPr>
    </w:p>
    <w:p w14:paraId="5E1ADD43" w14:textId="7D1455C7" w:rsidR="00B3795B" w:rsidRPr="00845FB7" w:rsidRDefault="00B3795B" w:rsidP="00B3795B">
      <w:pPr>
        <w:pStyle w:val="Heading1"/>
        <w:jc w:val="left"/>
        <w:rPr>
          <w:szCs w:val="40"/>
          <w:lang w:val="en-GB"/>
        </w:rPr>
      </w:pPr>
      <w:r w:rsidRPr="00845FB7">
        <w:rPr>
          <w:b w:val="0"/>
          <w:noProof/>
          <w:szCs w:val="40"/>
          <w:lang w:val="en-GB" w:bidi="fr-FR"/>
        </w:rPr>
        <w:lastRenderedPageBreak/>
        <mc:AlternateContent>
          <mc:Choice Requires="wps">
            <w:drawing>
              <wp:anchor distT="0" distB="0" distL="114300" distR="114300" simplePos="0" relativeHeight="251658243" behindDoc="1" locked="0" layoutInCell="1" allowOverlap="1" wp14:anchorId="09851510" wp14:editId="19184678">
                <wp:simplePos x="0" y="0"/>
                <wp:positionH relativeFrom="page">
                  <wp:posOffset>838200</wp:posOffset>
                </wp:positionH>
                <wp:positionV relativeFrom="paragraph">
                  <wp:posOffset>-4445</wp:posOffset>
                </wp:positionV>
                <wp:extent cx="6515100" cy="938254"/>
                <wp:effectExtent l="0" t="0" r="0" b="0"/>
                <wp:wrapNone/>
                <wp:docPr id="10" name="Rectangle 10" descr="P2033#y1"/>
                <wp:cNvGraphicFramePr/>
                <a:graphic xmlns:a="http://schemas.openxmlformats.org/drawingml/2006/main">
                  <a:graphicData uri="http://schemas.microsoft.com/office/word/2010/wordprocessingShape">
                    <wps:wsp>
                      <wps:cNvSpPr/>
                      <wps:spPr>
                        <a:xfrm>
                          <a:off x="0" y="0"/>
                          <a:ext cx="6515100" cy="938254"/>
                        </a:xfrm>
                        <a:prstGeom prst="rect">
                          <a:avLst/>
                        </a:prstGeom>
                        <a:solidFill>
                          <a:srgbClr val="E8B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3CB6D66B">
              <v:rect id="Rectangle 10" style="position:absolute;margin-left:66pt;margin-top:-.35pt;width:513pt;height:73.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P2033#y1" o:spid="_x0000_s1026" fillcolor="#e8bc00" stroked="f" strokeweight="1pt" w14:anchorId="56DF5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">
                <w10:wrap anchorx="page"/>
              </v:rect>
            </w:pict>
          </mc:Fallback>
        </mc:AlternateContent>
      </w:r>
      <w:r w:rsidRPr="00845FB7">
        <w:rPr>
          <w:szCs w:val="40"/>
          <w:lang w:val="en-GB"/>
        </w:rPr>
        <w:t>Fact sheet D. Knowledge and information management, and outreach</w:t>
      </w:r>
    </w:p>
    <w:p w14:paraId="47A7314D" w14:textId="6300EE5D" w:rsidR="00B3795B" w:rsidRPr="00845FB7" w:rsidRDefault="00B3795B" w:rsidP="00B3795B">
      <w:pPr>
        <w:pStyle w:val="Heading2"/>
        <w:rPr>
          <w:rFonts w:cstheme="majorBidi"/>
          <w:color w:val="FFC000"/>
          <w:sz w:val="36"/>
          <w:szCs w:val="36"/>
          <w:lang w:val="en-GB"/>
        </w:rPr>
      </w:pPr>
      <w:r w:rsidRPr="00845FB7">
        <w:rPr>
          <w:rFonts w:cstheme="majorBidi"/>
          <w:color w:val="FFC000"/>
          <w:sz w:val="36"/>
          <w:szCs w:val="36"/>
          <w:lang w:val="en-GB"/>
        </w:rPr>
        <w:t>Activity 8. Publications</w:t>
      </w:r>
    </w:p>
    <w:p w14:paraId="741B2844" w14:textId="1C08B2E7" w:rsidR="00B3795B" w:rsidRPr="00845FB7" w:rsidRDefault="00B3795B" w:rsidP="00B3795B">
      <w:pPr>
        <w:pStyle w:val="Heading3"/>
        <w:rPr>
          <w:sz w:val="24"/>
          <w:lang w:val="en-GB"/>
        </w:rPr>
      </w:pPr>
      <w:r w:rsidRPr="00845FB7">
        <w:rPr>
          <w:sz w:val="24"/>
          <w:lang w:val="en-GB"/>
        </w:rPr>
        <w:t>Budget</w:t>
      </w:r>
    </w:p>
    <w:p w14:paraId="50E4BBFA" w14:textId="5D9C2B20" w:rsidR="00B3795B" w:rsidRPr="00845FB7" w:rsidRDefault="00B3795B" w:rsidP="00B3795B">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9322F7" w:rsidRPr="00845FB7">
        <w:rPr>
          <w:rFonts w:cstheme="majorBidi"/>
          <w:szCs w:val="20"/>
          <w:lang w:val="en-GB"/>
        </w:rPr>
        <w:t>General Trust Fund</w:t>
      </w:r>
      <w:r w:rsidRPr="00845FB7">
        <w:rPr>
          <w:rFonts w:cstheme="majorBidi"/>
          <w:szCs w:val="20"/>
          <w:lang w:val="en-GB"/>
        </w:rPr>
        <w:t xml:space="preserve">                     </w:t>
      </w:r>
      <w:r w:rsidR="00E43FAF" w:rsidRPr="00845FB7">
        <w:rPr>
          <w:rFonts w:cstheme="majorBidi"/>
          <w:szCs w:val="20"/>
          <w:lang w:val="en-GB"/>
        </w:rPr>
        <w:fldChar w:fldCharType="begin">
          <w:ffData>
            <w:name w:val=""/>
            <w:enabled/>
            <w:calcOnExit w:val="0"/>
            <w:checkBox>
              <w:sizeAuto/>
              <w:default w:val="1"/>
            </w:checkBox>
          </w:ffData>
        </w:fldChar>
      </w:r>
      <w:r w:rsidR="00E43FAF"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00E43FAF" w:rsidRPr="00845FB7">
        <w:rPr>
          <w:rFonts w:cstheme="majorBidi"/>
          <w:szCs w:val="20"/>
          <w:lang w:val="en-GB"/>
        </w:rPr>
        <w:fldChar w:fldCharType="end"/>
      </w:r>
      <w:r w:rsidRPr="00845FB7">
        <w:rPr>
          <w:rFonts w:cstheme="majorBidi"/>
          <w:szCs w:val="20"/>
          <w:lang w:val="en-GB"/>
        </w:rPr>
        <w:t xml:space="preserve"> </w:t>
      </w:r>
      <w:r w:rsidR="009322F7" w:rsidRPr="00845FB7">
        <w:rPr>
          <w:rFonts w:cstheme="majorBidi"/>
          <w:szCs w:val="20"/>
          <w:lang w:val="en-GB"/>
        </w:rPr>
        <w:t>Special Trust Fund</w:t>
      </w:r>
    </w:p>
    <w:p w14:paraId="720C48A6" w14:textId="13F245A0" w:rsidR="00B3795B" w:rsidRPr="00845FB7" w:rsidRDefault="00B3795B" w:rsidP="00B3795B">
      <w:pPr>
        <w:pStyle w:val="Heading3"/>
        <w:rPr>
          <w:sz w:val="24"/>
          <w:lang w:val="en-GB"/>
        </w:rPr>
      </w:pPr>
      <w:r w:rsidRPr="00845FB7">
        <w:rPr>
          <w:sz w:val="24"/>
          <w:lang w:val="en-GB"/>
        </w:rPr>
        <w:t>Reference</w:t>
      </w:r>
    </w:p>
    <w:p w14:paraId="5C4BF88C" w14:textId="77777777" w:rsidR="00B3795B" w:rsidRPr="00845FB7" w:rsidRDefault="00B3795B" w:rsidP="00BD36F8">
      <w:pPr>
        <w:spacing w:after="60"/>
        <w:rPr>
          <w:rFonts w:cstheme="majorBidi"/>
          <w:szCs w:val="20"/>
          <w:lang w:val="en-GB"/>
        </w:rPr>
      </w:pPr>
      <w:r w:rsidRPr="00845FB7">
        <w:rPr>
          <w:rFonts w:cstheme="majorBidi"/>
          <w:szCs w:val="20"/>
          <w:lang w:val="en-GB"/>
        </w:rPr>
        <w:t>N/A</w:t>
      </w:r>
    </w:p>
    <w:p w14:paraId="698AF098" w14:textId="4CEE8319" w:rsidR="00B3795B" w:rsidRPr="00845FB7" w:rsidRDefault="00B3795B" w:rsidP="00B3795B">
      <w:pPr>
        <w:pStyle w:val="Heading3"/>
        <w:rPr>
          <w:sz w:val="24"/>
          <w:lang w:val="en-GB"/>
        </w:rPr>
      </w:pPr>
      <w:r w:rsidRPr="00845FB7">
        <w:rPr>
          <w:sz w:val="24"/>
          <w:lang w:val="en-GB"/>
        </w:rPr>
        <w:t>Mandate</w:t>
      </w:r>
    </w:p>
    <w:p w14:paraId="123CD9FA" w14:textId="0C8FC015" w:rsidR="00B3795B" w:rsidRPr="00845FB7" w:rsidRDefault="00B3795B" w:rsidP="00BD36F8">
      <w:pPr>
        <w:spacing w:after="60"/>
        <w:rPr>
          <w:rFonts w:cstheme="majorBidi"/>
          <w:szCs w:val="20"/>
          <w:lang w:val="en-GB"/>
        </w:rPr>
      </w:pPr>
      <w:r w:rsidRPr="00845FB7">
        <w:rPr>
          <w:rFonts w:cstheme="majorBidi"/>
          <w:b/>
          <w:bCs/>
          <w:szCs w:val="20"/>
          <w:lang w:val="en-GB"/>
        </w:rPr>
        <w:t>Convention:</w:t>
      </w:r>
      <w:r w:rsidRPr="00845FB7">
        <w:rPr>
          <w:rFonts w:cstheme="majorBidi"/>
          <w:szCs w:val="20"/>
          <w:lang w:val="en-GB"/>
        </w:rPr>
        <w:t xml:space="preserve"> </w:t>
      </w:r>
      <w:r w:rsidR="002B40E4" w:rsidRPr="00845FB7">
        <w:rPr>
          <w:rFonts w:cstheme="majorBidi"/>
          <w:szCs w:val="20"/>
          <w:lang w:val="en-GB"/>
        </w:rPr>
        <w:t>A</w:t>
      </w:r>
      <w:r w:rsidRPr="00845FB7">
        <w:rPr>
          <w:rFonts w:cstheme="majorBidi"/>
          <w:szCs w:val="20"/>
          <w:lang w:val="en-GB"/>
        </w:rPr>
        <w:t>rticle</w:t>
      </w:r>
      <w:r w:rsidR="00203E2F" w:rsidRPr="00845FB7">
        <w:rPr>
          <w:rFonts w:cstheme="majorBidi"/>
          <w:szCs w:val="20"/>
          <w:lang w:val="en-GB"/>
        </w:rPr>
        <w:t>s</w:t>
      </w:r>
      <w:r w:rsidRPr="00845FB7">
        <w:rPr>
          <w:rFonts w:cstheme="majorBidi"/>
          <w:szCs w:val="20"/>
          <w:lang w:val="en-GB"/>
        </w:rPr>
        <w:t xml:space="preserve"> 17, 18 and 24</w:t>
      </w:r>
    </w:p>
    <w:p w14:paraId="43830EBB" w14:textId="3F4D159C" w:rsidR="00B3795B" w:rsidRPr="00845FB7" w:rsidRDefault="00B3795B" w:rsidP="00B3795B">
      <w:pPr>
        <w:pStyle w:val="Heading3"/>
        <w:rPr>
          <w:sz w:val="24"/>
          <w:lang w:val="en-GB"/>
        </w:rPr>
      </w:pPr>
      <w:r w:rsidRPr="00845FB7">
        <w:rPr>
          <w:sz w:val="24"/>
          <w:lang w:val="en-GB"/>
        </w:rPr>
        <w:t>Background and rationale</w:t>
      </w:r>
    </w:p>
    <w:p w14:paraId="15D8FDA5" w14:textId="56FA23AD" w:rsidR="00B3795B" w:rsidRPr="00845FB7" w:rsidRDefault="00B3795B" w:rsidP="3D4F1C4B">
      <w:pPr>
        <w:spacing w:after="120" w:line="276" w:lineRule="auto"/>
        <w:rPr>
          <w:rFonts w:cstheme="majorBidi"/>
          <w:lang w:val="en-GB"/>
        </w:rPr>
      </w:pPr>
      <w:r w:rsidRPr="00845FB7">
        <w:rPr>
          <w:rFonts w:cstheme="majorBidi"/>
          <w:lang w:val="en-GB"/>
        </w:rPr>
        <w:t xml:space="preserve">This activity ensures that core texts, information materials, guidance, e-publications and other assets of the Minamata Convention </w:t>
      </w:r>
      <w:r w:rsidR="00DD6724" w:rsidRPr="00845FB7">
        <w:rPr>
          <w:rFonts w:cstheme="majorBidi"/>
          <w:lang w:val="en-GB"/>
        </w:rPr>
        <w:t xml:space="preserve">work </w:t>
      </w:r>
      <w:r w:rsidRPr="00845FB7">
        <w:rPr>
          <w:rFonts w:cstheme="majorBidi"/>
          <w:lang w:val="en-GB"/>
        </w:rPr>
        <w:t xml:space="preserve">are available to </w:t>
      </w:r>
      <w:r w:rsidR="009D4627" w:rsidRPr="00845FB7">
        <w:rPr>
          <w:rFonts w:cstheme="majorBidi"/>
          <w:lang w:val="en-GB"/>
        </w:rPr>
        <w:t xml:space="preserve">Parties </w:t>
      </w:r>
      <w:r w:rsidRPr="00845FB7">
        <w:rPr>
          <w:rFonts w:cstheme="majorBidi"/>
          <w:lang w:val="en-GB"/>
        </w:rPr>
        <w:t xml:space="preserve">in </w:t>
      </w:r>
      <w:r w:rsidR="2E6A76C8" w:rsidRPr="00845FB7">
        <w:rPr>
          <w:rFonts w:cstheme="majorBidi"/>
          <w:lang w:val="en-GB"/>
        </w:rPr>
        <w:t>an accessible and user-friendly way</w:t>
      </w:r>
      <w:r w:rsidRPr="00845FB7">
        <w:rPr>
          <w:rFonts w:cstheme="majorBidi"/>
          <w:lang w:val="en-GB"/>
        </w:rPr>
        <w:t xml:space="preserve">. </w:t>
      </w:r>
    </w:p>
    <w:p w14:paraId="40875106" w14:textId="7B9DACEC" w:rsidR="00B3795B" w:rsidRPr="00845FB7" w:rsidRDefault="00B3795B" w:rsidP="00BD36F8">
      <w:pPr>
        <w:spacing w:after="120" w:line="276" w:lineRule="auto"/>
        <w:rPr>
          <w:rFonts w:cstheme="majorBidi"/>
          <w:szCs w:val="20"/>
          <w:lang w:val="en-GB"/>
        </w:rPr>
      </w:pPr>
      <w:r w:rsidRPr="00845FB7">
        <w:rPr>
          <w:rFonts w:cstheme="majorBidi"/>
          <w:szCs w:val="20"/>
          <w:lang w:val="en-GB"/>
        </w:rPr>
        <w:t xml:space="preserve">The role of these publications and e-publications in enhancing the availability and exchange of information reflects the </w:t>
      </w:r>
      <w:r w:rsidR="0053288A" w:rsidRPr="00845FB7">
        <w:rPr>
          <w:rFonts w:cstheme="majorBidi"/>
          <w:szCs w:val="20"/>
          <w:lang w:val="en-GB"/>
        </w:rPr>
        <w:t xml:space="preserve">Secretariat’s </w:t>
      </w:r>
      <w:r w:rsidRPr="00845FB7">
        <w:rPr>
          <w:rFonts w:cstheme="majorBidi"/>
          <w:szCs w:val="20"/>
          <w:lang w:val="en-GB"/>
        </w:rPr>
        <w:t xml:space="preserve">function to assist </w:t>
      </w:r>
      <w:r w:rsidR="0053288A" w:rsidRPr="00845FB7">
        <w:rPr>
          <w:rFonts w:cstheme="majorBidi"/>
          <w:szCs w:val="20"/>
          <w:lang w:val="en-GB"/>
        </w:rPr>
        <w:t xml:space="preserve">Parties </w:t>
      </w:r>
      <w:r w:rsidRPr="00845FB7">
        <w:rPr>
          <w:rFonts w:cstheme="majorBidi"/>
          <w:szCs w:val="20"/>
          <w:lang w:val="en-GB"/>
        </w:rPr>
        <w:t xml:space="preserve">as an information hub related to the implementation of the Convention, and as </w:t>
      </w:r>
      <w:r w:rsidR="00767763" w:rsidRPr="00845FB7">
        <w:rPr>
          <w:rFonts w:cstheme="majorBidi"/>
          <w:szCs w:val="20"/>
          <w:lang w:val="en-GB"/>
        </w:rPr>
        <w:t xml:space="preserve">a </w:t>
      </w:r>
      <w:r w:rsidRPr="00845FB7">
        <w:rPr>
          <w:rFonts w:cstheme="majorBidi"/>
          <w:szCs w:val="20"/>
          <w:lang w:val="en-GB"/>
        </w:rPr>
        <w:t>facilitator of the community of best practices on environmentally sound management of mercury and its compounds.</w:t>
      </w:r>
    </w:p>
    <w:p w14:paraId="223C21DB" w14:textId="7545D7E2" w:rsidR="00B3795B" w:rsidRPr="00845FB7" w:rsidRDefault="00B3795B" w:rsidP="3D4F1C4B">
      <w:pPr>
        <w:spacing w:after="120" w:line="276" w:lineRule="auto"/>
        <w:rPr>
          <w:rFonts w:cstheme="majorBidi"/>
          <w:lang w:val="en-GB"/>
        </w:rPr>
      </w:pPr>
      <w:r w:rsidRPr="00845FB7">
        <w:rPr>
          <w:rFonts w:cstheme="majorBidi"/>
          <w:lang w:val="en-GB"/>
        </w:rPr>
        <w:t xml:space="preserve">The production of </w:t>
      </w:r>
      <w:r w:rsidR="3253B2CC" w:rsidRPr="00845FB7">
        <w:rPr>
          <w:rFonts w:cstheme="majorBidi"/>
          <w:lang w:val="en-GB"/>
        </w:rPr>
        <w:t xml:space="preserve">supplementary </w:t>
      </w:r>
      <w:r w:rsidRPr="00845FB7">
        <w:rPr>
          <w:rFonts w:cstheme="majorBidi"/>
          <w:lang w:val="en-GB"/>
        </w:rPr>
        <w:t xml:space="preserve">materials like infographics, briefings, and brochures is aimed </w:t>
      </w:r>
      <w:r w:rsidR="000B1863" w:rsidRPr="00845FB7">
        <w:rPr>
          <w:rFonts w:cstheme="majorBidi"/>
          <w:lang w:val="en-GB"/>
        </w:rPr>
        <w:t>at raising</w:t>
      </w:r>
      <w:r w:rsidRPr="00845FB7">
        <w:rPr>
          <w:rFonts w:cstheme="majorBidi"/>
          <w:lang w:val="en-GB"/>
        </w:rPr>
        <w:t xml:space="preserve"> public awareness to broader audiences with an informational purpose, and with the added value of its inclusion in communication packages.</w:t>
      </w:r>
    </w:p>
    <w:p w14:paraId="77EB9DC1" w14:textId="44982496" w:rsidR="00B3795B" w:rsidRPr="00845FB7" w:rsidRDefault="00B3795B" w:rsidP="3D4F1C4B">
      <w:pPr>
        <w:spacing w:after="120" w:line="276" w:lineRule="auto"/>
        <w:rPr>
          <w:rFonts w:cstheme="majorBidi"/>
          <w:lang w:val="en-GB"/>
        </w:rPr>
      </w:pPr>
      <w:r w:rsidRPr="00845FB7">
        <w:rPr>
          <w:rFonts w:cstheme="majorBidi"/>
          <w:lang w:val="en-GB"/>
        </w:rPr>
        <w:t xml:space="preserve">In addition to core publications, voluntary funding is sought for additional texts and materials to better promote knowledge and public awareness. These additional </w:t>
      </w:r>
      <w:r w:rsidR="659D3024" w:rsidRPr="00845FB7">
        <w:rPr>
          <w:rFonts w:cstheme="majorBidi"/>
          <w:lang w:val="en-GB"/>
        </w:rPr>
        <w:t xml:space="preserve">resources </w:t>
      </w:r>
      <w:r w:rsidRPr="00845FB7">
        <w:rPr>
          <w:rFonts w:cstheme="majorBidi"/>
          <w:lang w:val="en-GB"/>
        </w:rPr>
        <w:t xml:space="preserve">are closely aligned </w:t>
      </w:r>
      <w:r w:rsidR="00D80696" w:rsidRPr="00845FB7">
        <w:rPr>
          <w:rFonts w:cstheme="majorBidi"/>
          <w:lang w:val="en-GB"/>
        </w:rPr>
        <w:t xml:space="preserve">with </w:t>
      </w:r>
      <w:r w:rsidRPr="00845FB7">
        <w:rPr>
          <w:rFonts w:cstheme="majorBidi"/>
          <w:lang w:val="en-GB"/>
        </w:rPr>
        <w:t xml:space="preserve">the donor recognition practices of the </w:t>
      </w:r>
      <w:r w:rsidR="00454AD3" w:rsidRPr="00845FB7">
        <w:rPr>
          <w:rFonts w:cstheme="majorBidi"/>
          <w:lang w:val="en-GB"/>
        </w:rPr>
        <w:t xml:space="preserve">Secretariat </w:t>
      </w:r>
      <w:r w:rsidRPr="00845FB7">
        <w:rPr>
          <w:rFonts w:cstheme="majorBidi"/>
          <w:lang w:val="en-GB"/>
        </w:rPr>
        <w:t xml:space="preserve">and the operational plan for ensuring donor visibility, through </w:t>
      </w:r>
      <w:r w:rsidR="00D80696" w:rsidRPr="00845FB7">
        <w:rPr>
          <w:rFonts w:cstheme="majorBidi"/>
          <w:lang w:val="en-GB"/>
        </w:rPr>
        <w:t xml:space="preserve">the </w:t>
      </w:r>
      <w:r w:rsidRPr="00845FB7">
        <w:rPr>
          <w:rFonts w:cstheme="majorBidi"/>
          <w:lang w:val="en-GB"/>
        </w:rPr>
        <w:t xml:space="preserve">appropriate use of written acknowledgements, donor logos, etc. </w:t>
      </w:r>
    </w:p>
    <w:p w14:paraId="250FF518" w14:textId="2C09226D" w:rsidR="00B3795B" w:rsidRPr="00845FB7" w:rsidRDefault="2AC2217D" w:rsidP="3D4F1C4B">
      <w:pPr>
        <w:spacing w:after="120" w:line="276" w:lineRule="auto"/>
        <w:rPr>
          <w:rFonts w:cstheme="majorBidi"/>
          <w:lang w:val="en-GB"/>
        </w:rPr>
      </w:pPr>
      <w:r w:rsidRPr="00845FB7">
        <w:rPr>
          <w:rFonts w:cstheme="majorBidi"/>
          <w:lang w:val="en-GB"/>
        </w:rPr>
        <w:t>In keeping with principles of sustainability and efficiency, t</w:t>
      </w:r>
      <w:r w:rsidR="00B3795B" w:rsidRPr="00845FB7">
        <w:rPr>
          <w:rFonts w:cstheme="majorBidi"/>
          <w:lang w:val="en-GB"/>
        </w:rPr>
        <w:t xml:space="preserve">he </w:t>
      </w:r>
      <w:r w:rsidR="00D80696" w:rsidRPr="00845FB7">
        <w:rPr>
          <w:rFonts w:cstheme="majorBidi"/>
          <w:lang w:val="en-GB"/>
        </w:rPr>
        <w:t xml:space="preserve">Secretariat </w:t>
      </w:r>
      <w:r w:rsidR="00B3795B" w:rsidRPr="00845FB7">
        <w:rPr>
          <w:rFonts w:cstheme="majorBidi"/>
          <w:lang w:val="en-GB"/>
        </w:rPr>
        <w:t xml:space="preserve">fosters the design, production and promotion of digital </w:t>
      </w:r>
      <w:r w:rsidR="005B4EA9" w:rsidRPr="00845FB7">
        <w:rPr>
          <w:rFonts w:cstheme="majorBidi"/>
          <w:lang w:val="en-GB"/>
        </w:rPr>
        <w:t>publications.</w:t>
      </w:r>
      <w:r w:rsidR="00B3795B" w:rsidRPr="00845FB7">
        <w:rPr>
          <w:rFonts w:cstheme="majorBidi"/>
          <w:lang w:val="en-GB"/>
        </w:rPr>
        <w:t xml:space="preserve"> When </w:t>
      </w:r>
      <w:r w:rsidR="10334F41" w:rsidRPr="00845FB7">
        <w:rPr>
          <w:rFonts w:cstheme="majorBidi"/>
          <w:lang w:val="en-GB"/>
        </w:rPr>
        <w:t xml:space="preserve">appropriate, some copies of </w:t>
      </w:r>
      <w:r w:rsidR="00B3795B" w:rsidRPr="00845FB7">
        <w:rPr>
          <w:rFonts w:cstheme="majorBidi"/>
          <w:lang w:val="en-GB"/>
        </w:rPr>
        <w:t xml:space="preserve">a printing document </w:t>
      </w:r>
      <w:r w:rsidR="55F7A134" w:rsidRPr="00845FB7">
        <w:rPr>
          <w:rFonts w:cstheme="majorBidi"/>
          <w:lang w:val="en-GB"/>
        </w:rPr>
        <w:t xml:space="preserve">that, for example, </w:t>
      </w:r>
      <w:r w:rsidR="00B3795B" w:rsidRPr="00845FB7">
        <w:rPr>
          <w:rFonts w:cstheme="majorBidi"/>
          <w:lang w:val="en-GB"/>
        </w:rPr>
        <w:t xml:space="preserve">adds </w:t>
      </w:r>
      <w:r w:rsidR="005B4EA9" w:rsidRPr="00845FB7">
        <w:rPr>
          <w:rFonts w:cstheme="majorBidi"/>
          <w:lang w:val="en-GB"/>
        </w:rPr>
        <w:t>value, at</w:t>
      </w:r>
      <w:r w:rsidR="00B3795B" w:rsidRPr="00845FB7">
        <w:rPr>
          <w:rFonts w:cstheme="majorBidi"/>
          <w:lang w:val="en-GB"/>
        </w:rPr>
        <w:t xml:space="preserve"> a major event like the </w:t>
      </w:r>
      <w:r w:rsidR="0094265B" w:rsidRPr="00845FB7">
        <w:rPr>
          <w:rFonts w:cstheme="majorBidi"/>
          <w:lang w:val="en-GB"/>
        </w:rPr>
        <w:t xml:space="preserve">meeting of </w:t>
      </w:r>
      <w:r w:rsidR="00B3795B" w:rsidRPr="00845FB7">
        <w:rPr>
          <w:rFonts w:cstheme="majorBidi"/>
          <w:lang w:val="en-GB"/>
        </w:rPr>
        <w:t xml:space="preserve">Conference of the Parties, </w:t>
      </w:r>
      <w:r w:rsidR="007A6C17" w:rsidRPr="00845FB7">
        <w:rPr>
          <w:rFonts w:cstheme="majorBidi"/>
          <w:lang w:val="en-GB"/>
        </w:rPr>
        <w:t xml:space="preserve">might </w:t>
      </w:r>
      <w:r w:rsidR="00B3795B" w:rsidRPr="00845FB7">
        <w:rPr>
          <w:rFonts w:cstheme="majorBidi"/>
          <w:lang w:val="en-GB"/>
        </w:rPr>
        <w:t>be shared with participants at the venue.</w:t>
      </w:r>
    </w:p>
    <w:p w14:paraId="082830DF" w14:textId="77777777" w:rsidR="000B74C0" w:rsidRPr="00845FB7" w:rsidRDefault="000B74C0">
      <w:pPr>
        <w:jc w:val="left"/>
        <w:rPr>
          <w:rFonts w:eastAsiaTheme="majorEastAsia" w:cstheme="majorBidi"/>
          <w:b/>
          <w:sz w:val="24"/>
          <w:szCs w:val="24"/>
          <w:lang w:val="en-GB"/>
          <w14:textOutline w14:w="9525" w14:cap="rnd" w14:cmpd="sng" w14:algn="ctr">
            <w14:noFill/>
            <w14:prstDash w14:val="solid"/>
            <w14:bevel/>
          </w14:textOutline>
        </w:rPr>
      </w:pPr>
      <w:r w:rsidRPr="00845FB7">
        <w:rPr>
          <w:sz w:val="24"/>
          <w:lang w:val="en-GB"/>
        </w:rPr>
        <w:br w:type="page"/>
      </w:r>
    </w:p>
    <w:p w14:paraId="703A567C" w14:textId="29E3184E" w:rsidR="00B3795B" w:rsidRPr="00845FB7" w:rsidRDefault="00B3795B" w:rsidP="00B3795B">
      <w:pPr>
        <w:pStyle w:val="Heading3"/>
        <w:rPr>
          <w:sz w:val="24"/>
          <w:lang w:val="en-GB"/>
        </w:rPr>
      </w:pPr>
      <w:r w:rsidRPr="00845FB7">
        <w:rPr>
          <w:sz w:val="24"/>
          <w:lang w:val="en-GB"/>
        </w:rPr>
        <w:lastRenderedPageBreak/>
        <w:t>Outcomes and activities</w:t>
      </w:r>
    </w:p>
    <w:p w14:paraId="0914B8CE" w14:textId="77777777" w:rsidR="00B3795B" w:rsidRPr="00845FB7" w:rsidRDefault="00B3795B" w:rsidP="00BD36F8">
      <w:pPr>
        <w:pStyle w:val="Heading2"/>
        <w:spacing w:before="360" w:after="120"/>
        <w:rPr>
          <w:sz w:val="28"/>
          <w:szCs w:val="28"/>
          <w:lang w:val="en-GB"/>
        </w:rPr>
      </w:pPr>
      <w:r w:rsidRPr="00845FB7">
        <w:rPr>
          <w:sz w:val="28"/>
          <w:szCs w:val="28"/>
          <w:lang w:val="en-GB"/>
        </w:rPr>
        <w:t>Component 8.1. Publications</w:t>
      </w:r>
    </w:p>
    <w:p w14:paraId="7B025DB8" w14:textId="77777777" w:rsidR="00B3795B" w:rsidRPr="00845FB7" w:rsidRDefault="00B3795B" w:rsidP="00BD36F8">
      <w:pPr>
        <w:spacing w:before="240"/>
        <w:rPr>
          <w:rFonts w:cstheme="majorBidi"/>
          <w:b/>
          <w:bCs/>
          <w:szCs w:val="20"/>
          <w:lang w:val="en-GB" w:eastAsia="en-GB"/>
        </w:rPr>
      </w:pPr>
      <w:r w:rsidRPr="00845FB7">
        <w:rPr>
          <w:rFonts w:cstheme="majorBidi"/>
          <w:b/>
          <w:bCs/>
          <w:lang w:val="en-GB" w:eastAsia="en-GB"/>
        </w:rPr>
        <w:t>OUTCOMES</w:t>
      </w:r>
    </w:p>
    <w:p w14:paraId="4611ABAC" w14:textId="38E802C1" w:rsidR="00255341" w:rsidRPr="00845FB7" w:rsidRDefault="00B3795B" w:rsidP="00203993">
      <w:pPr>
        <w:spacing w:after="60"/>
        <w:rPr>
          <w:rFonts w:cstheme="majorBidi"/>
          <w:lang w:val="en-GB" w:eastAsia="en-GB"/>
        </w:rPr>
      </w:pPr>
      <w:r w:rsidRPr="00845FB7">
        <w:rPr>
          <w:rFonts w:cstheme="majorBidi"/>
          <w:lang w:val="en-GB" w:eastAsia="en-GB"/>
        </w:rPr>
        <w:t xml:space="preserve">The publications and e-publications support the information required for the implementation of the Minamata Convention on Mercury, further assisting </w:t>
      </w:r>
      <w:r w:rsidR="00C0765F" w:rsidRPr="00845FB7">
        <w:rPr>
          <w:rFonts w:cstheme="majorBidi"/>
          <w:lang w:val="en-GB" w:eastAsia="en-GB"/>
        </w:rPr>
        <w:t>P</w:t>
      </w:r>
      <w:r w:rsidRPr="00845FB7">
        <w:rPr>
          <w:rFonts w:cstheme="majorBidi"/>
          <w:lang w:val="en-GB" w:eastAsia="en-GB"/>
        </w:rPr>
        <w:t>arties in their work with other national partners and, stakeholders from academic, civil society and business organizations</w:t>
      </w:r>
      <w:r w:rsidR="00C44EBC" w:rsidRPr="00845FB7">
        <w:rPr>
          <w:rFonts w:cstheme="majorBidi"/>
          <w:lang w:val="en-GB" w:eastAsia="en-GB"/>
        </w:rPr>
        <w:t xml:space="preserve">. </w:t>
      </w:r>
      <w:r w:rsidR="00203993" w:rsidRPr="00845FB7">
        <w:rPr>
          <w:rFonts w:cstheme="majorBidi"/>
          <w:lang w:val="en-GB" w:eastAsia="en-GB"/>
        </w:rPr>
        <w:t>Furthermore, the publications will promote the understanding of vulnerabilities to mercury exposure faced by women, children</w:t>
      </w:r>
      <w:r w:rsidR="00BF2C12" w:rsidRPr="00845FB7">
        <w:rPr>
          <w:rFonts w:cstheme="majorBidi"/>
          <w:lang w:val="en-GB" w:eastAsia="en-GB"/>
        </w:rPr>
        <w:t xml:space="preserve">, Indigenous Peoples, </w:t>
      </w:r>
      <w:proofErr w:type="gramStart"/>
      <w:r w:rsidR="00BF2C12" w:rsidRPr="00845FB7">
        <w:rPr>
          <w:rFonts w:cstheme="majorBidi"/>
          <w:lang w:val="en-GB" w:eastAsia="en-GB"/>
        </w:rPr>
        <w:t>and also</w:t>
      </w:r>
      <w:proofErr w:type="gramEnd"/>
      <w:r w:rsidR="00BF2C12" w:rsidRPr="00845FB7">
        <w:rPr>
          <w:rFonts w:cstheme="majorBidi"/>
          <w:lang w:val="en-GB" w:eastAsia="en-GB"/>
        </w:rPr>
        <w:t xml:space="preserve"> local communities. </w:t>
      </w:r>
    </w:p>
    <w:p w14:paraId="36B19835" w14:textId="77777777" w:rsidR="00B3795B" w:rsidRPr="00845FB7" w:rsidRDefault="00B3795B" w:rsidP="00BD36F8">
      <w:pPr>
        <w:spacing w:before="240"/>
        <w:rPr>
          <w:rFonts w:cstheme="majorBidi"/>
          <w:b/>
          <w:bCs/>
          <w:szCs w:val="20"/>
          <w:lang w:val="en-GB" w:eastAsia="en-GB"/>
        </w:rPr>
      </w:pPr>
      <w:r w:rsidRPr="00845FB7">
        <w:rPr>
          <w:rFonts w:cstheme="majorBidi"/>
          <w:b/>
          <w:bCs/>
          <w:szCs w:val="20"/>
          <w:lang w:val="en-GB" w:eastAsia="en-GB"/>
        </w:rPr>
        <w:t>ACTIVITIES</w:t>
      </w:r>
    </w:p>
    <w:p w14:paraId="0D73E50E" w14:textId="7CC0EC7C" w:rsidR="002652C6" w:rsidRPr="00845FB7" w:rsidRDefault="005C2D1E" w:rsidP="00BD36F8">
      <w:pPr>
        <w:pStyle w:val="ListParagraph"/>
        <w:numPr>
          <w:ilvl w:val="0"/>
          <w:numId w:val="3"/>
        </w:numPr>
        <w:spacing w:after="60"/>
        <w:rPr>
          <w:lang w:val="en-GB" w:eastAsia="en-GB"/>
        </w:rPr>
      </w:pPr>
      <w:r w:rsidRPr="00845FB7">
        <w:rPr>
          <w:rFonts w:cstheme="majorBidi"/>
          <w:szCs w:val="20"/>
          <w:lang w:val="en-GB" w:eastAsia="en-GB"/>
        </w:rPr>
        <w:t>Draft the Minamata Convention publications guidelines based on UNEP and UN policies and standards</w:t>
      </w:r>
      <w:r w:rsidR="006127C5" w:rsidRPr="00845FB7">
        <w:rPr>
          <w:lang w:val="en-GB" w:eastAsia="en-GB"/>
        </w:rPr>
        <w:t xml:space="preserve"> (staff costs)</w:t>
      </w:r>
      <w:r w:rsidRPr="00845FB7">
        <w:rPr>
          <w:lang w:val="en-GB" w:eastAsia="en-GB"/>
        </w:rPr>
        <w:t>.</w:t>
      </w:r>
    </w:p>
    <w:p w14:paraId="5628ECD7" w14:textId="17A48605" w:rsidR="00B3795B" w:rsidRPr="00845FB7" w:rsidRDefault="00B3795B" w:rsidP="3D4F1C4B">
      <w:pPr>
        <w:pStyle w:val="ListParagraph"/>
        <w:numPr>
          <w:ilvl w:val="0"/>
          <w:numId w:val="3"/>
        </w:numPr>
        <w:spacing w:after="60"/>
        <w:rPr>
          <w:rFonts w:cstheme="majorBidi"/>
          <w:lang w:val="en-GB" w:eastAsia="en-GB"/>
        </w:rPr>
      </w:pPr>
      <w:r w:rsidRPr="00845FB7">
        <w:rPr>
          <w:rFonts w:cstheme="majorBidi"/>
          <w:lang w:val="en-GB" w:eastAsia="en-GB"/>
        </w:rPr>
        <w:t xml:space="preserve">Publish core guidance documents including design, translation and </w:t>
      </w:r>
      <w:r w:rsidR="760E3C38" w:rsidRPr="00845FB7">
        <w:rPr>
          <w:rFonts w:cstheme="majorBidi"/>
          <w:lang w:val="en-GB" w:eastAsia="en-GB"/>
        </w:rPr>
        <w:t xml:space="preserve">integration into </w:t>
      </w:r>
      <w:r w:rsidRPr="00845FB7">
        <w:rPr>
          <w:rFonts w:cstheme="majorBidi"/>
          <w:lang w:val="en-GB" w:eastAsia="en-GB"/>
        </w:rPr>
        <w:t>other outreach tools.</w:t>
      </w:r>
    </w:p>
    <w:p w14:paraId="1A87D931" w14:textId="3F7C6555" w:rsidR="00B3795B" w:rsidRPr="00845FB7" w:rsidRDefault="00B3795B" w:rsidP="3D4F1C4B">
      <w:pPr>
        <w:pStyle w:val="ListParagraph"/>
        <w:numPr>
          <w:ilvl w:val="0"/>
          <w:numId w:val="3"/>
        </w:numPr>
        <w:spacing w:after="60"/>
        <w:rPr>
          <w:rFonts w:cstheme="majorBidi"/>
          <w:lang w:val="en-GB" w:eastAsia="en-GB"/>
        </w:rPr>
      </w:pPr>
      <w:r w:rsidRPr="00845FB7">
        <w:rPr>
          <w:rFonts w:cstheme="majorBidi"/>
          <w:lang w:val="en-GB" w:eastAsia="en-GB"/>
        </w:rPr>
        <w:t xml:space="preserve">Prepare other </w:t>
      </w:r>
      <w:r w:rsidR="638D4E28" w:rsidRPr="00845FB7">
        <w:rPr>
          <w:rFonts w:cstheme="majorBidi"/>
          <w:lang w:val="en-GB" w:eastAsia="en-GB"/>
        </w:rPr>
        <w:t xml:space="preserve">supporting </w:t>
      </w:r>
      <w:r w:rsidRPr="00845FB7">
        <w:rPr>
          <w:rFonts w:cstheme="majorBidi"/>
          <w:lang w:val="en-GB" w:eastAsia="en-GB"/>
        </w:rPr>
        <w:t xml:space="preserve">information materials like insights, briefings, </w:t>
      </w:r>
      <w:r w:rsidR="008D1856" w:rsidRPr="00845FB7">
        <w:rPr>
          <w:rFonts w:cstheme="majorBidi"/>
          <w:lang w:val="en-GB" w:eastAsia="en-GB"/>
        </w:rPr>
        <w:t>fact sheets</w:t>
      </w:r>
      <w:r w:rsidRPr="00845FB7">
        <w:rPr>
          <w:rFonts w:cstheme="majorBidi"/>
          <w:lang w:val="en-GB" w:eastAsia="en-GB"/>
        </w:rPr>
        <w:t xml:space="preserve">, </w:t>
      </w:r>
      <w:r w:rsidR="00C44ADA" w:rsidRPr="00845FB7">
        <w:rPr>
          <w:rFonts w:cstheme="majorBidi"/>
          <w:lang w:val="en-GB" w:eastAsia="en-GB"/>
        </w:rPr>
        <w:t xml:space="preserve">and </w:t>
      </w:r>
      <w:r w:rsidRPr="00845FB7">
        <w:rPr>
          <w:rFonts w:cstheme="majorBidi"/>
          <w:lang w:val="en-GB" w:eastAsia="en-GB"/>
        </w:rPr>
        <w:t>brochures to help understand the highlights from publications and scientific products.</w:t>
      </w:r>
    </w:p>
    <w:p w14:paraId="2C1045C9" w14:textId="7DE0B331" w:rsidR="0078689A" w:rsidRPr="00845FB7" w:rsidRDefault="00911707"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Explore n</w:t>
      </w:r>
      <w:r w:rsidR="0078689A" w:rsidRPr="00845FB7">
        <w:rPr>
          <w:rFonts w:cstheme="majorBidi"/>
          <w:szCs w:val="20"/>
          <w:lang w:val="en-GB" w:eastAsia="en-GB"/>
        </w:rPr>
        <w:t>ew interactive ways to promote and share publications</w:t>
      </w:r>
      <w:r w:rsidRPr="00845FB7">
        <w:rPr>
          <w:rFonts w:cstheme="majorBidi"/>
          <w:szCs w:val="20"/>
          <w:lang w:val="en-GB" w:eastAsia="en-GB"/>
        </w:rPr>
        <w:t xml:space="preserve"> to expand the</w:t>
      </w:r>
      <w:r w:rsidR="00597C00" w:rsidRPr="00845FB7">
        <w:rPr>
          <w:rFonts w:cstheme="majorBidi"/>
          <w:szCs w:val="20"/>
          <w:lang w:val="en-GB" w:eastAsia="en-GB"/>
        </w:rPr>
        <w:t>ir</w:t>
      </w:r>
      <w:r w:rsidRPr="00845FB7">
        <w:rPr>
          <w:rFonts w:cstheme="majorBidi"/>
          <w:szCs w:val="20"/>
          <w:lang w:val="en-GB" w:eastAsia="en-GB"/>
        </w:rPr>
        <w:t xml:space="preserve"> scope and accessibility</w:t>
      </w:r>
      <w:r w:rsidR="00A24E05" w:rsidRPr="00845FB7">
        <w:rPr>
          <w:rFonts w:cstheme="majorBidi"/>
          <w:szCs w:val="20"/>
          <w:lang w:val="en-GB" w:eastAsia="en-GB"/>
        </w:rPr>
        <w:t xml:space="preserve"> (subject to the availability of funding)</w:t>
      </w:r>
      <w:r w:rsidR="002B6D1F" w:rsidRPr="00845FB7">
        <w:rPr>
          <w:rFonts w:cstheme="majorBidi"/>
          <w:szCs w:val="20"/>
          <w:lang w:val="en-GB" w:eastAsia="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B3795B" w:rsidRPr="00845FB7" w14:paraId="2AB53EC8" w14:textId="77777777" w:rsidTr="3D4F1C4B">
        <w:tc>
          <w:tcPr>
            <w:tcW w:w="4508" w:type="dxa"/>
          </w:tcPr>
          <w:p w14:paraId="7674A0B2" w14:textId="1C1E59D3" w:rsidR="00B3795B" w:rsidRPr="00845FB7" w:rsidRDefault="00B3795B"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54141250" w14:textId="23968F54" w:rsidR="002302D8" w:rsidRPr="00845FB7" w:rsidRDefault="000755DE"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Minamata</w:t>
            </w:r>
            <w:r w:rsidR="002302D8" w:rsidRPr="00845FB7">
              <w:rPr>
                <w:rFonts w:cstheme="majorBidi"/>
                <w:szCs w:val="20"/>
                <w:lang w:val="en-GB" w:eastAsia="en-GB"/>
              </w:rPr>
              <w:t xml:space="preserve"> Convention publications guidelines </w:t>
            </w:r>
            <w:r w:rsidRPr="00845FB7">
              <w:rPr>
                <w:rFonts w:cstheme="majorBidi"/>
                <w:szCs w:val="20"/>
                <w:lang w:val="en-GB" w:eastAsia="en-GB"/>
              </w:rPr>
              <w:t>designed</w:t>
            </w:r>
            <w:r w:rsidR="00DF39E3" w:rsidRPr="00845FB7">
              <w:rPr>
                <w:rFonts w:cstheme="majorBidi"/>
                <w:szCs w:val="20"/>
                <w:lang w:val="en-GB" w:eastAsia="en-GB"/>
              </w:rPr>
              <w:t xml:space="preserve"> and translated</w:t>
            </w:r>
            <w:r w:rsidR="002302D8" w:rsidRPr="00845FB7">
              <w:rPr>
                <w:rFonts w:cstheme="majorBidi"/>
                <w:szCs w:val="20"/>
                <w:lang w:val="en-GB" w:eastAsia="en-GB"/>
              </w:rPr>
              <w:t>;</w:t>
            </w:r>
          </w:p>
          <w:p w14:paraId="7345D302" w14:textId="01F6B1BF" w:rsidR="00B3795B" w:rsidRPr="00845FB7" w:rsidRDefault="00B3795B" w:rsidP="3D4F1C4B">
            <w:pPr>
              <w:pStyle w:val="ListParagraph"/>
              <w:numPr>
                <w:ilvl w:val="0"/>
                <w:numId w:val="5"/>
              </w:numPr>
              <w:spacing w:after="60"/>
              <w:rPr>
                <w:rFonts w:cstheme="majorBidi"/>
                <w:lang w:val="en-GB" w:eastAsia="en-GB"/>
              </w:rPr>
            </w:pPr>
            <w:r w:rsidRPr="00845FB7">
              <w:rPr>
                <w:rFonts w:cstheme="majorBidi"/>
                <w:lang w:val="en-GB" w:eastAsia="en-GB"/>
              </w:rPr>
              <w:t>Guidance and other documents published and disseminated</w:t>
            </w:r>
            <w:r w:rsidR="414B4F74" w:rsidRPr="00845FB7">
              <w:rPr>
                <w:rFonts w:cstheme="majorBidi"/>
                <w:lang w:val="en-GB" w:eastAsia="en-GB"/>
              </w:rPr>
              <w:t xml:space="preserve"> online</w:t>
            </w:r>
            <w:r w:rsidR="004F1FA4" w:rsidRPr="00845FB7">
              <w:rPr>
                <w:rFonts w:cstheme="majorBidi"/>
                <w:lang w:val="en-GB" w:eastAsia="en-GB"/>
              </w:rPr>
              <w:t>;</w:t>
            </w:r>
          </w:p>
          <w:p w14:paraId="62151828" w14:textId="6E0B4CEF" w:rsidR="00B3795B" w:rsidRPr="00845FB7" w:rsidRDefault="00B3795B" w:rsidP="3D4F1C4B">
            <w:pPr>
              <w:pStyle w:val="ListParagraph"/>
              <w:numPr>
                <w:ilvl w:val="0"/>
                <w:numId w:val="5"/>
              </w:numPr>
              <w:spacing w:after="60"/>
              <w:rPr>
                <w:rFonts w:cstheme="majorBidi"/>
                <w:b/>
                <w:bCs/>
                <w:lang w:val="en-GB" w:eastAsia="en-GB"/>
              </w:rPr>
            </w:pPr>
            <w:r w:rsidRPr="00845FB7">
              <w:rPr>
                <w:rFonts w:cstheme="majorBidi"/>
                <w:lang w:val="en-GB" w:eastAsia="en-GB"/>
              </w:rPr>
              <w:t>Other information material produced and shared through the website and social media</w:t>
            </w:r>
            <w:r w:rsidR="735D727C" w:rsidRPr="00845FB7">
              <w:rPr>
                <w:rFonts w:cstheme="majorBidi"/>
                <w:lang w:val="en-GB" w:eastAsia="en-GB"/>
              </w:rPr>
              <w:t xml:space="preserve"> platforms</w:t>
            </w:r>
            <w:r w:rsidRPr="00845FB7">
              <w:rPr>
                <w:rFonts w:cstheme="majorBidi"/>
                <w:lang w:val="en-GB" w:eastAsia="en-GB"/>
              </w:rPr>
              <w:t>.</w:t>
            </w:r>
          </w:p>
        </w:tc>
        <w:tc>
          <w:tcPr>
            <w:tcW w:w="4508" w:type="dxa"/>
          </w:tcPr>
          <w:p w14:paraId="3D95984B" w14:textId="58711C76" w:rsidR="00B3795B" w:rsidRPr="00845FB7" w:rsidRDefault="00B3795B"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405A8DBF" w14:textId="77777777" w:rsidR="00ED7659"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Publications available on the Minamata Convention website</w:t>
            </w:r>
            <w:r w:rsidR="00ED7659" w:rsidRPr="00845FB7">
              <w:rPr>
                <w:rFonts w:cstheme="majorBidi"/>
                <w:szCs w:val="20"/>
                <w:lang w:val="en-GB" w:eastAsia="en-GB"/>
              </w:rPr>
              <w:t>;</w:t>
            </w:r>
          </w:p>
          <w:p w14:paraId="54F8A3C4" w14:textId="757A88D6" w:rsidR="00ED7659" w:rsidRPr="00845FB7" w:rsidRDefault="00ED7659"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Minamata Convention documents distributed </w:t>
            </w:r>
            <w:r w:rsidR="00D23D6A" w:rsidRPr="00845FB7">
              <w:rPr>
                <w:rFonts w:cstheme="majorBidi"/>
                <w:szCs w:val="20"/>
                <w:lang w:val="en-GB" w:eastAsia="en-GB"/>
              </w:rPr>
              <w:t>digitally</w:t>
            </w:r>
            <w:r w:rsidRPr="00845FB7">
              <w:rPr>
                <w:rFonts w:cstheme="majorBidi"/>
                <w:szCs w:val="20"/>
                <w:lang w:val="en-GB" w:eastAsia="en-GB"/>
              </w:rPr>
              <w:t xml:space="preserve"> at major Minamata Convention and other events;</w:t>
            </w:r>
          </w:p>
          <w:p w14:paraId="2462E460" w14:textId="17998E07" w:rsidR="00B3795B"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Number of publications downloaded from the website</w:t>
            </w:r>
            <w:r w:rsidR="004F1FA4" w:rsidRPr="00845FB7">
              <w:rPr>
                <w:rFonts w:cstheme="majorBidi"/>
                <w:szCs w:val="20"/>
                <w:lang w:val="en-GB" w:eastAsia="en-GB"/>
              </w:rPr>
              <w:t>;</w:t>
            </w:r>
          </w:p>
          <w:p w14:paraId="00DFF48C" w14:textId="61CBF758" w:rsidR="00B3795B" w:rsidRPr="00845FB7" w:rsidRDefault="00B3795B" w:rsidP="3D4F1C4B">
            <w:pPr>
              <w:pStyle w:val="ListParagraph"/>
              <w:numPr>
                <w:ilvl w:val="0"/>
                <w:numId w:val="4"/>
              </w:numPr>
              <w:spacing w:after="60"/>
              <w:rPr>
                <w:rFonts w:cstheme="majorBidi"/>
                <w:lang w:val="en-GB" w:eastAsia="en-GB"/>
              </w:rPr>
            </w:pPr>
            <w:r w:rsidRPr="00845FB7">
              <w:rPr>
                <w:rFonts w:cstheme="majorBidi"/>
                <w:lang w:val="en-GB" w:eastAsia="en-GB"/>
              </w:rPr>
              <w:t>Number of support material</w:t>
            </w:r>
            <w:r w:rsidR="0078689A" w:rsidRPr="00845FB7">
              <w:rPr>
                <w:rFonts w:cstheme="majorBidi"/>
                <w:lang w:val="en-GB" w:eastAsia="en-GB"/>
              </w:rPr>
              <w:t>s</w:t>
            </w:r>
            <w:r w:rsidRPr="00845FB7">
              <w:rPr>
                <w:rFonts w:cstheme="majorBidi"/>
                <w:lang w:val="en-GB" w:eastAsia="en-GB"/>
              </w:rPr>
              <w:t xml:space="preserve"> published and shared through the website and social media</w:t>
            </w:r>
            <w:r w:rsidR="489CE267" w:rsidRPr="00845FB7">
              <w:rPr>
                <w:rFonts w:cstheme="majorBidi"/>
                <w:lang w:val="en-GB" w:eastAsia="en-GB"/>
              </w:rPr>
              <w:t xml:space="preserve"> platforms</w:t>
            </w:r>
            <w:r w:rsidRPr="00845FB7">
              <w:rPr>
                <w:rFonts w:cstheme="majorBidi"/>
                <w:lang w:val="en-GB" w:eastAsia="en-GB"/>
              </w:rPr>
              <w:t>.</w:t>
            </w:r>
          </w:p>
        </w:tc>
      </w:tr>
    </w:tbl>
    <w:p w14:paraId="063640AC" w14:textId="32616051" w:rsidR="00B3795B" w:rsidRPr="00845FB7" w:rsidRDefault="00B3795B" w:rsidP="00B3795B">
      <w:pPr>
        <w:pStyle w:val="Heading3"/>
        <w:rPr>
          <w:sz w:val="24"/>
          <w:lang w:val="en-GB"/>
        </w:rPr>
      </w:pPr>
      <w:r w:rsidRPr="00845FB7">
        <w:rPr>
          <w:sz w:val="24"/>
          <w:lang w:val="en-GB"/>
        </w:rPr>
        <w:t>Partners</w:t>
      </w:r>
    </w:p>
    <w:p w14:paraId="6A5BC66F" w14:textId="77777777" w:rsidR="00B3795B" w:rsidRPr="00845FB7" w:rsidRDefault="00B3795B" w:rsidP="00BD36F8">
      <w:pPr>
        <w:spacing w:after="60" w:line="276" w:lineRule="auto"/>
        <w:rPr>
          <w:rFonts w:cstheme="majorBidi"/>
          <w:szCs w:val="20"/>
          <w:lang w:val="en-GB"/>
        </w:rPr>
      </w:pPr>
      <w:r w:rsidRPr="00845FB7">
        <w:rPr>
          <w:rFonts w:cstheme="majorBidi"/>
          <w:szCs w:val="20"/>
          <w:lang w:val="en-GB"/>
        </w:rPr>
        <w:t>UNOG, UNEP Communication Division (Nairobi), UNEP Regional Offices, Geneva Environment Network, other UN agencies and MEAs as relevant.</w:t>
      </w:r>
    </w:p>
    <w:p w14:paraId="5DD87E81" w14:textId="46F3DBCA" w:rsidR="00B3795B" w:rsidRPr="00845FB7" w:rsidRDefault="00B3795B" w:rsidP="00B3795B">
      <w:pPr>
        <w:pStyle w:val="Heading3"/>
        <w:rPr>
          <w:sz w:val="24"/>
          <w:lang w:val="en-GB"/>
        </w:rPr>
      </w:pPr>
      <w:r w:rsidRPr="00845FB7">
        <w:rPr>
          <w:sz w:val="24"/>
          <w:lang w:val="en-GB"/>
        </w:rPr>
        <w:t>Socio-economic aspects</w:t>
      </w:r>
    </w:p>
    <w:p w14:paraId="557A0BDB" w14:textId="33BC158E" w:rsidR="00B3795B" w:rsidRPr="00845FB7" w:rsidRDefault="00B3795B"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Enhancing communication under the Minamata Convention will contribute to the achievement of the Sustainable Development Goals (SDGs), in particular, Goal 3 on ensuring healthy lives and promoting well-being for all at all ages; Goal 11 on making cities and human settlements inclusive, safe, resilient and sustainable; and Goal 12 on ensuring sustainable consumption and production patterns.</w:t>
      </w:r>
    </w:p>
    <w:p w14:paraId="643471C5" w14:textId="49E4A8FB" w:rsidR="00B3795B" w:rsidRPr="00845FB7" w:rsidRDefault="00B3795B" w:rsidP="00922BDA">
      <w:pPr>
        <w:spacing w:after="120" w:line="276" w:lineRule="auto"/>
        <w:rPr>
          <w:rFonts w:eastAsiaTheme="majorEastAsia" w:cstheme="majorBidi"/>
          <w:b/>
          <w:sz w:val="26"/>
          <w:szCs w:val="24"/>
          <w:lang w:val="en-GB"/>
          <w14:textOutline w14:w="9525" w14:cap="rnd" w14:cmpd="sng" w14:algn="ctr">
            <w14:noFill/>
            <w14:prstDash w14:val="solid"/>
            <w14:bevel/>
          </w14:textOutline>
        </w:rPr>
      </w:pPr>
      <w:r w:rsidRPr="00845FB7">
        <w:rPr>
          <w:rFonts w:cstheme="majorBidi"/>
          <w:b/>
          <w:bCs/>
          <w:szCs w:val="20"/>
          <w:lang w:val="en-GB"/>
        </w:rPr>
        <w:t>Integrated Approach:</w:t>
      </w:r>
      <w:r w:rsidRPr="00845FB7">
        <w:rPr>
          <w:rFonts w:cstheme="majorBidi"/>
          <w:szCs w:val="20"/>
          <w:lang w:val="en-GB"/>
        </w:rPr>
        <w:t xml:space="preserve"> Mainstreaming and the development of partnerships rely upon a higher level of stakeholder awareness of the importance of the implementation of the Minamata Convention in general. The development and dissemination of appropriate publications – including updated versions of the convention texts – is fundamental to this.</w:t>
      </w:r>
      <w:r w:rsidRPr="00845FB7">
        <w:rPr>
          <w:lang w:val="en-GB"/>
        </w:rPr>
        <w:br w:type="page"/>
      </w:r>
    </w:p>
    <w:p w14:paraId="4AFD76AC" w14:textId="77777777" w:rsidR="00B3795B" w:rsidRPr="00845FB7" w:rsidRDefault="00B3795B" w:rsidP="00B3795B">
      <w:pPr>
        <w:pStyle w:val="Heading3"/>
        <w:rPr>
          <w:lang w:val="en-GB"/>
        </w:rPr>
        <w:sectPr w:rsidR="00B3795B" w:rsidRPr="00845FB7" w:rsidSect="00BD36F8">
          <w:headerReference w:type="default" r:id="rId56"/>
          <w:headerReference w:type="first" r:id="rId57"/>
          <w:type w:val="continuous"/>
          <w:pgSz w:w="11906" w:h="16838" w:code="9"/>
          <w:pgMar w:top="907" w:right="992" w:bottom="1418" w:left="1418" w:header="539" w:footer="975" w:gutter="0"/>
          <w:cols w:space="708"/>
          <w:titlePg/>
          <w:docGrid w:linePitch="360"/>
        </w:sectPr>
      </w:pPr>
    </w:p>
    <w:p w14:paraId="78BE71BB" w14:textId="081EE6B8" w:rsidR="00B3795B" w:rsidRPr="00845FB7" w:rsidRDefault="00B3795B" w:rsidP="00B3795B">
      <w:pPr>
        <w:pStyle w:val="Heading3"/>
        <w:rPr>
          <w:sz w:val="24"/>
          <w:lang w:val="en-GB"/>
        </w:rPr>
      </w:pPr>
      <w:r w:rsidRPr="00845FB7">
        <w:rPr>
          <w:sz w:val="24"/>
          <w:lang w:val="en-GB"/>
        </w:rPr>
        <w:lastRenderedPageBreak/>
        <w:t>Resources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937"/>
        <w:gridCol w:w="937"/>
        <w:gridCol w:w="940"/>
        <w:gridCol w:w="937"/>
        <w:gridCol w:w="937"/>
        <w:gridCol w:w="943"/>
        <w:gridCol w:w="937"/>
        <w:gridCol w:w="937"/>
        <w:gridCol w:w="940"/>
        <w:gridCol w:w="937"/>
        <w:gridCol w:w="937"/>
        <w:gridCol w:w="943"/>
      </w:tblGrid>
      <w:tr w:rsidR="007F1887" w:rsidRPr="00922BDA" w14:paraId="178C5341" w14:textId="77777777" w:rsidTr="00E36AAE">
        <w:trPr>
          <w:trHeight w:val="304"/>
        </w:trPr>
        <w:tc>
          <w:tcPr>
            <w:tcW w:w="1094" w:type="pct"/>
            <w:vMerge w:val="restart"/>
            <w:noWrap/>
            <w:vAlign w:val="center"/>
            <w:hideMark/>
          </w:tcPr>
          <w:p w14:paraId="3D1E1D8D" w14:textId="77777777"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Activity/Output</w:t>
            </w:r>
          </w:p>
        </w:tc>
        <w:tc>
          <w:tcPr>
            <w:tcW w:w="1953" w:type="pct"/>
            <w:gridSpan w:val="6"/>
            <w:noWrap/>
            <w:vAlign w:val="center"/>
            <w:hideMark/>
          </w:tcPr>
          <w:p w14:paraId="4760858F" w14:textId="6327EC27"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5</w:t>
            </w:r>
            <w:r w:rsidR="004F1FA4" w:rsidRPr="00922BDA">
              <w:rPr>
                <w:rFonts w:eastAsia="Times New Roman" w:cstheme="majorBidi"/>
                <w:b/>
                <w:bCs/>
                <w:color w:val="000000"/>
                <w:sz w:val="16"/>
                <w:szCs w:val="16"/>
                <w:lang w:val="en-GB"/>
              </w:rPr>
              <w:t xml:space="preserve"> per cent</w:t>
            </w:r>
            <w:r w:rsidRPr="00922BDA">
              <w:rPr>
                <w:rFonts w:eastAsia="Times New Roman" w:cstheme="majorBidi"/>
                <w:b/>
                <w:bCs/>
                <w:color w:val="000000"/>
                <w:sz w:val="16"/>
                <w:szCs w:val="16"/>
                <w:lang w:val="en-GB"/>
              </w:rPr>
              <w:t xml:space="preserve"> scenario (</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1953" w:type="pct"/>
            <w:gridSpan w:val="6"/>
            <w:noWrap/>
            <w:vAlign w:val="center"/>
            <w:hideMark/>
          </w:tcPr>
          <w:p w14:paraId="5CF0A8E5" w14:textId="234A6130"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Zero nominal growth scenario (</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r>
      <w:tr w:rsidR="004A597E" w:rsidRPr="00922BDA" w14:paraId="054996A6" w14:textId="77777777" w:rsidTr="00BD36F8">
        <w:trPr>
          <w:trHeight w:val="304"/>
        </w:trPr>
        <w:tc>
          <w:tcPr>
            <w:tcW w:w="1094" w:type="pct"/>
            <w:vMerge/>
            <w:vAlign w:val="center"/>
            <w:hideMark/>
          </w:tcPr>
          <w:p w14:paraId="7D6293F7" w14:textId="77777777" w:rsidR="00B3795B" w:rsidRPr="00922BDA" w:rsidRDefault="00B3795B" w:rsidP="00E36AAE">
            <w:pPr>
              <w:spacing w:after="0" w:line="240" w:lineRule="auto"/>
              <w:jc w:val="left"/>
              <w:rPr>
                <w:rFonts w:eastAsia="Times New Roman" w:cstheme="majorBidi"/>
                <w:b/>
                <w:bCs/>
                <w:color w:val="000000"/>
                <w:sz w:val="16"/>
                <w:szCs w:val="16"/>
                <w:lang w:val="en-GB"/>
              </w:rPr>
            </w:pPr>
          </w:p>
        </w:tc>
        <w:tc>
          <w:tcPr>
            <w:tcW w:w="976" w:type="pct"/>
            <w:gridSpan w:val="3"/>
            <w:vAlign w:val="center"/>
            <w:hideMark/>
          </w:tcPr>
          <w:p w14:paraId="49D36324" w14:textId="4BF18F19"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General </w:t>
            </w:r>
            <w:r w:rsidR="004F1FA4"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4F1FA4"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c>
          <w:tcPr>
            <w:tcW w:w="976" w:type="pct"/>
            <w:gridSpan w:val="3"/>
            <w:vAlign w:val="center"/>
            <w:hideMark/>
          </w:tcPr>
          <w:p w14:paraId="4D8F3205" w14:textId="7597588F"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Special </w:t>
            </w:r>
            <w:r w:rsidR="004F1FA4"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4F1FA4"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c>
          <w:tcPr>
            <w:tcW w:w="976" w:type="pct"/>
            <w:gridSpan w:val="3"/>
            <w:vAlign w:val="center"/>
            <w:hideMark/>
          </w:tcPr>
          <w:p w14:paraId="097ED0C6" w14:textId="6B6051BD"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General </w:t>
            </w:r>
            <w:r w:rsidR="004F1FA4"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4F1FA4"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c>
          <w:tcPr>
            <w:tcW w:w="977" w:type="pct"/>
            <w:gridSpan w:val="3"/>
            <w:vAlign w:val="center"/>
            <w:hideMark/>
          </w:tcPr>
          <w:p w14:paraId="611BDF12" w14:textId="0CDA4EA6"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Special </w:t>
            </w:r>
            <w:r w:rsidR="004F1FA4"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4F1FA4"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r>
      <w:tr w:rsidR="00BD1776" w:rsidRPr="00922BDA" w14:paraId="5B72E907" w14:textId="77777777" w:rsidTr="00E36AAE">
        <w:trPr>
          <w:trHeight w:val="488"/>
        </w:trPr>
        <w:tc>
          <w:tcPr>
            <w:tcW w:w="1094" w:type="pct"/>
            <w:noWrap/>
            <w:vAlign w:val="center"/>
            <w:hideMark/>
          </w:tcPr>
          <w:p w14:paraId="7325215D" w14:textId="77777777"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w:t>
            </w:r>
          </w:p>
        </w:tc>
        <w:tc>
          <w:tcPr>
            <w:tcW w:w="325" w:type="pct"/>
            <w:vAlign w:val="center"/>
            <w:hideMark/>
          </w:tcPr>
          <w:p w14:paraId="727DDC6D" w14:textId="1E457516" w:rsidR="00B3795B" w:rsidRPr="00922BDA" w:rsidRDefault="00BD1776"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4A597E" w:rsidRPr="00922BDA">
              <w:rPr>
                <w:rFonts w:eastAsia="Times New Roman" w:cstheme="majorBidi"/>
                <w:b/>
                <w:bCs/>
                <w:color w:val="000000"/>
                <w:sz w:val="16"/>
                <w:szCs w:val="16"/>
                <w:lang w:val="en-GB"/>
              </w:rPr>
              <w:t>6</w:t>
            </w:r>
          </w:p>
        </w:tc>
        <w:tc>
          <w:tcPr>
            <w:tcW w:w="325" w:type="pct"/>
            <w:vAlign w:val="center"/>
            <w:hideMark/>
          </w:tcPr>
          <w:p w14:paraId="617E3450" w14:textId="7D965CF1" w:rsidR="00B3795B" w:rsidRPr="00922BDA" w:rsidRDefault="00BD1776"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4A597E" w:rsidRPr="00922BDA">
              <w:rPr>
                <w:rFonts w:eastAsia="Times New Roman" w:cstheme="majorBidi"/>
                <w:b/>
                <w:bCs/>
                <w:color w:val="000000"/>
                <w:sz w:val="16"/>
                <w:szCs w:val="16"/>
                <w:lang w:val="en-GB"/>
              </w:rPr>
              <w:t>7</w:t>
            </w:r>
          </w:p>
        </w:tc>
        <w:tc>
          <w:tcPr>
            <w:tcW w:w="325" w:type="pct"/>
            <w:vAlign w:val="center"/>
            <w:hideMark/>
          </w:tcPr>
          <w:p w14:paraId="41A9BE80" w14:textId="65DA01EF"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325" w:type="pct"/>
            <w:vAlign w:val="center"/>
            <w:hideMark/>
          </w:tcPr>
          <w:p w14:paraId="27FDFB62" w14:textId="12982887" w:rsidR="00B3795B" w:rsidRPr="00922BDA" w:rsidRDefault="00BD1776"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4A597E" w:rsidRPr="00922BDA">
              <w:rPr>
                <w:rFonts w:eastAsia="Times New Roman" w:cstheme="majorBidi"/>
                <w:b/>
                <w:bCs/>
                <w:color w:val="000000"/>
                <w:sz w:val="16"/>
                <w:szCs w:val="16"/>
                <w:lang w:val="en-GB"/>
              </w:rPr>
              <w:t>6</w:t>
            </w:r>
          </w:p>
        </w:tc>
        <w:tc>
          <w:tcPr>
            <w:tcW w:w="325" w:type="pct"/>
            <w:vAlign w:val="center"/>
            <w:hideMark/>
          </w:tcPr>
          <w:p w14:paraId="55A1B1FF" w14:textId="31790C5B" w:rsidR="00B3795B" w:rsidRPr="00922BDA" w:rsidRDefault="00BD1776"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4A597E" w:rsidRPr="00922BDA">
              <w:rPr>
                <w:rFonts w:eastAsia="Times New Roman" w:cstheme="majorBidi"/>
                <w:b/>
                <w:bCs/>
                <w:color w:val="000000"/>
                <w:sz w:val="16"/>
                <w:szCs w:val="16"/>
                <w:lang w:val="en-GB"/>
              </w:rPr>
              <w:t>7</w:t>
            </w:r>
          </w:p>
        </w:tc>
        <w:tc>
          <w:tcPr>
            <w:tcW w:w="325" w:type="pct"/>
            <w:vAlign w:val="center"/>
            <w:hideMark/>
          </w:tcPr>
          <w:p w14:paraId="373663D8" w14:textId="6095C3CE"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325" w:type="pct"/>
            <w:vAlign w:val="center"/>
            <w:hideMark/>
          </w:tcPr>
          <w:p w14:paraId="3CA13800" w14:textId="63132B6A" w:rsidR="00B3795B" w:rsidRPr="00922BDA" w:rsidRDefault="004A597E"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2026</w:t>
            </w:r>
          </w:p>
        </w:tc>
        <w:tc>
          <w:tcPr>
            <w:tcW w:w="325" w:type="pct"/>
            <w:vAlign w:val="center"/>
            <w:hideMark/>
          </w:tcPr>
          <w:p w14:paraId="0FEE2C5F" w14:textId="69E8883F"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4A597E" w:rsidRPr="00922BDA">
              <w:rPr>
                <w:rFonts w:eastAsia="Times New Roman" w:cstheme="majorBidi"/>
                <w:b/>
                <w:bCs/>
                <w:color w:val="000000"/>
                <w:sz w:val="16"/>
                <w:szCs w:val="16"/>
                <w:lang w:val="en-GB"/>
              </w:rPr>
              <w:t>7</w:t>
            </w:r>
          </w:p>
        </w:tc>
        <w:tc>
          <w:tcPr>
            <w:tcW w:w="325" w:type="pct"/>
            <w:vAlign w:val="center"/>
            <w:hideMark/>
          </w:tcPr>
          <w:p w14:paraId="3F290038" w14:textId="5DE80EDC"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325" w:type="pct"/>
            <w:vAlign w:val="center"/>
            <w:hideMark/>
          </w:tcPr>
          <w:p w14:paraId="22FA37AB" w14:textId="22230429"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4A597E" w:rsidRPr="00922BDA">
              <w:rPr>
                <w:rFonts w:eastAsia="Times New Roman" w:cstheme="majorBidi"/>
                <w:b/>
                <w:bCs/>
                <w:color w:val="000000"/>
                <w:sz w:val="16"/>
                <w:szCs w:val="16"/>
                <w:lang w:val="en-GB"/>
              </w:rPr>
              <w:t>6</w:t>
            </w:r>
          </w:p>
        </w:tc>
        <w:tc>
          <w:tcPr>
            <w:tcW w:w="325" w:type="pct"/>
            <w:vAlign w:val="center"/>
            <w:hideMark/>
          </w:tcPr>
          <w:p w14:paraId="74364DFF" w14:textId="3011AD7D"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4A597E" w:rsidRPr="00922BDA">
              <w:rPr>
                <w:rFonts w:eastAsia="Times New Roman" w:cstheme="majorBidi"/>
                <w:b/>
                <w:bCs/>
                <w:color w:val="000000"/>
                <w:sz w:val="16"/>
                <w:szCs w:val="16"/>
                <w:lang w:val="en-GB"/>
              </w:rPr>
              <w:t>7</w:t>
            </w:r>
          </w:p>
        </w:tc>
        <w:tc>
          <w:tcPr>
            <w:tcW w:w="326" w:type="pct"/>
            <w:vAlign w:val="center"/>
            <w:hideMark/>
          </w:tcPr>
          <w:p w14:paraId="625B1649" w14:textId="4888E810" w:rsidR="00B3795B" w:rsidRPr="00922BDA" w:rsidRDefault="00B3795B"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r>
      <w:tr w:rsidR="00A97EDB" w:rsidRPr="00922BDA" w14:paraId="7970216F" w14:textId="77777777" w:rsidTr="00BD36F8">
        <w:trPr>
          <w:trHeight w:val="304"/>
        </w:trPr>
        <w:tc>
          <w:tcPr>
            <w:tcW w:w="5000" w:type="pct"/>
            <w:gridSpan w:val="13"/>
            <w:noWrap/>
            <w:vAlign w:val="center"/>
            <w:hideMark/>
          </w:tcPr>
          <w:p w14:paraId="62628AB5" w14:textId="77777777" w:rsidR="00B3795B" w:rsidRPr="00922BDA" w:rsidRDefault="00B3795B" w:rsidP="00E36AAE">
            <w:pPr>
              <w:spacing w:after="0" w:line="240" w:lineRule="auto"/>
              <w:jc w:val="lef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8.1 Publications</w:t>
            </w:r>
          </w:p>
        </w:tc>
      </w:tr>
      <w:tr w:rsidR="00BD1776" w:rsidRPr="00922BDA" w14:paraId="3333BC94" w14:textId="77777777" w:rsidTr="00E36AAE">
        <w:trPr>
          <w:trHeight w:val="383"/>
        </w:trPr>
        <w:tc>
          <w:tcPr>
            <w:tcW w:w="1094" w:type="pct"/>
            <w:vAlign w:val="center"/>
            <w:hideMark/>
          </w:tcPr>
          <w:p w14:paraId="5DBF9DCD" w14:textId="4B3914A2" w:rsidR="00B3795B" w:rsidRPr="00922BDA" w:rsidRDefault="00B3795B" w:rsidP="00E36AAE">
            <w:pPr>
              <w:spacing w:after="0" w:line="240" w:lineRule="auto"/>
              <w:jc w:val="left"/>
              <w:rPr>
                <w:rFonts w:eastAsia="Times New Roman" w:cstheme="majorBidi"/>
                <w:sz w:val="16"/>
                <w:szCs w:val="16"/>
                <w:lang w:val="en-GB"/>
              </w:rPr>
            </w:pPr>
            <w:r w:rsidRPr="00922BDA">
              <w:rPr>
                <w:rFonts w:eastAsia="Times New Roman" w:cstheme="majorBidi"/>
                <w:sz w:val="16"/>
                <w:szCs w:val="16"/>
                <w:lang w:val="en-GB"/>
              </w:rPr>
              <w:t>Publications including design</w:t>
            </w:r>
            <w:r w:rsidR="00770FC6" w:rsidRPr="00922BDA">
              <w:rPr>
                <w:rFonts w:eastAsia="Times New Roman" w:cstheme="majorBidi"/>
                <w:sz w:val="16"/>
                <w:szCs w:val="16"/>
                <w:lang w:val="en-GB"/>
              </w:rPr>
              <w:t xml:space="preserve"> and</w:t>
            </w:r>
            <w:r w:rsidRPr="00922BDA">
              <w:rPr>
                <w:rFonts w:eastAsia="Times New Roman" w:cstheme="majorBidi"/>
                <w:sz w:val="16"/>
                <w:szCs w:val="16"/>
                <w:lang w:val="en-GB"/>
              </w:rPr>
              <w:t xml:space="preserve"> translation </w:t>
            </w:r>
          </w:p>
        </w:tc>
        <w:tc>
          <w:tcPr>
            <w:tcW w:w="325" w:type="pct"/>
            <w:noWrap/>
            <w:vAlign w:val="center"/>
          </w:tcPr>
          <w:p w14:paraId="1B15B2B1" w14:textId="77777777"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15,000</w:t>
            </w:r>
          </w:p>
        </w:tc>
        <w:tc>
          <w:tcPr>
            <w:tcW w:w="325" w:type="pct"/>
            <w:noWrap/>
            <w:vAlign w:val="center"/>
          </w:tcPr>
          <w:p w14:paraId="2A74F563" w14:textId="77777777"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15,000</w:t>
            </w:r>
          </w:p>
        </w:tc>
        <w:tc>
          <w:tcPr>
            <w:tcW w:w="325" w:type="pct"/>
            <w:noWrap/>
            <w:vAlign w:val="center"/>
          </w:tcPr>
          <w:p w14:paraId="63F69C92"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30,000</w:t>
            </w:r>
          </w:p>
        </w:tc>
        <w:tc>
          <w:tcPr>
            <w:tcW w:w="325" w:type="pct"/>
            <w:noWrap/>
            <w:vAlign w:val="center"/>
          </w:tcPr>
          <w:p w14:paraId="06E1836E" w14:textId="77777777" w:rsidR="00B3795B" w:rsidRPr="00922BDA" w:rsidRDefault="00B3795B"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147BC624" w14:textId="77777777" w:rsidR="00B3795B" w:rsidRPr="00922BDA" w:rsidRDefault="00B3795B"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6B6D08E0" w14:textId="77777777" w:rsidR="00B3795B" w:rsidRPr="00922BDA" w:rsidRDefault="00B3795B"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50FA633F" w14:textId="77777777"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15,000</w:t>
            </w:r>
          </w:p>
        </w:tc>
        <w:tc>
          <w:tcPr>
            <w:tcW w:w="325" w:type="pct"/>
            <w:noWrap/>
            <w:vAlign w:val="center"/>
          </w:tcPr>
          <w:p w14:paraId="30BE5B0E" w14:textId="239DC8C6"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w:t>
            </w:r>
            <w:r w:rsidR="007F1887" w:rsidRPr="00922BDA">
              <w:rPr>
                <w:rFonts w:eastAsia="Times New Roman" w:cstheme="majorBidi"/>
                <w:color w:val="000000"/>
                <w:sz w:val="16"/>
                <w:szCs w:val="16"/>
                <w:lang w:val="en-GB"/>
              </w:rPr>
              <w:t>0</w:t>
            </w:r>
            <w:r w:rsidRPr="00922BDA">
              <w:rPr>
                <w:rFonts w:eastAsia="Times New Roman" w:cstheme="majorBidi"/>
                <w:color w:val="000000"/>
                <w:sz w:val="16"/>
                <w:szCs w:val="16"/>
                <w:lang w:val="en-GB"/>
              </w:rPr>
              <w:t>,000</w:t>
            </w:r>
          </w:p>
        </w:tc>
        <w:tc>
          <w:tcPr>
            <w:tcW w:w="325" w:type="pct"/>
            <w:noWrap/>
            <w:vAlign w:val="center"/>
          </w:tcPr>
          <w:p w14:paraId="11B7E288" w14:textId="50C302E7" w:rsidR="00B3795B" w:rsidRPr="00922BDA" w:rsidRDefault="007F1887"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w:t>
            </w:r>
            <w:r w:rsidR="00B3795B" w:rsidRPr="00922BDA">
              <w:rPr>
                <w:rFonts w:eastAsia="Times New Roman" w:cstheme="majorBidi"/>
                <w:b/>
                <w:bCs/>
                <w:color w:val="000000"/>
                <w:sz w:val="16"/>
                <w:szCs w:val="16"/>
                <w:lang w:val="en-GB"/>
              </w:rPr>
              <w:t>,000</w:t>
            </w:r>
          </w:p>
        </w:tc>
        <w:tc>
          <w:tcPr>
            <w:tcW w:w="325" w:type="pct"/>
            <w:noWrap/>
            <w:vAlign w:val="center"/>
          </w:tcPr>
          <w:p w14:paraId="567A48F5" w14:textId="77777777" w:rsidR="00B3795B" w:rsidRPr="00922BDA" w:rsidRDefault="00B3795B" w:rsidP="00E36AAE">
            <w:pPr>
              <w:spacing w:after="0" w:line="240" w:lineRule="auto"/>
              <w:jc w:val="center"/>
              <w:rPr>
                <w:rFonts w:eastAsia="Times New Roman" w:cstheme="majorBidi"/>
                <w:color w:val="000000"/>
                <w:sz w:val="16"/>
                <w:szCs w:val="16"/>
                <w:lang w:val="en-GB"/>
              </w:rPr>
            </w:pPr>
          </w:p>
        </w:tc>
        <w:tc>
          <w:tcPr>
            <w:tcW w:w="325" w:type="pct"/>
            <w:noWrap/>
            <w:vAlign w:val="center"/>
          </w:tcPr>
          <w:p w14:paraId="2C4DB8C5" w14:textId="77777777" w:rsidR="00B3795B" w:rsidRPr="00922BDA" w:rsidRDefault="00B3795B" w:rsidP="00E36AAE">
            <w:pPr>
              <w:spacing w:after="0" w:line="240" w:lineRule="auto"/>
              <w:jc w:val="center"/>
              <w:rPr>
                <w:rFonts w:eastAsia="Times New Roman" w:cstheme="majorBidi"/>
                <w:color w:val="000000"/>
                <w:sz w:val="16"/>
                <w:szCs w:val="16"/>
                <w:lang w:val="en-GB"/>
              </w:rPr>
            </w:pPr>
          </w:p>
        </w:tc>
        <w:tc>
          <w:tcPr>
            <w:tcW w:w="326" w:type="pct"/>
            <w:noWrap/>
            <w:vAlign w:val="center"/>
          </w:tcPr>
          <w:p w14:paraId="3CB62845" w14:textId="77777777" w:rsidR="00B3795B" w:rsidRPr="00922BDA" w:rsidRDefault="00B3795B" w:rsidP="00E36AAE">
            <w:pPr>
              <w:spacing w:after="0" w:line="240" w:lineRule="auto"/>
              <w:jc w:val="center"/>
              <w:rPr>
                <w:rFonts w:eastAsia="Times New Roman" w:cstheme="majorBidi"/>
                <w:color w:val="000000"/>
                <w:sz w:val="16"/>
                <w:szCs w:val="16"/>
                <w:lang w:val="en-GB"/>
              </w:rPr>
            </w:pPr>
          </w:p>
        </w:tc>
      </w:tr>
      <w:tr w:rsidR="00BD1776" w:rsidRPr="00922BDA" w14:paraId="74BF65E6" w14:textId="77777777" w:rsidTr="00E36AAE">
        <w:trPr>
          <w:trHeight w:val="304"/>
        </w:trPr>
        <w:tc>
          <w:tcPr>
            <w:tcW w:w="1094" w:type="pct"/>
            <w:vAlign w:val="center"/>
            <w:hideMark/>
          </w:tcPr>
          <w:p w14:paraId="62D6479D" w14:textId="17B62314" w:rsidR="00B3795B" w:rsidRPr="00922BDA" w:rsidRDefault="00B3795B" w:rsidP="00E36AAE">
            <w:pPr>
              <w:spacing w:after="0" w:line="240" w:lineRule="auto"/>
              <w:jc w:val="left"/>
              <w:rPr>
                <w:rFonts w:eastAsia="Times New Roman" w:cstheme="majorBidi"/>
                <w:sz w:val="16"/>
                <w:szCs w:val="16"/>
                <w:lang w:val="en-GB"/>
              </w:rPr>
            </w:pPr>
            <w:r w:rsidRPr="00922BDA">
              <w:rPr>
                <w:rFonts w:eastAsia="Times New Roman" w:cstheme="majorBidi"/>
                <w:sz w:val="16"/>
                <w:szCs w:val="16"/>
                <w:lang w:val="en-GB"/>
              </w:rPr>
              <w:t xml:space="preserve">Information materials - insights, briefings, </w:t>
            </w:r>
            <w:r w:rsidR="00770FC6" w:rsidRPr="00922BDA">
              <w:rPr>
                <w:rFonts w:eastAsia="Times New Roman" w:cstheme="majorBidi"/>
                <w:sz w:val="16"/>
                <w:szCs w:val="16"/>
                <w:lang w:val="en-GB"/>
              </w:rPr>
              <w:t>fact sheets</w:t>
            </w:r>
            <w:r w:rsidR="00BD1776" w:rsidRPr="00922BDA">
              <w:rPr>
                <w:rFonts w:eastAsia="Times New Roman" w:cstheme="majorBidi"/>
                <w:sz w:val="16"/>
                <w:szCs w:val="16"/>
                <w:lang w:val="en-GB"/>
              </w:rPr>
              <w:t xml:space="preserve"> and</w:t>
            </w:r>
            <w:r w:rsidRPr="00922BDA">
              <w:rPr>
                <w:rFonts w:eastAsia="Times New Roman" w:cstheme="majorBidi"/>
                <w:sz w:val="16"/>
                <w:szCs w:val="16"/>
                <w:lang w:val="en-GB"/>
              </w:rPr>
              <w:t xml:space="preserve"> brochures</w:t>
            </w:r>
          </w:p>
        </w:tc>
        <w:tc>
          <w:tcPr>
            <w:tcW w:w="325" w:type="pct"/>
            <w:noWrap/>
            <w:vAlign w:val="center"/>
          </w:tcPr>
          <w:p w14:paraId="518647AC" w14:textId="77777777"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10,000</w:t>
            </w:r>
          </w:p>
        </w:tc>
        <w:tc>
          <w:tcPr>
            <w:tcW w:w="325" w:type="pct"/>
            <w:noWrap/>
            <w:vAlign w:val="center"/>
          </w:tcPr>
          <w:p w14:paraId="27787212" w14:textId="77777777"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10,000</w:t>
            </w:r>
          </w:p>
        </w:tc>
        <w:tc>
          <w:tcPr>
            <w:tcW w:w="325" w:type="pct"/>
            <w:noWrap/>
            <w:vAlign w:val="center"/>
          </w:tcPr>
          <w:p w14:paraId="52BCD52F"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20,000</w:t>
            </w:r>
          </w:p>
        </w:tc>
        <w:tc>
          <w:tcPr>
            <w:tcW w:w="325" w:type="pct"/>
            <w:noWrap/>
            <w:vAlign w:val="center"/>
          </w:tcPr>
          <w:p w14:paraId="314B5234" w14:textId="77777777" w:rsidR="00B3795B" w:rsidRPr="00922BDA" w:rsidRDefault="00B3795B"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319D5E79" w14:textId="77777777" w:rsidR="00B3795B" w:rsidRPr="00922BDA" w:rsidRDefault="00B3795B"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7D3E09AA" w14:textId="77777777" w:rsidR="00B3795B" w:rsidRPr="00922BDA" w:rsidRDefault="00B3795B"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5005CA6C" w14:textId="77777777"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10,000</w:t>
            </w:r>
          </w:p>
        </w:tc>
        <w:tc>
          <w:tcPr>
            <w:tcW w:w="325" w:type="pct"/>
            <w:noWrap/>
            <w:vAlign w:val="center"/>
          </w:tcPr>
          <w:p w14:paraId="09338141" w14:textId="77777777" w:rsidR="00B3795B" w:rsidRPr="00922BDA" w:rsidRDefault="00B3795B"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10,000</w:t>
            </w:r>
          </w:p>
        </w:tc>
        <w:tc>
          <w:tcPr>
            <w:tcW w:w="325" w:type="pct"/>
            <w:noWrap/>
            <w:vAlign w:val="center"/>
          </w:tcPr>
          <w:p w14:paraId="17F2634C"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20,000</w:t>
            </w:r>
          </w:p>
        </w:tc>
        <w:tc>
          <w:tcPr>
            <w:tcW w:w="325" w:type="pct"/>
            <w:noWrap/>
            <w:vAlign w:val="center"/>
          </w:tcPr>
          <w:p w14:paraId="48D8156E" w14:textId="77777777" w:rsidR="00B3795B" w:rsidRPr="00922BDA" w:rsidRDefault="00B3795B" w:rsidP="00E36AAE">
            <w:pPr>
              <w:spacing w:after="0" w:line="240" w:lineRule="auto"/>
              <w:jc w:val="center"/>
              <w:rPr>
                <w:rFonts w:eastAsia="Times New Roman" w:cstheme="majorBidi"/>
                <w:color w:val="000000"/>
                <w:sz w:val="16"/>
                <w:szCs w:val="16"/>
                <w:lang w:val="en-GB"/>
              </w:rPr>
            </w:pPr>
          </w:p>
        </w:tc>
        <w:tc>
          <w:tcPr>
            <w:tcW w:w="325" w:type="pct"/>
            <w:noWrap/>
            <w:vAlign w:val="center"/>
          </w:tcPr>
          <w:p w14:paraId="24BAE6FE" w14:textId="77777777" w:rsidR="00B3795B" w:rsidRPr="00922BDA" w:rsidRDefault="00B3795B" w:rsidP="00E36AAE">
            <w:pPr>
              <w:spacing w:after="0" w:line="240" w:lineRule="auto"/>
              <w:jc w:val="center"/>
              <w:rPr>
                <w:rFonts w:eastAsia="Times New Roman" w:cstheme="majorBidi"/>
                <w:color w:val="000000"/>
                <w:sz w:val="16"/>
                <w:szCs w:val="16"/>
                <w:lang w:val="en-GB"/>
              </w:rPr>
            </w:pPr>
          </w:p>
        </w:tc>
        <w:tc>
          <w:tcPr>
            <w:tcW w:w="326" w:type="pct"/>
            <w:noWrap/>
            <w:vAlign w:val="center"/>
          </w:tcPr>
          <w:p w14:paraId="313C636F" w14:textId="77777777" w:rsidR="00B3795B" w:rsidRPr="00922BDA" w:rsidRDefault="00B3795B" w:rsidP="00E36AAE">
            <w:pPr>
              <w:spacing w:after="0" w:line="240" w:lineRule="auto"/>
              <w:jc w:val="center"/>
              <w:rPr>
                <w:rFonts w:eastAsia="Times New Roman" w:cstheme="majorBidi"/>
                <w:color w:val="000000"/>
                <w:sz w:val="16"/>
                <w:szCs w:val="16"/>
                <w:lang w:val="en-GB"/>
              </w:rPr>
            </w:pPr>
          </w:p>
        </w:tc>
      </w:tr>
      <w:tr w:rsidR="00BD1776" w:rsidRPr="00922BDA" w14:paraId="49719A13" w14:textId="77777777" w:rsidTr="00E36AAE">
        <w:trPr>
          <w:trHeight w:val="299"/>
        </w:trPr>
        <w:tc>
          <w:tcPr>
            <w:tcW w:w="1094" w:type="pct"/>
            <w:vAlign w:val="center"/>
          </w:tcPr>
          <w:p w14:paraId="1B3BCCE7" w14:textId="31A1BD19" w:rsidR="00E36AAE" w:rsidRPr="00922BDA" w:rsidRDefault="00E36AAE" w:rsidP="00BD36F8">
            <w:pPr>
              <w:spacing w:after="0" w:line="240" w:lineRule="auto"/>
              <w:ind w:right="180"/>
              <w:jc w:val="left"/>
              <w:rPr>
                <w:rFonts w:eastAsia="Times New Roman" w:cstheme="majorBidi"/>
                <w:color w:val="000000"/>
                <w:sz w:val="16"/>
                <w:szCs w:val="16"/>
                <w:lang w:val="en-GB"/>
              </w:rPr>
            </w:pPr>
            <w:r w:rsidRPr="00922BDA">
              <w:rPr>
                <w:rFonts w:eastAsia="Times New Roman" w:cstheme="majorBidi"/>
                <w:sz w:val="16"/>
                <w:szCs w:val="16"/>
                <w:lang w:val="en-GB"/>
              </w:rPr>
              <w:t>New interactive ways to promote and share publications</w:t>
            </w:r>
          </w:p>
        </w:tc>
        <w:tc>
          <w:tcPr>
            <w:tcW w:w="325" w:type="pct"/>
            <w:noWrap/>
            <w:vAlign w:val="center"/>
          </w:tcPr>
          <w:p w14:paraId="6030831F" w14:textId="77777777" w:rsidR="00E36AAE" w:rsidRPr="00922BDA" w:rsidRDefault="00E36AAE"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4023363F" w14:textId="77777777" w:rsidR="00E36AAE" w:rsidRPr="00922BDA" w:rsidRDefault="00E36AAE" w:rsidP="00E36AAE">
            <w:pPr>
              <w:spacing w:after="0" w:line="240" w:lineRule="auto"/>
              <w:jc w:val="right"/>
              <w:rPr>
                <w:rFonts w:eastAsia="Times New Roman" w:cstheme="majorBidi"/>
                <w:b/>
                <w:bCs/>
                <w:color w:val="000000"/>
                <w:sz w:val="16"/>
                <w:szCs w:val="16"/>
                <w:lang w:val="en-GB"/>
              </w:rPr>
            </w:pPr>
          </w:p>
        </w:tc>
        <w:tc>
          <w:tcPr>
            <w:tcW w:w="325" w:type="pct"/>
            <w:noWrap/>
            <w:vAlign w:val="center"/>
          </w:tcPr>
          <w:p w14:paraId="5A651DD7" w14:textId="065DCF9C" w:rsidR="00E36AAE" w:rsidRPr="00922BDA" w:rsidRDefault="00E36AAE" w:rsidP="00E36AAE">
            <w:pPr>
              <w:spacing w:after="0" w:line="240" w:lineRule="auto"/>
              <w:jc w:val="right"/>
              <w:rPr>
                <w:rFonts w:eastAsia="Times New Roman" w:cstheme="majorBidi"/>
                <w:color w:val="000000"/>
                <w:sz w:val="16"/>
                <w:szCs w:val="16"/>
                <w:lang w:val="en-GB"/>
              </w:rPr>
            </w:pPr>
          </w:p>
        </w:tc>
        <w:tc>
          <w:tcPr>
            <w:tcW w:w="325" w:type="pct"/>
            <w:vAlign w:val="center"/>
          </w:tcPr>
          <w:p w14:paraId="21E4DDA3" w14:textId="6A73DBEB" w:rsidR="00E36AAE" w:rsidRPr="00922BDA" w:rsidRDefault="00E36AAE"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12,500</w:t>
            </w:r>
          </w:p>
        </w:tc>
        <w:tc>
          <w:tcPr>
            <w:tcW w:w="325" w:type="pct"/>
            <w:noWrap/>
            <w:vAlign w:val="center"/>
          </w:tcPr>
          <w:p w14:paraId="64178C61" w14:textId="12221070" w:rsidR="00E36AAE" w:rsidRPr="00922BDA" w:rsidRDefault="00E36AAE"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12,500</w:t>
            </w:r>
          </w:p>
        </w:tc>
        <w:tc>
          <w:tcPr>
            <w:tcW w:w="325" w:type="pct"/>
            <w:noWrap/>
            <w:vAlign w:val="center"/>
          </w:tcPr>
          <w:p w14:paraId="76716117" w14:textId="045AA0A6" w:rsidR="00E36AAE" w:rsidRPr="00922BDA" w:rsidRDefault="00E36AAE" w:rsidP="00E36AAE">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25,000</w:t>
            </w:r>
          </w:p>
        </w:tc>
        <w:tc>
          <w:tcPr>
            <w:tcW w:w="325" w:type="pct"/>
            <w:noWrap/>
            <w:vAlign w:val="center"/>
          </w:tcPr>
          <w:p w14:paraId="76A6B938" w14:textId="77777777" w:rsidR="00E36AAE" w:rsidRPr="00922BDA" w:rsidRDefault="00E36AAE"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751CA1EF" w14:textId="77777777" w:rsidR="00E36AAE" w:rsidRPr="00922BDA" w:rsidRDefault="00E36AAE" w:rsidP="00E36AAE">
            <w:pPr>
              <w:spacing w:after="0" w:line="240" w:lineRule="auto"/>
              <w:jc w:val="right"/>
              <w:rPr>
                <w:rFonts w:eastAsia="Times New Roman" w:cstheme="majorBidi"/>
                <w:color w:val="000000"/>
                <w:sz w:val="16"/>
                <w:szCs w:val="16"/>
                <w:lang w:val="en-GB"/>
              </w:rPr>
            </w:pPr>
          </w:p>
        </w:tc>
        <w:tc>
          <w:tcPr>
            <w:tcW w:w="325" w:type="pct"/>
            <w:noWrap/>
            <w:vAlign w:val="center"/>
          </w:tcPr>
          <w:p w14:paraId="667D531F" w14:textId="77777777" w:rsidR="00E36AAE" w:rsidRPr="00922BDA" w:rsidRDefault="00E36AAE" w:rsidP="00E36AAE">
            <w:pPr>
              <w:spacing w:after="0" w:line="240" w:lineRule="auto"/>
              <w:jc w:val="right"/>
              <w:rPr>
                <w:rFonts w:eastAsia="Times New Roman" w:cstheme="majorBidi"/>
                <w:b/>
                <w:bCs/>
                <w:color w:val="000000"/>
                <w:sz w:val="16"/>
                <w:szCs w:val="16"/>
                <w:lang w:val="en-GB"/>
              </w:rPr>
            </w:pPr>
          </w:p>
        </w:tc>
        <w:tc>
          <w:tcPr>
            <w:tcW w:w="325" w:type="pct"/>
            <w:noWrap/>
            <w:vAlign w:val="center"/>
          </w:tcPr>
          <w:p w14:paraId="70EAAB7E" w14:textId="6B5DD45E" w:rsidR="00E36AAE" w:rsidRPr="00922BDA" w:rsidRDefault="00E36AAE" w:rsidP="00E36AAE">
            <w:pPr>
              <w:spacing w:after="0" w:line="240" w:lineRule="auto"/>
              <w:jc w:val="center"/>
              <w:rPr>
                <w:rFonts w:eastAsia="Times New Roman" w:cstheme="majorBidi"/>
                <w:color w:val="000000"/>
                <w:sz w:val="16"/>
                <w:szCs w:val="16"/>
                <w:lang w:val="en-GB"/>
              </w:rPr>
            </w:pPr>
            <w:r w:rsidRPr="00922BDA">
              <w:rPr>
                <w:rFonts w:eastAsia="Times New Roman" w:cstheme="majorBidi"/>
                <w:color w:val="000000"/>
                <w:sz w:val="16"/>
                <w:szCs w:val="16"/>
                <w:lang w:val="en-GB"/>
              </w:rPr>
              <w:t>12,500</w:t>
            </w:r>
          </w:p>
        </w:tc>
        <w:tc>
          <w:tcPr>
            <w:tcW w:w="325" w:type="pct"/>
            <w:noWrap/>
            <w:vAlign w:val="center"/>
          </w:tcPr>
          <w:p w14:paraId="75C1FBCE" w14:textId="5355C812" w:rsidR="00E36AAE" w:rsidRPr="00922BDA" w:rsidRDefault="00E36AAE" w:rsidP="00E36AAE">
            <w:pPr>
              <w:spacing w:after="0" w:line="240" w:lineRule="auto"/>
              <w:jc w:val="center"/>
              <w:rPr>
                <w:rFonts w:eastAsia="Times New Roman" w:cstheme="majorBidi"/>
                <w:color w:val="000000"/>
                <w:sz w:val="16"/>
                <w:szCs w:val="16"/>
                <w:lang w:val="en-GB"/>
              </w:rPr>
            </w:pPr>
            <w:r w:rsidRPr="00922BDA">
              <w:rPr>
                <w:rFonts w:eastAsia="Times New Roman" w:cstheme="majorBidi"/>
                <w:color w:val="000000"/>
                <w:sz w:val="16"/>
                <w:szCs w:val="16"/>
                <w:lang w:val="en-GB"/>
              </w:rPr>
              <w:t>12,500</w:t>
            </w:r>
          </w:p>
        </w:tc>
        <w:tc>
          <w:tcPr>
            <w:tcW w:w="326" w:type="pct"/>
            <w:noWrap/>
            <w:vAlign w:val="center"/>
          </w:tcPr>
          <w:p w14:paraId="2DE5F191" w14:textId="7C9982EA" w:rsidR="00E36AAE" w:rsidRPr="00922BDA" w:rsidRDefault="00E36AAE" w:rsidP="00E36AAE">
            <w:pPr>
              <w:spacing w:after="0" w:line="240" w:lineRule="auto"/>
              <w:jc w:val="center"/>
              <w:rPr>
                <w:rFonts w:eastAsia="Times New Roman" w:cstheme="majorBidi"/>
                <w:color w:val="000000"/>
                <w:sz w:val="16"/>
                <w:szCs w:val="16"/>
                <w:lang w:val="en-GB"/>
              </w:rPr>
            </w:pPr>
            <w:r w:rsidRPr="00922BDA">
              <w:rPr>
                <w:rFonts w:eastAsia="Times New Roman" w:cstheme="majorBidi"/>
                <w:color w:val="000000"/>
                <w:sz w:val="16"/>
                <w:szCs w:val="16"/>
                <w:lang w:val="en-GB"/>
              </w:rPr>
              <w:t>25,000</w:t>
            </w:r>
          </w:p>
        </w:tc>
      </w:tr>
      <w:tr w:rsidR="00BD1776" w:rsidRPr="00922BDA" w14:paraId="153363C1" w14:textId="77777777" w:rsidTr="00E36AAE">
        <w:trPr>
          <w:trHeight w:val="304"/>
        </w:trPr>
        <w:tc>
          <w:tcPr>
            <w:tcW w:w="1094" w:type="pct"/>
            <w:vAlign w:val="center"/>
          </w:tcPr>
          <w:p w14:paraId="6DB51AD1" w14:textId="77777777" w:rsidR="00B3795B" w:rsidRPr="00922BDA" w:rsidRDefault="00B3795B" w:rsidP="00E36AAE">
            <w:pPr>
              <w:spacing w:after="0" w:line="240" w:lineRule="auto"/>
              <w:jc w:val="right"/>
              <w:rPr>
                <w:rFonts w:eastAsia="Times New Roman" w:cstheme="majorBidi"/>
                <w:b/>
                <w:bCs/>
                <w:sz w:val="16"/>
                <w:szCs w:val="16"/>
                <w:lang w:val="en-GB"/>
              </w:rPr>
            </w:pPr>
            <w:r w:rsidRPr="00922BDA">
              <w:rPr>
                <w:rFonts w:eastAsia="Times New Roman" w:cstheme="majorBidi"/>
                <w:b/>
                <w:bCs/>
                <w:sz w:val="16"/>
                <w:szCs w:val="16"/>
                <w:lang w:val="en-GB"/>
              </w:rPr>
              <w:t>Component total</w:t>
            </w:r>
          </w:p>
        </w:tc>
        <w:tc>
          <w:tcPr>
            <w:tcW w:w="325" w:type="pct"/>
            <w:noWrap/>
            <w:vAlign w:val="center"/>
          </w:tcPr>
          <w:p w14:paraId="57D2C447"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4BC0B77A"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3B4B9B70"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50,000</w:t>
            </w:r>
          </w:p>
        </w:tc>
        <w:tc>
          <w:tcPr>
            <w:tcW w:w="325" w:type="pct"/>
            <w:noWrap/>
            <w:vAlign w:val="center"/>
          </w:tcPr>
          <w:p w14:paraId="5E96E28A" w14:textId="6CEC9D2D" w:rsidR="00B3795B" w:rsidRPr="00922BDA" w:rsidRDefault="006623DA"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12,500</w:t>
            </w:r>
          </w:p>
        </w:tc>
        <w:tc>
          <w:tcPr>
            <w:tcW w:w="325" w:type="pct"/>
            <w:noWrap/>
            <w:vAlign w:val="center"/>
          </w:tcPr>
          <w:p w14:paraId="5D7DB394" w14:textId="0085AE55" w:rsidR="00B3795B" w:rsidRPr="00922BDA" w:rsidRDefault="006623DA"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12,500</w:t>
            </w:r>
          </w:p>
        </w:tc>
        <w:tc>
          <w:tcPr>
            <w:tcW w:w="325" w:type="pct"/>
            <w:noWrap/>
            <w:vAlign w:val="center"/>
          </w:tcPr>
          <w:p w14:paraId="3A5F20BD" w14:textId="3B31B35E" w:rsidR="00B3795B" w:rsidRPr="00922BDA" w:rsidRDefault="006623DA"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6E77C2AE"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03748D1E" w14:textId="2126C48C"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w:t>
            </w:r>
            <w:r w:rsidR="006A5CEF" w:rsidRPr="00922BDA">
              <w:rPr>
                <w:rFonts w:eastAsia="Times New Roman" w:cstheme="majorBidi"/>
                <w:b/>
                <w:bCs/>
                <w:color w:val="000000"/>
                <w:sz w:val="16"/>
                <w:szCs w:val="16"/>
                <w:lang w:val="en-GB"/>
              </w:rPr>
              <w:t>0</w:t>
            </w:r>
            <w:r w:rsidRPr="00922BDA">
              <w:rPr>
                <w:rFonts w:eastAsia="Times New Roman" w:cstheme="majorBidi"/>
                <w:b/>
                <w:bCs/>
                <w:color w:val="000000"/>
                <w:sz w:val="16"/>
                <w:szCs w:val="16"/>
                <w:lang w:val="en-GB"/>
              </w:rPr>
              <w:t>,000</w:t>
            </w:r>
          </w:p>
        </w:tc>
        <w:tc>
          <w:tcPr>
            <w:tcW w:w="325" w:type="pct"/>
            <w:noWrap/>
            <w:vAlign w:val="center"/>
          </w:tcPr>
          <w:p w14:paraId="29566DC6" w14:textId="1C55DE09" w:rsidR="00B3795B" w:rsidRPr="00922BDA" w:rsidRDefault="006A5CEF"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45</w:t>
            </w:r>
            <w:r w:rsidR="00B3795B" w:rsidRPr="00922BDA">
              <w:rPr>
                <w:rFonts w:eastAsia="Times New Roman" w:cstheme="majorBidi"/>
                <w:b/>
                <w:bCs/>
                <w:color w:val="000000"/>
                <w:sz w:val="16"/>
                <w:szCs w:val="16"/>
                <w:lang w:val="en-GB"/>
              </w:rPr>
              <w:t>,000</w:t>
            </w:r>
          </w:p>
        </w:tc>
        <w:tc>
          <w:tcPr>
            <w:tcW w:w="325" w:type="pct"/>
            <w:noWrap/>
            <w:vAlign w:val="center"/>
          </w:tcPr>
          <w:p w14:paraId="73BE0F68" w14:textId="1F54B504" w:rsidR="00B3795B" w:rsidRPr="00922BDA" w:rsidRDefault="005B36BC"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12,500</w:t>
            </w:r>
          </w:p>
        </w:tc>
        <w:tc>
          <w:tcPr>
            <w:tcW w:w="325" w:type="pct"/>
            <w:noWrap/>
            <w:vAlign w:val="center"/>
          </w:tcPr>
          <w:p w14:paraId="5D61F7C0" w14:textId="5E3D0231" w:rsidR="00B3795B" w:rsidRPr="00922BDA" w:rsidRDefault="005B36BC"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12,000</w:t>
            </w:r>
          </w:p>
        </w:tc>
        <w:tc>
          <w:tcPr>
            <w:tcW w:w="326" w:type="pct"/>
            <w:noWrap/>
            <w:vAlign w:val="center"/>
          </w:tcPr>
          <w:p w14:paraId="126A5B0B" w14:textId="37A7EB57" w:rsidR="00B3795B" w:rsidRPr="00922BDA" w:rsidRDefault="008F2093"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r>
      <w:tr w:rsidR="00BD1776" w:rsidRPr="00922BDA" w14:paraId="7A830641" w14:textId="77777777" w:rsidTr="00E36AAE">
        <w:trPr>
          <w:trHeight w:val="304"/>
        </w:trPr>
        <w:tc>
          <w:tcPr>
            <w:tcW w:w="1094" w:type="pct"/>
            <w:noWrap/>
            <w:vAlign w:val="center"/>
            <w:hideMark/>
          </w:tcPr>
          <w:p w14:paraId="6F86A3C6"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Grand Total </w:t>
            </w:r>
          </w:p>
        </w:tc>
        <w:tc>
          <w:tcPr>
            <w:tcW w:w="325" w:type="pct"/>
            <w:noWrap/>
            <w:vAlign w:val="center"/>
          </w:tcPr>
          <w:p w14:paraId="1B45D9C5"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61C01156"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206607FB"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50,000</w:t>
            </w:r>
          </w:p>
        </w:tc>
        <w:tc>
          <w:tcPr>
            <w:tcW w:w="325" w:type="pct"/>
            <w:noWrap/>
            <w:vAlign w:val="center"/>
          </w:tcPr>
          <w:p w14:paraId="054CE5B4" w14:textId="494C094B" w:rsidR="00B3795B" w:rsidRPr="00922BDA" w:rsidRDefault="005B36BC"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w:t>
            </w:r>
            <w:r w:rsidR="006623DA" w:rsidRPr="00922BDA">
              <w:rPr>
                <w:rFonts w:eastAsia="Times New Roman" w:cstheme="majorBidi"/>
                <w:b/>
                <w:bCs/>
                <w:color w:val="000000"/>
                <w:sz w:val="16"/>
                <w:szCs w:val="16"/>
                <w:lang w:val="en-GB"/>
              </w:rPr>
              <w:t>,</w:t>
            </w:r>
            <w:r w:rsidRPr="00922BDA">
              <w:rPr>
                <w:rFonts w:eastAsia="Times New Roman" w:cstheme="majorBidi"/>
                <w:b/>
                <w:bCs/>
                <w:color w:val="000000"/>
                <w:sz w:val="16"/>
                <w:szCs w:val="16"/>
                <w:lang w:val="en-GB"/>
              </w:rPr>
              <w:t>5</w:t>
            </w:r>
            <w:r w:rsidR="006623DA" w:rsidRPr="00922BDA">
              <w:rPr>
                <w:rFonts w:eastAsia="Times New Roman" w:cstheme="majorBidi"/>
                <w:b/>
                <w:bCs/>
                <w:color w:val="000000"/>
                <w:sz w:val="16"/>
                <w:szCs w:val="16"/>
                <w:lang w:val="en-GB"/>
              </w:rPr>
              <w:t>00</w:t>
            </w:r>
          </w:p>
        </w:tc>
        <w:tc>
          <w:tcPr>
            <w:tcW w:w="325" w:type="pct"/>
            <w:noWrap/>
            <w:vAlign w:val="center"/>
          </w:tcPr>
          <w:p w14:paraId="7214E2BC" w14:textId="76C999E1" w:rsidR="00B3795B" w:rsidRPr="00922BDA" w:rsidRDefault="005B36BC"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w:t>
            </w:r>
            <w:r w:rsidR="006623DA" w:rsidRPr="00922BDA">
              <w:rPr>
                <w:rFonts w:eastAsia="Times New Roman" w:cstheme="majorBidi"/>
                <w:b/>
                <w:bCs/>
                <w:color w:val="000000"/>
                <w:sz w:val="16"/>
                <w:szCs w:val="16"/>
                <w:lang w:val="en-GB"/>
              </w:rPr>
              <w:t>,</w:t>
            </w:r>
            <w:r w:rsidRPr="00922BDA">
              <w:rPr>
                <w:rFonts w:eastAsia="Times New Roman" w:cstheme="majorBidi"/>
                <w:b/>
                <w:bCs/>
                <w:color w:val="000000"/>
                <w:sz w:val="16"/>
                <w:szCs w:val="16"/>
                <w:lang w:val="en-GB"/>
              </w:rPr>
              <w:t>5</w:t>
            </w:r>
            <w:r w:rsidR="006623DA" w:rsidRPr="00922BDA">
              <w:rPr>
                <w:rFonts w:eastAsia="Times New Roman" w:cstheme="majorBidi"/>
                <w:b/>
                <w:bCs/>
                <w:color w:val="000000"/>
                <w:sz w:val="16"/>
                <w:szCs w:val="16"/>
                <w:lang w:val="en-GB"/>
              </w:rPr>
              <w:t>00</w:t>
            </w:r>
          </w:p>
        </w:tc>
        <w:tc>
          <w:tcPr>
            <w:tcW w:w="325" w:type="pct"/>
            <w:noWrap/>
            <w:vAlign w:val="center"/>
          </w:tcPr>
          <w:p w14:paraId="264B36EA" w14:textId="2CB59D32" w:rsidR="00B3795B" w:rsidRPr="00922BDA" w:rsidRDefault="006623DA"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2E868926" w14:textId="77777777" w:rsidR="00B3795B" w:rsidRPr="00922BDA" w:rsidRDefault="00B3795B"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c>
          <w:tcPr>
            <w:tcW w:w="325" w:type="pct"/>
            <w:noWrap/>
            <w:vAlign w:val="center"/>
          </w:tcPr>
          <w:p w14:paraId="7A483DFC" w14:textId="37098844" w:rsidR="00B3795B" w:rsidRPr="00922BDA" w:rsidRDefault="000203B0"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w:t>
            </w:r>
            <w:r w:rsidR="00B3795B" w:rsidRPr="00922BDA">
              <w:rPr>
                <w:rFonts w:eastAsia="Times New Roman" w:cstheme="majorBidi"/>
                <w:b/>
                <w:bCs/>
                <w:color w:val="000000"/>
                <w:sz w:val="16"/>
                <w:szCs w:val="16"/>
                <w:lang w:val="en-GB"/>
              </w:rPr>
              <w:t>,000</w:t>
            </w:r>
          </w:p>
        </w:tc>
        <w:tc>
          <w:tcPr>
            <w:tcW w:w="325" w:type="pct"/>
            <w:noWrap/>
            <w:vAlign w:val="center"/>
          </w:tcPr>
          <w:p w14:paraId="407EDBD1" w14:textId="0ED68483" w:rsidR="00B3795B" w:rsidRPr="00922BDA" w:rsidRDefault="006A5CEF" w:rsidP="00E36AAE">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45</w:t>
            </w:r>
            <w:r w:rsidR="00B3795B" w:rsidRPr="00922BDA">
              <w:rPr>
                <w:rFonts w:eastAsia="Times New Roman" w:cstheme="majorBidi"/>
                <w:b/>
                <w:bCs/>
                <w:color w:val="000000"/>
                <w:sz w:val="16"/>
                <w:szCs w:val="16"/>
                <w:lang w:val="en-GB"/>
              </w:rPr>
              <w:t>,000</w:t>
            </w:r>
          </w:p>
        </w:tc>
        <w:tc>
          <w:tcPr>
            <w:tcW w:w="325" w:type="pct"/>
            <w:noWrap/>
            <w:vAlign w:val="center"/>
          </w:tcPr>
          <w:p w14:paraId="5DC3B0B9" w14:textId="7575DA22" w:rsidR="00B3795B" w:rsidRPr="00922BDA" w:rsidRDefault="008F2093"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w:t>
            </w:r>
            <w:r w:rsidR="005B36BC" w:rsidRPr="00922BDA">
              <w:rPr>
                <w:rFonts w:eastAsia="Times New Roman" w:cstheme="majorBidi"/>
                <w:b/>
                <w:bCs/>
                <w:color w:val="000000"/>
                <w:sz w:val="16"/>
                <w:szCs w:val="16"/>
                <w:lang w:val="en-GB"/>
              </w:rPr>
              <w:t>,</w:t>
            </w:r>
            <w:r w:rsidRPr="00922BDA">
              <w:rPr>
                <w:rFonts w:eastAsia="Times New Roman" w:cstheme="majorBidi"/>
                <w:b/>
                <w:bCs/>
                <w:color w:val="000000"/>
                <w:sz w:val="16"/>
                <w:szCs w:val="16"/>
                <w:lang w:val="en-GB"/>
              </w:rPr>
              <w:t>5</w:t>
            </w:r>
            <w:r w:rsidR="005B36BC" w:rsidRPr="00922BDA">
              <w:rPr>
                <w:rFonts w:eastAsia="Times New Roman" w:cstheme="majorBidi"/>
                <w:b/>
                <w:bCs/>
                <w:color w:val="000000"/>
                <w:sz w:val="16"/>
                <w:szCs w:val="16"/>
                <w:lang w:val="en-GB"/>
              </w:rPr>
              <w:t>00</w:t>
            </w:r>
          </w:p>
        </w:tc>
        <w:tc>
          <w:tcPr>
            <w:tcW w:w="325" w:type="pct"/>
            <w:noWrap/>
            <w:vAlign w:val="center"/>
          </w:tcPr>
          <w:p w14:paraId="375F9435" w14:textId="4FBB99F7" w:rsidR="00B3795B" w:rsidRPr="00922BDA" w:rsidRDefault="005B36BC"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12,500</w:t>
            </w:r>
          </w:p>
        </w:tc>
        <w:tc>
          <w:tcPr>
            <w:tcW w:w="326" w:type="pct"/>
            <w:noWrap/>
            <w:vAlign w:val="center"/>
          </w:tcPr>
          <w:p w14:paraId="68C5776A" w14:textId="6116F093" w:rsidR="00B3795B" w:rsidRPr="00922BDA" w:rsidRDefault="005B36BC" w:rsidP="00E36AAE">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25,000</w:t>
            </w:r>
          </w:p>
        </w:tc>
      </w:tr>
    </w:tbl>
    <w:p w14:paraId="0F93E945" w14:textId="77777777" w:rsidR="00B3795B" w:rsidRPr="00845FB7" w:rsidRDefault="00B3795B" w:rsidP="00B3795B">
      <w:pPr>
        <w:spacing w:line="276" w:lineRule="auto"/>
        <w:rPr>
          <w:rFonts w:cstheme="majorBidi"/>
          <w:b/>
          <w:bCs/>
          <w:szCs w:val="20"/>
          <w:lang w:val="en-GB"/>
        </w:rPr>
      </w:pPr>
    </w:p>
    <w:p w14:paraId="3868C712" w14:textId="3405DF5B" w:rsidR="00B3795B" w:rsidRPr="00845FB7" w:rsidRDefault="00B3795B" w:rsidP="00B3795B">
      <w:pPr>
        <w:pStyle w:val="Heading3"/>
        <w:rPr>
          <w:bCs/>
          <w:sz w:val="24"/>
          <w:lang w:val="en-GB"/>
        </w:rPr>
      </w:pPr>
      <w:r w:rsidRPr="00845FB7">
        <w:rPr>
          <w:sz w:val="24"/>
          <w:lang w:val="en-GB"/>
        </w:rPr>
        <w:t>Overview of resources</w:t>
      </w:r>
    </w:p>
    <w:tbl>
      <w:tblPr>
        <w:tblStyle w:val="TableGridLight"/>
        <w:tblW w:w="12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57"/>
        <w:gridCol w:w="2430"/>
        <w:gridCol w:w="2520"/>
      </w:tblGrid>
      <w:tr w:rsidR="00B3795B" w:rsidRPr="00845FB7" w14:paraId="60189D62" w14:textId="77777777" w:rsidTr="00BD36F8">
        <w:trPr>
          <w:trHeight w:val="340"/>
        </w:trPr>
        <w:tc>
          <w:tcPr>
            <w:tcW w:w="5098" w:type="dxa"/>
            <w:noWrap/>
            <w:hideMark/>
          </w:tcPr>
          <w:p w14:paraId="26A9D090" w14:textId="77777777" w:rsidR="00B3795B" w:rsidRPr="00845FB7" w:rsidRDefault="00B3795B" w:rsidP="00A10FE4">
            <w:pPr>
              <w:rPr>
                <w:rFonts w:cstheme="majorBidi"/>
                <w:b/>
                <w:bCs/>
                <w:szCs w:val="20"/>
                <w:lang w:val="en-GB"/>
              </w:rPr>
            </w:pPr>
            <w:r w:rsidRPr="00845FB7">
              <w:rPr>
                <w:rFonts w:cstheme="majorBidi"/>
                <w:b/>
                <w:bCs/>
                <w:szCs w:val="20"/>
                <w:lang w:val="en-GB"/>
              </w:rPr>
              <w:t>Budget</w:t>
            </w:r>
          </w:p>
        </w:tc>
        <w:tc>
          <w:tcPr>
            <w:tcW w:w="2457" w:type="dxa"/>
            <w:hideMark/>
          </w:tcPr>
          <w:p w14:paraId="5BB2E1AD" w14:textId="36688FB4" w:rsidR="00B3795B" w:rsidRPr="00845FB7" w:rsidRDefault="00B3795B" w:rsidP="00555661">
            <w:pPr>
              <w:jc w:val="center"/>
              <w:rPr>
                <w:rFonts w:cstheme="majorBidi"/>
                <w:b/>
                <w:bCs/>
                <w:szCs w:val="20"/>
                <w:lang w:val="en-GB"/>
              </w:rPr>
            </w:pPr>
            <w:r w:rsidRPr="00845FB7">
              <w:rPr>
                <w:rFonts w:cstheme="majorBidi"/>
                <w:b/>
                <w:bCs/>
                <w:szCs w:val="20"/>
                <w:lang w:val="en-GB"/>
              </w:rPr>
              <w:t xml:space="preserve">General </w:t>
            </w:r>
            <w:r w:rsidR="004F1FA4" w:rsidRPr="00845FB7">
              <w:rPr>
                <w:rFonts w:cstheme="majorBidi"/>
                <w:b/>
                <w:bCs/>
                <w:szCs w:val="20"/>
                <w:lang w:val="en-GB"/>
              </w:rPr>
              <w:t>t</w:t>
            </w:r>
            <w:r w:rsidRPr="00845FB7">
              <w:rPr>
                <w:rFonts w:cstheme="majorBidi"/>
                <w:b/>
                <w:bCs/>
                <w:szCs w:val="20"/>
                <w:lang w:val="en-GB"/>
              </w:rPr>
              <w:t xml:space="preserve">rust </w:t>
            </w:r>
            <w:r w:rsidR="004F1FA4" w:rsidRPr="00845FB7">
              <w:rPr>
                <w:rFonts w:cstheme="majorBidi"/>
                <w:b/>
                <w:bCs/>
                <w:szCs w:val="20"/>
                <w:lang w:val="en-GB"/>
              </w:rPr>
              <w:t>f</w:t>
            </w:r>
            <w:r w:rsidRPr="00845FB7">
              <w:rPr>
                <w:rFonts w:cstheme="majorBidi"/>
                <w:b/>
                <w:bCs/>
                <w:szCs w:val="20"/>
                <w:lang w:val="en-GB"/>
              </w:rPr>
              <w:t>und</w:t>
            </w:r>
          </w:p>
        </w:tc>
        <w:tc>
          <w:tcPr>
            <w:tcW w:w="2430" w:type="dxa"/>
            <w:hideMark/>
          </w:tcPr>
          <w:p w14:paraId="7888A0FB" w14:textId="57FA8862" w:rsidR="00B3795B" w:rsidRPr="00845FB7" w:rsidRDefault="00B3795B" w:rsidP="00555661">
            <w:pPr>
              <w:jc w:val="center"/>
              <w:rPr>
                <w:rFonts w:cstheme="majorBidi"/>
                <w:b/>
                <w:bCs/>
                <w:szCs w:val="20"/>
                <w:lang w:val="en-GB"/>
              </w:rPr>
            </w:pPr>
            <w:r w:rsidRPr="00845FB7">
              <w:rPr>
                <w:rFonts w:cstheme="majorBidi"/>
                <w:b/>
                <w:bCs/>
                <w:szCs w:val="20"/>
                <w:lang w:val="en-GB"/>
              </w:rPr>
              <w:t xml:space="preserve">Special </w:t>
            </w:r>
            <w:r w:rsidR="004F1FA4" w:rsidRPr="00845FB7">
              <w:rPr>
                <w:rFonts w:cstheme="majorBidi"/>
                <w:b/>
                <w:bCs/>
                <w:szCs w:val="20"/>
                <w:lang w:val="en-GB"/>
              </w:rPr>
              <w:t>t</w:t>
            </w:r>
            <w:r w:rsidRPr="00845FB7">
              <w:rPr>
                <w:rFonts w:cstheme="majorBidi"/>
                <w:b/>
                <w:bCs/>
                <w:szCs w:val="20"/>
                <w:lang w:val="en-GB"/>
              </w:rPr>
              <w:t>rust</w:t>
            </w:r>
            <w:r w:rsidR="001C0A0B" w:rsidRPr="00845FB7">
              <w:rPr>
                <w:rFonts w:cstheme="majorBidi"/>
                <w:b/>
                <w:bCs/>
                <w:szCs w:val="20"/>
                <w:lang w:val="en-GB"/>
              </w:rPr>
              <w:t xml:space="preserve"> </w:t>
            </w:r>
            <w:r w:rsidR="004F1FA4" w:rsidRPr="00845FB7">
              <w:rPr>
                <w:rFonts w:cstheme="majorBidi"/>
                <w:b/>
                <w:bCs/>
                <w:szCs w:val="20"/>
                <w:lang w:val="en-GB"/>
              </w:rPr>
              <w:t>f</w:t>
            </w:r>
            <w:r w:rsidRPr="00845FB7">
              <w:rPr>
                <w:rFonts w:cstheme="majorBidi"/>
                <w:b/>
                <w:bCs/>
                <w:szCs w:val="20"/>
                <w:lang w:val="en-GB"/>
              </w:rPr>
              <w:t>und</w:t>
            </w:r>
          </w:p>
        </w:tc>
        <w:tc>
          <w:tcPr>
            <w:tcW w:w="2520" w:type="dxa"/>
            <w:hideMark/>
          </w:tcPr>
          <w:p w14:paraId="2C94B60B" w14:textId="3FD275CD" w:rsidR="00B3795B" w:rsidRPr="00845FB7" w:rsidRDefault="00B3795B" w:rsidP="00555661">
            <w:pPr>
              <w:jc w:val="center"/>
              <w:rPr>
                <w:rFonts w:cstheme="majorBidi"/>
                <w:b/>
                <w:bCs/>
                <w:szCs w:val="20"/>
                <w:lang w:val="en-GB"/>
              </w:rPr>
            </w:pPr>
            <w:r w:rsidRPr="00845FB7">
              <w:rPr>
                <w:rFonts w:cstheme="majorBidi"/>
                <w:b/>
                <w:bCs/>
                <w:szCs w:val="20"/>
                <w:lang w:val="en-GB"/>
              </w:rPr>
              <w:t xml:space="preserve">Total </w:t>
            </w:r>
            <w:r w:rsidR="004F1FA4" w:rsidRPr="00845FB7">
              <w:rPr>
                <w:rFonts w:cstheme="majorBidi"/>
                <w:b/>
                <w:bCs/>
                <w:szCs w:val="20"/>
                <w:lang w:val="en-GB"/>
              </w:rPr>
              <w:t>c</w:t>
            </w:r>
            <w:r w:rsidRPr="00845FB7">
              <w:rPr>
                <w:rFonts w:cstheme="majorBidi"/>
                <w:b/>
                <w:bCs/>
                <w:szCs w:val="20"/>
                <w:lang w:val="en-GB"/>
              </w:rPr>
              <w:t>ontribution</w:t>
            </w:r>
          </w:p>
        </w:tc>
      </w:tr>
      <w:tr w:rsidR="00AF43E3" w:rsidRPr="00845FB7" w14:paraId="531DAAC2" w14:textId="77777777" w:rsidTr="00BD36F8">
        <w:trPr>
          <w:trHeight w:val="340"/>
        </w:trPr>
        <w:tc>
          <w:tcPr>
            <w:tcW w:w="5098" w:type="dxa"/>
            <w:noWrap/>
          </w:tcPr>
          <w:p w14:paraId="2B5AAD31" w14:textId="5675C8DD" w:rsidR="00AF43E3" w:rsidRPr="00845FB7" w:rsidRDefault="00AF43E3" w:rsidP="00A10FE4">
            <w:pPr>
              <w:rPr>
                <w:rFonts w:cstheme="majorBidi"/>
                <w:szCs w:val="20"/>
                <w:lang w:val="en-GB"/>
              </w:rPr>
            </w:pPr>
            <w:r w:rsidRPr="00845FB7">
              <w:rPr>
                <w:rFonts w:cstheme="majorBidi"/>
                <w:szCs w:val="20"/>
                <w:lang w:val="en-GB"/>
              </w:rPr>
              <w:t>202</w:t>
            </w:r>
            <w:r w:rsidR="0064294E" w:rsidRPr="00845FB7">
              <w:rPr>
                <w:rFonts w:cstheme="majorBidi"/>
                <w:szCs w:val="20"/>
                <w:lang w:val="en-GB"/>
              </w:rPr>
              <w:t>4</w:t>
            </w:r>
            <w:r w:rsidRPr="00845FB7">
              <w:rPr>
                <w:rFonts w:cstheme="majorBidi"/>
                <w:szCs w:val="20"/>
                <w:lang w:val="en-GB"/>
              </w:rPr>
              <w:t>-202</w:t>
            </w:r>
            <w:r w:rsidR="0064294E" w:rsidRPr="00845FB7">
              <w:rPr>
                <w:rFonts w:cstheme="majorBidi"/>
                <w:szCs w:val="20"/>
                <w:lang w:val="en-GB"/>
              </w:rPr>
              <w:t>5</w:t>
            </w:r>
            <w:r w:rsidRPr="00845FB7">
              <w:rPr>
                <w:rFonts w:cstheme="majorBidi"/>
                <w:szCs w:val="20"/>
                <w:lang w:val="en-GB"/>
              </w:rPr>
              <w:t xml:space="preserve"> approved</w:t>
            </w:r>
          </w:p>
        </w:tc>
        <w:tc>
          <w:tcPr>
            <w:tcW w:w="2457" w:type="dxa"/>
            <w:noWrap/>
          </w:tcPr>
          <w:p w14:paraId="50B2FC8D" w14:textId="5946FCE6" w:rsidR="00AF43E3" w:rsidRPr="00845FB7" w:rsidRDefault="00AF43E3" w:rsidP="009D40E2">
            <w:pPr>
              <w:jc w:val="right"/>
              <w:rPr>
                <w:rFonts w:cstheme="majorBidi"/>
                <w:b/>
                <w:bCs/>
                <w:szCs w:val="20"/>
                <w:lang w:val="en-GB"/>
              </w:rPr>
            </w:pPr>
            <w:r w:rsidRPr="00845FB7">
              <w:rPr>
                <w:rFonts w:eastAsia="Times New Roman" w:cstheme="majorBidi"/>
                <w:b/>
                <w:bCs/>
                <w:color w:val="000000"/>
                <w:szCs w:val="20"/>
                <w:lang w:val="en-GB"/>
              </w:rPr>
              <w:t>50,000</w:t>
            </w:r>
          </w:p>
        </w:tc>
        <w:tc>
          <w:tcPr>
            <w:tcW w:w="2430" w:type="dxa"/>
            <w:noWrap/>
          </w:tcPr>
          <w:p w14:paraId="7D8F9F8F" w14:textId="3841A547" w:rsidR="00AF43E3" w:rsidRPr="00845FB7" w:rsidRDefault="00F8668A" w:rsidP="009D40E2">
            <w:pPr>
              <w:jc w:val="right"/>
              <w:rPr>
                <w:rFonts w:cstheme="majorBidi"/>
                <w:b/>
                <w:bCs/>
                <w:szCs w:val="20"/>
                <w:lang w:val="en-GB"/>
              </w:rPr>
            </w:pPr>
            <w:r w:rsidRPr="00845FB7">
              <w:rPr>
                <w:rFonts w:cstheme="majorBidi"/>
                <w:b/>
                <w:bCs/>
                <w:szCs w:val="20"/>
                <w:lang w:val="en-GB"/>
              </w:rPr>
              <w:t>25,000</w:t>
            </w:r>
          </w:p>
        </w:tc>
        <w:tc>
          <w:tcPr>
            <w:tcW w:w="2520" w:type="dxa"/>
            <w:noWrap/>
          </w:tcPr>
          <w:p w14:paraId="09E93833" w14:textId="78DD0E19" w:rsidR="00AF43E3" w:rsidRPr="00845FB7" w:rsidRDefault="00F8668A" w:rsidP="009D40E2">
            <w:pPr>
              <w:jc w:val="right"/>
              <w:rPr>
                <w:rFonts w:cstheme="majorBidi"/>
                <w:b/>
                <w:bCs/>
                <w:szCs w:val="20"/>
                <w:lang w:val="en-GB"/>
              </w:rPr>
            </w:pPr>
            <w:r w:rsidRPr="00845FB7">
              <w:rPr>
                <w:rFonts w:eastAsia="Times New Roman" w:cstheme="majorBidi"/>
                <w:b/>
                <w:bCs/>
                <w:color w:val="000000"/>
                <w:szCs w:val="20"/>
                <w:lang w:val="en-GB"/>
              </w:rPr>
              <w:t>75</w:t>
            </w:r>
            <w:r w:rsidR="00AF43E3" w:rsidRPr="00845FB7">
              <w:rPr>
                <w:rFonts w:eastAsia="Times New Roman" w:cstheme="majorBidi"/>
                <w:b/>
                <w:bCs/>
                <w:color w:val="000000"/>
                <w:szCs w:val="20"/>
                <w:lang w:val="en-GB"/>
              </w:rPr>
              <w:t>,000</w:t>
            </w:r>
          </w:p>
        </w:tc>
      </w:tr>
      <w:tr w:rsidR="00AF43E3" w:rsidRPr="00845FB7" w14:paraId="32D0567B" w14:textId="77777777" w:rsidTr="00BD36F8">
        <w:trPr>
          <w:trHeight w:val="340"/>
        </w:trPr>
        <w:tc>
          <w:tcPr>
            <w:tcW w:w="5098" w:type="dxa"/>
          </w:tcPr>
          <w:p w14:paraId="342CB117" w14:textId="50C1AF7F" w:rsidR="00AF43E3" w:rsidRPr="00845FB7" w:rsidRDefault="00E2051A" w:rsidP="00A10FE4">
            <w:pPr>
              <w:rPr>
                <w:rFonts w:cstheme="majorBidi"/>
                <w:szCs w:val="20"/>
                <w:lang w:val="en-GB"/>
              </w:rPr>
            </w:pPr>
            <w:r w:rsidRPr="00845FB7">
              <w:rPr>
                <w:rFonts w:cstheme="majorBidi"/>
                <w:szCs w:val="20"/>
                <w:lang w:val="en-GB"/>
              </w:rPr>
              <w:t>2026–2027</w:t>
            </w:r>
            <w:r w:rsidR="00AF43E3" w:rsidRPr="00845FB7">
              <w:rPr>
                <w:rFonts w:cstheme="majorBidi"/>
                <w:szCs w:val="20"/>
                <w:lang w:val="en-GB"/>
              </w:rPr>
              <w:t xml:space="preserve"> requested in the 5 per cent scenario</w:t>
            </w:r>
          </w:p>
        </w:tc>
        <w:tc>
          <w:tcPr>
            <w:tcW w:w="2457" w:type="dxa"/>
            <w:noWrap/>
          </w:tcPr>
          <w:p w14:paraId="31928650" w14:textId="23206B56" w:rsidR="00AF43E3" w:rsidRPr="00845FB7" w:rsidRDefault="00AF43E3" w:rsidP="009D40E2">
            <w:pPr>
              <w:jc w:val="right"/>
              <w:rPr>
                <w:rFonts w:cstheme="majorBidi"/>
                <w:b/>
                <w:bCs/>
                <w:szCs w:val="20"/>
                <w:lang w:val="en-GB"/>
              </w:rPr>
            </w:pPr>
            <w:r w:rsidRPr="00845FB7">
              <w:rPr>
                <w:rFonts w:eastAsia="Times New Roman" w:cstheme="majorBidi"/>
                <w:b/>
                <w:bCs/>
                <w:color w:val="000000"/>
                <w:szCs w:val="20"/>
                <w:lang w:val="en-GB"/>
              </w:rPr>
              <w:t>50,000</w:t>
            </w:r>
          </w:p>
        </w:tc>
        <w:tc>
          <w:tcPr>
            <w:tcW w:w="2430" w:type="dxa"/>
            <w:noWrap/>
          </w:tcPr>
          <w:p w14:paraId="5D37856D" w14:textId="69CEF81D" w:rsidR="00AF43E3" w:rsidRPr="00845FB7" w:rsidRDefault="00AF43E3" w:rsidP="009D40E2">
            <w:pPr>
              <w:jc w:val="right"/>
              <w:rPr>
                <w:rFonts w:cstheme="majorBidi"/>
                <w:b/>
                <w:bCs/>
                <w:szCs w:val="20"/>
                <w:lang w:val="en-GB"/>
              </w:rPr>
            </w:pPr>
            <w:r w:rsidRPr="00845FB7">
              <w:rPr>
                <w:rFonts w:cstheme="majorBidi"/>
                <w:b/>
                <w:bCs/>
                <w:szCs w:val="20"/>
                <w:lang w:val="en-GB"/>
              </w:rPr>
              <w:t>25,000</w:t>
            </w:r>
          </w:p>
        </w:tc>
        <w:tc>
          <w:tcPr>
            <w:tcW w:w="2520" w:type="dxa"/>
            <w:noWrap/>
          </w:tcPr>
          <w:p w14:paraId="360682AF" w14:textId="25AB96A1" w:rsidR="00AF43E3" w:rsidRPr="00845FB7" w:rsidRDefault="00AF43E3" w:rsidP="009D40E2">
            <w:pPr>
              <w:jc w:val="right"/>
              <w:rPr>
                <w:rFonts w:cstheme="majorBidi"/>
                <w:b/>
                <w:bCs/>
                <w:szCs w:val="20"/>
                <w:lang w:val="en-GB"/>
              </w:rPr>
            </w:pPr>
            <w:r w:rsidRPr="00845FB7">
              <w:rPr>
                <w:rFonts w:eastAsia="Times New Roman" w:cstheme="majorBidi"/>
                <w:b/>
                <w:bCs/>
                <w:color w:val="000000"/>
                <w:szCs w:val="20"/>
                <w:lang w:val="en-GB"/>
              </w:rPr>
              <w:t>75,000</w:t>
            </w:r>
          </w:p>
        </w:tc>
      </w:tr>
      <w:tr w:rsidR="00AF43E3" w:rsidRPr="00845FB7" w14:paraId="7DFECB77" w14:textId="77777777" w:rsidTr="00BD36F8">
        <w:trPr>
          <w:trHeight w:val="340"/>
        </w:trPr>
        <w:tc>
          <w:tcPr>
            <w:tcW w:w="5098" w:type="dxa"/>
          </w:tcPr>
          <w:p w14:paraId="7D927D87" w14:textId="28F0E6CE" w:rsidR="00AF43E3" w:rsidRPr="00845FB7" w:rsidRDefault="00E2051A" w:rsidP="002A243F">
            <w:pPr>
              <w:jc w:val="left"/>
              <w:rPr>
                <w:rFonts w:cstheme="majorBidi"/>
                <w:szCs w:val="20"/>
                <w:lang w:val="en-GB"/>
              </w:rPr>
            </w:pPr>
            <w:r w:rsidRPr="00845FB7">
              <w:rPr>
                <w:rFonts w:cstheme="majorBidi"/>
                <w:szCs w:val="20"/>
                <w:lang w:val="en-GB"/>
              </w:rPr>
              <w:t>2026–2027</w:t>
            </w:r>
            <w:r w:rsidR="00AF43E3" w:rsidRPr="00845FB7">
              <w:rPr>
                <w:rFonts w:cstheme="majorBidi"/>
                <w:szCs w:val="20"/>
                <w:lang w:val="en-GB"/>
              </w:rPr>
              <w:t xml:space="preserve"> requested in the zero nominal growth scenario</w:t>
            </w:r>
          </w:p>
        </w:tc>
        <w:tc>
          <w:tcPr>
            <w:tcW w:w="2457" w:type="dxa"/>
            <w:noWrap/>
          </w:tcPr>
          <w:p w14:paraId="77E6A3DE" w14:textId="463FCE7D" w:rsidR="00AF43E3" w:rsidRPr="00845FB7" w:rsidRDefault="005E2C67" w:rsidP="009D40E2">
            <w:pPr>
              <w:jc w:val="right"/>
              <w:rPr>
                <w:rFonts w:cstheme="majorBidi"/>
                <w:b/>
                <w:bCs/>
                <w:szCs w:val="20"/>
                <w:lang w:val="en-GB"/>
              </w:rPr>
            </w:pPr>
            <w:r w:rsidRPr="00845FB7">
              <w:rPr>
                <w:rFonts w:eastAsia="Times New Roman" w:cstheme="majorBidi"/>
                <w:b/>
                <w:bCs/>
                <w:color w:val="000000"/>
                <w:szCs w:val="20"/>
                <w:lang w:val="en-GB"/>
              </w:rPr>
              <w:t>45</w:t>
            </w:r>
            <w:r w:rsidR="00AF43E3" w:rsidRPr="00845FB7">
              <w:rPr>
                <w:rFonts w:eastAsia="Times New Roman" w:cstheme="majorBidi"/>
                <w:b/>
                <w:bCs/>
                <w:color w:val="000000"/>
                <w:szCs w:val="20"/>
                <w:lang w:val="en-GB"/>
              </w:rPr>
              <w:t>,000</w:t>
            </w:r>
          </w:p>
        </w:tc>
        <w:tc>
          <w:tcPr>
            <w:tcW w:w="2430" w:type="dxa"/>
            <w:noWrap/>
          </w:tcPr>
          <w:p w14:paraId="6629775A" w14:textId="1012B9B3" w:rsidR="00AF43E3" w:rsidRPr="00845FB7" w:rsidRDefault="00AF43E3" w:rsidP="009D40E2">
            <w:pPr>
              <w:jc w:val="right"/>
              <w:rPr>
                <w:rFonts w:cstheme="majorBidi"/>
                <w:b/>
                <w:bCs/>
                <w:szCs w:val="20"/>
                <w:lang w:val="en-GB"/>
              </w:rPr>
            </w:pPr>
            <w:r w:rsidRPr="00845FB7">
              <w:rPr>
                <w:rFonts w:cstheme="majorBidi"/>
                <w:b/>
                <w:bCs/>
                <w:szCs w:val="20"/>
                <w:lang w:val="en-GB"/>
              </w:rPr>
              <w:t>25,000</w:t>
            </w:r>
          </w:p>
        </w:tc>
        <w:tc>
          <w:tcPr>
            <w:tcW w:w="2520" w:type="dxa"/>
            <w:noWrap/>
          </w:tcPr>
          <w:p w14:paraId="5FD4B3B3" w14:textId="18790639" w:rsidR="00AF43E3" w:rsidRPr="00845FB7" w:rsidRDefault="00AF43E3" w:rsidP="009D40E2">
            <w:pPr>
              <w:jc w:val="right"/>
              <w:rPr>
                <w:rFonts w:cstheme="majorBidi"/>
                <w:b/>
                <w:bCs/>
                <w:szCs w:val="20"/>
                <w:lang w:val="en-GB"/>
              </w:rPr>
            </w:pPr>
            <w:r w:rsidRPr="00845FB7">
              <w:rPr>
                <w:rFonts w:eastAsia="Times New Roman" w:cstheme="majorBidi"/>
                <w:b/>
                <w:bCs/>
                <w:color w:val="000000"/>
                <w:szCs w:val="20"/>
                <w:lang w:val="en-GB"/>
              </w:rPr>
              <w:t>7</w:t>
            </w:r>
            <w:r w:rsidR="005E2C67" w:rsidRPr="00845FB7">
              <w:rPr>
                <w:rFonts w:eastAsia="Times New Roman" w:cstheme="majorBidi"/>
                <w:b/>
                <w:bCs/>
                <w:color w:val="000000"/>
                <w:szCs w:val="20"/>
                <w:lang w:val="en-GB"/>
              </w:rPr>
              <w:t>0</w:t>
            </w:r>
            <w:r w:rsidRPr="00845FB7">
              <w:rPr>
                <w:rFonts w:eastAsia="Times New Roman" w:cstheme="majorBidi"/>
                <w:b/>
                <w:bCs/>
                <w:color w:val="000000"/>
                <w:szCs w:val="20"/>
                <w:lang w:val="en-GB"/>
              </w:rPr>
              <w:t>,000</w:t>
            </w:r>
          </w:p>
        </w:tc>
      </w:tr>
    </w:tbl>
    <w:p w14:paraId="32D09495" w14:textId="77777777" w:rsidR="00B3795B" w:rsidRPr="00845FB7" w:rsidRDefault="00B3795B" w:rsidP="00B3795B">
      <w:pPr>
        <w:rPr>
          <w:rFonts w:cstheme="majorBidi"/>
          <w:color w:val="0563C1" w:themeColor="hyperlink"/>
          <w:szCs w:val="20"/>
          <w:u w:val="single"/>
          <w:lang w:val="en-GB"/>
        </w:rPr>
      </w:pPr>
    </w:p>
    <w:p w14:paraId="06E0F7D1" w14:textId="77777777" w:rsidR="00B3795B" w:rsidRPr="00845FB7" w:rsidRDefault="00B3795B" w:rsidP="00B3795B">
      <w:pPr>
        <w:rPr>
          <w:color w:val="0563C1" w:themeColor="hyperlink"/>
          <w:u w:val="single"/>
          <w:lang w:val="en-GB"/>
        </w:rPr>
        <w:sectPr w:rsidR="00B3795B" w:rsidRPr="00845FB7" w:rsidSect="00BD36F8">
          <w:footerReference w:type="first" r:id="rId58"/>
          <w:pgSz w:w="16838" w:h="11906" w:orient="landscape" w:code="9"/>
          <w:pgMar w:top="907" w:right="992" w:bottom="1418" w:left="1418" w:header="539" w:footer="975" w:gutter="0"/>
          <w:cols w:space="708"/>
          <w:titlePg/>
          <w:docGrid w:linePitch="360"/>
        </w:sectPr>
      </w:pPr>
    </w:p>
    <w:p w14:paraId="7F8FBEAD" w14:textId="080F0265" w:rsidR="00B3795B" w:rsidRPr="00845FB7" w:rsidRDefault="00B3795B" w:rsidP="00A7757B">
      <w:pPr>
        <w:pStyle w:val="Heading2"/>
        <w:jc w:val="left"/>
        <w:rPr>
          <w:rFonts w:cstheme="majorBidi"/>
          <w:color w:val="FFC000"/>
          <w:sz w:val="36"/>
          <w:szCs w:val="36"/>
          <w:lang w:val="en-GB"/>
        </w:rPr>
      </w:pPr>
      <w:r w:rsidRPr="00845FB7">
        <w:rPr>
          <w:rFonts w:cstheme="majorBidi"/>
          <w:color w:val="FFC000"/>
          <w:sz w:val="36"/>
          <w:szCs w:val="36"/>
          <w:lang w:val="en-GB"/>
        </w:rPr>
        <w:lastRenderedPageBreak/>
        <w:t>Activity 9. Communication, outreach and public awareness</w:t>
      </w:r>
    </w:p>
    <w:p w14:paraId="4892E410" w14:textId="2265F06C" w:rsidR="00B3795B" w:rsidRPr="00845FB7" w:rsidRDefault="00B3795B" w:rsidP="00B3795B">
      <w:pPr>
        <w:pStyle w:val="Heading3"/>
        <w:rPr>
          <w:sz w:val="24"/>
          <w:lang w:val="en-GB"/>
        </w:rPr>
      </w:pPr>
      <w:r w:rsidRPr="00845FB7">
        <w:rPr>
          <w:sz w:val="24"/>
          <w:lang w:val="en-GB"/>
        </w:rPr>
        <w:t>Budget</w:t>
      </w:r>
    </w:p>
    <w:p w14:paraId="46442556" w14:textId="21533CE7" w:rsidR="00B3795B" w:rsidRPr="00845FB7" w:rsidRDefault="00B3795B" w:rsidP="00B3795B">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9322F7"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calcOnExit w:val="0"/>
            <w:checkBox>
              <w:sizeAuto/>
              <w:default w:val="0"/>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9322F7" w:rsidRPr="00845FB7">
        <w:rPr>
          <w:rFonts w:cstheme="majorBidi"/>
          <w:szCs w:val="20"/>
          <w:lang w:val="en-GB"/>
        </w:rPr>
        <w:t>Special Trust Fund</w:t>
      </w:r>
    </w:p>
    <w:p w14:paraId="3F5920D2" w14:textId="79DC1DE6" w:rsidR="00B3795B" w:rsidRPr="00845FB7" w:rsidRDefault="00B3795B" w:rsidP="00B3795B">
      <w:pPr>
        <w:pStyle w:val="Heading3"/>
        <w:rPr>
          <w:sz w:val="24"/>
          <w:lang w:val="en-GB"/>
        </w:rPr>
      </w:pPr>
      <w:r w:rsidRPr="00845FB7">
        <w:rPr>
          <w:sz w:val="24"/>
          <w:lang w:val="en-GB"/>
        </w:rPr>
        <w:t>Reference</w:t>
      </w:r>
    </w:p>
    <w:p w14:paraId="594CE431" w14:textId="77777777" w:rsidR="00B3795B" w:rsidRPr="00845FB7" w:rsidRDefault="00B3795B" w:rsidP="00BD36F8">
      <w:pPr>
        <w:spacing w:after="60"/>
        <w:rPr>
          <w:rFonts w:cstheme="majorBidi"/>
          <w:szCs w:val="20"/>
          <w:lang w:val="en-GB"/>
        </w:rPr>
      </w:pPr>
      <w:r w:rsidRPr="00845FB7">
        <w:rPr>
          <w:rFonts w:cstheme="majorBidi"/>
          <w:szCs w:val="20"/>
          <w:lang w:val="en-GB"/>
        </w:rPr>
        <w:t>N/A</w:t>
      </w:r>
    </w:p>
    <w:p w14:paraId="75DB05B6" w14:textId="42AF9EA6" w:rsidR="00B3795B" w:rsidRPr="00845FB7" w:rsidRDefault="00B3795B" w:rsidP="00B3795B">
      <w:pPr>
        <w:pStyle w:val="Heading3"/>
        <w:rPr>
          <w:sz w:val="24"/>
          <w:lang w:val="en-GB"/>
        </w:rPr>
      </w:pPr>
      <w:r w:rsidRPr="00845FB7">
        <w:rPr>
          <w:sz w:val="24"/>
          <w:lang w:val="en-GB"/>
        </w:rPr>
        <w:t>Mandate</w:t>
      </w:r>
    </w:p>
    <w:p w14:paraId="6E77161E" w14:textId="2F5BE413" w:rsidR="00B3795B" w:rsidRPr="00845FB7" w:rsidRDefault="00B3795B" w:rsidP="00BD36F8">
      <w:pPr>
        <w:spacing w:after="60"/>
        <w:rPr>
          <w:rFonts w:cstheme="majorBidi"/>
          <w:szCs w:val="20"/>
          <w:lang w:val="en-GB"/>
        </w:rPr>
      </w:pPr>
      <w:r w:rsidRPr="00845FB7">
        <w:rPr>
          <w:rFonts w:cstheme="majorBidi"/>
          <w:b/>
          <w:bCs/>
          <w:szCs w:val="20"/>
          <w:lang w:val="en-GB"/>
        </w:rPr>
        <w:t>Convention:</w:t>
      </w:r>
      <w:r w:rsidRPr="00845FB7">
        <w:rPr>
          <w:rFonts w:cstheme="majorBidi"/>
          <w:szCs w:val="20"/>
          <w:lang w:val="en-GB"/>
        </w:rPr>
        <w:t xml:space="preserve"> Article</w:t>
      </w:r>
      <w:r w:rsidR="000F693E" w:rsidRPr="00845FB7">
        <w:rPr>
          <w:rFonts w:cstheme="majorBidi"/>
          <w:szCs w:val="20"/>
          <w:lang w:val="en-GB"/>
        </w:rPr>
        <w:t>s</w:t>
      </w:r>
      <w:r w:rsidRPr="00845FB7">
        <w:rPr>
          <w:rFonts w:cstheme="majorBidi"/>
          <w:szCs w:val="20"/>
          <w:lang w:val="en-GB"/>
        </w:rPr>
        <w:t xml:space="preserve"> 17, 18 and 24</w:t>
      </w:r>
    </w:p>
    <w:p w14:paraId="6998789A" w14:textId="46AF79B4" w:rsidR="00B3795B" w:rsidRPr="00845FB7" w:rsidRDefault="00B3795B" w:rsidP="00B3795B">
      <w:pPr>
        <w:pStyle w:val="Heading3"/>
        <w:rPr>
          <w:sz w:val="24"/>
          <w:lang w:val="en-GB"/>
        </w:rPr>
      </w:pPr>
      <w:r w:rsidRPr="00845FB7">
        <w:rPr>
          <w:sz w:val="24"/>
          <w:lang w:val="en-GB"/>
        </w:rPr>
        <w:t>Background and rationale</w:t>
      </w:r>
    </w:p>
    <w:p w14:paraId="1957A7F4" w14:textId="33545B93" w:rsidR="00B3795B" w:rsidRPr="00845FB7" w:rsidRDefault="00B3795B" w:rsidP="3D4F1C4B">
      <w:pPr>
        <w:spacing w:after="120" w:line="276" w:lineRule="auto"/>
        <w:rPr>
          <w:rFonts w:cstheme="majorBidi"/>
          <w:lang w:val="en-GB"/>
        </w:rPr>
      </w:pPr>
      <w:r w:rsidRPr="00845FB7">
        <w:rPr>
          <w:rFonts w:cstheme="majorBidi"/>
          <w:lang w:val="en-GB"/>
        </w:rPr>
        <w:t xml:space="preserve">The </w:t>
      </w:r>
      <w:r w:rsidR="00A836ED" w:rsidRPr="00845FB7">
        <w:rPr>
          <w:rFonts w:cstheme="majorBidi"/>
          <w:lang w:val="en-GB"/>
        </w:rPr>
        <w:t>S</w:t>
      </w:r>
      <w:r w:rsidRPr="00845FB7">
        <w:rPr>
          <w:rFonts w:cstheme="majorBidi"/>
          <w:lang w:val="en-GB"/>
        </w:rPr>
        <w:t xml:space="preserve">ecretariat is tasked with raising awareness of the Convention through strategic communication and outreach. The </w:t>
      </w:r>
      <w:r w:rsidR="00A836ED" w:rsidRPr="00845FB7">
        <w:rPr>
          <w:rFonts w:cstheme="majorBidi"/>
          <w:lang w:val="en-GB"/>
        </w:rPr>
        <w:t>S</w:t>
      </w:r>
      <w:r w:rsidRPr="00845FB7">
        <w:rPr>
          <w:rFonts w:cstheme="majorBidi"/>
          <w:lang w:val="en-GB"/>
        </w:rPr>
        <w:t>ecretariat prepares strategic communication plans to address public awareness through available channels and resources, namely the main website, social media (Twitter, Facebook</w:t>
      </w:r>
      <w:r w:rsidR="00A836ED" w:rsidRPr="00845FB7">
        <w:rPr>
          <w:rFonts w:cstheme="majorBidi"/>
          <w:lang w:val="en-GB"/>
        </w:rPr>
        <w:t>, Instagram, LinkedIn</w:t>
      </w:r>
      <w:r w:rsidRPr="00845FB7">
        <w:rPr>
          <w:rFonts w:cstheme="majorBidi"/>
          <w:lang w:val="en-GB"/>
        </w:rPr>
        <w:t xml:space="preserve">, </w:t>
      </w:r>
      <w:r w:rsidR="0D659DE0" w:rsidRPr="00845FB7">
        <w:rPr>
          <w:rFonts w:cstheme="majorBidi"/>
          <w:lang w:val="en-GB"/>
        </w:rPr>
        <w:t xml:space="preserve">Bluesky, Threads, WhatsApp </w:t>
      </w:r>
      <w:r w:rsidRPr="00845FB7">
        <w:rPr>
          <w:rFonts w:cstheme="majorBidi"/>
          <w:lang w:val="en-GB"/>
        </w:rPr>
        <w:t xml:space="preserve">and YouTube), email broadcast newsletters and media engagement. In addition, communication plans include building synergistic efforts with </w:t>
      </w:r>
      <w:r w:rsidR="00A836ED" w:rsidRPr="00845FB7">
        <w:rPr>
          <w:rFonts w:cstheme="majorBidi"/>
          <w:lang w:val="en-GB"/>
        </w:rPr>
        <w:t xml:space="preserve">relevant </w:t>
      </w:r>
      <w:r w:rsidRPr="00845FB7">
        <w:rPr>
          <w:rFonts w:cstheme="majorBidi"/>
          <w:lang w:val="en-GB"/>
        </w:rPr>
        <w:t>partners, in particular UNEP</w:t>
      </w:r>
      <w:r w:rsidR="000F6E08" w:rsidRPr="00845FB7">
        <w:rPr>
          <w:rFonts w:cstheme="majorBidi"/>
          <w:lang w:val="en-GB"/>
        </w:rPr>
        <w:t xml:space="preserve">, the </w:t>
      </w:r>
      <w:r w:rsidR="0F796B39" w:rsidRPr="00845FB7">
        <w:rPr>
          <w:rFonts w:cstheme="majorBidi"/>
          <w:lang w:val="en-GB"/>
        </w:rPr>
        <w:t>Global Environment Facility (</w:t>
      </w:r>
      <w:r w:rsidR="000F6E08" w:rsidRPr="00845FB7">
        <w:rPr>
          <w:rFonts w:cstheme="majorBidi"/>
          <w:lang w:val="en-GB"/>
        </w:rPr>
        <w:t>GEF</w:t>
      </w:r>
      <w:r w:rsidR="44A9D701" w:rsidRPr="00845FB7">
        <w:rPr>
          <w:rFonts w:cstheme="majorBidi"/>
          <w:lang w:val="en-GB"/>
        </w:rPr>
        <w:t>)</w:t>
      </w:r>
      <w:r w:rsidR="006A5AB7" w:rsidRPr="00845FB7">
        <w:rPr>
          <w:rFonts w:cstheme="majorBidi"/>
          <w:lang w:val="en-GB"/>
        </w:rPr>
        <w:t xml:space="preserve">, </w:t>
      </w:r>
      <w:r w:rsidR="3E97F612" w:rsidRPr="00845FB7">
        <w:rPr>
          <w:rFonts w:cstheme="majorBidi"/>
          <w:lang w:val="en-GB"/>
        </w:rPr>
        <w:t xml:space="preserve">the </w:t>
      </w:r>
      <w:r w:rsidR="006A5AB7" w:rsidRPr="00845FB7">
        <w:rPr>
          <w:rFonts w:cstheme="majorBidi"/>
          <w:lang w:val="en-GB"/>
        </w:rPr>
        <w:t>Geneva Environment Network</w:t>
      </w:r>
      <w:r w:rsidRPr="00845FB7">
        <w:rPr>
          <w:rFonts w:cstheme="majorBidi"/>
          <w:lang w:val="en-GB"/>
        </w:rPr>
        <w:t xml:space="preserve"> and other </w:t>
      </w:r>
      <w:proofErr w:type="spellStart"/>
      <w:r w:rsidRPr="00845FB7">
        <w:rPr>
          <w:rFonts w:cstheme="majorBidi"/>
          <w:lang w:val="en-GB"/>
        </w:rPr>
        <w:t>MEAs.</w:t>
      </w:r>
      <w:proofErr w:type="spellEnd"/>
      <w:r w:rsidRPr="00845FB7">
        <w:rPr>
          <w:rFonts w:cstheme="majorBidi"/>
          <w:lang w:val="en-GB"/>
        </w:rPr>
        <w:t xml:space="preserve"> The </w:t>
      </w:r>
      <w:proofErr w:type="gramStart"/>
      <w:r w:rsidRPr="00845FB7">
        <w:rPr>
          <w:rFonts w:cstheme="majorBidi"/>
          <w:lang w:val="en-GB"/>
        </w:rPr>
        <w:t>ultimate goal</w:t>
      </w:r>
      <w:proofErr w:type="gramEnd"/>
      <w:r w:rsidRPr="00845FB7">
        <w:rPr>
          <w:rFonts w:cstheme="majorBidi"/>
          <w:lang w:val="en-GB"/>
        </w:rPr>
        <w:t xml:space="preserve"> is to amplify the message and place the Minamata Convention implementation in the context of a broader environment and sustainability agenda that covers the three planetary crises targeted by the UNEP Medium-Term Strategy: climate change, biodiversity loss and pollution.</w:t>
      </w:r>
    </w:p>
    <w:p w14:paraId="04B59AD6" w14:textId="2207EE06" w:rsidR="00B3795B" w:rsidRPr="00845FB7" w:rsidRDefault="00B3795B" w:rsidP="00BD36F8">
      <w:pPr>
        <w:spacing w:after="120" w:line="276" w:lineRule="auto"/>
        <w:rPr>
          <w:rFonts w:cstheme="majorBidi"/>
          <w:szCs w:val="20"/>
          <w:lang w:val="en-GB"/>
        </w:rPr>
      </w:pPr>
      <w:r w:rsidRPr="00845FB7">
        <w:rPr>
          <w:rFonts w:cstheme="majorBidi"/>
          <w:szCs w:val="20"/>
          <w:lang w:val="en-GB"/>
        </w:rPr>
        <w:t xml:space="preserve">Activities to this end constitute a cornerstone of </w:t>
      </w:r>
      <w:r w:rsidR="00FB7929" w:rsidRPr="00845FB7">
        <w:rPr>
          <w:rFonts w:cstheme="majorBidi"/>
          <w:szCs w:val="20"/>
          <w:lang w:val="en-GB"/>
        </w:rPr>
        <w:t>P</w:t>
      </w:r>
      <w:r w:rsidRPr="00845FB7">
        <w:rPr>
          <w:rFonts w:cstheme="majorBidi"/>
          <w:szCs w:val="20"/>
          <w:lang w:val="en-GB"/>
        </w:rPr>
        <w:t xml:space="preserve">arties’ implementation efforts. </w:t>
      </w:r>
      <w:r w:rsidR="0044326B" w:rsidRPr="00845FB7">
        <w:rPr>
          <w:rFonts w:cstheme="majorBidi"/>
          <w:szCs w:val="20"/>
          <w:lang w:val="en-GB"/>
        </w:rPr>
        <w:t>The l</w:t>
      </w:r>
      <w:r w:rsidRPr="00845FB7">
        <w:rPr>
          <w:rFonts w:cstheme="majorBidi"/>
          <w:szCs w:val="20"/>
          <w:lang w:val="en-GB"/>
        </w:rPr>
        <w:t xml:space="preserve">onger-term sustainability of </w:t>
      </w:r>
      <w:r w:rsidR="00951319" w:rsidRPr="00845FB7">
        <w:rPr>
          <w:rFonts w:cstheme="majorBidi"/>
          <w:szCs w:val="20"/>
          <w:lang w:val="en-GB"/>
        </w:rPr>
        <w:t xml:space="preserve">these endeavours </w:t>
      </w:r>
      <w:r w:rsidRPr="00845FB7">
        <w:rPr>
          <w:rFonts w:cstheme="majorBidi"/>
          <w:szCs w:val="20"/>
          <w:lang w:val="en-GB"/>
        </w:rPr>
        <w:t xml:space="preserve">is </w:t>
      </w:r>
      <w:r w:rsidR="00951319" w:rsidRPr="00845FB7">
        <w:rPr>
          <w:rFonts w:cstheme="majorBidi"/>
          <w:szCs w:val="20"/>
          <w:lang w:val="en-GB"/>
        </w:rPr>
        <w:t>improved</w:t>
      </w:r>
      <w:r w:rsidRPr="00845FB7">
        <w:rPr>
          <w:rFonts w:cstheme="majorBidi"/>
          <w:szCs w:val="20"/>
          <w:lang w:val="en-GB"/>
        </w:rPr>
        <w:t xml:space="preserve"> when societies are aware and informed of the importance of reducing mercury use.</w:t>
      </w:r>
      <w:r w:rsidR="00A55AF0" w:rsidRPr="00845FB7">
        <w:rPr>
          <w:rFonts w:cstheme="majorBidi"/>
          <w:szCs w:val="20"/>
          <w:lang w:val="en-GB"/>
        </w:rPr>
        <w:t xml:space="preserve"> U</w:t>
      </w:r>
      <w:r w:rsidR="00A55AF0" w:rsidRPr="00845FB7">
        <w:rPr>
          <w:rFonts w:cstheme="majorBidi"/>
          <w:lang w:val="en-GB" w:eastAsia="en-GB"/>
        </w:rPr>
        <w:t xml:space="preserve">nderstanding of vulnerabilities to mercury exposure faced by women, children, Indigenous Peoples, </w:t>
      </w:r>
      <w:proofErr w:type="gramStart"/>
      <w:r w:rsidR="00A55AF0" w:rsidRPr="00845FB7">
        <w:rPr>
          <w:rFonts w:cstheme="majorBidi"/>
          <w:lang w:val="en-GB" w:eastAsia="en-GB"/>
        </w:rPr>
        <w:t>and also</w:t>
      </w:r>
      <w:proofErr w:type="gramEnd"/>
      <w:r w:rsidR="00A55AF0" w:rsidRPr="00845FB7">
        <w:rPr>
          <w:rFonts w:cstheme="majorBidi"/>
          <w:lang w:val="en-GB" w:eastAsia="en-GB"/>
        </w:rPr>
        <w:t xml:space="preserve"> local communities, is further promoted.</w:t>
      </w:r>
    </w:p>
    <w:p w14:paraId="4601BCFD" w14:textId="64338BD5" w:rsidR="00B3795B" w:rsidRPr="00845FB7" w:rsidRDefault="00B3795B" w:rsidP="3D4F1C4B">
      <w:pPr>
        <w:spacing w:after="120" w:line="276" w:lineRule="auto"/>
        <w:rPr>
          <w:rFonts w:cstheme="majorBidi"/>
          <w:lang w:val="en-GB"/>
        </w:rPr>
      </w:pPr>
      <w:r w:rsidRPr="00845FB7">
        <w:rPr>
          <w:rFonts w:cstheme="majorBidi"/>
          <w:lang w:val="en-GB"/>
        </w:rPr>
        <w:t>The upcoming strategy incorporates highlighted campaigns such as the Convention's anniversary</w:t>
      </w:r>
      <w:r w:rsidR="20D95878" w:rsidRPr="00845FB7">
        <w:rPr>
          <w:rFonts w:cstheme="majorBidi"/>
          <w:lang w:val="en-GB"/>
        </w:rPr>
        <w:t xml:space="preserve"> (16 August</w:t>
      </w:r>
      <w:r w:rsidR="005B4EA9" w:rsidRPr="00845FB7">
        <w:rPr>
          <w:rFonts w:cstheme="majorBidi"/>
          <w:lang w:val="en-GB"/>
        </w:rPr>
        <w:t>), International</w:t>
      </w:r>
      <w:r w:rsidRPr="00845FB7">
        <w:rPr>
          <w:rFonts w:cstheme="majorBidi"/>
          <w:lang w:val="en-GB"/>
        </w:rPr>
        <w:t xml:space="preserve"> Women's Day </w:t>
      </w:r>
      <w:r w:rsidR="00DD3F5A" w:rsidRPr="00845FB7">
        <w:rPr>
          <w:rFonts w:cstheme="majorBidi"/>
          <w:lang w:val="en-GB"/>
        </w:rPr>
        <w:t>(8 March</w:t>
      </w:r>
      <w:r w:rsidRPr="00845FB7">
        <w:rPr>
          <w:rFonts w:cstheme="majorBidi"/>
          <w:lang w:val="en-GB"/>
        </w:rPr>
        <w:t>),</w:t>
      </w:r>
      <w:r w:rsidR="00C20217" w:rsidRPr="00845FB7">
        <w:rPr>
          <w:rFonts w:cstheme="majorBidi"/>
          <w:lang w:val="en-GB"/>
        </w:rPr>
        <w:t xml:space="preserve"> International Day for Biological Diversity (22 May),</w:t>
      </w:r>
      <w:r w:rsidR="00622526" w:rsidRPr="00845FB7">
        <w:rPr>
          <w:rFonts w:cstheme="majorBidi"/>
          <w:lang w:val="en-GB"/>
        </w:rPr>
        <w:t xml:space="preserve"> </w:t>
      </w:r>
      <w:r w:rsidRPr="00845FB7">
        <w:rPr>
          <w:rFonts w:cstheme="majorBidi"/>
          <w:lang w:val="en-GB"/>
        </w:rPr>
        <w:t>World Environment Day (5 June) as the major UNEP international day celebration</w:t>
      </w:r>
      <w:r w:rsidR="001812BF" w:rsidRPr="00845FB7">
        <w:rPr>
          <w:rFonts w:cstheme="majorBidi"/>
          <w:lang w:val="en-GB"/>
        </w:rPr>
        <w:t>, and other relevant international days</w:t>
      </w:r>
      <w:r w:rsidRPr="00845FB7">
        <w:rPr>
          <w:rFonts w:cstheme="majorBidi"/>
          <w:lang w:val="en-GB"/>
        </w:rPr>
        <w:t xml:space="preserve">. </w:t>
      </w:r>
      <w:r w:rsidR="1D96DFCC" w:rsidRPr="00845FB7">
        <w:rPr>
          <w:rFonts w:eastAsia="Roboto" w:cs="Roboto"/>
          <w:szCs w:val="20"/>
          <w:lang w:val="en-GB"/>
        </w:rPr>
        <w:t xml:space="preserve">Particular attention will be given to the Secretariat’s participation in major events, support to mercury-related meetings of Parties and other MEAs, and other opportunities that can maximize our visibility and engagement in the broader environmental agenda. </w:t>
      </w:r>
      <w:r w:rsidRPr="00845FB7">
        <w:rPr>
          <w:rFonts w:cstheme="majorBidi"/>
          <w:lang w:val="en-GB"/>
        </w:rPr>
        <w:t xml:space="preserve">In the second year of the biennium, the corresponding resources will be dedicated to planning the communication campaign for the </w:t>
      </w:r>
      <w:r w:rsidR="5E81DDDF" w:rsidRPr="00845FB7">
        <w:rPr>
          <w:rFonts w:cstheme="majorBidi"/>
          <w:lang w:val="en-GB"/>
        </w:rPr>
        <w:t xml:space="preserve">seventh </w:t>
      </w:r>
      <w:r w:rsidR="00B62B18" w:rsidRPr="00845FB7">
        <w:rPr>
          <w:rFonts w:cstheme="majorBidi"/>
          <w:lang w:val="en-GB"/>
        </w:rPr>
        <w:t xml:space="preserve">meeting of the </w:t>
      </w:r>
      <w:r w:rsidRPr="00845FB7">
        <w:rPr>
          <w:rFonts w:cstheme="majorBidi"/>
          <w:lang w:val="en-GB"/>
        </w:rPr>
        <w:t>Conference of the Parties</w:t>
      </w:r>
      <w:r w:rsidR="63E1A762" w:rsidRPr="00845FB7">
        <w:rPr>
          <w:rFonts w:cstheme="majorBidi"/>
          <w:lang w:val="en-GB"/>
        </w:rPr>
        <w:t xml:space="preserve"> (COP-7)</w:t>
      </w:r>
      <w:r w:rsidRPr="00845FB7">
        <w:rPr>
          <w:rFonts w:cstheme="majorBidi"/>
          <w:lang w:val="en-GB"/>
        </w:rPr>
        <w:t>.</w:t>
      </w:r>
    </w:p>
    <w:p w14:paraId="2C75AF4F" w14:textId="10A5D419" w:rsidR="00B3795B" w:rsidRPr="00845FB7" w:rsidRDefault="00B3795B" w:rsidP="00922BDA">
      <w:pPr>
        <w:pStyle w:val="Heading3"/>
        <w:rPr>
          <w:sz w:val="24"/>
          <w:lang w:val="en-GB"/>
        </w:rPr>
      </w:pPr>
      <w:r w:rsidRPr="00845FB7">
        <w:rPr>
          <w:sz w:val="24"/>
          <w:lang w:val="en-GB"/>
        </w:rPr>
        <w:lastRenderedPageBreak/>
        <w:t>Outcomes and activities</w:t>
      </w:r>
    </w:p>
    <w:p w14:paraId="39D332D4" w14:textId="77777777" w:rsidR="00B3795B" w:rsidRPr="00845FB7" w:rsidRDefault="00B3795B" w:rsidP="00922BDA">
      <w:pPr>
        <w:pStyle w:val="Heading2"/>
        <w:keepNext/>
        <w:keepLines/>
        <w:spacing w:before="360" w:after="120"/>
        <w:rPr>
          <w:sz w:val="28"/>
          <w:szCs w:val="28"/>
          <w:lang w:val="en-GB"/>
        </w:rPr>
      </w:pPr>
      <w:r w:rsidRPr="00845FB7">
        <w:rPr>
          <w:sz w:val="28"/>
          <w:szCs w:val="28"/>
          <w:lang w:val="en-GB"/>
        </w:rPr>
        <w:t>Component 9.1. Communication, outreach and public awareness</w:t>
      </w:r>
    </w:p>
    <w:p w14:paraId="7651D3A4" w14:textId="77777777" w:rsidR="00B3795B" w:rsidRPr="00845FB7" w:rsidRDefault="00B3795B" w:rsidP="00922BDA">
      <w:pPr>
        <w:keepNext/>
        <w:keepLines/>
        <w:spacing w:before="240"/>
        <w:rPr>
          <w:rFonts w:cstheme="majorBidi"/>
          <w:b/>
          <w:bCs/>
          <w:szCs w:val="20"/>
          <w:lang w:val="en-GB" w:eastAsia="en-GB"/>
        </w:rPr>
      </w:pPr>
      <w:r w:rsidRPr="00845FB7">
        <w:rPr>
          <w:rFonts w:cstheme="majorBidi"/>
          <w:b/>
          <w:bCs/>
          <w:szCs w:val="20"/>
          <w:lang w:val="en-GB" w:eastAsia="en-GB"/>
        </w:rPr>
        <w:t>OUTCOMES</w:t>
      </w:r>
    </w:p>
    <w:p w14:paraId="3C31389C" w14:textId="11268410" w:rsidR="00B3795B" w:rsidRPr="00845FB7" w:rsidRDefault="00B3795B" w:rsidP="00BD36F8">
      <w:pPr>
        <w:spacing w:after="60"/>
        <w:rPr>
          <w:rFonts w:cstheme="majorBidi"/>
          <w:szCs w:val="20"/>
          <w:lang w:val="en-GB" w:eastAsia="en-GB"/>
        </w:rPr>
      </w:pPr>
      <w:r w:rsidRPr="00845FB7">
        <w:rPr>
          <w:rFonts w:cstheme="majorBidi"/>
          <w:szCs w:val="20"/>
          <w:lang w:val="en-GB" w:eastAsia="en-GB"/>
        </w:rPr>
        <w:t>Raised awareness amongst COP participants, government delegates, stakeholders from academic, civil society and business organizations</w:t>
      </w:r>
      <w:r w:rsidR="00B62B18" w:rsidRPr="00845FB7">
        <w:rPr>
          <w:rFonts w:cstheme="majorBidi"/>
          <w:szCs w:val="20"/>
          <w:lang w:val="en-GB" w:eastAsia="en-GB"/>
        </w:rPr>
        <w:t>,</w:t>
      </w:r>
      <w:r w:rsidRPr="00845FB7">
        <w:rPr>
          <w:rFonts w:cstheme="majorBidi"/>
          <w:szCs w:val="20"/>
          <w:lang w:val="en-GB" w:eastAsia="en-GB"/>
        </w:rPr>
        <w:t xml:space="preserve"> and other interested individuals amongst the </w:t>
      </w:r>
      <w:proofErr w:type="gramStart"/>
      <w:r w:rsidRPr="00845FB7">
        <w:rPr>
          <w:rFonts w:cstheme="majorBidi"/>
          <w:szCs w:val="20"/>
          <w:lang w:val="en-GB" w:eastAsia="en-GB"/>
        </w:rPr>
        <w:t>general public</w:t>
      </w:r>
      <w:proofErr w:type="gramEnd"/>
      <w:r w:rsidRPr="00845FB7">
        <w:rPr>
          <w:rFonts w:cstheme="majorBidi"/>
          <w:szCs w:val="20"/>
          <w:lang w:val="en-GB" w:eastAsia="en-GB"/>
        </w:rPr>
        <w:t>, concerning the environmentally sound management of mercury and its compounds.</w:t>
      </w:r>
    </w:p>
    <w:p w14:paraId="4755803A" w14:textId="77777777" w:rsidR="00B3795B" w:rsidRPr="00845FB7" w:rsidRDefault="00B3795B" w:rsidP="00BD36F8">
      <w:pPr>
        <w:spacing w:before="240"/>
        <w:rPr>
          <w:rFonts w:cstheme="majorBidi"/>
          <w:b/>
          <w:bCs/>
          <w:szCs w:val="20"/>
          <w:lang w:val="en-GB" w:eastAsia="en-GB"/>
        </w:rPr>
      </w:pPr>
      <w:r w:rsidRPr="00845FB7">
        <w:rPr>
          <w:rFonts w:cstheme="majorBidi"/>
          <w:b/>
          <w:bCs/>
          <w:szCs w:val="20"/>
          <w:lang w:val="en-GB" w:eastAsia="en-GB"/>
        </w:rPr>
        <w:t>ACTIVITIES</w:t>
      </w:r>
    </w:p>
    <w:p w14:paraId="36251CD1" w14:textId="364412B8" w:rsidR="00B3795B" w:rsidRPr="00845FB7" w:rsidRDefault="00B3795B"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Define strategic communication plans for specific campaigns and ensure consistent and tailored outreach to broader audiences, like </w:t>
      </w:r>
      <w:r w:rsidR="0032493C" w:rsidRPr="00845FB7">
        <w:rPr>
          <w:rFonts w:cstheme="majorBidi"/>
          <w:szCs w:val="20"/>
          <w:lang w:val="en-GB" w:eastAsia="en-GB"/>
        </w:rPr>
        <w:t xml:space="preserve">related to </w:t>
      </w:r>
      <w:r w:rsidRPr="00845FB7">
        <w:rPr>
          <w:rFonts w:cstheme="majorBidi"/>
          <w:szCs w:val="20"/>
          <w:lang w:val="en-GB" w:eastAsia="en-GB"/>
        </w:rPr>
        <w:t>COP-</w:t>
      </w:r>
      <w:r w:rsidR="00FE0770" w:rsidRPr="00845FB7">
        <w:rPr>
          <w:rFonts w:cstheme="majorBidi"/>
          <w:szCs w:val="20"/>
          <w:lang w:val="en-GB" w:eastAsia="en-GB"/>
        </w:rPr>
        <w:t>7</w:t>
      </w:r>
      <w:r w:rsidRPr="00845FB7">
        <w:rPr>
          <w:rFonts w:cstheme="majorBidi"/>
          <w:szCs w:val="20"/>
          <w:lang w:val="en-GB" w:eastAsia="en-GB"/>
        </w:rPr>
        <w:t>, the Convention's anniversary</w:t>
      </w:r>
      <w:r w:rsidR="007C64CA" w:rsidRPr="00845FB7">
        <w:rPr>
          <w:rFonts w:cstheme="majorBidi"/>
          <w:szCs w:val="20"/>
          <w:lang w:val="en-GB" w:eastAsia="en-GB"/>
        </w:rPr>
        <w:t xml:space="preserve">, </w:t>
      </w:r>
      <w:proofErr w:type="gramStart"/>
      <w:r w:rsidRPr="00845FB7">
        <w:rPr>
          <w:rFonts w:cstheme="majorBidi"/>
          <w:szCs w:val="20"/>
          <w:lang w:val="en-GB" w:eastAsia="en-GB"/>
        </w:rPr>
        <w:t>International</w:t>
      </w:r>
      <w:proofErr w:type="gramEnd"/>
      <w:r w:rsidRPr="00845FB7">
        <w:rPr>
          <w:rFonts w:cstheme="majorBidi"/>
          <w:szCs w:val="20"/>
          <w:lang w:val="en-GB" w:eastAsia="en-GB"/>
        </w:rPr>
        <w:t xml:space="preserve"> </w:t>
      </w:r>
      <w:r w:rsidR="00FE0770" w:rsidRPr="00845FB7">
        <w:rPr>
          <w:rFonts w:cstheme="majorBidi"/>
          <w:szCs w:val="20"/>
          <w:lang w:val="en-GB" w:eastAsia="en-GB"/>
        </w:rPr>
        <w:t>observances</w:t>
      </w:r>
      <w:r w:rsidRPr="00845FB7">
        <w:rPr>
          <w:rFonts w:cstheme="majorBidi"/>
          <w:szCs w:val="20"/>
          <w:lang w:val="en-GB" w:eastAsia="en-GB"/>
        </w:rPr>
        <w:t xml:space="preserve"> (staff costs)</w:t>
      </w:r>
      <w:r w:rsidR="00007DD5" w:rsidRPr="00845FB7">
        <w:rPr>
          <w:rFonts w:cstheme="majorBidi"/>
          <w:szCs w:val="20"/>
          <w:lang w:val="en-GB" w:eastAsia="en-GB"/>
        </w:rPr>
        <w:t>;</w:t>
      </w:r>
    </w:p>
    <w:p w14:paraId="48CF5F68" w14:textId="313A1A06" w:rsidR="00B3795B" w:rsidRPr="00845FB7" w:rsidRDefault="00B3795B"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Prepare content and essential narrative to raise public awareness and convey tailored messages to segmented audiences (staff costs)</w:t>
      </w:r>
      <w:r w:rsidR="00007DD5" w:rsidRPr="00845FB7">
        <w:rPr>
          <w:rFonts w:cstheme="majorBidi"/>
          <w:szCs w:val="20"/>
          <w:lang w:val="en-GB" w:eastAsia="en-GB"/>
        </w:rPr>
        <w:t>;</w:t>
      </w:r>
    </w:p>
    <w:p w14:paraId="568BFEAF" w14:textId="6C8EF269" w:rsidR="00B3795B" w:rsidRPr="00845FB7" w:rsidRDefault="00B3795B"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Design special outreach products like videos, </w:t>
      </w:r>
      <w:r w:rsidR="008455D7" w:rsidRPr="00845FB7">
        <w:rPr>
          <w:rFonts w:cstheme="majorBidi"/>
          <w:szCs w:val="20"/>
          <w:lang w:val="en-GB" w:eastAsia="en-GB"/>
        </w:rPr>
        <w:t xml:space="preserve">photos, </w:t>
      </w:r>
      <w:r w:rsidRPr="00845FB7">
        <w:rPr>
          <w:rFonts w:cstheme="majorBidi"/>
          <w:szCs w:val="20"/>
          <w:lang w:val="en-GB" w:eastAsia="en-GB"/>
        </w:rPr>
        <w:t>newsletters, social media cards, and infographics</w:t>
      </w:r>
      <w:r w:rsidR="006178A4" w:rsidRPr="00845FB7">
        <w:rPr>
          <w:rFonts w:cstheme="majorBidi"/>
          <w:szCs w:val="20"/>
          <w:lang w:val="en-GB" w:eastAsia="en-GB"/>
        </w:rPr>
        <w:t>;</w:t>
      </w:r>
    </w:p>
    <w:p w14:paraId="53B65A9C" w14:textId="705BACFE" w:rsidR="00B3795B" w:rsidRPr="00845FB7" w:rsidRDefault="00B3795B"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Build partnerships with strategic colleagues and agencies, like the </w:t>
      </w:r>
      <w:r w:rsidR="00774287" w:rsidRPr="00845FB7">
        <w:rPr>
          <w:rFonts w:cstheme="majorBidi"/>
          <w:szCs w:val="20"/>
          <w:lang w:val="en-GB" w:eastAsia="en-GB"/>
        </w:rPr>
        <w:t xml:space="preserve">UNEP communication division, </w:t>
      </w:r>
      <w:r w:rsidRPr="00845FB7">
        <w:rPr>
          <w:rFonts w:cstheme="majorBidi"/>
          <w:szCs w:val="20"/>
          <w:lang w:val="en-GB" w:eastAsia="en-GB"/>
        </w:rPr>
        <w:t>chemicals and waste cluster</w:t>
      </w:r>
      <w:r w:rsidR="006178A4" w:rsidRPr="00845FB7">
        <w:rPr>
          <w:rFonts w:cstheme="majorBidi"/>
          <w:szCs w:val="20"/>
          <w:lang w:val="en-GB" w:eastAsia="en-GB"/>
        </w:rPr>
        <w:t xml:space="preserve">, </w:t>
      </w:r>
      <w:r w:rsidRPr="00845FB7">
        <w:rPr>
          <w:rFonts w:cstheme="majorBidi"/>
          <w:szCs w:val="20"/>
          <w:lang w:val="en-GB" w:eastAsia="en-GB"/>
        </w:rPr>
        <w:t xml:space="preserve">the </w:t>
      </w:r>
      <w:r w:rsidR="00EE5B3C" w:rsidRPr="00845FB7">
        <w:rPr>
          <w:rFonts w:cstheme="majorBidi"/>
          <w:szCs w:val="20"/>
          <w:lang w:val="en-GB" w:eastAsia="en-GB"/>
        </w:rPr>
        <w:t>Geneva Environment</w:t>
      </w:r>
      <w:r w:rsidR="00DB1167" w:rsidRPr="00845FB7">
        <w:rPr>
          <w:rFonts w:cstheme="majorBidi"/>
          <w:szCs w:val="20"/>
          <w:lang w:val="en-GB" w:eastAsia="en-GB"/>
        </w:rPr>
        <w:t xml:space="preserve"> Network (GEN), </w:t>
      </w:r>
      <w:r w:rsidRPr="00845FB7">
        <w:rPr>
          <w:rFonts w:cstheme="majorBidi"/>
          <w:szCs w:val="20"/>
          <w:lang w:val="en-GB" w:eastAsia="en-GB"/>
        </w:rPr>
        <w:t xml:space="preserve">the </w:t>
      </w:r>
      <w:r w:rsidR="00864745" w:rsidRPr="00845FB7">
        <w:rPr>
          <w:rFonts w:cstheme="majorBidi"/>
          <w:szCs w:val="20"/>
          <w:lang w:val="en-GB" w:eastAsia="en-GB"/>
        </w:rPr>
        <w:t>Global Environment Facility (</w:t>
      </w:r>
      <w:r w:rsidRPr="00845FB7">
        <w:rPr>
          <w:rFonts w:cstheme="majorBidi"/>
          <w:szCs w:val="20"/>
          <w:lang w:val="en-GB" w:eastAsia="en-GB"/>
        </w:rPr>
        <w:t>GEF</w:t>
      </w:r>
      <w:r w:rsidR="00864745" w:rsidRPr="00845FB7">
        <w:rPr>
          <w:rFonts w:cstheme="majorBidi"/>
          <w:szCs w:val="20"/>
          <w:lang w:val="en-GB" w:eastAsia="en-GB"/>
        </w:rPr>
        <w:t>)</w:t>
      </w:r>
      <w:r w:rsidRPr="00845FB7">
        <w:rPr>
          <w:rFonts w:cstheme="majorBidi"/>
          <w:szCs w:val="20"/>
          <w:lang w:val="en-GB" w:eastAsia="en-GB"/>
        </w:rPr>
        <w:t xml:space="preserve">, </w:t>
      </w:r>
      <w:r w:rsidR="00DD7E40" w:rsidRPr="00845FB7">
        <w:rPr>
          <w:rFonts w:cstheme="majorBidi"/>
          <w:szCs w:val="20"/>
          <w:lang w:val="en-GB" w:eastAsia="en-GB"/>
        </w:rPr>
        <w:t>the Global Mercury Partnership</w:t>
      </w:r>
      <w:r w:rsidR="00864745" w:rsidRPr="00845FB7">
        <w:rPr>
          <w:rFonts w:cstheme="majorBidi"/>
          <w:szCs w:val="20"/>
          <w:lang w:val="en-GB" w:eastAsia="en-GB"/>
        </w:rPr>
        <w:t xml:space="preserve"> (GMP)</w:t>
      </w:r>
      <w:r w:rsidR="00DD7E40" w:rsidRPr="00845FB7">
        <w:rPr>
          <w:rFonts w:cstheme="majorBidi"/>
          <w:szCs w:val="20"/>
          <w:lang w:val="en-GB" w:eastAsia="en-GB"/>
        </w:rPr>
        <w:t xml:space="preserve">, </w:t>
      </w:r>
      <w:r w:rsidRPr="00845FB7">
        <w:rPr>
          <w:rFonts w:cstheme="majorBidi"/>
          <w:szCs w:val="20"/>
          <w:lang w:val="en-GB" w:eastAsia="en-GB"/>
        </w:rPr>
        <w:t xml:space="preserve">BRS and </w:t>
      </w:r>
      <w:r w:rsidR="00A72C1D" w:rsidRPr="00845FB7">
        <w:rPr>
          <w:rFonts w:cstheme="majorBidi"/>
          <w:szCs w:val="20"/>
          <w:lang w:val="en-GB" w:eastAsia="en-GB"/>
        </w:rPr>
        <w:t>other MEAs</w:t>
      </w:r>
      <w:r w:rsidRPr="00845FB7">
        <w:rPr>
          <w:rFonts w:cstheme="majorBidi"/>
          <w:szCs w:val="20"/>
          <w:lang w:val="en-GB" w:eastAsia="en-GB"/>
        </w:rPr>
        <w:t xml:space="preserve"> (staff costs)</w:t>
      </w:r>
      <w:r w:rsidR="00007DD5" w:rsidRPr="00845FB7">
        <w:rPr>
          <w:rFonts w:cstheme="majorBidi"/>
          <w:szCs w:val="20"/>
          <w:lang w:val="en-GB" w:eastAsia="en-GB"/>
        </w:rPr>
        <w:t>;</w:t>
      </w:r>
    </w:p>
    <w:p w14:paraId="15BF071D" w14:textId="73AFAFE7" w:rsidR="00B3795B" w:rsidRPr="00845FB7" w:rsidRDefault="00B3795B"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Develop the Minamata Convention social media avenues and platforms to ensure regular messaging to </w:t>
      </w:r>
      <w:r w:rsidR="00DD7E40" w:rsidRPr="00845FB7">
        <w:rPr>
          <w:rFonts w:cstheme="majorBidi"/>
          <w:szCs w:val="20"/>
          <w:lang w:val="en-GB" w:eastAsia="en-GB"/>
        </w:rPr>
        <w:t xml:space="preserve">expand the </w:t>
      </w:r>
      <w:r w:rsidRPr="00845FB7">
        <w:rPr>
          <w:rFonts w:cstheme="majorBidi"/>
          <w:szCs w:val="20"/>
          <w:lang w:val="en-GB" w:eastAsia="en-GB"/>
        </w:rPr>
        <w:t xml:space="preserve">audience of stakeholders and the interested </w:t>
      </w:r>
      <w:proofErr w:type="gramStart"/>
      <w:r w:rsidRPr="00845FB7">
        <w:rPr>
          <w:rFonts w:cstheme="majorBidi"/>
          <w:szCs w:val="20"/>
          <w:lang w:val="en-GB" w:eastAsia="en-GB"/>
        </w:rPr>
        <w:t>general public</w:t>
      </w:r>
      <w:proofErr w:type="gramEnd"/>
      <w:r w:rsidR="006142B4" w:rsidRPr="00845FB7">
        <w:rPr>
          <w:rFonts w:cstheme="majorBidi"/>
          <w:szCs w:val="20"/>
          <w:lang w:val="en-GB" w:eastAsia="en-GB"/>
        </w:rPr>
        <w:t xml:space="preserve"> (staff costs);</w:t>
      </w:r>
    </w:p>
    <w:p w14:paraId="5C80A159" w14:textId="3CB4DB05" w:rsidR="00B3795B" w:rsidRPr="00845FB7" w:rsidRDefault="00B3795B"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Ensure a visible Minamata Convention presence at events relevant to the broader environment</w:t>
      </w:r>
      <w:r w:rsidR="00891AF1" w:rsidRPr="00845FB7">
        <w:rPr>
          <w:rFonts w:cstheme="majorBidi"/>
          <w:szCs w:val="20"/>
          <w:lang w:val="en-GB" w:eastAsia="en-GB"/>
        </w:rPr>
        <w:t>al</w:t>
      </w:r>
      <w:r w:rsidRPr="00845FB7">
        <w:rPr>
          <w:rFonts w:cstheme="majorBidi"/>
          <w:szCs w:val="20"/>
          <w:lang w:val="en-GB" w:eastAsia="en-GB"/>
        </w:rPr>
        <w:t xml:space="preserve"> agenda, including the MEA</w:t>
      </w:r>
      <w:r w:rsidR="00891AF1" w:rsidRPr="00845FB7">
        <w:rPr>
          <w:rFonts w:cstheme="majorBidi"/>
          <w:szCs w:val="20"/>
          <w:lang w:val="en-GB" w:eastAsia="en-GB"/>
        </w:rPr>
        <w:t>s</w:t>
      </w:r>
      <w:r w:rsidRPr="00845FB7">
        <w:rPr>
          <w:rFonts w:cstheme="majorBidi"/>
          <w:szCs w:val="20"/>
          <w:lang w:val="en-GB" w:eastAsia="en-GB"/>
        </w:rPr>
        <w:t xml:space="preserve"> COPs, UNEA, etc. For </w:t>
      </w:r>
      <w:r w:rsidR="00891AF1" w:rsidRPr="00845FB7">
        <w:rPr>
          <w:rFonts w:cstheme="majorBidi"/>
          <w:szCs w:val="20"/>
          <w:lang w:val="en-GB" w:eastAsia="en-GB"/>
        </w:rPr>
        <w:t xml:space="preserve">the </w:t>
      </w:r>
      <w:r w:rsidRPr="00845FB7">
        <w:rPr>
          <w:rFonts w:cstheme="majorBidi"/>
          <w:szCs w:val="20"/>
          <w:lang w:val="en-GB" w:eastAsia="en-GB"/>
        </w:rPr>
        <w:t>Minamata</w:t>
      </w:r>
      <w:r w:rsidR="00891AF1" w:rsidRPr="00845FB7">
        <w:rPr>
          <w:rFonts w:cstheme="majorBidi"/>
          <w:szCs w:val="20"/>
          <w:lang w:val="en-GB" w:eastAsia="en-GB"/>
        </w:rPr>
        <w:t xml:space="preserve"> Convention</w:t>
      </w:r>
      <w:r w:rsidRPr="00845FB7">
        <w:rPr>
          <w:rFonts w:cstheme="majorBidi"/>
          <w:szCs w:val="20"/>
          <w:lang w:val="en-GB" w:eastAsia="en-GB"/>
        </w:rPr>
        <w:t xml:space="preserve"> COPs, coordinate outreach activities to promote </w:t>
      </w:r>
      <w:r w:rsidR="00EF285D" w:rsidRPr="00845FB7">
        <w:rPr>
          <w:rFonts w:cstheme="majorBidi"/>
          <w:szCs w:val="20"/>
          <w:lang w:val="en-GB" w:eastAsia="en-GB"/>
        </w:rPr>
        <w:t xml:space="preserve">special </w:t>
      </w:r>
      <w:r w:rsidRPr="00845FB7">
        <w:rPr>
          <w:rFonts w:cstheme="majorBidi"/>
          <w:szCs w:val="20"/>
          <w:lang w:val="en-GB" w:eastAsia="en-GB"/>
        </w:rPr>
        <w:t>events and ensure they can be accessible to broader audiences through digital means</w:t>
      </w:r>
      <w:r w:rsidR="006142B4" w:rsidRPr="00845FB7">
        <w:rPr>
          <w:rFonts w:cstheme="majorBidi"/>
          <w:szCs w:val="20"/>
          <w:lang w:val="en-GB" w:eastAsia="en-GB"/>
        </w:rPr>
        <w:t xml:space="preserve"> (staff costs);</w:t>
      </w:r>
    </w:p>
    <w:p w14:paraId="6F668FE5" w14:textId="0D56F86E" w:rsidR="002A6CE0" w:rsidRPr="00845FB7" w:rsidRDefault="002A6CE0"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For COP-</w:t>
      </w:r>
      <w:r w:rsidR="00CB197A" w:rsidRPr="00845FB7">
        <w:rPr>
          <w:rFonts w:cstheme="majorBidi"/>
          <w:szCs w:val="20"/>
          <w:lang w:val="en-GB" w:eastAsia="en-GB"/>
        </w:rPr>
        <w:t>7</w:t>
      </w:r>
      <w:r w:rsidRPr="00845FB7">
        <w:rPr>
          <w:rFonts w:cstheme="majorBidi"/>
          <w:szCs w:val="20"/>
          <w:lang w:val="en-GB" w:eastAsia="en-GB"/>
        </w:rPr>
        <w:t xml:space="preserve"> organize: COP-specified webpage, social media, media engagement, requests for interviews with participants and Secretariat staff, video production, photo coverage, ENB reporting services, daily newsletters for participants, venue </w:t>
      </w:r>
      <w:r w:rsidR="00F43BD5" w:rsidRPr="00845FB7">
        <w:rPr>
          <w:rFonts w:cstheme="majorBidi"/>
          <w:szCs w:val="20"/>
          <w:lang w:val="en-GB" w:eastAsia="en-GB"/>
        </w:rPr>
        <w:t xml:space="preserve">signage and </w:t>
      </w:r>
      <w:r w:rsidRPr="00845FB7">
        <w:rPr>
          <w:rFonts w:cstheme="majorBidi"/>
          <w:szCs w:val="20"/>
          <w:lang w:val="en-GB" w:eastAsia="en-GB"/>
        </w:rPr>
        <w:t>branding, and media and publications stand.</w:t>
      </w:r>
    </w:p>
    <w:p w14:paraId="4DBACDEA" w14:textId="187C749C" w:rsidR="00B3795B" w:rsidRPr="00845FB7" w:rsidRDefault="00B3795B"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Use the necessary tools to materialize communication plans.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B3795B" w:rsidRPr="00845FB7" w14:paraId="28C2D7F0" w14:textId="77777777" w:rsidTr="3D4F1C4B">
        <w:tc>
          <w:tcPr>
            <w:tcW w:w="4508" w:type="dxa"/>
          </w:tcPr>
          <w:p w14:paraId="7D46C2A3" w14:textId="3862A3EE" w:rsidR="00B3795B" w:rsidRPr="00845FB7" w:rsidRDefault="00B3795B"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1EA5E612" w14:textId="2A566DB6" w:rsidR="00B3795B" w:rsidRPr="00845FB7" w:rsidRDefault="00B3795B" w:rsidP="3D4F1C4B">
            <w:pPr>
              <w:pStyle w:val="ListParagraph"/>
              <w:numPr>
                <w:ilvl w:val="0"/>
                <w:numId w:val="5"/>
              </w:numPr>
              <w:spacing w:after="60"/>
              <w:rPr>
                <w:rFonts w:cstheme="majorBidi"/>
                <w:b/>
                <w:bCs/>
                <w:lang w:val="en-GB" w:eastAsia="en-GB"/>
              </w:rPr>
            </w:pPr>
            <w:r w:rsidRPr="00845FB7">
              <w:rPr>
                <w:rFonts w:cstheme="majorBidi"/>
                <w:lang w:val="en-GB" w:eastAsia="en-GB"/>
              </w:rPr>
              <w:t xml:space="preserve">Higher level of awareness </w:t>
            </w:r>
            <w:r w:rsidR="24B9903C" w:rsidRPr="00845FB7">
              <w:rPr>
                <w:rFonts w:cstheme="majorBidi"/>
                <w:lang w:val="en-GB" w:eastAsia="en-GB"/>
              </w:rPr>
              <w:t>and understanding of</w:t>
            </w:r>
            <w:r w:rsidR="00DA617F" w:rsidRPr="00845FB7">
              <w:rPr>
                <w:rFonts w:cstheme="majorBidi"/>
                <w:lang w:val="en-GB" w:eastAsia="en-GB"/>
              </w:rPr>
              <w:t>,</w:t>
            </w:r>
            <w:r w:rsidR="24B9903C" w:rsidRPr="00845FB7">
              <w:rPr>
                <w:rFonts w:cstheme="majorBidi"/>
                <w:lang w:val="en-GB" w:eastAsia="en-GB"/>
              </w:rPr>
              <w:t xml:space="preserve"> and </w:t>
            </w:r>
            <w:r w:rsidRPr="00845FB7">
              <w:rPr>
                <w:rFonts w:cstheme="majorBidi"/>
                <w:lang w:val="en-GB" w:eastAsia="en-GB"/>
              </w:rPr>
              <w:t xml:space="preserve">interest in the environmentally sound management of mercury and its compounds </w:t>
            </w:r>
            <w:r w:rsidR="16B34504" w:rsidRPr="00845FB7">
              <w:rPr>
                <w:rFonts w:cstheme="majorBidi"/>
                <w:lang w:val="en-GB" w:eastAsia="en-GB"/>
              </w:rPr>
              <w:t xml:space="preserve">while </w:t>
            </w:r>
            <w:r w:rsidRPr="00845FB7">
              <w:rPr>
                <w:rFonts w:cstheme="majorBidi"/>
                <w:lang w:val="en-GB" w:eastAsia="en-GB"/>
              </w:rPr>
              <w:t>addressing human health and environmental impacts amongst stakeholders and broader audiences</w:t>
            </w:r>
            <w:r w:rsidR="14BE980E" w:rsidRPr="00845FB7">
              <w:rPr>
                <w:rFonts w:cstheme="majorBidi"/>
                <w:lang w:val="en-GB" w:eastAsia="en-GB"/>
              </w:rPr>
              <w:t>;</w:t>
            </w:r>
          </w:p>
          <w:p w14:paraId="5D7807F2" w14:textId="621A8A5B" w:rsidR="00B3795B" w:rsidRPr="00845FB7" w:rsidRDefault="00B3795B" w:rsidP="3D4F1C4B">
            <w:pPr>
              <w:pStyle w:val="ListParagraph"/>
              <w:numPr>
                <w:ilvl w:val="0"/>
                <w:numId w:val="5"/>
              </w:numPr>
              <w:spacing w:after="60"/>
              <w:rPr>
                <w:rFonts w:cstheme="majorBidi"/>
                <w:lang w:val="en-GB" w:eastAsia="en-GB"/>
              </w:rPr>
            </w:pPr>
            <w:r w:rsidRPr="00845FB7">
              <w:rPr>
                <w:rFonts w:cstheme="majorBidi"/>
                <w:lang w:val="en-GB" w:eastAsia="en-GB"/>
              </w:rPr>
              <w:t>News stories, social media campaigns and relevant communication package material</w:t>
            </w:r>
            <w:r w:rsidR="35D7F417" w:rsidRPr="00845FB7">
              <w:rPr>
                <w:rFonts w:cstheme="majorBidi"/>
                <w:lang w:val="en-GB" w:eastAsia="en-GB"/>
              </w:rPr>
              <w:t>s</w:t>
            </w:r>
            <w:r w:rsidRPr="00845FB7">
              <w:rPr>
                <w:rFonts w:cstheme="majorBidi"/>
                <w:lang w:val="en-GB" w:eastAsia="en-GB"/>
              </w:rPr>
              <w:t xml:space="preserve"> </w:t>
            </w:r>
            <w:r w:rsidR="4D3315E4" w:rsidRPr="00845FB7">
              <w:rPr>
                <w:rFonts w:cstheme="majorBidi"/>
                <w:lang w:val="en-GB" w:eastAsia="en-GB"/>
              </w:rPr>
              <w:t xml:space="preserve">are </w:t>
            </w:r>
            <w:r w:rsidRPr="00845FB7">
              <w:rPr>
                <w:rFonts w:cstheme="majorBidi"/>
                <w:lang w:val="en-GB" w:eastAsia="en-GB"/>
              </w:rPr>
              <w:t>disseminated through digital means and available on the website and social media</w:t>
            </w:r>
            <w:r w:rsidR="27298360" w:rsidRPr="00845FB7">
              <w:rPr>
                <w:rFonts w:cstheme="majorBidi"/>
                <w:lang w:val="en-GB" w:eastAsia="en-GB"/>
              </w:rPr>
              <w:t xml:space="preserve"> platforms</w:t>
            </w:r>
            <w:r w:rsidRPr="00845FB7">
              <w:rPr>
                <w:rFonts w:cstheme="majorBidi"/>
                <w:lang w:val="en-GB" w:eastAsia="en-GB"/>
              </w:rPr>
              <w:t xml:space="preserve"> in a</w:t>
            </w:r>
            <w:r w:rsidR="0F3B9B9F" w:rsidRPr="00845FB7">
              <w:rPr>
                <w:rFonts w:cstheme="majorBidi"/>
                <w:lang w:val="en-GB" w:eastAsia="en-GB"/>
              </w:rPr>
              <w:t>n effective and</w:t>
            </w:r>
            <w:r w:rsidRPr="00845FB7">
              <w:rPr>
                <w:rFonts w:cstheme="majorBidi"/>
                <w:lang w:val="en-GB" w:eastAsia="en-GB"/>
              </w:rPr>
              <w:t xml:space="preserve"> timely manner</w:t>
            </w:r>
            <w:r w:rsidR="14BE980E" w:rsidRPr="00845FB7">
              <w:rPr>
                <w:rFonts w:cstheme="majorBidi"/>
                <w:lang w:val="en-GB" w:eastAsia="en-GB"/>
              </w:rPr>
              <w:t>;</w:t>
            </w:r>
          </w:p>
          <w:p w14:paraId="60D5ACB9" w14:textId="5DF16C23" w:rsidR="00B3795B" w:rsidRPr="00845FB7" w:rsidRDefault="00B3795B"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Partners supporting and amplifying the Minamata Convention communication campaigns</w:t>
            </w:r>
            <w:r w:rsidR="0077600B" w:rsidRPr="00845FB7">
              <w:rPr>
                <w:rFonts w:cstheme="majorBidi"/>
                <w:szCs w:val="20"/>
                <w:lang w:val="en-GB" w:eastAsia="en-GB"/>
              </w:rPr>
              <w:t>;</w:t>
            </w:r>
          </w:p>
          <w:p w14:paraId="00501EEF" w14:textId="75DA206E" w:rsidR="00B3795B" w:rsidRPr="00845FB7" w:rsidRDefault="00B10176"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COP-</w:t>
            </w:r>
            <w:r w:rsidR="00CB197A" w:rsidRPr="00845FB7">
              <w:rPr>
                <w:rFonts w:cstheme="majorBidi"/>
                <w:szCs w:val="20"/>
                <w:lang w:val="en-GB" w:eastAsia="en-GB"/>
              </w:rPr>
              <w:t xml:space="preserve">7 </w:t>
            </w:r>
            <w:r w:rsidRPr="00845FB7">
              <w:rPr>
                <w:rFonts w:cstheme="majorBidi"/>
                <w:szCs w:val="20"/>
                <w:lang w:val="en-GB" w:eastAsia="en-GB"/>
              </w:rPr>
              <w:t>media and communication coverage.</w:t>
            </w:r>
          </w:p>
        </w:tc>
        <w:tc>
          <w:tcPr>
            <w:tcW w:w="4508" w:type="dxa"/>
          </w:tcPr>
          <w:p w14:paraId="780FEA1D" w14:textId="02B4D96A" w:rsidR="00B3795B" w:rsidRPr="00845FB7" w:rsidRDefault="00B3795B"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15956036" w14:textId="7E2A77A1" w:rsidR="00B3795B" w:rsidRPr="00845FB7" w:rsidRDefault="00CB197A"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The </w:t>
            </w:r>
            <w:r w:rsidR="00B3795B" w:rsidRPr="00845FB7">
              <w:rPr>
                <w:rFonts w:cstheme="majorBidi"/>
                <w:szCs w:val="20"/>
                <w:lang w:val="en-GB" w:eastAsia="en-GB"/>
              </w:rPr>
              <w:t xml:space="preserve">Minamata </w:t>
            </w:r>
            <w:r w:rsidR="00EA0686" w:rsidRPr="00845FB7">
              <w:rPr>
                <w:rFonts w:cstheme="majorBidi"/>
                <w:szCs w:val="20"/>
                <w:lang w:val="en-GB" w:eastAsia="en-GB"/>
              </w:rPr>
              <w:t xml:space="preserve">Convention </w:t>
            </w:r>
            <w:r w:rsidR="00B3795B" w:rsidRPr="00845FB7">
              <w:rPr>
                <w:rFonts w:cstheme="majorBidi"/>
                <w:szCs w:val="20"/>
                <w:lang w:val="en-GB" w:eastAsia="en-GB"/>
              </w:rPr>
              <w:t xml:space="preserve">website and social media channels </w:t>
            </w:r>
            <w:r w:rsidR="009E4153" w:rsidRPr="00845FB7">
              <w:rPr>
                <w:rFonts w:cstheme="majorBidi"/>
                <w:szCs w:val="20"/>
                <w:lang w:val="en-GB" w:eastAsia="en-GB"/>
              </w:rPr>
              <w:t xml:space="preserve">are </w:t>
            </w:r>
            <w:r w:rsidR="00B3795B" w:rsidRPr="00845FB7">
              <w:rPr>
                <w:rFonts w:cstheme="majorBidi"/>
                <w:szCs w:val="20"/>
                <w:lang w:val="en-GB" w:eastAsia="en-GB"/>
              </w:rPr>
              <w:t>updated</w:t>
            </w:r>
            <w:r w:rsidR="0077600B" w:rsidRPr="00845FB7">
              <w:rPr>
                <w:rFonts w:cstheme="majorBidi"/>
                <w:szCs w:val="20"/>
                <w:lang w:val="en-GB" w:eastAsia="en-GB"/>
              </w:rPr>
              <w:t>;</w:t>
            </w:r>
          </w:p>
          <w:p w14:paraId="1E98ACE5" w14:textId="42A46E77" w:rsidR="00B3795B" w:rsidRPr="00845FB7" w:rsidRDefault="009E4153"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Partners’ </w:t>
            </w:r>
            <w:r w:rsidR="00B3795B" w:rsidRPr="00845FB7">
              <w:rPr>
                <w:rFonts w:cstheme="majorBidi"/>
                <w:szCs w:val="20"/>
                <w:lang w:val="en-GB" w:eastAsia="en-GB"/>
              </w:rPr>
              <w:t>websites and digital campaigns include or repost Minamata Convention information products</w:t>
            </w:r>
            <w:r w:rsidR="0077600B" w:rsidRPr="00845FB7">
              <w:rPr>
                <w:rFonts w:cstheme="majorBidi"/>
                <w:szCs w:val="20"/>
                <w:lang w:val="en-GB" w:eastAsia="en-GB"/>
              </w:rPr>
              <w:t>;</w:t>
            </w:r>
          </w:p>
          <w:p w14:paraId="622D8649" w14:textId="6F056B35" w:rsidR="00B3795B" w:rsidRPr="00845FB7" w:rsidRDefault="00135FFD"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Metrics</w:t>
            </w:r>
            <w:r w:rsidR="008C0C14" w:rsidRPr="00845FB7">
              <w:rPr>
                <w:rFonts w:cstheme="majorBidi"/>
                <w:szCs w:val="20"/>
                <w:lang w:val="en-GB" w:eastAsia="en-GB"/>
              </w:rPr>
              <w:t xml:space="preserve"> of</w:t>
            </w:r>
            <w:r w:rsidR="00936627" w:rsidRPr="00845FB7">
              <w:rPr>
                <w:rFonts w:cstheme="majorBidi"/>
                <w:szCs w:val="20"/>
                <w:lang w:val="en-GB" w:eastAsia="en-GB"/>
              </w:rPr>
              <w:t xml:space="preserve"> </w:t>
            </w:r>
            <w:r w:rsidR="00B3795B" w:rsidRPr="00845FB7">
              <w:rPr>
                <w:rFonts w:cstheme="majorBidi"/>
                <w:szCs w:val="20"/>
                <w:lang w:val="en-GB" w:eastAsia="en-GB"/>
              </w:rPr>
              <w:t>the Minamata</w:t>
            </w:r>
            <w:r w:rsidRPr="00845FB7">
              <w:rPr>
                <w:rFonts w:cstheme="majorBidi"/>
                <w:szCs w:val="20"/>
                <w:lang w:val="en-GB" w:eastAsia="en-GB"/>
              </w:rPr>
              <w:t xml:space="preserve"> Convention</w:t>
            </w:r>
            <w:r w:rsidR="00B3795B" w:rsidRPr="00845FB7">
              <w:rPr>
                <w:rFonts w:cstheme="majorBidi"/>
                <w:szCs w:val="20"/>
                <w:lang w:val="en-GB" w:eastAsia="en-GB"/>
              </w:rPr>
              <w:t xml:space="preserve"> website</w:t>
            </w:r>
            <w:r w:rsidR="00B3795B" w:rsidRPr="00845FB7" w:rsidDel="00936627">
              <w:rPr>
                <w:rFonts w:cstheme="majorBidi"/>
                <w:szCs w:val="20"/>
                <w:lang w:val="en-GB" w:eastAsia="en-GB"/>
              </w:rPr>
              <w:t xml:space="preserve"> </w:t>
            </w:r>
            <w:r w:rsidR="008C0C14" w:rsidRPr="00845FB7">
              <w:rPr>
                <w:rFonts w:cstheme="majorBidi"/>
                <w:szCs w:val="20"/>
                <w:lang w:val="en-GB" w:eastAsia="en-GB"/>
              </w:rPr>
              <w:t>usage and performan</w:t>
            </w:r>
            <w:r w:rsidR="00FC5C97" w:rsidRPr="00845FB7">
              <w:rPr>
                <w:rFonts w:cstheme="majorBidi"/>
                <w:szCs w:val="20"/>
                <w:lang w:val="en-GB" w:eastAsia="en-GB"/>
              </w:rPr>
              <w:t>ce</w:t>
            </w:r>
            <w:r w:rsidR="0077600B" w:rsidRPr="00845FB7">
              <w:rPr>
                <w:rFonts w:cstheme="majorBidi"/>
                <w:szCs w:val="20"/>
                <w:lang w:val="en-GB" w:eastAsia="en-GB"/>
              </w:rPr>
              <w:t>;</w:t>
            </w:r>
          </w:p>
          <w:p w14:paraId="07858819" w14:textId="40BF4044" w:rsidR="00B3795B"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Number of media stories mentioning or covering the Convention in the mainstream media (media monitoring).</w:t>
            </w:r>
          </w:p>
        </w:tc>
      </w:tr>
    </w:tbl>
    <w:p w14:paraId="55E2D625" w14:textId="0386AD24" w:rsidR="00B3795B" w:rsidRPr="00845FB7" w:rsidRDefault="00B3795B" w:rsidP="00B3795B">
      <w:pPr>
        <w:pStyle w:val="Heading3"/>
        <w:rPr>
          <w:sz w:val="24"/>
          <w:lang w:val="en-GB"/>
        </w:rPr>
      </w:pPr>
      <w:r w:rsidRPr="00845FB7">
        <w:rPr>
          <w:sz w:val="24"/>
          <w:lang w:val="en-GB"/>
        </w:rPr>
        <w:lastRenderedPageBreak/>
        <w:t>Partners</w:t>
      </w:r>
    </w:p>
    <w:p w14:paraId="7A3E3FFA" w14:textId="42517691" w:rsidR="00B3795B" w:rsidRPr="00845FB7" w:rsidRDefault="00B3795B" w:rsidP="00BD36F8">
      <w:pPr>
        <w:spacing w:after="60" w:line="276" w:lineRule="auto"/>
        <w:rPr>
          <w:rFonts w:cstheme="majorBidi"/>
          <w:szCs w:val="20"/>
          <w:lang w:val="en-GB"/>
        </w:rPr>
      </w:pPr>
      <w:r w:rsidRPr="00845FB7">
        <w:rPr>
          <w:rFonts w:cstheme="majorBidi"/>
          <w:szCs w:val="20"/>
          <w:lang w:val="en-GB"/>
        </w:rPr>
        <w:t>UNEP including Communication Division (Nairobi), UNEP Regional Offices, MEAs (</w:t>
      </w:r>
      <w:proofErr w:type="gramStart"/>
      <w:r w:rsidRPr="00845FB7">
        <w:rPr>
          <w:rFonts w:cstheme="majorBidi"/>
          <w:szCs w:val="20"/>
          <w:lang w:val="en-GB"/>
        </w:rPr>
        <w:t>in particular chemicals</w:t>
      </w:r>
      <w:proofErr w:type="gramEnd"/>
      <w:r w:rsidRPr="00845FB7">
        <w:rPr>
          <w:rFonts w:cstheme="majorBidi"/>
          <w:szCs w:val="20"/>
          <w:lang w:val="en-GB"/>
        </w:rPr>
        <w:t xml:space="preserve"> and waste conventions), </w:t>
      </w:r>
      <w:r w:rsidR="00426A31" w:rsidRPr="00845FB7">
        <w:rPr>
          <w:rFonts w:cstheme="majorBidi"/>
          <w:szCs w:val="20"/>
          <w:lang w:val="en-GB"/>
        </w:rPr>
        <w:t xml:space="preserve">and the Global Mercury Partnership (GMP), </w:t>
      </w:r>
      <w:r w:rsidRPr="00845FB7">
        <w:rPr>
          <w:rFonts w:cstheme="majorBidi"/>
          <w:szCs w:val="20"/>
          <w:lang w:val="en-GB"/>
        </w:rPr>
        <w:t>the GEF, Geneva Environment Network (GEN), other UN agencies (WHO and ILO) and MEAs as relevant.</w:t>
      </w:r>
    </w:p>
    <w:p w14:paraId="4129414C" w14:textId="4F171561" w:rsidR="00B3795B" w:rsidRPr="00845FB7" w:rsidRDefault="00B3795B" w:rsidP="00B3795B">
      <w:pPr>
        <w:pStyle w:val="Heading3"/>
        <w:rPr>
          <w:sz w:val="24"/>
          <w:lang w:val="en-GB"/>
        </w:rPr>
      </w:pPr>
      <w:r w:rsidRPr="00845FB7">
        <w:rPr>
          <w:sz w:val="24"/>
          <w:lang w:val="en-GB"/>
        </w:rPr>
        <w:t>Socio-economic aspects</w:t>
      </w:r>
    </w:p>
    <w:p w14:paraId="66BAD49A" w14:textId="5D3128D1" w:rsidR="00B3795B" w:rsidRPr="00845FB7" w:rsidRDefault="00B3795B" w:rsidP="00BD36F8">
      <w:pPr>
        <w:spacing w:after="6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Enhancing communication under the Minamata Convention will contribute to the achievement of the 2030 Agenda for Sustainable Development and the Sustainable Development Goals (SDGs), in particular, Goal 3 on ensuring healthy lives and promoting well-being for all at all ages; Goal 11 on making cities and human settlements inclusive, safe, resilient and sustainable; Goal 12 on ensuring sustainable consumption and production patterns and Goal 17 on strengthening the means of implementation and revitalizing the global partnership for sustainable development. .</w:t>
      </w:r>
    </w:p>
    <w:p w14:paraId="287B098A" w14:textId="571153DD" w:rsidR="00B3795B" w:rsidRPr="00845FB7" w:rsidRDefault="00B3795B" w:rsidP="3D4F1C4B">
      <w:pPr>
        <w:spacing w:after="60" w:line="276" w:lineRule="auto"/>
        <w:rPr>
          <w:rFonts w:cstheme="majorBidi"/>
          <w:lang w:val="en-GB"/>
        </w:rPr>
      </w:pPr>
      <w:r w:rsidRPr="00845FB7">
        <w:rPr>
          <w:rFonts w:cstheme="majorBidi"/>
          <w:b/>
          <w:bCs/>
          <w:lang w:val="en-GB"/>
        </w:rPr>
        <w:t>Gender mainstreaming:</w:t>
      </w:r>
      <w:r w:rsidRPr="00845FB7">
        <w:rPr>
          <w:rFonts w:cstheme="majorBidi"/>
          <w:lang w:val="en-GB"/>
        </w:rPr>
        <w:t xml:space="preserve"> Support in the generation of informative material </w:t>
      </w:r>
      <w:r w:rsidR="21FF553D" w:rsidRPr="00845FB7">
        <w:rPr>
          <w:rFonts w:cstheme="majorBidi"/>
          <w:lang w:val="en-GB"/>
        </w:rPr>
        <w:t>that addresses the sever impact of mercury exposure on women and their role in the implementation of the Convention</w:t>
      </w:r>
      <w:r w:rsidRPr="00845FB7">
        <w:rPr>
          <w:rFonts w:cstheme="majorBidi"/>
          <w:lang w:val="en-GB"/>
        </w:rPr>
        <w:t xml:space="preserve"> and its dissemination through the website and social media. Prepare a dedicated communication campaign to promote gender activities.</w:t>
      </w:r>
    </w:p>
    <w:p w14:paraId="1329B4B3" w14:textId="5204E977" w:rsidR="00B3795B" w:rsidRPr="00845FB7" w:rsidRDefault="00B3795B" w:rsidP="00BD36F8">
      <w:pPr>
        <w:spacing w:after="60" w:line="276" w:lineRule="auto"/>
        <w:rPr>
          <w:rFonts w:cstheme="majorBidi"/>
          <w:szCs w:val="20"/>
          <w:lang w:val="en-GB"/>
        </w:rPr>
      </w:pPr>
      <w:r w:rsidRPr="00845FB7">
        <w:rPr>
          <w:rFonts w:cstheme="majorBidi"/>
          <w:b/>
          <w:bCs/>
          <w:szCs w:val="20"/>
          <w:lang w:val="en-GB"/>
        </w:rPr>
        <w:t>Integrated Approach:</w:t>
      </w:r>
      <w:r w:rsidRPr="00845FB7">
        <w:rPr>
          <w:rFonts w:cstheme="majorBidi"/>
          <w:szCs w:val="20"/>
          <w:lang w:val="en-GB"/>
        </w:rPr>
        <w:t xml:space="preserve"> Mainstreaming and the development of partnerships rely upon a higher level of stakeholder awareness of the importance of the implementation of the Minamata Convention in general. </w:t>
      </w:r>
    </w:p>
    <w:p w14:paraId="4205E808" w14:textId="77777777" w:rsidR="00B3795B" w:rsidRPr="00845FB7" w:rsidRDefault="00B3795B" w:rsidP="00B3795B">
      <w:pPr>
        <w:jc w:val="left"/>
        <w:rPr>
          <w:rFonts w:eastAsiaTheme="majorEastAsia" w:cstheme="majorBidi"/>
          <w:b/>
          <w:sz w:val="26"/>
          <w:szCs w:val="24"/>
          <w:lang w:val="en-GB"/>
          <w14:textOutline w14:w="9525" w14:cap="rnd" w14:cmpd="sng" w14:algn="ctr">
            <w14:noFill/>
            <w14:prstDash w14:val="solid"/>
            <w14:bevel/>
          </w14:textOutline>
        </w:rPr>
      </w:pPr>
      <w:r w:rsidRPr="00845FB7">
        <w:rPr>
          <w:lang w:val="en-GB"/>
        </w:rPr>
        <w:br w:type="page"/>
      </w:r>
    </w:p>
    <w:p w14:paraId="77A34CCD" w14:textId="77777777" w:rsidR="00B3795B" w:rsidRPr="00845FB7" w:rsidRDefault="00B3795B" w:rsidP="00B3795B">
      <w:pPr>
        <w:pStyle w:val="Heading3"/>
        <w:rPr>
          <w:lang w:val="en-GB"/>
        </w:rPr>
        <w:sectPr w:rsidR="00B3795B" w:rsidRPr="00845FB7" w:rsidSect="00906D6E">
          <w:headerReference w:type="first" r:id="rId59"/>
          <w:footerReference w:type="first" r:id="rId60"/>
          <w:pgSz w:w="11906" w:h="16838" w:code="9"/>
          <w:pgMar w:top="907" w:right="992" w:bottom="1418" w:left="1418" w:header="539" w:footer="975" w:gutter="0"/>
          <w:cols w:space="708"/>
          <w:titlePg/>
          <w:docGrid w:linePitch="360"/>
        </w:sectPr>
      </w:pPr>
    </w:p>
    <w:p w14:paraId="4EC642C4" w14:textId="6AFDD06E" w:rsidR="00B3795B" w:rsidRPr="00845FB7" w:rsidRDefault="00B3795B" w:rsidP="00B3795B">
      <w:pPr>
        <w:pStyle w:val="Heading3"/>
        <w:rPr>
          <w:sz w:val="24"/>
          <w:lang w:val="en-GB"/>
        </w:rPr>
      </w:pPr>
      <w:r w:rsidRPr="00845FB7">
        <w:rPr>
          <w:sz w:val="24"/>
          <w:lang w:val="en-GB"/>
        </w:rPr>
        <w:lastRenderedPageBreak/>
        <w:t>Resources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853"/>
        <w:gridCol w:w="747"/>
        <w:gridCol w:w="1125"/>
        <w:gridCol w:w="816"/>
        <w:gridCol w:w="681"/>
        <w:gridCol w:w="1090"/>
        <w:gridCol w:w="816"/>
        <w:gridCol w:w="747"/>
        <w:gridCol w:w="1165"/>
        <w:gridCol w:w="686"/>
        <w:gridCol w:w="675"/>
        <w:gridCol w:w="1177"/>
      </w:tblGrid>
      <w:tr w:rsidR="00B3795B" w:rsidRPr="00922BDA" w14:paraId="3047F9BF" w14:textId="77777777" w:rsidTr="00BD36F8">
        <w:trPr>
          <w:trHeight w:val="300"/>
          <w:jc w:val="center"/>
        </w:trPr>
        <w:tc>
          <w:tcPr>
            <w:tcW w:w="1332" w:type="pct"/>
            <w:vMerge w:val="restart"/>
            <w:noWrap/>
            <w:vAlign w:val="center"/>
            <w:hideMark/>
          </w:tcPr>
          <w:p w14:paraId="26FC416E"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Activity/Output</w:t>
            </w:r>
          </w:p>
        </w:tc>
        <w:tc>
          <w:tcPr>
            <w:tcW w:w="1842" w:type="pct"/>
            <w:gridSpan w:val="6"/>
            <w:noWrap/>
            <w:vAlign w:val="center"/>
            <w:hideMark/>
          </w:tcPr>
          <w:p w14:paraId="3666E5D7" w14:textId="0C0C9D68"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5</w:t>
            </w:r>
            <w:r w:rsidR="00EA0686" w:rsidRPr="00922BDA">
              <w:rPr>
                <w:rFonts w:eastAsia="Times New Roman" w:cstheme="majorBidi"/>
                <w:b/>
                <w:bCs/>
                <w:color w:val="000000"/>
                <w:sz w:val="16"/>
                <w:szCs w:val="16"/>
                <w:lang w:val="en-GB"/>
              </w:rPr>
              <w:t xml:space="preserve"> per cent</w:t>
            </w:r>
            <w:r w:rsidRPr="00922BDA">
              <w:rPr>
                <w:rFonts w:eastAsia="Times New Roman" w:cstheme="majorBidi"/>
                <w:b/>
                <w:bCs/>
                <w:color w:val="000000"/>
                <w:sz w:val="16"/>
                <w:szCs w:val="16"/>
                <w:lang w:val="en-GB"/>
              </w:rPr>
              <w:t xml:space="preserve"> scenario (</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1826" w:type="pct"/>
            <w:gridSpan w:val="6"/>
            <w:noWrap/>
            <w:vAlign w:val="center"/>
            <w:hideMark/>
          </w:tcPr>
          <w:p w14:paraId="248C2A85" w14:textId="136D5856"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Zero nominal growth scenario (</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r>
      <w:tr w:rsidR="00B3795B" w:rsidRPr="00922BDA" w14:paraId="356D6E2A" w14:textId="77777777" w:rsidTr="00BD36F8">
        <w:trPr>
          <w:trHeight w:val="300"/>
          <w:jc w:val="center"/>
        </w:trPr>
        <w:tc>
          <w:tcPr>
            <w:tcW w:w="1332" w:type="pct"/>
            <w:vMerge/>
            <w:vAlign w:val="center"/>
            <w:hideMark/>
          </w:tcPr>
          <w:p w14:paraId="5444EE86" w14:textId="77777777" w:rsidR="00B3795B" w:rsidRPr="00922BDA" w:rsidRDefault="00B3795B" w:rsidP="00A10FE4">
            <w:pPr>
              <w:spacing w:after="0" w:line="240" w:lineRule="auto"/>
              <w:jc w:val="left"/>
              <w:rPr>
                <w:rFonts w:eastAsia="Times New Roman" w:cstheme="majorBidi"/>
                <w:b/>
                <w:bCs/>
                <w:color w:val="000000"/>
                <w:sz w:val="16"/>
                <w:szCs w:val="16"/>
                <w:lang w:val="en-GB"/>
              </w:rPr>
            </w:pPr>
          </w:p>
        </w:tc>
        <w:tc>
          <w:tcPr>
            <w:tcW w:w="945" w:type="pct"/>
            <w:gridSpan w:val="3"/>
            <w:vAlign w:val="center"/>
            <w:hideMark/>
          </w:tcPr>
          <w:p w14:paraId="737F7839" w14:textId="73498C39"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General </w:t>
            </w:r>
            <w:r w:rsidR="00EA0686"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EA0686"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c>
          <w:tcPr>
            <w:tcW w:w="897" w:type="pct"/>
            <w:gridSpan w:val="3"/>
            <w:vAlign w:val="center"/>
            <w:hideMark/>
          </w:tcPr>
          <w:p w14:paraId="7C3411F9" w14:textId="60D6CB8E"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Special </w:t>
            </w:r>
            <w:r w:rsidR="00EA0686"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EA0686"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c>
          <w:tcPr>
            <w:tcW w:w="946" w:type="pct"/>
            <w:gridSpan w:val="3"/>
            <w:vAlign w:val="center"/>
            <w:hideMark/>
          </w:tcPr>
          <w:p w14:paraId="74A2739E" w14:textId="337B4C33"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General </w:t>
            </w:r>
            <w:r w:rsidR="00EA0686"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EA0686"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c>
          <w:tcPr>
            <w:tcW w:w="880" w:type="pct"/>
            <w:gridSpan w:val="3"/>
            <w:vAlign w:val="center"/>
            <w:hideMark/>
          </w:tcPr>
          <w:p w14:paraId="173A5F79" w14:textId="2EAAEC02"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Special </w:t>
            </w:r>
            <w:r w:rsidR="00EA0686" w:rsidRPr="00922BDA">
              <w:rPr>
                <w:rFonts w:eastAsia="Times New Roman" w:cstheme="majorBidi"/>
                <w:b/>
                <w:bCs/>
                <w:color w:val="000000"/>
                <w:sz w:val="16"/>
                <w:szCs w:val="16"/>
                <w:lang w:val="en-GB"/>
              </w:rPr>
              <w:t>t</w:t>
            </w:r>
            <w:r w:rsidRPr="00922BDA">
              <w:rPr>
                <w:rFonts w:eastAsia="Times New Roman" w:cstheme="majorBidi"/>
                <w:b/>
                <w:bCs/>
                <w:color w:val="000000"/>
                <w:sz w:val="16"/>
                <w:szCs w:val="16"/>
                <w:lang w:val="en-GB"/>
              </w:rPr>
              <w:t xml:space="preserve">rust </w:t>
            </w:r>
            <w:r w:rsidR="00EA0686" w:rsidRPr="00922BDA">
              <w:rPr>
                <w:rFonts w:eastAsia="Times New Roman" w:cstheme="majorBidi"/>
                <w:b/>
                <w:bCs/>
                <w:color w:val="000000"/>
                <w:sz w:val="16"/>
                <w:szCs w:val="16"/>
                <w:lang w:val="en-GB"/>
              </w:rPr>
              <w:t>f</w:t>
            </w:r>
            <w:r w:rsidRPr="00922BDA">
              <w:rPr>
                <w:rFonts w:eastAsia="Times New Roman" w:cstheme="majorBidi"/>
                <w:b/>
                <w:bCs/>
                <w:color w:val="000000"/>
                <w:sz w:val="16"/>
                <w:szCs w:val="16"/>
                <w:lang w:val="en-GB"/>
              </w:rPr>
              <w:t>und</w:t>
            </w:r>
          </w:p>
        </w:tc>
      </w:tr>
      <w:tr w:rsidR="004D38FB" w:rsidRPr="00922BDA" w14:paraId="32CF473E" w14:textId="77777777" w:rsidTr="00BD36F8">
        <w:trPr>
          <w:trHeight w:val="480"/>
          <w:jc w:val="center"/>
        </w:trPr>
        <w:tc>
          <w:tcPr>
            <w:tcW w:w="1332" w:type="pct"/>
            <w:noWrap/>
            <w:vAlign w:val="center"/>
            <w:hideMark/>
          </w:tcPr>
          <w:p w14:paraId="4228067E"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w:t>
            </w:r>
          </w:p>
        </w:tc>
        <w:tc>
          <w:tcPr>
            <w:tcW w:w="296" w:type="pct"/>
            <w:vAlign w:val="center"/>
            <w:hideMark/>
          </w:tcPr>
          <w:p w14:paraId="148DE352" w14:textId="31A0FA19"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6</w:t>
            </w:r>
          </w:p>
        </w:tc>
        <w:tc>
          <w:tcPr>
            <w:tcW w:w="259" w:type="pct"/>
            <w:vAlign w:val="center"/>
            <w:hideMark/>
          </w:tcPr>
          <w:p w14:paraId="22568893" w14:textId="403B4E6D"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7</w:t>
            </w:r>
          </w:p>
        </w:tc>
        <w:tc>
          <w:tcPr>
            <w:tcW w:w="389" w:type="pct"/>
            <w:vAlign w:val="center"/>
            <w:hideMark/>
          </w:tcPr>
          <w:p w14:paraId="6CC22353" w14:textId="6472A487"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283" w:type="pct"/>
            <w:vAlign w:val="center"/>
            <w:hideMark/>
          </w:tcPr>
          <w:p w14:paraId="6ED222A2" w14:textId="4EC61576"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6</w:t>
            </w:r>
          </w:p>
        </w:tc>
        <w:tc>
          <w:tcPr>
            <w:tcW w:w="236" w:type="pct"/>
            <w:vAlign w:val="center"/>
            <w:hideMark/>
          </w:tcPr>
          <w:p w14:paraId="0E8787E2" w14:textId="52F9DCF9"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7</w:t>
            </w:r>
          </w:p>
        </w:tc>
        <w:tc>
          <w:tcPr>
            <w:tcW w:w="378" w:type="pct"/>
            <w:vAlign w:val="center"/>
            <w:hideMark/>
          </w:tcPr>
          <w:p w14:paraId="0074934A" w14:textId="406F07AA"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283" w:type="pct"/>
            <w:vAlign w:val="center"/>
            <w:hideMark/>
          </w:tcPr>
          <w:p w14:paraId="13433B7A" w14:textId="458006FF"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6</w:t>
            </w:r>
          </w:p>
        </w:tc>
        <w:tc>
          <w:tcPr>
            <w:tcW w:w="259" w:type="pct"/>
            <w:vAlign w:val="center"/>
            <w:hideMark/>
          </w:tcPr>
          <w:p w14:paraId="154D76A4" w14:textId="2D2B5647"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7</w:t>
            </w:r>
          </w:p>
        </w:tc>
        <w:tc>
          <w:tcPr>
            <w:tcW w:w="404" w:type="pct"/>
            <w:vAlign w:val="center"/>
            <w:hideMark/>
          </w:tcPr>
          <w:p w14:paraId="57CD1CD9" w14:textId="70E1A371"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c>
          <w:tcPr>
            <w:tcW w:w="238" w:type="pct"/>
            <w:vAlign w:val="center"/>
            <w:hideMark/>
          </w:tcPr>
          <w:p w14:paraId="72D899EB" w14:textId="6F0E6A1B"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6</w:t>
            </w:r>
          </w:p>
        </w:tc>
        <w:tc>
          <w:tcPr>
            <w:tcW w:w="234" w:type="pct"/>
            <w:vAlign w:val="center"/>
            <w:hideMark/>
          </w:tcPr>
          <w:p w14:paraId="7A95AFDF" w14:textId="43D4A0EB"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202</w:t>
            </w:r>
            <w:r w:rsidR="009A33A7" w:rsidRPr="00922BDA">
              <w:rPr>
                <w:rFonts w:eastAsia="Times New Roman" w:cstheme="majorBidi"/>
                <w:b/>
                <w:bCs/>
                <w:color w:val="000000"/>
                <w:sz w:val="16"/>
                <w:szCs w:val="16"/>
                <w:lang w:val="en-GB"/>
              </w:rPr>
              <w:t>7</w:t>
            </w:r>
          </w:p>
        </w:tc>
        <w:tc>
          <w:tcPr>
            <w:tcW w:w="408" w:type="pct"/>
            <w:vAlign w:val="center"/>
            <w:hideMark/>
          </w:tcPr>
          <w:p w14:paraId="5B89069B" w14:textId="36F97F81" w:rsidR="00B3795B" w:rsidRPr="00922BDA" w:rsidRDefault="00B3795B" w:rsidP="00A10FE4">
            <w:pPr>
              <w:spacing w:after="0" w:line="240" w:lineRule="auto"/>
              <w:jc w:val="center"/>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Total </w:t>
            </w:r>
            <w:r w:rsidRPr="00922BDA">
              <w:rPr>
                <w:rFonts w:eastAsia="Times New Roman" w:cstheme="majorBidi"/>
                <w:b/>
                <w:bCs/>
                <w:color w:val="000000"/>
                <w:sz w:val="16"/>
                <w:szCs w:val="16"/>
                <w:lang w:val="en-GB"/>
              </w:rPr>
              <w:br/>
              <w:t>(</w:t>
            </w:r>
            <w:r w:rsidR="00E2051A" w:rsidRPr="00922BDA">
              <w:rPr>
                <w:rFonts w:eastAsia="Times New Roman" w:cstheme="majorBidi"/>
                <w:b/>
                <w:bCs/>
                <w:color w:val="000000"/>
                <w:sz w:val="16"/>
                <w:szCs w:val="16"/>
                <w:lang w:val="en-GB"/>
              </w:rPr>
              <w:t>2026–2027</w:t>
            </w:r>
            <w:r w:rsidRPr="00922BDA">
              <w:rPr>
                <w:rFonts w:eastAsia="Times New Roman" w:cstheme="majorBidi"/>
                <w:b/>
                <w:bCs/>
                <w:color w:val="000000"/>
                <w:sz w:val="16"/>
                <w:szCs w:val="16"/>
                <w:lang w:val="en-GB"/>
              </w:rPr>
              <w:t>)</w:t>
            </w:r>
          </w:p>
        </w:tc>
      </w:tr>
      <w:tr w:rsidR="00B3795B" w:rsidRPr="00922BDA" w14:paraId="2173AB47" w14:textId="77777777" w:rsidTr="00BD36F8">
        <w:trPr>
          <w:trHeight w:val="300"/>
          <w:jc w:val="center"/>
        </w:trPr>
        <w:tc>
          <w:tcPr>
            <w:tcW w:w="5000" w:type="pct"/>
            <w:gridSpan w:val="13"/>
            <w:noWrap/>
            <w:vAlign w:val="center"/>
            <w:hideMark/>
          </w:tcPr>
          <w:p w14:paraId="54ECF4AE" w14:textId="77777777" w:rsidR="00B3795B" w:rsidRPr="00922BDA" w:rsidRDefault="00B3795B" w:rsidP="00A10FE4">
            <w:pPr>
              <w:spacing w:after="0" w:line="240" w:lineRule="auto"/>
              <w:jc w:val="lef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9.1. Communication, outreach and public awareness</w:t>
            </w:r>
          </w:p>
        </w:tc>
      </w:tr>
      <w:tr w:rsidR="004D38FB" w:rsidRPr="00922BDA" w14:paraId="3DF3D5A5" w14:textId="77777777" w:rsidTr="00BD36F8">
        <w:trPr>
          <w:trHeight w:val="377"/>
          <w:jc w:val="center"/>
        </w:trPr>
        <w:tc>
          <w:tcPr>
            <w:tcW w:w="1332" w:type="pct"/>
            <w:vAlign w:val="center"/>
            <w:hideMark/>
          </w:tcPr>
          <w:p w14:paraId="6D7E8421" w14:textId="77777777" w:rsidR="00B3795B" w:rsidRPr="00922BDA" w:rsidRDefault="00B3795B" w:rsidP="00A10FE4">
            <w:pPr>
              <w:spacing w:after="0" w:line="240" w:lineRule="auto"/>
              <w:jc w:val="left"/>
              <w:rPr>
                <w:rFonts w:eastAsia="Times New Roman" w:cstheme="majorBidi"/>
                <w:sz w:val="16"/>
                <w:szCs w:val="16"/>
                <w:lang w:val="en-GB"/>
              </w:rPr>
            </w:pPr>
            <w:r w:rsidRPr="00922BDA">
              <w:rPr>
                <w:rFonts w:eastAsia="Times New Roman" w:cstheme="majorBidi"/>
                <w:sz w:val="16"/>
                <w:szCs w:val="16"/>
                <w:lang w:val="en-GB"/>
              </w:rPr>
              <w:t>Strategic communication</w:t>
            </w:r>
          </w:p>
        </w:tc>
        <w:tc>
          <w:tcPr>
            <w:tcW w:w="296" w:type="pct"/>
            <w:noWrap/>
            <w:vAlign w:val="center"/>
          </w:tcPr>
          <w:p w14:paraId="299FCED1" w14:textId="08E17E84" w:rsidR="00B3795B" w:rsidRPr="00922BDA" w:rsidRDefault="007B3F56" w:rsidP="00A10FE4">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32</w:t>
            </w:r>
            <w:r w:rsidR="00B3795B" w:rsidRPr="00922BDA">
              <w:rPr>
                <w:rFonts w:eastAsia="Times New Roman" w:cstheme="majorBidi"/>
                <w:color w:val="000000"/>
                <w:sz w:val="16"/>
                <w:szCs w:val="16"/>
                <w:lang w:val="en-GB"/>
              </w:rPr>
              <w:t>,000</w:t>
            </w:r>
          </w:p>
        </w:tc>
        <w:tc>
          <w:tcPr>
            <w:tcW w:w="259" w:type="pct"/>
            <w:noWrap/>
            <w:vAlign w:val="center"/>
          </w:tcPr>
          <w:p w14:paraId="72CDDFE5" w14:textId="57E475E2" w:rsidR="00B3795B" w:rsidRPr="00922BDA" w:rsidRDefault="009A33A7" w:rsidP="00A10FE4">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w:t>
            </w:r>
            <w:r w:rsidR="00B3795B" w:rsidRPr="00922BDA">
              <w:rPr>
                <w:rFonts w:eastAsia="Times New Roman" w:cstheme="majorBidi"/>
                <w:color w:val="000000"/>
                <w:sz w:val="16"/>
                <w:szCs w:val="16"/>
                <w:lang w:val="en-GB"/>
              </w:rPr>
              <w:t>0,000</w:t>
            </w:r>
          </w:p>
        </w:tc>
        <w:tc>
          <w:tcPr>
            <w:tcW w:w="389" w:type="pct"/>
            <w:noWrap/>
            <w:vAlign w:val="center"/>
          </w:tcPr>
          <w:p w14:paraId="5F134854" w14:textId="4F9B595D" w:rsidR="00B3795B" w:rsidRPr="00922BDA" w:rsidRDefault="005B7F39"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52</w:t>
            </w:r>
            <w:r w:rsidR="00B3795B" w:rsidRPr="00922BDA">
              <w:rPr>
                <w:rFonts w:eastAsia="Times New Roman" w:cstheme="majorBidi"/>
                <w:b/>
                <w:bCs/>
                <w:color w:val="000000"/>
                <w:sz w:val="16"/>
                <w:szCs w:val="16"/>
                <w:lang w:val="en-GB"/>
              </w:rPr>
              <w:t>,000</w:t>
            </w:r>
          </w:p>
        </w:tc>
        <w:tc>
          <w:tcPr>
            <w:tcW w:w="283" w:type="pct"/>
            <w:noWrap/>
            <w:vAlign w:val="center"/>
          </w:tcPr>
          <w:p w14:paraId="01CAAD57"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236" w:type="pct"/>
            <w:noWrap/>
            <w:vAlign w:val="center"/>
          </w:tcPr>
          <w:p w14:paraId="57688885"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378" w:type="pct"/>
            <w:noWrap/>
            <w:vAlign w:val="center"/>
          </w:tcPr>
          <w:p w14:paraId="604A2CB6"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283" w:type="pct"/>
            <w:noWrap/>
            <w:vAlign w:val="center"/>
          </w:tcPr>
          <w:p w14:paraId="18A21D28" w14:textId="3BC55B93" w:rsidR="00B3795B" w:rsidRPr="00922BDA" w:rsidRDefault="007B3F56" w:rsidP="003050D7">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32</w:t>
            </w:r>
            <w:r w:rsidR="00B3795B" w:rsidRPr="00922BDA">
              <w:rPr>
                <w:rFonts w:eastAsia="Times New Roman" w:cstheme="majorBidi"/>
                <w:color w:val="000000"/>
                <w:sz w:val="16"/>
                <w:szCs w:val="16"/>
                <w:lang w:val="en-GB"/>
              </w:rPr>
              <w:t>,000</w:t>
            </w:r>
          </w:p>
        </w:tc>
        <w:tc>
          <w:tcPr>
            <w:tcW w:w="259" w:type="pct"/>
            <w:noWrap/>
            <w:vAlign w:val="center"/>
          </w:tcPr>
          <w:p w14:paraId="1E45559C" w14:textId="284B338D" w:rsidR="00B3795B" w:rsidRPr="00922BDA" w:rsidRDefault="005B7F39" w:rsidP="003050D7">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20</w:t>
            </w:r>
            <w:r w:rsidR="00B3795B" w:rsidRPr="00922BDA">
              <w:rPr>
                <w:rFonts w:eastAsia="Times New Roman" w:cstheme="majorBidi"/>
                <w:color w:val="000000"/>
                <w:sz w:val="16"/>
                <w:szCs w:val="16"/>
                <w:lang w:val="en-GB"/>
              </w:rPr>
              <w:t>,000</w:t>
            </w:r>
          </w:p>
        </w:tc>
        <w:tc>
          <w:tcPr>
            <w:tcW w:w="404" w:type="pct"/>
            <w:noWrap/>
            <w:vAlign w:val="center"/>
          </w:tcPr>
          <w:p w14:paraId="64F1FF7C" w14:textId="47552A5F" w:rsidR="00B3795B" w:rsidRPr="00922BDA" w:rsidRDefault="005B7F39"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52</w:t>
            </w:r>
            <w:r w:rsidR="00B3795B" w:rsidRPr="00922BDA">
              <w:rPr>
                <w:rFonts w:eastAsia="Times New Roman" w:cstheme="majorBidi"/>
                <w:b/>
                <w:bCs/>
                <w:color w:val="000000"/>
                <w:sz w:val="16"/>
                <w:szCs w:val="16"/>
                <w:lang w:val="en-GB"/>
              </w:rPr>
              <w:t>,000</w:t>
            </w:r>
          </w:p>
        </w:tc>
        <w:tc>
          <w:tcPr>
            <w:tcW w:w="238" w:type="pct"/>
            <w:noWrap/>
            <w:vAlign w:val="center"/>
          </w:tcPr>
          <w:p w14:paraId="32E332A1"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234" w:type="pct"/>
            <w:noWrap/>
            <w:vAlign w:val="center"/>
          </w:tcPr>
          <w:p w14:paraId="511A2A9F"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408" w:type="pct"/>
            <w:noWrap/>
            <w:vAlign w:val="center"/>
          </w:tcPr>
          <w:p w14:paraId="73E1F152"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r>
      <w:tr w:rsidR="004D38FB" w:rsidRPr="00922BDA" w14:paraId="6D5B6140" w14:textId="77777777" w:rsidTr="00BD36F8">
        <w:trPr>
          <w:trHeight w:val="300"/>
          <w:jc w:val="center"/>
        </w:trPr>
        <w:tc>
          <w:tcPr>
            <w:tcW w:w="1332" w:type="pct"/>
            <w:vAlign w:val="center"/>
          </w:tcPr>
          <w:p w14:paraId="7791B511" w14:textId="545B3143" w:rsidR="005B7F39" w:rsidRPr="00922BDA" w:rsidRDefault="005B7F39" w:rsidP="00A10FE4">
            <w:pPr>
              <w:spacing w:after="0" w:line="240" w:lineRule="auto"/>
              <w:jc w:val="left"/>
              <w:rPr>
                <w:rFonts w:eastAsia="Times New Roman" w:cstheme="majorBidi"/>
                <w:sz w:val="16"/>
                <w:szCs w:val="16"/>
                <w:lang w:val="en-GB"/>
              </w:rPr>
            </w:pPr>
            <w:r w:rsidRPr="00922BDA">
              <w:rPr>
                <w:rFonts w:eastAsia="Times New Roman" w:cstheme="majorBidi"/>
                <w:sz w:val="16"/>
                <w:szCs w:val="16"/>
                <w:lang w:val="en-GB"/>
              </w:rPr>
              <w:t>ENB coverage at COP</w:t>
            </w:r>
          </w:p>
        </w:tc>
        <w:tc>
          <w:tcPr>
            <w:tcW w:w="296" w:type="pct"/>
            <w:noWrap/>
            <w:vAlign w:val="center"/>
          </w:tcPr>
          <w:p w14:paraId="2BDC4D3B" w14:textId="77777777" w:rsidR="005B7F39" w:rsidRPr="00922BDA" w:rsidRDefault="005B7F39" w:rsidP="00A10FE4">
            <w:pPr>
              <w:spacing w:after="0" w:line="240" w:lineRule="auto"/>
              <w:jc w:val="right"/>
              <w:rPr>
                <w:rFonts w:eastAsia="Times New Roman" w:cstheme="majorBidi"/>
                <w:color w:val="000000"/>
                <w:sz w:val="16"/>
                <w:szCs w:val="16"/>
                <w:lang w:val="en-GB"/>
              </w:rPr>
            </w:pPr>
          </w:p>
        </w:tc>
        <w:tc>
          <w:tcPr>
            <w:tcW w:w="259" w:type="pct"/>
            <w:noWrap/>
            <w:vAlign w:val="center"/>
          </w:tcPr>
          <w:p w14:paraId="3D8B943F" w14:textId="1F5C0357" w:rsidR="005B7F39" w:rsidRPr="00922BDA" w:rsidRDefault="005B7F39" w:rsidP="00A10FE4">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20</w:t>
            </w:r>
            <w:r w:rsidR="00853544" w:rsidRPr="00922BDA">
              <w:rPr>
                <w:rFonts w:eastAsia="Times New Roman" w:cstheme="majorBidi"/>
                <w:color w:val="000000"/>
                <w:sz w:val="16"/>
                <w:szCs w:val="16"/>
                <w:lang w:val="en-GB"/>
              </w:rPr>
              <w:t>,000</w:t>
            </w:r>
          </w:p>
        </w:tc>
        <w:tc>
          <w:tcPr>
            <w:tcW w:w="389" w:type="pct"/>
            <w:noWrap/>
            <w:vAlign w:val="center"/>
          </w:tcPr>
          <w:p w14:paraId="2EC2F720" w14:textId="15F8E526" w:rsidR="005B7F39" w:rsidRPr="00922BDA" w:rsidRDefault="00853544"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20,000</w:t>
            </w:r>
          </w:p>
        </w:tc>
        <w:tc>
          <w:tcPr>
            <w:tcW w:w="283" w:type="pct"/>
            <w:noWrap/>
            <w:vAlign w:val="center"/>
          </w:tcPr>
          <w:p w14:paraId="088F4FFC" w14:textId="77777777" w:rsidR="005B7F39" w:rsidRPr="00922BDA" w:rsidRDefault="005B7F39" w:rsidP="00A10FE4">
            <w:pPr>
              <w:spacing w:after="0" w:line="240" w:lineRule="auto"/>
              <w:jc w:val="center"/>
              <w:rPr>
                <w:rFonts w:eastAsia="Times New Roman" w:cstheme="majorBidi"/>
                <w:color w:val="000000"/>
                <w:sz w:val="16"/>
                <w:szCs w:val="16"/>
                <w:lang w:val="en-GB"/>
              </w:rPr>
            </w:pPr>
          </w:p>
        </w:tc>
        <w:tc>
          <w:tcPr>
            <w:tcW w:w="236" w:type="pct"/>
            <w:noWrap/>
            <w:vAlign w:val="center"/>
          </w:tcPr>
          <w:p w14:paraId="7CFC235A" w14:textId="77777777" w:rsidR="005B7F39" w:rsidRPr="00922BDA" w:rsidRDefault="005B7F39" w:rsidP="00A10FE4">
            <w:pPr>
              <w:spacing w:after="0" w:line="240" w:lineRule="auto"/>
              <w:jc w:val="center"/>
              <w:rPr>
                <w:rFonts w:eastAsia="Times New Roman" w:cstheme="majorBidi"/>
                <w:color w:val="000000"/>
                <w:sz w:val="16"/>
                <w:szCs w:val="16"/>
                <w:lang w:val="en-GB"/>
              </w:rPr>
            </w:pPr>
          </w:p>
        </w:tc>
        <w:tc>
          <w:tcPr>
            <w:tcW w:w="378" w:type="pct"/>
            <w:noWrap/>
            <w:vAlign w:val="center"/>
          </w:tcPr>
          <w:p w14:paraId="6FE5255C" w14:textId="77777777" w:rsidR="005B7F39" w:rsidRPr="00922BDA" w:rsidRDefault="005B7F39" w:rsidP="00A10FE4">
            <w:pPr>
              <w:spacing w:after="0" w:line="240" w:lineRule="auto"/>
              <w:jc w:val="center"/>
              <w:rPr>
                <w:rFonts w:eastAsia="Times New Roman" w:cstheme="majorBidi"/>
                <w:color w:val="000000"/>
                <w:sz w:val="16"/>
                <w:szCs w:val="16"/>
                <w:lang w:val="en-GB"/>
              </w:rPr>
            </w:pPr>
          </w:p>
        </w:tc>
        <w:tc>
          <w:tcPr>
            <w:tcW w:w="283" w:type="pct"/>
            <w:noWrap/>
            <w:vAlign w:val="center"/>
          </w:tcPr>
          <w:p w14:paraId="44D72964" w14:textId="77777777" w:rsidR="005B7F39" w:rsidRPr="00922BDA" w:rsidRDefault="005B7F39" w:rsidP="003050D7">
            <w:pPr>
              <w:spacing w:after="0" w:line="240" w:lineRule="auto"/>
              <w:jc w:val="right"/>
              <w:rPr>
                <w:rFonts w:eastAsia="Times New Roman" w:cstheme="majorBidi"/>
                <w:color w:val="000000"/>
                <w:sz w:val="16"/>
                <w:szCs w:val="16"/>
                <w:lang w:val="en-GB"/>
              </w:rPr>
            </w:pPr>
          </w:p>
        </w:tc>
        <w:tc>
          <w:tcPr>
            <w:tcW w:w="259" w:type="pct"/>
            <w:noWrap/>
            <w:vAlign w:val="center"/>
          </w:tcPr>
          <w:p w14:paraId="0D5BBB9F" w14:textId="007E208F" w:rsidR="005B7F39" w:rsidRPr="00922BDA" w:rsidRDefault="00853544" w:rsidP="003050D7">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20,000</w:t>
            </w:r>
          </w:p>
        </w:tc>
        <w:tc>
          <w:tcPr>
            <w:tcW w:w="404" w:type="pct"/>
            <w:noWrap/>
            <w:vAlign w:val="center"/>
          </w:tcPr>
          <w:p w14:paraId="13397185" w14:textId="69468187" w:rsidR="005B7F39" w:rsidRPr="00922BDA" w:rsidRDefault="00853544"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20,000</w:t>
            </w:r>
          </w:p>
        </w:tc>
        <w:tc>
          <w:tcPr>
            <w:tcW w:w="238" w:type="pct"/>
            <w:noWrap/>
            <w:vAlign w:val="center"/>
          </w:tcPr>
          <w:p w14:paraId="1DC4BBFB" w14:textId="77777777" w:rsidR="005B7F39" w:rsidRPr="00922BDA" w:rsidRDefault="005B7F39" w:rsidP="00A10FE4">
            <w:pPr>
              <w:spacing w:after="0" w:line="240" w:lineRule="auto"/>
              <w:jc w:val="center"/>
              <w:rPr>
                <w:rFonts w:eastAsia="Times New Roman" w:cstheme="majorBidi"/>
                <w:color w:val="000000"/>
                <w:sz w:val="16"/>
                <w:szCs w:val="16"/>
                <w:lang w:val="en-GB"/>
              </w:rPr>
            </w:pPr>
          </w:p>
        </w:tc>
        <w:tc>
          <w:tcPr>
            <w:tcW w:w="234" w:type="pct"/>
            <w:noWrap/>
            <w:vAlign w:val="center"/>
          </w:tcPr>
          <w:p w14:paraId="1F6C5CA9" w14:textId="77777777" w:rsidR="005B7F39" w:rsidRPr="00922BDA" w:rsidRDefault="005B7F39" w:rsidP="00A10FE4">
            <w:pPr>
              <w:spacing w:after="0" w:line="240" w:lineRule="auto"/>
              <w:jc w:val="center"/>
              <w:rPr>
                <w:rFonts w:eastAsia="Times New Roman" w:cstheme="majorBidi"/>
                <w:color w:val="000000"/>
                <w:sz w:val="16"/>
                <w:szCs w:val="16"/>
                <w:lang w:val="en-GB"/>
              </w:rPr>
            </w:pPr>
          </w:p>
        </w:tc>
        <w:tc>
          <w:tcPr>
            <w:tcW w:w="408" w:type="pct"/>
            <w:noWrap/>
            <w:vAlign w:val="center"/>
          </w:tcPr>
          <w:p w14:paraId="1B2B7605" w14:textId="77777777" w:rsidR="005B7F39" w:rsidRPr="00922BDA" w:rsidRDefault="005B7F39" w:rsidP="00A10FE4">
            <w:pPr>
              <w:spacing w:after="0" w:line="240" w:lineRule="auto"/>
              <w:jc w:val="center"/>
              <w:rPr>
                <w:rFonts w:eastAsia="Times New Roman" w:cstheme="majorBidi"/>
                <w:color w:val="000000"/>
                <w:sz w:val="16"/>
                <w:szCs w:val="16"/>
                <w:lang w:val="en-GB"/>
              </w:rPr>
            </w:pPr>
          </w:p>
        </w:tc>
      </w:tr>
      <w:tr w:rsidR="004D38FB" w:rsidRPr="00922BDA" w14:paraId="191E7195" w14:textId="77777777" w:rsidTr="00BD36F8">
        <w:trPr>
          <w:trHeight w:val="300"/>
          <w:jc w:val="center"/>
        </w:trPr>
        <w:tc>
          <w:tcPr>
            <w:tcW w:w="1332" w:type="pct"/>
            <w:vAlign w:val="center"/>
            <w:hideMark/>
          </w:tcPr>
          <w:p w14:paraId="4E57E259" w14:textId="77777777" w:rsidR="00B3795B" w:rsidRPr="00922BDA" w:rsidRDefault="00B3795B" w:rsidP="00A10FE4">
            <w:pPr>
              <w:spacing w:after="0" w:line="240" w:lineRule="auto"/>
              <w:jc w:val="left"/>
              <w:rPr>
                <w:rFonts w:eastAsia="Times New Roman" w:cstheme="majorBidi"/>
                <w:sz w:val="16"/>
                <w:szCs w:val="16"/>
                <w:lang w:val="en-GB"/>
              </w:rPr>
            </w:pPr>
            <w:r w:rsidRPr="00922BDA">
              <w:rPr>
                <w:rFonts w:eastAsia="Times New Roman" w:cstheme="majorBidi"/>
                <w:sz w:val="16"/>
                <w:szCs w:val="16"/>
                <w:lang w:val="en-GB"/>
              </w:rPr>
              <w:t>Social media tools and licenses</w:t>
            </w:r>
          </w:p>
        </w:tc>
        <w:tc>
          <w:tcPr>
            <w:tcW w:w="296" w:type="pct"/>
            <w:noWrap/>
            <w:vAlign w:val="center"/>
          </w:tcPr>
          <w:p w14:paraId="1C934E25" w14:textId="77777777" w:rsidR="00B3795B" w:rsidRPr="00922BDA" w:rsidRDefault="00B3795B" w:rsidP="00A10FE4">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2,000</w:t>
            </w:r>
          </w:p>
        </w:tc>
        <w:tc>
          <w:tcPr>
            <w:tcW w:w="259" w:type="pct"/>
            <w:noWrap/>
            <w:vAlign w:val="center"/>
          </w:tcPr>
          <w:p w14:paraId="5A29A4CD" w14:textId="77777777" w:rsidR="00B3795B" w:rsidRPr="00922BDA" w:rsidRDefault="00B3795B" w:rsidP="00A10FE4">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2,000</w:t>
            </w:r>
          </w:p>
        </w:tc>
        <w:tc>
          <w:tcPr>
            <w:tcW w:w="389" w:type="pct"/>
            <w:noWrap/>
            <w:vAlign w:val="center"/>
          </w:tcPr>
          <w:p w14:paraId="0AA431A1" w14:textId="77777777" w:rsidR="00B3795B" w:rsidRPr="00922BDA" w:rsidRDefault="00B3795B"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4,000</w:t>
            </w:r>
          </w:p>
        </w:tc>
        <w:tc>
          <w:tcPr>
            <w:tcW w:w="283" w:type="pct"/>
            <w:noWrap/>
            <w:vAlign w:val="center"/>
          </w:tcPr>
          <w:p w14:paraId="5810A934"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236" w:type="pct"/>
            <w:noWrap/>
            <w:vAlign w:val="center"/>
          </w:tcPr>
          <w:p w14:paraId="1238272E"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378" w:type="pct"/>
            <w:noWrap/>
            <w:vAlign w:val="center"/>
          </w:tcPr>
          <w:p w14:paraId="0F43C9C9"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283" w:type="pct"/>
            <w:noWrap/>
            <w:vAlign w:val="center"/>
          </w:tcPr>
          <w:p w14:paraId="36A0CEBB" w14:textId="77777777" w:rsidR="00B3795B" w:rsidRPr="00922BDA" w:rsidRDefault="00B3795B" w:rsidP="003050D7">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2,000</w:t>
            </w:r>
          </w:p>
        </w:tc>
        <w:tc>
          <w:tcPr>
            <w:tcW w:w="259" w:type="pct"/>
            <w:noWrap/>
            <w:vAlign w:val="center"/>
          </w:tcPr>
          <w:p w14:paraId="5227A3F0" w14:textId="77777777" w:rsidR="00B3795B" w:rsidRPr="00922BDA" w:rsidRDefault="00B3795B" w:rsidP="003050D7">
            <w:pPr>
              <w:spacing w:after="0" w:line="240" w:lineRule="auto"/>
              <w:jc w:val="right"/>
              <w:rPr>
                <w:rFonts w:eastAsia="Times New Roman" w:cstheme="majorBidi"/>
                <w:color w:val="000000"/>
                <w:sz w:val="16"/>
                <w:szCs w:val="16"/>
                <w:lang w:val="en-GB"/>
              </w:rPr>
            </w:pPr>
            <w:r w:rsidRPr="00922BDA">
              <w:rPr>
                <w:rFonts w:eastAsia="Times New Roman" w:cstheme="majorBidi"/>
                <w:color w:val="000000"/>
                <w:sz w:val="16"/>
                <w:szCs w:val="16"/>
                <w:lang w:val="en-GB"/>
              </w:rPr>
              <w:t>2,000</w:t>
            </w:r>
          </w:p>
        </w:tc>
        <w:tc>
          <w:tcPr>
            <w:tcW w:w="404" w:type="pct"/>
            <w:noWrap/>
            <w:vAlign w:val="center"/>
          </w:tcPr>
          <w:p w14:paraId="55C91D61" w14:textId="77777777" w:rsidR="00B3795B" w:rsidRPr="00922BDA" w:rsidRDefault="00B3795B"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4,000</w:t>
            </w:r>
          </w:p>
        </w:tc>
        <w:tc>
          <w:tcPr>
            <w:tcW w:w="238" w:type="pct"/>
            <w:noWrap/>
            <w:vAlign w:val="center"/>
          </w:tcPr>
          <w:p w14:paraId="1F79015C"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234" w:type="pct"/>
            <w:noWrap/>
            <w:vAlign w:val="center"/>
          </w:tcPr>
          <w:p w14:paraId="0035E837"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c>
          <w:tcPr>
            <w:tcW w:w="408" w:type="pct"/>
            <w:noWrap/>
            <w:vAlign w:val="center"/>
          </w:tcPr>
          <w:p w14:paraId="2F1A2587" w14:textId="77777777" w:rsidR="00B3795B" w:rsidRPr="00922BDA" w:rsidRDefault="00B3795B" w:rsidP="00A10FE4">
            <w:pPr>
              <w:spacing w:after="0" w:line="240" w:lineRule="auto"/>
              <w:jc w:val="center"/>
              <w:rPr>
                <w:rFonts w:eastAsia="Times New Roman" w:cstheme="majorBidi"/>
                <w:color w:val="000000"/>
                <w:sz w:val="16"/>
                <w:szCs w:val="16"/>
                <w:lang w:val="en-GB"/>
              </w:rPr>
            </w:pPr>
          </w:p>
        </w:tc>
      </w:tr>
      <w:tr w:rsidR="004D38FB" w:rsidRPr="00922BDA" w14:paraId="1ADAB0D6" w14:textId="77777777" w:rsidTr="00BD36F8">
        <w:trPr>
          <w:trHeight w:val="300"/>
          <w:jc w:val="center"/>
        </w:trPr>
        <w:tc>
          <w:tcPr>
            <w:tcW w:w="1332" w:type="pct"/>
            <w:vAlign w:val="center"/>
          </w:tcPr>
          <w:p w14:paraId="3FF81235" w14:textId="77777777" w:rsidR="00B3795B" w:rsidRPr="00922BDA" w:rsidRDefault="00B3795B" w:rsidP="00A10FE4">
            <w:pPr>
              <w:spacing w:after="0" w:line="240" w:lineRule="auto"/>
              <w:jc w:val="right"/>
              <w:rPr>
                <w:rFonts w:eastAsia="Times New Roman" w:cstheme="majorBidi"/>
                <w:b/>
                <w:bCs/>
                <w:sz w:val="16"/>
                <w:szCs w:val="16"/>
                <w:lang w:val="en-GB"/>
              </w:rPr>
            </w:pPr>
            <w:r w:rsidRPr="00922BDA">
              <w:rPr>
                <w:rFonts w:eastAsia="Times New Roman" w:cstheme="majorBidi"/>
                <w:b/>
                <w:bCs/>
                <w:sz w:val="16"/>
                <w:szCs w:val="16"/>
                <w:lang w:val="en-GB"/>
              </w:rPr>
              <w:t>Component total</w:t>
            </w:r>
          </w:p>
        </w:tc>
        <w:tc>
          <w:tcPr>
            <w:tcW w:w="296" w:type="pct"/>
            <w:noWrap/>
            <w:vAlign w:val="center"/>
          </w:tcPr>
          <w:p w14:paraId="2ADF541F" w14:textId="2BA46830" w:rsidR="00B3795B" w:rsidRPr="00922BDA" w:rsidRDefault="00B764A0"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34</w:t>
            </w:r>
            <w:r w:rsidR="00B3795B" w:rsidRPr="00922BDA">
              <w:rPr>
                <w:rFonts w:eastAsia="Times New Roman" w:cstheme="majorBidi"/>
                <w:b/>
                <w:bCs/>
                <w:color w:val="000000"/>
                <w:sz w:val="16"/>
                <w:szCs w:val="16"/>
                <w:lang w:val="en-GB"/>
              </w:rPr>
              <w:t>,000</w:t>
            </w:r>
          </w:p>
        </w:tc>
        <w:tc>
          <w:tcPr>
            <w:tcW w:w="259" w:type="pct"/>
            <w:noWrap/>
            <w:vAlign w:val="center"/>
          </w:tcPr>
          <w:p w14:paraId="54AAED12" w14:textId="77777777" w:rsidR="00B3795B" w:rsidRPr="00922BDA" w:rsidRDefault="00B3795B"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42,000</w:t>
            </w:r>
          </w:p>
        </w:tc>
        <w:tc>
          <w:tcPr>
            <w:tcW w:w="389" w:type="pct"/>
            <w:noWrap/>
            <w:vAlign w:val="center"/>
          </w:tcPr>
          <w:p w14:paraId="3C55B424" w14:textId="5D3DC62A" w:rsidR="00B3795B" w:rsidRPr="00922BDA" w:rsidRDefault="004A740E"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76</w:t>
            </w:r>
            <w:r w:rsidR="00B3795B" w:rsidRPr="00922BDA">
              <w:rPr>
                <w:rFonts w:eastAsia="Times New Roman" w:cstheme="majorBidi"/>
                <w:b/>
                <w:bCs/>
                <w:color w:val="000000"/>
                <w:sz w:val="16"/>
                <w:szCs w:val="16"/>
                <w:lang w:val="en-GB"/>
              </w:rPr>
              <w:t>,000</w:t>
            </w:r>
          </w:p>
        </w:tc>
        <w:tc>
          <w:tcPr>
            <w:tcW w:w="283" w:type="pct"/>
            <w:noWrap/>
            <w:vAlign w:val="center"/>
          </w:tcPr>
          <w:p w14:paraId="3EEC926F"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236" w:type="pct"/>
            <w:noWrap/>
            <w:vAlign w:val="center"/>
          </w:tcPr>
          <w:p w14:paraId="14BA7F7F"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378" w:type="pct"/>
            <w:noWrap/>
            <w:vAlign w:val="center"/>
          </w:tcPr>
          <w:p w14:paraId="51B9F670"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283" w:type="pct"/>
            <w:noWrap/>
            <w:vAlign w:val="center"/>
          </w:tcPr>
          <w:p w14:paraId="66301594" w14:textId="25E81319" w:rsidR="00B3795B" w:rsidRPr="00922BDA" w:rsidRDefault="004A740E"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34</w:t>
            </w:r>
            <w:r w:rsidR="00B3795B" w:rsidRPr="00922BDA">
              <w:rPr>
                <w:rFonts w:eastAsia="Times New Roman" w:cstheme="majorBidi"/>
                <w:b/>
                <w:bCs/>
                <w:color w:val="000000"/>
                <w:sz w:val="16"/>
                <w:szCs w:val="16"/>
                <w:lang w:val="en-GB"/>
              </w:rPr>
              <w:t>,000</w:t>
            </w:r>
          </w:p>
        </w:tc>
        <w:tc>
          <w:tcPr>
            <w:tcW w:w="259" w:type="pct"/>
            <w:noWrap/>
            <w:vAlign w:val="center"/>
          </w:tcPr>
          <w:p w14:paraId="5DB8C85F" w14:textId="77777777" w:rsidR="00B3795B" w:rsidRPr="00922BDA" w:rsidRDefault="00B3795B"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42,000</w:t>
            </w:r>
          </w:p>
        </w:tc>
        <w:tc>
          <w:tcPr>
            <w:tcW w:w="404" w:type="pct"/>
            <w:noWrap/>
            <w:vAlign w:val="center"/>
          </w:tcPr>
          <w:p w14:paraId="14EBDD26" w14:textId="533177C1" w:rsidR="00B3795B" w:rsidRPr="00922BDA" w:rsidRDefault="004A740E"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76</w:t>
            </w:r>
            <w:r w:rsidR="00B3795B" w:rsidRPr="00922BDA">
              <w:rPr>
                <w:rFonts w:eastAsia="Times New Roman" w:cstheme="majorBidi"/>
                <w:b/>
                <w:bCs/>
                <w:color w:val="000000"/>
                <w:sz w:val="16"/>
                <w:szCs w:val="16"/>
                <w:lang w:val="en-GB"/>
              </w:rPr>
              <w:t>,000</w:t>
            </w:r>
          </w:p>
        </w:tc>
        <w:tc>
          <w:tcPr>
            <w:tcW w:w="238" w:type="pct"/>
            <w:noWrap/>
            <w:vAlign w:val="center"/>
          </w:tcPr>
          <w:p w14:paraId="378FBF37"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234" w:type="pct"/>
            <w:noWrap/>
            <w:vAlign w:val="center"/>
          </w:tcPr>
          <w:p w14:paraId="20A7749A"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408" w:type="pct"/>
            <w:noWrap/>
            <w:vAlign w:val="center"/>
          </w:tcPr>
          <w:p w14:paraId="533106B2"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r>
      <w:tr w:rsidR="004D38FB" w:rsidRPr="00922BDA" w14:paraId="01304E50" w14:textId="77777777" w:rsidTr="00BD36F8">
        <w:trPr>
          <w:trHeight w:val="300"/>
          <w:jc w:val="center"/>
        </w:trPr>
        <w:tc>
          <w:tcPr>
            <w:tcW w:w="1332" w:type="pct"/>
            <w:noWrap/>
            <w:vAlign w:val="center"/>
            <w:hideMark/>
          </w:tcPr>
          <w:p w14:paraId="52BEB0DF" w14:textId="77777777" w:rsidR="00B3795B" w:rsidRPr="00922BDA" w:rsidRDefault="00B3795B"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 xml:space="preserve">Grand Total </w:t>
            </w:r>
          </w:p>
        </w:tc>
        <w:tc>
          <w:tcPr>
            <w:tcW w:w="296" w:type="pct"/>
            <w:noWrap/>
            <w:vAlign w:val="center"/>
          </w:tcPr>
          <w:p w14:paraId="78943E83" w14:textId="2BCC0081" w:rsidR="00B3795B" w:rsidRPr="00922BDA" w:rsidRDefault="00B764A0"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34</w:t>
            </w:r>
            <w:r w:rsidR="00B3795B" w:rsidRPr="00922BDA">
              <w:rPr>
                <w:rFonts w:eastAsia="Times New Roman" w:cstheme="majorBidi"/>
                <w:b/>
                <w:bCs/>
                <w:color w:val="000000"/>
                <w:sz w:val="16"/>
                <w:szCs w:val="16"/>
                <w:lang w:val="en-GB"/>
              </w:rPr>
              <w:t>,000</w:t>
            </w:r>
          </w:p>
        </w:tc>
        <w:tc>
          <w:tcPr>
            <w:tcW w:w="259" w:type="pct"/>
            <w:noWrap/>
            <w:vAlign w:val="center"/>
          </w:tcPr>
          <w:p w14:paraId="6A2F302F" w14:textId="77777777" w:rsidR="00B3795B" w:rsidRPr="00922BDA" w:rsidRDefault="00B3795B"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42,000</w:t>
            </w:r>
          </w:p>
        </w:tc>
        <w:tc>
          <w:tcPr>
            <w:tcW w:w="389" w:type="pct"/>
            <w:noWrap/>
            <w:vAlign w:val="center"/>
          </w:tcPr>
          <w:p w14:paraId="2F585A02" w14:textId="4C3C2317" w:rsidR="00B3795B" w:rsidRPr="00922BDA" w:rsidRDefault="004A740E" w:rsidP="00A10FE4">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76</w:t>
            </w:r>
            <w:r w:rsidR="00B3795B" w:rsidRPr="00922BDA">
              <w:rPr>
                <w:rFonts w:eastAsia="Times New Roman" w:cstheme="majorBidi"/>
                <w:b/>
                <w:bCs/>
                <w:color w:val="000000"/>
                <w:sz w:val="16"/>
                <w:szCs w:val="16"/>
                <w:lang w:val="en-GB"/>
              </w:rPr>
              <w:t>,000</w:t>
            </w:r>
          </w:p>
        </w:tc>
        <w:tc>
          <w:tcPr>
            <w:tcW w:w="283" w:type="pct"/>
            <w:noWrap/>
            <w:vAlign w:val="center"/>
          </w:tcPr>
          <w:p w14:paraId="6B81DDE2"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236" w:type="pct"/>
            <w:noWrap/>
            <w:vAlign w:val="center"/>
          </w:tcPr>
          <w:p w14:paraId="702A1B2A"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378" w:type="pct"/>
            <w:noWrap/>
            <w:vAlign w:val="center"/>
          </w:tcPr>
          <w:p w14:paraId="1A610209"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283" w:type="pct"/>
            <w:noWrap/>
            <w:vAlign w:val="center"/>
          </w:tcPr>
          <w:p w14:paraId="1697DCC7" w14:textId="3A1AF51C" w:rsidR="00B3795B" w:rsidRPr="00922BDA" w:rsidRDefault="004A740E"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34</w:t>
            </w:r>
            <w:r w:rsidR="00B3795B" w:rsidRPr="00922BDA">
              <w:rPr>
                <w:rFonts w:eastAsia="Times New Roman" w:cstheme="majorBidi"/>
                <w:b/>
                <w:bCs/>
                <w:color w:val="000000"/>
                <w:sz w:val="16"/>
                <w:szCs w:val="16"/>
                <w:lang w:val="en-GB"/>
              </w:rPr>
              <w:t>,000</w:t>
            </w:r>
          </w:p>
        </w:tc>
        <w:tc>
          <w:tcPr>
            <w:tcW w:w="259" w:type="pct"/>
            <w:noWrap/>
            <w:vAlign w:val="center"/>
          </w:tcPr>
          <w:p w14:paraId="5AFD7909" w14:textId="77777777" w:rsidR="00B3795B" w:rsidRPr="00922BDA" w:rsidRDefault="00B3795B"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42,000</w:t>
            </w:r>
          </w:p>
        </w:tc>
        <w:tc>
          <w:tcPr>
            <w:tcW w:w="404" w:type="pct"/>
            <w:noWrap/>
            <w:vAlign w:val="center"/>
          </w:tcPr>
          <w:p w14:paraId="491937B2" w14:textId="3739FF26" w:rsidR="00B3795B" w:rsidRPr="00922BDA" w:rsidRDefault="004A740E" w:rsidP="003050D7">
            <w:pPr>
              <w:spacing w:after="0" w:line="240" w:lineRule="auto"/>
              <w:jc w:val="right"/>
              <w:rPr>
                <w:rFonts w:eastAsia="Times New Roman" w:cstheme="majorBidi"/>
                <w:b/>
                <w:bCs/>
                <w:color w:val="000000"/>
                <w:sz w:val="16"/>
                <w:szCs w:val="16"/>
                <w:lang w:val="en-GB"/>
              </w:rPr>
            </w:pPr>
            <w:r w:rsidRPr="00922BDA">
              <w:rPr>
                <w:rFonts w:eastAsia="Times New Roman" w:cstheme="majorBidi"/>
                <w:b/>
                <w:bCs/>
                <w:color w:val="000000"/>
                <w:sz w:val="16"/>
                <w:szCs w:val="16"/>
                <w:lang w:val="en-GB"/>
              </w:rPr>
              <w:t>76</w:t>
            </w:r>
            <w:r w:rsidR="00B3795B" w:rsidRPr="00922BDA">
              <w:rPr>
                <w:rFonts w:eastAsia="Times New Roman" w:cstheme="majorBidi"/>
                <w:b/>
                <w:bCs/>
                <w:color w:val="000000"/>
                <w:sz w:val="16"/>
                <w:szCs w:val="16"/>
                <w:lang w:val="en-GB"/>
              </w:rPr>
              <w:t>,000</w:t>
            </w:r>
          </w:p>
        </w:tc>
        <w:tc>
          <w:tcPr>
            <w:tcW w:w="238" w:type="pct"/>
            <w:noWrap/>
            <w:vAlign w:val="center"/>
          </w:tcPr>
          <w:p w14:paraId="677A70F1"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234" w:type="pct"/>
            <w:noWrap/>
            <w:vAlign w:val="center"/>
          </w:tcPr>
          <w:p w14:paraId="5F4BC01D"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c>
          <w:tcPr>
            <w:tcW w:w="408" w:type="pct"/>
            <w:noWrap/>
            <w:vAlign w:val="center"/>
          </w:tcPr>
          <w:p w14:paraId="78160E52" w14:textId="77777777" w:rsidR="00B3795B" w:rsidRPr="00922BDA" w:rsidRDefault="00B3795B" w:rsidP="00A10FE4">
            <w:pPr>
              <w:spacing w:after="0" w:line="240" w:lineRule="auto"/>
              <w:jc w:val="center"/>
              <w:rPr>
                <w:rFonts w:eastAsia="Times New Roman" w:cstheme="majorBidi"/>
                <w:b/>
                <w:bCs/>
                <w:color w:val="000000"/>
                <w:sz w:val="16"/>
                <w:szCs w:val="16"/>
                <w:lang w:val="en-GB"/>
              </w:rPr>
            </w:pPr>
          </w:p>
        </w:tc>
      </w:tr>
    </w:tbl>
    <w:p w14:paraId="6749B2FA" w14:textId="37B9EE49" w:rsidR="00B3795B" w:rsidRPr="00845FB7" w:rsidRDefault="00B3795B" w:rsidP="00B3795B">
      <w:pPr>
        <w:pStyle w:val="Heading3"/>
        <w:rPr>
          <w:bCs/>
          <w:sz w:val="24"/>
          <w:lang w:val="en-GB"/>
        </w:rPr>
      </w:pPr>
      <w:r w:rsidRPr="00845FB7">
        <w:rPr>
          <w:sz w:val="24"/>
          <w:lang w:val="en-GB"/>
        </w:rPr>
        <w:t>Overview of resources</w:t>
      </w:r>
    </w:p>
    <w:tbl>
      <w:tblPr>
        <w:tblStyle w:val="TableGridLight"/>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4"/>
        <w:gridCol w:w="1985"/>
        <w:gridCol w:w="2268"/>
      </w:tblGrid>
      <w:tr w:rsidR="00B3795B" w:rsidRPr="00845FB7" w14:paraId="114010CA" w14:textId="77777777" w:rsidTr="00BD36F8">
        <w:trPr>
          <w:trHeight w:val="340"/>
        </w:trPr>
        <w:tc>
          <w:tcPr>
            <w:tcW w:w="4957" w:type="dxa"/>
            <w:noWrap/>
            <w:hideMark/>
          </w:tcPr>
          <w:p w14:paraId="1164111B" w14:textId="77777777" w:rsidR="00B3795B" w:rsidRPr="00845FB7" w:rsidRDefault="00B3795B" w:rsidP="00A10FE4">
            <w:pPr>
              <w:rPr>
                <w:rFonts w:cstheme="majorBidi"/>
                <w:b/>
                <w:bCs/>
                <w:sz w:val="18"/>
                <w:szCs w:val="18"/>
                <w:lang w:val="en-GB"/>
              </w:rPr>
            </w:pPr>
            <w:r w:rsidRPr="00845FB7">
              <w:rPr>
                <w:rFonts w:cstheme="majorBidi"/>
                <w:b/>
                <w:bCs/>
                <w:sz w:val="18"/>
                <w:szCs w:val="18"/>
                <w:lang w:val="en-GB"/>
              </w:rPr>
              <w:t>Budget</w:t>
            </w:r>
          </w:p>
        </w:tc>
        <w:tc>
          <w:tcPr>
            <w:tcW w:w="1984" w:type="dxa"/>
            <w:hideMark/>
          </w:tcPr>
          <w:p w14:paraId="46F0E05F" w14:textId="589A18D0" w:rsidR="00B3795B" w:rsidRPr="00845FB7" w:rsidRDefault="00B3795B" w:rsidP="006F55E5">
            <w:pPr>
              <w:jc w:val="center"/>
              <w:rPr>
                <w:rFonts w:cstheme="majorBidi"/>
                <w:b/>
                <w:bCs/>
                <w:sz w:val="18"/>
                <w:szCs w:val="18"/>
                <w:lang w:val="en-GB"/>
              </w:rPr>
            </w:pPr>
            <w:r w:rsidRPr="00845FB7">
              <w:rPr>
                <w:rFonts w:cstheme="majorBidi"/>
                <w:b/>
                <w:bCs/>
                <w:sz w:val="18"/>
                <w:szCs w:val="18"/>
                <w:lang w:val="en-GB"/>
              </w:rPr>
              <w:t xml:space="preserve">General </w:t>
            </w:r>
            <w:r w:rsidR="00EA0686" w:rsidRPr="00845FB7">
              <w:rPr>
                <w:rFonts w:cstheme="majorBidi"/>
                <w:b/>
                <w:bCs/>
                <w:sz w:val="18"/>
                <w:szCs w:val="18"/>
                <w:lang w:val="en-GB"/>
              </w:rPr>
              <w:t>t</w:t>
            </w:r>
            <w:r w:rsidRPr="00845FB7">
              <w:rPr>
                <w:rFonts w:cstheme="majorBidi"/>
                <w:b/>
                <w:bCs/>
                <w:sz w:val="18"/>
                <w:szCs w:val="18"/>
                <w:lang w:val="en-GB"/>
              </w:rPr>
              <w:t xml:space="preserve">rust </w:t>
            </w:r>
            <w:r w:rsidR="00EA0686" w:rsidRPr="00845FB7">
              <w:rPr>
                <w:rFonts w:cstheme="majorBidi"/>
                <w:b/>
                <w:bCs/>
                <w:sz w:val="18"/>
                <w:szCs w:val="18"/>
                <w:lang w:val="en-GB"/>
              </w:rPr>
              <w:t>f</w:t>
            </w:r>
            <w:r w:rsidRPr="00845FB7">
              <w:rPr>
                <w:rFonts w:cstheme="majorBidi"/>
                <w:b/>
                <w:bCs/>
                <w:sz w:val="18"/>
                <w:szCs w:val="18"/>
                <w:lang w:val="en-GB"/>
              </w:rPr>
              <w:t>und</w:t>
            </w:r>
          </w:p>
        </w:tc>
        <w:tc>
          <w:tcPr>
            <w:tcW w:w="1985" w:type="dxa"/>
            <w:hideMark/>
          </w:tcPr>
          <w:p w14:paraId="21DC72C2" w14:textId="3D290A5C" w:rsidR="00B3795B" w:rsidRPr="00845FB7" w:rsidRDefault="00B3795B" w:rsidP="006F55E5">
            <w:pPr>
              <w:jc w:val="center"/>
              <w:rPr>
                <w:rFonts w:cstheme="majorBidi"/>
                <w:b/>
                <w:bCs/>
                <w:sz w:val="18"/>
                <w:szCs w:val="18"/>
                <w:lang w:val="en-GB"/>
              </w:rPr>
            </w:pPr>
            <w:r w:rsidRPr="00845FB7">
              <w:rPr>
                <w:rFonts w:cstheme="majorBidi"/>
                <w:b/>
                <w:bCs/>
                <w:sz w:val="18"/>
                <w:szCs w:val="18"/>
                <w:lang w:val="en-GB"/>
              </w:rPr>
              <w:t xml:space="preserve">Special </w:t>
            </w:r>
            <w:r w:rsidR="00EA0686" w:rsidRPr="00845FB7">
              <w:rPr>
                <w:rFonts w:cstheme="majorBidi"/>
                <w:b/>
                <w:bCs/>
                <w:sz w:val="18"/>
                <w:szCs w:val="18"/>
                <w:lang w:val="en-GB"/>
              </w:rPr>
              <w:t>t</w:t>
            </w:r>
            <w:r w:rsidRPr="00845FB7">
              <w:rPr>
                <w:rFonts w:cstheme="majorBidi"/>
                <w:b/>
                <w:bCs/>
                <w:sz w:val="18"/>
                <w:szCs w:val="18"/>
                <w:lang w:val="en-GB"/>
              </w:rPr>
              <w:t xml:space="preserve">rust </w:t>
            </w:r>
            <w:r w:rsidR="00EA0686" w:rsidRPr="00845FB7">
              <w:rPr>
                <w:rFonts w:cstheme="majorBidi"/>
                <w:b/>
                <w:bCs/>
                <w:sz w:val="18"/>
                <w:szCs w:val="18"/>
                <w:lang w:val="en-GB"/>
              </w:rPr>
              <w:t>f</w:t>
            </w:r>
            <w:r w:rsidRPr="00845FB7">
              <w:rPr>
                <w:rFonts w:cstheme="majorBidi"/>
                <w:b/>
                <w:bCs/>
                <w:sz w:val="18"/>
                <w:szCs w:val="18"/>
                <w:lang w:val="en-GB"/>
              </w:rPr>
              <w:t>und</w:t>
            </w:r>
          </w:p>
        </w:tc>
        <w:tc>
          <w:tcPr>
            <w:tcW w:w="2268" w:type="dxa"/>
            <w:hideMark/>
          </w:tcPr>
          <w:p w14:paraId="212B3294" w14:textId="27460B5B" w:rsidR="00B3795B" w:rsidRPr="00845FB7" w:rsidRDefault="00B3795B" w:rsidP="006F55E5">
            <w:pPr>
              <w:jc w:val="center"/>
              <w:rPr>
                <w:rFonts w:cstheme="majorBidi"/>
                <w:b/>
                <w:bCs/>
                <w:sz w:val="18"/>
                <w:szCs w:val="18"/>
                <w:lang w:val="en-GB"/>
              </w:rPr>
            </w:pPr>
            <w:r w:rsidRPr="00845FB7">
              <w:rPr>
                <w:rFonts w:cstheme="majorBidi"/>
                <w:b/>
                <w:bCs/>
                <w:sz w:val="18"/>
                <w:szCs w:val="18"/>
                <w:lang w:val="en-GB"/>
              </w:rPr>
              <w:t xml:space="preserve">Total </w:t>
            </w:r>
            <w:r w:rsidR="00EA0686" w:rsidRPr="00845FB7">
              <w:rPr>
                <w:rFonts w:cstheme="majorBidi"/>
                <w:b/>
                <w:bCs/>
                <w:sz w:val="18"/>
                <w:szCs w:val="18"/>
                <w:lang w:val="en-GB"/>
              </w:rPr>
              <w:t>c</w:t>
            </w:r>
            <w:r w:rsidRPr="00845FB7">
              <w:rPr>
                <w:rFonts w:cstheme="majorBidi"/>
                <w:b/>
                <w:bCs/>
                <w:sz w:val="18"/>
                <w:szCs w:val="18"/>
                <w:lang w:val="en-GB"/>
              </w:rPr>
              <w:t>ontribution</w:t>
            </w:r>
          </w:p>
        </w:tc>
      </w:tr>
      <w:tr w:rsidR="00BB0DC6" w:rsidRPr="00845FB7" w14:paraId="49294F03" w14:textId="77777777" w:rsidTr="00BD36F8">
        <w:trPr>
          <w:trHeight w:val="340"/>
        </w:trPr>
        <w:tc>
          <w:tcPr>
            <w:tcW w:w="4957" w:type="dxa"/>
          </w:tcPr>
          <w:p w14:paraId="6901052B" w14:textId="5B5B2033" w:rsidR="00BB0DC6" w:rsidRPr="00845FB7" w:rsidRDefault="00BB0DC6" w:rsidP="00A10FE4">
            <w:pPr>
              <w:rPr>
                <w:rFonts w:cstheme="majorBidi"/>
                <w:sz w:val="18"/>
                <w:szCs w:val="18"/>
                <w:lang w:val="en-GB"/>
              </w:rPr>
            </w:pPr>
            <w:r w:rsidRPr="00845FB7">
              <w:rPr>
                <w:rFonts w:cstheme="majorBidi"/>
                <w:sz w:val="18"/>
                <w:szCs w:val="18"/>
                <w:lang w:val="en-GB"/>
              </w:rPr>
              <w:t>202</w:t>
            </w:r>
            <w:r w:rsidR="00853544" w:rsidRPr="00845FB7">
              <w:rPr>
                <w:rFonts w:cstheme="majorBidi"/>
                <w:sz w:val="18"/>
                <w:szCs w:val="18"/>
                <w:lang w:val="en-GB"/>
              </w:rPr>
              <w:t>4</w:t>
            </w:r>
            <w:r w:rsidRPr="00845FB7">
              <w:rPr>
                <w:rFonts w:cstheme="majorBidi"/>
                <w:sz w:val="18"/>
                <w:szCs w:val="18"/>
                <w:lang w:val="en-GB"/>
              </w:rPr>
              <w:t>-202</w:t>
            </w:r>
            <w:r w:rsidR="00853544" w:rsidRPr="00845FB7">
              <w:rPr>
                <w:rFonts w:cstheme="majorBidi"/>
                <w:sz w:val="18"/>
                <w:szCs w:val="18"/>
                <w:lang w:val="en-GB"/>
              </w:rPr>
              <w:t>5</w:t>
            </w:r>
            <w:r w:rsidRPr="00845FB7">
              <w:rPr>
                <w:rFonts w:cstheme="majorBidi"/>
                <w:sz w:val="18"/>
                <w:szCs w:val="18"/>
                <w:lang w:val="en-GB"/>
              </w:rPr>
              <w:t xml:space="preserve"> approved</w:t>
            </w:r>
          </w:p>
        </w:tc>
        <w:tc>
          <w:tcPr>
            <w:tcW w:w="1984" w:type="dxa"/>
            <w:noWrap/>
          </w:tcPr>
          <w:p w14:paraId="67302A2C" w14:textId="0903B266" w:rsidR="00BB0DC6" w:rsidRPr="00845FB7" w:rsidRDefault="000B03DB" w:rsidP="00551B3C">
            <w:pPr>
              <w:jc w:val="right"/>
              <w:rPr>
                <w:rFonts w:eastAsia="Times New Roman" w:cstheme="majorBidi"/>
                <w:b/>
                <w:bCs/>
                <w:color w:val="000000"/>
                <w:sz w:val="18"/>
                <w:szCs w:val="18"/>
                <w:lang w:val="en-GB"/>
              </w:rPr>
            </w:pPr>
            <w:r w:rsidRPr="00845FB7">
              <w:rPr>
                <w:rFonts w:eastAsia="Times New Roman" w:cstheme="majorBidi"/>
                <w:b/>
                <w:bCs/>
                <w:color w:val="000000"/>
                <w:sz w:val="18"/>
                <w:szCs w:val="18"/>
                <w:lang w:val="en-GB"/>
              </w:rPr>
              <w:t>76,000</w:t>
            </w:r>
          </w:p>
        </w:tc>
        <w:tc>
          <w:tcPr>
            <w:tcW w:w="1985" w:type="dxa"/>
            <w:noWrap/>
          </w:tcPr>
          <w:p w14:paraId="3DCEB4DF" w14:textId="77777777" w:rsidR="00BB0DC6" w:rsidRPr="00845FB7" w:rsidRDefault="00BB0DC6" w:rsidP="00551B3C">
            <w:pPr>
              <w:jc w:val="right"/>
              <w:rPr>
                <w:rFonts w:cstheme="majorBidi"/>
                <w:b/>
                <w:bCs/>
                <w:sz w:val="18"/>
                <w:szCs w:val="18"/>
                <w:lang w:val="en-GB"/>
              </w:rPr>
            </w:pPr>
          </w:p>
        </w:tc>
        <w:tc>
          <w:tcPr>
            <w:tcW w:w="2268" w:type="dxa"/>
            <w:noWrap/>
          </w:tcPr>
          <w:p w14:paraId="3DFDB584" w14:textId="2E46B9FD" w:rsidR="00BB0DC6" w:rsidRPr="00845FB7" w:rsidRDefault="000B03DB" w:rsidP="00551B3C">
            <w:pPr>
              <w:jc w:val="right"/>
              <w:rPr>
                <w:rFonts w:eastAsia="Times New Roman" w:cstheme="majorBidi"/>
                <w:b/>
                <w:bCs/>
                <w:color w:val="000000"/>
                <w:sz w:val="18"/>
                <w:szCs w:val="18"/>
                <w:lang w:val="en-GB"/>
              </w:rPr>
            </w:pPr>
            <w:r w:rsidRPr="00845FB7">
              <w:rPr>
                <w:rFonts w:eastAsia="Times New Roman" w:cstheme="majorBidi"/>
                <w:b/>
                <w:bCs/>
                <w:color w:val="000000"/>
                <w:sz w:val="18"/>
                <w:szCs w:val="18"/>
                <w:lang w:val="en-GB"/>
              </w:rPr>
              <w:t>76,000</w:t>
            </w:r>
          </w:p>
        </w:tc>
      </w:tr>
      <w:tr w:rsidR="00BB0DC6" w:rsidRPr="00845FB7" w14:paraId="04BE7FA4" w14:textId="77777777" w:rsidTr="00BD36F8">
        <w:trPr>
          <w:trHeight w:val="340"/>
        </w:trPr>
        <w:tc>
          <w:tcPr>
            <w:tcW w:w="4957" w:type="dxa"/>
          </w:tcPr>
          <w:p w14:paraId="50C8F98F" w14:textId="579F773B" w:rsidR="00BB0DC6" w:rsidRPr="00845FB7" w:rsidRDefault="00E2051A" w:rsidP="00BB0DC6">
            <w:pPr>
              <w:rPr>
                <w:rFonts w:cstheme="majorBidi"/>
                <w:sz w:val="18"/>
                <w:szCs w:val="18"/>
                <w:lang w:val="en-GB"/>
              </w:rPr>
            </w:pPr>
            <w:r w:rsidRPr="00845FB7">
              <w:rPr>
                <w:rFonts w:cstheme="majorBidi"/>
                <w:sz w:val="18"/>
                <w:szCs w:val="18"/>
                <w:lang w:val="en-GB"/>
              </w:rPr>
              <w:t>2026–2027</w:t>
            </w:r>
            <w:r w:rsidR="00BB0DC6" w:rsidRPr="00845FB7">
              <w:rPr>
                <w:rFonts w:cstheme="majorBidi"/>
                <w:sz w:val="18"/>
                <w:szCs w:val="18"/>
                <w:lang w:val="en-GB"/>
              </w:rPr>
              <w:t xml:space="preserve"> requested in the 5 per cent scenario</w:t>
            </w:r>
          </w:p>
        </w:tc>
        <w:tc>
          <w:tcPr>
            <w:tcW w:w="1984" w:type="dxa"/>
            <w:noWrap/>
          </w:tcPr>
          <w:p w14:paraId="491ACA20" w14:textId="2616DA4E" w:rsidR="00BB0DC6" w:rsidRPr="00845FB7" w:rsidRDefault="004A740E" w:rsidP="00BB0DC6">
            <w:pPr>
              <w:jc w:val="right"/>
              <w:rPr>
                <w:rFonts w:eastAsia="Times New Roman" w:cstheme="majorBidi"/>
                <w:b/>
                <w:bCs/>
                <w:color w:val="000000"/>
                <w:sz w:val="18"/>
                <w:szCs w:val="18"/>
                <w:lang w:val="en-GB"/>
              </w:rPr>
            </w:pPr>
            <w:r w:rsidRPr="00845FB7">
              <w:rPr>
                <w:rFonts w:eastAsia="Times New Roman" w:cstheme="majorBidi"/>
                <w:b/>
                <w:bCs/>
                <w:color w:val="000000"/>
                <w:sz w:val="18"/>
                <w:szCs w:val="18"/>
                <w:lang w:val="en-GB"/>
              </w:rPr>
              <w:t>76,000</w:t>
            </w:r>
          </w:p>
        </w:tc>
        <w:tc>
          <w:tcPr>
            <w:tcW w:w="1985" w:type="dxa"/>
            <w:noWrap/>
          </w:tcPr>
          <w:p w14:paraId="23C90C09" w14:textId="77777777" w:rsidR="00BB0DC6" w:rsidRPr="00845FB7" w:rsidRDefault="00BB0DC6" w:rsidP="00BB0DC6">
            <w:pPr>
              <w:jc w:val="right"/>
              <w:rPr>
                <w:rFonts w:cstheme="majorBidi"/>
                <w:b/>
                <w:bCs/>
                <w:sz w:val="18"/>
                <w:szCs w:val="18"/>
                <w:lang w:val="en-GB"/>
              </w:rPr>
            </w:pPr>
          </w:p>
        </w:tc>
        <w:tc>
          <w:tcPr>
            <w:tcW w:w="2268" w:type="dxa"/>
            <w:noWrap/>
          </w:tcPr>
          <w:p w14:paraId="72DF8A03" w14:textId="5BC15EC1" w:rsidR="00BB0DC6" w:rsidRPr="00845FB7" w:rsidRDefault="004A740E" w:rsidP="00BB0DC6">
            <w:pPr>
              <w:jc w:val="right"/>
              <w:rPr>
                <w:rFonts w:eastAsia="Times New Roman" w:cstheme="majorBidi"/>
                <w:b/>
                <w:bCs/>
                <w:color w:val="000000"/>
                <w:sz w:val="18"/>
                <w:szCs w:val="18"/>
                <w:lang w:val="en-GB"/>
              </w:rPr>
            </w:pPr>
            <w:r w:rsidRPr="00845FB7">
              <w:rPr>
                <w:rFonts w:eastAsia="Times New Roman" w:cstheme="majorBidi"/>
                <w:b/>
                <w:bCs/>
                <w:color w:val="000000"/>
                <w:sz w:val="18"/>
                <w:szCs w:val="18"/>
                <w:lang w:val="en-GB"/>
              </w:rPr>
              <w:t>76,000</w:t>
            </w:r>
          </w:p>
        </w:tc>
      </w:tr>
      <w:tr w:rsidR="00BB0DC6" w:rsidRPr="00845FB7" w14:paraId="0D396638" w14:textId="77777777" w:rsidTr="00BD36F8">
        <w:trPr>
          <w:trHeight w:val="340"/>
        </w:trPr>
        <w:tc>
          <w:tcPr>
            <w:tcW w:w="4957" w:type="dxa"/>
          </w:tcPr>
          <w:p w14:paraId="1B337572" w14:textId="7998F33F" w:rsidR="00BB0DC6" w:rsidRPr="00845FB7" w:rsidRDefault="00E2051A" w:rsidP="00BB0DC6">
            <w:pPr>
              <w:rPr>
                <w:rFonts w:cstheme="majorBidi"/>
                <w:sz w:val="18"/>
                <w:szCs w:val="18"/>
                <w:lang w:val="en-GB"/>
              </w:rPr>
            </w:pPr>
            <w:r w:rsidRPr="00845FB7">
              <w:rPr>
                <w:rFonts w:cstheme="majorBidi"/>
                <w:sz w:val="18"/>
                <w:szCs w:val="18"/>
                <w:lang w:val="en-GB"/>
              </w:rPr>
              <w:t>2026–2027</w:t>
            </w:r>
            <w:r w:rsidR="00BB0DC6" w:rsidRPr="00845FB7">
              <w:rPr>
                <w:rFonts w:cstheme="majorBidi"/>
                <w:sz w:val="18"/>
                <w:szCs w:val="18"/>
                <w:lang w:val="en-GB"/>
              </w:rPr>
              <w:t xml:space="preserve"> requested in the zero nominal growth scenario</w:t>
            </w:r>
          </w:p>
        </w:tc>
        <w:tc>
          <w:tcPr>
            <w:tcW w:w="1984" w:type="dxa"/>
            <w:noWrap/>
          </w:tcPr>
          <w:p w14:paraId="202D591A" w14:textId="409FE98F" w:rsidR="00BB0DC6" w:rsidRPr="00845FB7" w:rsidRDefault="004A740E" w:rsidP="00BB0DC6">
            <w:pPr>
              <w:jc w:val="right"/>
              <w:rPr>
                <w:rFonts w:eastAsia="Times New Roman" w:cstheme="majorBidi"/>
                <w:b/>
                <w:bCs/>
                <w:color w:val="000000"/>
                <w:sz w:val="18"/>
                <w:szCs w:val="18"/>
                <w:lang w:val="en-GB"/>
              </w:rPr>
            </w:pPr>
            <w:r w:rsidRPr="00845FB7">
              <w:rPr>
                <w:rFonts w:eastAsia="Times New Roman" w:cstheme="majorBidi"/>
                <w:b/>
                <w:bCs/>
                <w:color w:val="000000"/>
                <w:sz w:val="18"/>
                <w:szCs w:val="18"/>
                <w:lang w:val="en-GB"/>
              </w:rPr>
              <w:t>76,000</w:t>
            </w:r>
          </w:p>
        </w:tc>
        <w:tc>
          <w:tcPr>
            <w:tcW w:w="1985" w:type="dxa"/>
            <w:noWrap/>
          </w:tcPr>
          <w:p w14:paraId="06C00740" w14:textId="77777777" w:rsidR="00BB0DC6" w:rsidRPr="00845FB7" w:rsidRDefault="00BB0DC6" w:rsidP="00BB0DC6">
            <w:pPr>
              <w:jc w:val="right"/>
              <w:rPr>
                <w:rFonts w:cstheme="majorBidi"/>
                <w:b/>
                <w:bCs/>
                <w:sz w:val="18"/>
                <w:szCs w:val="18"/>
                <w:lang w:val="en-GB"/>
              </w:rPr>
            </w:pPr>
          </w:p>
        </w:tc>
        <w:tc>
          <w:tcPr>
            <w:tcW w:w="2268" w:type="dxa"/>
            <w:noWrap/>
          </w:tcPr>
          <w:p w14:paraId="0FE2DCB3" w14:textId="5823A49A" w:rsidR="00BB0DC6" w:rsidRPr="00845FB7" w:rsidRDefault="004A740E" w:rsidP="00BB0DC6">
            <w:pPr>
              <w:jc w:val="right"/>
              <w:rPr>
                <w:rFonts w:eastAsia="Times New Roman" w:cstheme="majorBidi"/>
                <w:b/>
                <w:bCs/>
                <w:color w:val="000000"/>
                <w:sz w:val="18"/>
                <w:szCs w:val="18"/>
                <w:lang w:val="en-GB"/>
              </w:rPr>
            </w:pPr>
            <w:r w:rsidRPr="00845FB7">
              <w:rPr>
                <w:rFonts w:eastAsia="Times New Roman" w:cstheme="majorBidi"/>
                <w:b/>
                <w:bCs/>
                <w:color w:val="000000"/>
                <w:sz w:val="18"/>
                <w:szCs w:val="18"/>
                <w:lang w:val="en-GB"/>
              </w:rPr>
              <w:t>76,000</w:t>
            </w:r>
          </w:p>
        </w:tc>
      </w:tr>
    </w:tbl>
    <w:p w14:paraId="3C299F1B" w14:textId="77777777" w:rsidR="00B3795B" w:rsidRPr="00845FB7" w:rsidRDefault="00B3795B" w:rsidP="00B3795B">
      <w:pPr>
        <w:rPr>
          <w:color w:val="0563C1" w:themeColor="hyperlink"/>
          <w:u w:val="single"/>
          <w:lang w:val="en-GB"/>
        </w:rPr>
      </w:pPr>
    </w:p>
    <w:p w14:paraId="23C99D8F" w14:textId="77777777" w:rsidR="00B3795B" w:rsidRPr="00845FB7" w:rsidRDefault="00B3795B" w:rsidP="00B3795B">
      <w:pPr>
        <w:jc w:val="left"/>
        <w:rPr>
          <w:color w:val="FF914D"/>
          <w:lang w:val="en-GB"/>
        </w:rPr>
        <w:sectPr w:rsidR="00B3795B" w:rsidRPr="00845FB7" w:rsidSect="00BD36F8">
          <w:headerReference w:type="first" r:id="rId61"/>
          <w:footerReference w:type="first" r:id="rId62"/>
          <w:type w:val="continuous"/>
          <w:pgSz w:w="16838" w:h="11906" w:orient="landscape" w:code="9"/>
          <w:pgMar w:top="907" w:right="992" w:bottom="1418" w:left="1418" w:header="539" w:footer="975" w:gutter="0"/>
          <w:cols w:space="708"/>
          <w:titlePg/>
          <w:docGrid w:linePitch="360"/>
        </w:sectPr>
      </w:pPr>
    </w:p>
    <w:p w14:paraId="08AE4D1F" w14:textId="2C566C6C" w:rsidR="00B3795B" w:rsidRPr="00845FB7" w:rsidRDefault="00B3795B" w:rsidP="00B3795B">
      <w:pPr>
        <w:pStyle w:val="Heading2"/>
        <w:rPr>
          <w:rFonts w:cstheme="majorBidi"/>
          <w:color w:val="FFC000"/>
          <w:sz w:val="36"/>
          <w:szCs w:val="36"/>
          <w:lang w:val="en-GB"/>
        </w:rPr>
      </w:pPr>
      <w:r w:rsidRPr="00845FB7">
        <w:rPr>
          <w:rFonts w:cstheme="majorBidi"/>
          <w:color w:val="FFC000"/>
          <w:sz w:val="36"/>
          <w:szCs w:val="36"/>
          <w:lang w:val="en-GB"/>
        </w:rPr>
        <w:lastRenderedPageBreak/>
        <w:t>Activity 10. Digital strategy</w:t>
      </w:r>
    </w:p>
    <w:p w14:paraId="21D14D65" w14:textId="01DD94B0" w:rsidR="00B3795B" w:rsidRPr="00845FB7" w:rsidRDefault="00B3795B" w:rsidP="00B3795B">
      <w:pPr>
        <w:pStyle w:val="Heading3"/>
        <w:rPr>
          <w:sz w:val="24"/>
          <w:lang w:val="en-GB"/>
        </w:rPr>
      </w:pPr>
      <w:r w:rsidRPr="00845FB7">
        <w:rPr>
          <w:sz w:val="24"/>
          <w:lang w:val="en-GB"/>
        </w:rPr>
        <w:t>Budget</w:t>
      </w:r>
    </w:p>
    <w:p w14:paraId="7592D8D4" w14:textId="49328AA1" w:rsidR="00B3795B" w:rsidRPr="00845FB7" w:rsidRDefault="00B3795B" w:rsidP="00B3795B">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2C6D6A"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2C6D6A" w:rsidRPr="00845FB7">
        <w:rPr>
          <w:rFonts w:cstheme="majorBidi"/>
          <w:szCs w:val="20"/>
          <w:lang w:val="en-GB"/>
        </w:rPr>
        <w:t>Special Trust Fund</w:t>
      </w:r>
    </w:p>
    <w:p w14:paraId="1D95459D" w14:textId="2E094E79" w:rsidR="00B3795B" w:rsidRPr="00845FB7" w:rsidRDefault="00B3795B" w:rsidP="00B3795B">
      <w:pPr>
        <w:pStyle w:val="Heading3"/>
        <w:rPr>
          <w:sz w:val="24"/>
          <w:lang w:val="en-GB"/>
        </w:rPr>
      </w:pPr>
      <w:r w:rsidRPr="00845FB7">
        <w:rPr>
          <w:sz w:val="24"/>
          <w:lang w:val="en-GB"/>
        </w:rPr>
        <w:t>Reference</w:t>
      </w:r>
    </w:p>
    <w:p w14:paraId="4F187571" w14:textId="55B3B661" w:rsidR="002749E5" w:rsidRPr="00845FB7" w:rsidRDefault="002749E5" w:rsidP="002A243F">
      <w:pPr>
        <w:spacing w:after="60"/>
        <w:ind w:left="2552" w:hanging="2552"/>
        <w:rPr>
          <w:rFonts w:cstheme="majorBidi"/>
          <w:szCs w:val="20"/>
          <w:lang w:val="en-GB"/>
        </w:rPr>
      </w:pPr>
      <w:r w:rsidRPr="00845FB7">
        <w:rPr>
          <w:rFonts w:cstheme="majorBidi"/>
          <w:b/>
          <w:bCs/>
          <w:szCs w:val="20"/>
          <w:lang w:val="en-GB"/>
        </w:rPr>
        <w:t>UNEP/MC/COP.</w:t>
      </w:r>
      <w:r w:rsidR="008D10DF" w:rsidRPr="00845FB7">
        <w:rPr>
          <w:rFonts w:cstheme="majorBidi"/>
          <w:b/>
          <w:bCs/>
          <w:szCs w:val="20"/>
          <w:lang w:val="en-GB"/>
        </w:rPr>
        <w:t>6</w:t>
      </w:r>
      <w:r w:rsidRPr="00845FB7">
        <w:rPr>
          <w:rFonts w:cstheme="majorBidi"/>
          <w:b/>
          <w:bCs/>
          <w:szCs w:val="20"/>
          <w:lang w:val="en-GB"/>
        </w:rPr>
        <w:t>/</w:t>
      </w:r>
      <w:r w:rsidR="00045FA1" w:rsidRPr="00845FB7">
        <w:rPr>
          <w:rFonts w:cstheme="majorBidi"/>
          <w:b/>
          <w:bCs/>
          <w:szCs w:val="20"/>
          <w:lang w:val="en-GB"/>
        </w:rPr>
        <w:t>19:</w:t>
      </w:r>
      <w:r w:rsidR="00045FA1" w:rsidRPr="00845FB7">
        <w:rPr>
          <w:rFonts w:cstheme="majorBidi"/>
          <w:szCs w:val="20"/>
          <w:lang w:val="en-GB"/>
        </w:rPr>
        <w:t xml:space="preserve"> </w:t>
      </w:r>
      <w:r w:rsidR="00B11DCA" w:rsidRPr="00845FB7">
        <w:rPr>
          <w:rFonts w:cstheme="majorBidi"/>
          <w:szCs w:val="20"/>
          <w:lang w:val="en-GB"/>
        </w:rPr>
        <w:tab/>
      </w:r>
      <w:r w:rsidR="00045FA1" w:rsidRPr="00845FB7">
        <w:rPr>
          <w:rFonts w:cstheme="majorBidi"/>
          <w:szCs w:val="20"/>
          <w:lang w:val="en-GB"/>
        </w:rPr>
        <w:t xml:space="preserve">Knowledge management and digitalization to support </w:t>
      </w:r>
      <w:r w:rsidR="00972C2B" w:rsidRPr="00845FB7">
        <w:rPr>
          <w:rFonts w:cstheme="majorBidi"/>
          <w:szCs w:val="20"/>
          <w:lang w:val="en-GB"/>
        </w:rPr>
        <w:t>P</w:t>
      </w:r>
      <w:r w:rsidR="00B11DCA" w:rsidRPr="00845FB7">
        <w:rPr>
          <w:rFonts w:cstheme="majorBidi"/>
          <w:szCs w:val="20"/>
          <w:lang w:val="en-GB"/>
        </w:rPr>
        <w:t xml:space="preserve">arties to the </w:t>
      </w:r>
      <w:r w:rsidR="00045FA1" w:rsidRPr="00845FB7">
        <w:rPr>
          <w:rFonts w:cstheme="majorBidi"/>
          <w:szCs w:val="20"/>
          <w:lang w:val="en-GB"/>
        </w:rPr>
        <w:t>Minamata Convention</w:t>
      </w:r>
    </w:p>
    <w:p w14:paraId="60401EDB" w14:textId="5B6A1B2C" w:rsidR="00645C11" w:rsidRPr="00845FB7" w:rsidRDefault="002749E5" w:rsidP="002A243F">
      <w:pPr>
        <w:spacing w:after="60"/>
        <w:ind w:left="2552" w:hanging="2552"/>
        <w:rPr>
          <w:lang w:val="en-GB"/>
        </w:rPr>
      </w:pPr>
      <w:r w:rsidRPr="00845FB7">
        <w:rPr>
          <w:b/>
          <w:bCs/>
          <w:szCs w:val="20"/>
          <w:lang w:val="en-GB"/>
        </w:rPr>
        <w:t>UNEP/MC/COP.</w:t>
      </w:r>
      <w:r w:rsidR="008D10DF" w:rsidRPr="00845FB7">
        <w:rPr>
          <w:b/>
          <w:bCs/>
          <w:szCs w:val="20"/>
          <w:lang w:val="en-GB"/>
        </w:rPr>
        <w:t>6</w:t>
      </w:r>
      <w:r w:rsidRPr="00845FB7">
        <w:rPr>
          <w:b/>
          <w:bCs/>
          <w:szCs w:val="20"/>
          <w:lang w:val="en-GB"/>
        </w:rPr>
        <w:t>/INF/26</w:t>
      </w:r>
      <w:r w:rsidR="00155380" w:rsidRPr="00845FB7">
        <w:rPr>
          <w:b/>
          <w:bCs/>
          <w:szCs w:val="20"/>
          <w:lang w:val="en-GB"/>
        </w:rPr>
        <w:t>:</w:t>
      </w:r>
      <w:r w:rsidR="00155380" w:rsidRPr="00845FB7">
        <w:rPr>
          <w:szCs w:val="20"/>
          <w:lang w:val="en-GB"/>
        </w:rPr>
        <w:t xml:space="preserve"> </w:t>
      </w:r>
      <w:r w:rsidR="00B11DCA" w:rsidRPr="00845FB7">
        <w:rPr>
          <w:szCs w:val="20"/>
          <w:lang w:val="en-GB"/>
        </w:rPr>
        <w:tab/>
      </w:r>
      <w:r w:rsidR="00E528BC" w:rsidRPr="00845FB7">
        <w:rPr>
          <w:rFonts w:cstheme="majorBidi"/>
          <w:szCs w:val="20"/>
          <w:lang w:val="en-GB"/>
        </w:rPr>
        <w:t>Minamata</w:t>
      </w:r>
      <w:r w:rsidR="00E528BC" w:rsidRPr="00845FB7">
        <w:rPr>
          <w:lang w:val="en-GB"/>
        </w:rPr>
        <w:t xml:space="preserve"> Exchange Platform</w:t>
      </w:r>
    </w:p>
    <w:p w14:paraId="41CD2978" w14:textId="3B9BCE2A" w:rsidR="00B3795B" w:rsidRPr="00845FB7" w:rsidRDefault="00B3795B" w:rsidP="00B3795B">
      <w:pPr>
        <w:pStyle w:val="Heading3"/>
        <w:rPr>
          <w:sz w:val="24"/>
          <w:lang w:val="en-GB"/>
        </w:rPr>
      </w:pPr>
      <w:r w:rsidRPr="00845FB7">
        <w:rPr>
          <w:sz w:val="24"/>
          <w:lang w:val="en-GB"/>
        </w:rPr>
        <w:t>Mandate</w:t>
      </w:r>
    </w:p>
    <w:p w14:paraId="76BCAE4B" w14:textId="076FD4F1" w:rsidR="00B3795B" w:rsidRPr="00845FB7" w:rsidRDefault="0040063D" w:rsidP="00BD36F8">
      <w:pPr>
        <w:spacing w:after="60"/>
        <w:rPr>
          <w:rFonts w:cstheme="majorBidi"/>
          <w:szCs w:val="20"/>
          <w:lang w:val="en-GB"/>
        </w:rPr>
      </w:pPr>
      <w:r w:rsidRPr="00845FB7">
        <w:rPr>
          <w:rFonts w:cstheme="majorBidi"/>
          <w:b/>
          <w:bCs/>
          <w:szCs w:val="20"/>
          <w:lang w:val="en-GB"/>
        </w:rPr>
        <w:t>Convention:</w:t>
      </w:r>
      <w:r w:rsidR="00B3795B" w:rsidRPr="00845FB7">
        <w:rPr>
          <w:rFonts w:cstheme="majorBidi"/>
          <w:szCs w:val="20"/>
          <w:lang w:val="en-GB"/>
        </w:rPr>
        <w:t xml:space="preserve"> </w:t>
      </w:r>
      <w:r w:rsidR="002B40E4" w:rsidRPr="00845FB7">
        <w:rPr>
          <w:rFonts w:cstheme="majorBidi"/>
          <w:szCs w:val="20"/>
          <w:lang w:val="en-GB"/>
        </w:rPr>
        <w:t>A</w:t>
      </w:r>
      <w:r w:rsidR="00B3795B" w:rsidRPr="00845FB7">
        <w:rPr>
          <w:rFonts w:cstheme="majorBidi"/>
          <w:szCs w:val="20"/>
          <w:lang w:val="en-GB"/>
        </w:rPr>
        <w:t>rticle</w:t>
      </w:r>
      <w:r w:rsidRPr="00845FB7">
        <w:rPr>
          <w:rFonts w:cstheme="majorBidi"/>
          <w:szCs w:val="20"/>
          <w:lang w:val="en-GB"/>
        </w:rPr>
        <w:t>s</w:t>
      </w:r>
      <w:r w:rsidR="00B3795B" w:rsidRPr="00845FB7">
        <w:rPr>
          <w:rFonts w:cstheme="majorBidi"/>
          <w:szCs w:val="20"/>
          <w:lang w:val="en-GB"/>
        </w:rPr>
        <w:t xml:space="preserve"> 17, 18 and 24</w:t>
      </w:r>
    </w:p>
    <w:p w14:paraId="209D0F36" w14:textId="6FF2C954" w:rsidR="00E02506" w:rsidRPr="00922BDA" w:rsidRDefault="00E02506" w:rsidP="00922BDA">
      <w:pPr>
        <w:spacing w:after="60"/>
        <w:rPr>
          <w:lang w:val="en-GB"/>
        </w:rPr>
      </w:pPr>
      <w:r w:rsidRPr="00845FB7">
        <w:rPr>
          <w:rFonts w:cstheme="majorBidi"/>
          <w:b/>
          <w:bCs/>
          <w:szCs w:val="20"/>
          <w:lang w:val="en-GB"/>
        </w:rPr>
        <w:t>COP decision(s):</w:t>
      </w:r>
      <w:r w:rsidRPr="00845FB7">
        <w:rPr>
          <w:rFonts w:cstheme="majorBidi"/>
          <w:szCs w:val="20"/>
          <w:lang w:val="en-GB"/>
        </w:rPr>
        <w:t xml:space="preserve"> </w:t>
      </w:r>
      <w:r w:rsidRPr="00845FB7">
        <w:rPr>
          <w:lang w:val="en-GB"/>
        </w:rPr>
        <w:t>MC-5/16</w:t>
      </w:r>
    </w:p>
    <w:p w14:paraId="3F7771F3" w14:textId="02CD3E1A" w:rsidR="00B3795B" w:rsidRPr="00845FB7" w:rsidRDefault="00B3795B" w:rsidP="00B3795B">
      <w:pPr>
        <w:pStyle w:val="Heading3"/>
        <w:rPr>
          <w:sz w:val="24"/>
          <w:lang w:val="en-GB"/>
        </w:rPr>
      </w:pPr>
      <w:r w:rsidRPr="00845FB7">
        <w:rPr>
          <w:sz w:val="24"/>
          <w:lang w:val="en-GB"/>
        </w:rPr>
        <w:t>Background and rationale</w:t>
      </w:r>
    </w:p>
    <w:p w14:paraId="1F29B33A" w14:textId="26370807" w:rsidR="00B3795B" w:rsidRPr="00845FB7" w:rsidRDefault="00B3795B" w:rsidP="00BD36F8">
      <w:pPr>
        <w:spacing w:after="120" w:line="276" w:lineRule="auto"/>
        <w:rPr>
          <w:rFonts w:cstheme="majorBidi"/>
          <w:szCs w:val="20"/>
          <w:lang w:val="en-GB"/>
        </w:rPr>
      </w:pPr>
      <w:r w:rsidRPr="00845FB7">
        <w:rPr>
          <w:rFonts w:cstheme="majorBidi"/>
          <w:szCs w:val="20"/>
          <w:lang w:val="en-GB"/>
        </w:rPr>
        <w:t xml:space="preserve">The </w:t>
      </w:r>
      <w:r w:rsidR="00E06BAA" w:rsidRPr="00845FB7">
        <w:rPr>
          <w:rFonts w:cstheme="majorBidi"/>
          <w:szCs w:val="20"/>
          <w:lang w:val="en-GB"/>
        </w:rPr>
        <w:t>S</w:t>
      </w:r>
      <w:r w:rsidRPr="00845FB7">
        <w:rPr>
          <w:rFonts w:cstheme="majorBidi"/>
          <w:szCs w:val="20"/>
          <w:lang w:val="en-GB"/>
        </w:rPr>
        <w:t xml:space="preserve">ecretariat has started to seize digital transformation opportunities in data, processes, and organization of work. This includes creating a new, data-driven website, a fully-fledged reporting system for </w:t>
      </w:r>
      <w:r w:rsidR="00232480" w:rsidRPr="00845FB7">
        <w:rPr>
          <w:rFonts w:cstheme="majorBidi"/>
          <w:szCs w:val="20"/>
          <w:lang w:val="en-GB"/>
        </w:rPr>
        <w:t xml:space="preserve">Parties' </w:t>
      </w:r>
      <w:r w:rsidRPr="00845FB7">
        <w:rPr>
          <w:rFonts w:cstheme="majorBidi"/>
          <w:szCs w:val="20"/>
          <w:lang w:val="en-GB"/>
        </w:rPr>
        <w:t xml:space="preserve">use, and organizing intersessional work of the Convention online. The UN Secretary-General has laid out the modernization and upgrading of ways of work in his "Data Strategy for Action by Everyone, </w:t>
      </w:r>
      <w:proofErr w:type="gramStart"/>
      <w:r w:rsidRPr="00845FB7">
        <w:rPr>
          <w:rFonts w:cstheme="majorBidi"/>
          <w:szCs w:val="20"/>
          <w:lang w:val="en-GB"/>
        </w:rPr>
        <w:t>Everywhere</w:t>
      </w:r>
      <w:proofErr w:type="gramEnd"/>
      <w:r w:rsidRPr="00845FB7">
        <w:rPr>
          <w:rFonts w:cstheme="majorBidi"/>
          <w:szCs w:val="20"/>
          <w:lang w:val="en-GB"/>
        </w:rPr>
        <w:t xml:space="preserve">”. Further, the United Nations Environment Programme has included “Digital </w:t>
      </w:r>
      <w:r w:rsidR="00232480" w:rsidRPr="00845FB7">
        <w:rPr>
          <w:rFonts w:cstheme="majorBidi"/>
          <w:szCs w:val="20"/>
          <w:lang w:val="en-GB"/>
        </w:rPr>
        <w:t>Transformation</w:t>
      </w:r>
      <w:r w:rsidRPr="00845FB7">
        <w:rPr>
          <w:rFonts w:cstheme="majorBidi"/>
          <w:szCs w:val="20"/>
          <w:lang w:val="en-GB"/>
        </w:rPr>
        <w:t xml:space="preserve">” as new enabling subprogrammes in its Medium-Term Strategy (2022–2025) in response, </w:t>
      </w:r>
      <w:proofErr w:type="gramStart"/>
      <w:r w:rsidRPr="00845FB7">
        <w:rPr>
          <w:rFonts w:cstheme="majorBidi"/>
          <w:szCs w:val="20"/>
          <w:lang w:val="en-GB"/>
        </w:rPr>
        <w:t>so as to</w:t>
      </w:r>
      <w:proofErr w:type="gramEnd"/>
      <w:r w:rsidRPr="00845FB7">
        <w:rPr>
          <w:rFonts w:cstheme="majorBidi"/>
          <w:szCs w:val="20"/>
          <w:lang w:val="en-GB"/>
        </w:rPr>
        <w:t xml:space="preserve"> </w:t>
      </w:r>
      <w:r w:rsidR="00232480" w:rsidRPr="00845FB7">
        <w:rPr>
          <w:rFonts w:cstheme="majorBidi"/>
          <w:szCs w:val="20"/>
          <w:lang w:val="en-GB"/>
        </w:rPr>
        <w:t xml:space="preserve">harnessing </w:t>
      </w:r>
      <w:r w:rsidRPr="00845FB7">
        <w:rPr>
          <w:rFonts w:cstheme="majorBidi"/>
          <w:szCs w:val="20"/>
          <w:lang w:val="en-GB"/>
        </w:rPr>
        <w:t xml:space="preserve">data to tackle </w:t>
      </w:r>
      <w:r w:rsidR="00232480" w:rsidRPr="00845FB7">
        <w:rPr>
          <w:rFonts w:cstheme="majorBidi"/>
          <w:szCs w:val="20"/>
          <w:lang w:val="en-GB"/>
        </w:rPr>
        <w:t xml:space="preserve">the triple planetary crises of pollution, </w:t>
      </w:r>
      <w:r w:rsidRPr="00845FB7">
        <w:rPr>
          <w:rFonts w:cstheme="majorBidi"/>
          <w:szCs w:val="20"/>
          <w:lang w:val="en-GB"/>
        </w:rPr>
        <w:t>climate change</w:t>
      </w:r>
      <w:r w:rsidR="00232480" w:rsidRPr="00845FB7">
        <w:rPr>
          <w:rFonts w:cstheme="majorBidi"/>
          <w:szCs w:val="20"/>
          <w:lang w:val="en-GB"/>
        </w:rPr>
        <w:t xml:space="preserve"> and biodiversity loss</w:t>
      </w:r>
      <w:r w:rsidRPr="00845FB7">
        <w:rPr>
          <w:rFonts w:cstheme="majorBidi"/>
          <w:szCs w:val="20"/>
          <w:lang w:val="en-GB"/>
        </w:rPr>
        <w:t xml:space="preserve">. Both the UN Secretary-General’s efforts, and those of UNEP seek to create internal capacity </w:t>
      </w:r>
      <w:r w:rsidR="00E06BAA" w:rsidRPr="00845FB7">
        <w:rPr>
          <w:rFonts w:cstheme="majorBidi"/>
          <w:szCs w:val="20"/>
          <w:lang w:val="en-GB"/>
        </w:rPr>
        <w:t xml:space="preserve">for </w:t>
      </w:r>
      <w:r w:rsidRPr="00845FB7">
        <w:rPr>
          <w:rFonts w:cstheme="majorBidi"/>
          <w:szCs w:val="20"/>
          <w:lang w:val="en-GB"/>
        </w:rPr>
        <w:t xml:space="preserve">digitalization and increase the digital literacy of staff </w:t>
      </w:r>
      <w:proofErr w:type="gramStart"/>
      <w:r w:rsidRPr="00845FB7">
        <w:rPr>
          <w:rFonts w:cstheme="majorBidi"/>
          <w:szCs w:val="20"/>
          <w:lang w:val="en-GB"/>
        </w:rPr>
        <w:t>as a way to</w:t>
      </w:r>
      <w:proofErr w:type="gramEnd"/>
      <w:r w:rsidRPr="00845FB7">
        <w:rPr>
          <w:rFonts w:cstheme="majorBidi"/>
          <w:szCs w:val="20"/>
          <w:lang w:val="en-GB"/>
        </w:rPr>
        <w:t xml:space="preserve"> serve UN Member States better. Digital solutions will be increasingly used within the Minamata Convention too, not only in communication, raising public awareness, knowledge management and capacity building, but also </w:t>
      </w:r>
      <w:proofErr w:type="gramStart"/>
      <w:r w:rsidRPr="00845FB7">
        <w:rPr>
          <w:rFonts w:cstheme="majorBidi"/>
          <w:szCs w:val="20"/>
          <w:lang w:val="en-GB"/>
        </w:rPr>
        <w:t>as a way to</w:t>
      </w:r>
      <w:proofErr w:type="gramEnd"/>
      <w:r w:rsidRPr="00845FB7">
        <w:rPr>
          <w:rFonts w:cstheme="majorBidi"/>
          <w:szCs w:val="20"/>
          <w:lang w:val="en-GB"/>
        </w:rPr>
        <w:t xml:space="preserve"> support implementation of and compliance with the Convention provisions, to ensure the overall effectiveness of the Convention to achieve its objective.</w:t>
      </w:r>
    </w:p>
    <w:p w14:paraId="0256076E" w14:textId="22652006" w:rsidR="00E06BAA" w:rsidRPr="00845FB7" w:rsidRDefault="00165A66" w:rsidP="3D4F1C4B">
      <w:pPr>
        <w:spacing w:after="120" w:line="276" w:lineRule="auto"/>
        <w:rPr>
          <w:rFonts w:cstheme="majorBidi"/>
          <w:lang w:val="en-GB"/>
        </w:rPr>
      </w:pPr>
      <w:r w:rsidRPr="00845FB7">
        <w:rPr>
          <w:rStyle w:val="normaltextrun"/>
          <w:color w:val="000000"/>
          <w:shd w:val="clear" w:color="auto" w:fill="FFFFFF"/>
          <w:lang w:val="en-GB"/>
        </w:rPr>
        <w:t>In 2023 t</w:t>
      </w:r>
      <w:r w:rsidR="00F6124A" w:rsidRPr="00845FB7">
        <w:rPr>
          <w:rStyle w:val="normaltextrun"/>
          <w:color w:val="000000"/>
          <w:shd w:val="clear" w:color="auto" w:fill="FFFFFF"/>
          <w:lang w:val="en-GB"/>
        </w:rPr>
        <w:t>he Secretariat prepared a digital strategy</w:t>
      </w:r>
      <w:r w:rsidRPr="00845FB7">
        <w:rPr>
          <w:rStyle w:val="normaltextrun"/>
          <w:color w:val="000000"/>
          <w:shd w:val="clear" w:color="auto" w:fill="FFFFFF"/>
          <w:lang w:val="en-GB"/>
        </w:rPr>
        <w:t xml:space="preserve">, aiming at guiding the work of the </w:t>
      </w:r>
      <w:r w:rsidR="00A83299" w:rsidRPr="00845FB7">
        <w:rPr>
          <w:rStyle w:val="normaltextrun"/>
          <w:color w:val="000000"/>
          <w:shd w:val="clear" w:color="auto" w:fill="FFFFFF"/>
          <w:lang w:val="en-GB"/>
        </w:rPr>
        <w:t>Secretariat</w:t>
      </w:r>
      <w:r w:rsidRPr="00845FB7">
        <w:rPr>
          <w:rStyle w:val="normaltextrun"/>
          <w:color w:val="000000"/>
          <w:shd w:val="clear" w:color="auto" w:fill="FFFFFF"/>
          <w:lang w:val="en-GB"/>
        </w:rPr>
        <w:t xml:space="preserve"> </w:t>
      </w:r>
      <w:r w:rsidR="00C176E0" w:rsidRPr="00845FB7">
        <w:rPr>
          <w:rStyle w:val="normaltextrun"/>
          <w:color w:val="000000"/>
          <w:shd w:val="clear" w:color="auto" w:fill="FFFFFF"/>
          <w:lang w:val="en-GB"/>
        </w:rPr>
        <w:t>in</w:t>
      </w:r>
      <w:r w:rsidRPr="00845FB7">
        <w:rPr>
          <w:rStyle w:val="normaltextrun"/>
          <w:color w:val="000000"/>
          <w:shd w:val="clear" w:color="auto" w:fill="FFFFFF"/>
          <w:lang w:val="en-GB"/>
        </w:rPr>
        <w:t xml:space="preserve"> expanding and strengthening the digital ecosystem, building partnerships, and enhancing governance and innovation. </w:t>
      </w:r>
      <w:r w:rsidR="67EFE739" w:rsidRPr="00845FB7">
        <w:rPr>
          <w:rFonts w:eastAsia="Roboto" w:cs="Roboto"/>
          <w:color w:val="000000" w:themeColor="text1"/>
          <w:szCs w:val="20"/>
          <w:lang w:val="en-GB"/>
        </w:rPr>
        <w:t xml:space="preserve"> At COP-5</w:t>
      </w:r>
      <w:r w:rsidR="00A856DB" w:rsidRPr="00845FB7">
        <w:rPr>
          <w:rFonts w:eastAsia="Roboto" w:cs="Roboto"/>
          <w:color w:val="000000" w:themeColor="text1"/>
          <w:szCs w:val="20"/>
          <w:lang w:val="en-GB"/>
        </w:rPr>
        <w:t>, Parties</w:t>
      </w:r>
      <w:r w:rsidR="67EFE739" w:rsidRPr="00845FB7">
        <w:rPr>
          <w:rFonts w:eastAsia="Roboto" w:cs="Roboto"/>
          <w:color w:val="000000" w:themeColor="text1"/>
          <w:szCs w:val="20"/>
          <w:lang w:val="en-GB"/>
        </w:rPr>
        <w:t xml:space="preserve"> welcomed </w:t>
      </w:r>
      <w:r w:rsidR="00A856DB" w:rsidRPr="00845FB7">
        <w:rPr>
          <w:rFonts w:eastAsia="Roboto" w:cs="Roboto"/>
          <w:color w:val="000000" w:themeColor="text1"/>
          <w:szCs w:val="20"/>
          <w:lang w:val="en-GB"/>
        </w:rPr>
        <w:t>the</w:t>
      </w:r>
      <w:r w:rsidR="67EFE739" w:rsidRPr="00845FB7">
        <w:rPr>
          <w:rFonts w:eastAsia="Roboto" w:cs="Roboto"/>
          <w:color w:val="000000" w:themeColor="text1"/>
          <w:szCs w:val="20"/>
          <w:lang w:val="en-GB"/>
        </w:rPr>
        <w:t xml:space="preserve"> digital strategy to guide the work of the Secretariat in the upcoming years, requesting the </w:t>
      </w:r>
      <w:r w:rsidR="005B4EA9" w:rsidRPr="00845FB7">
        <w:rPr>
          <w:rFonts w:eastAsia="Roboto" w:cs="Roboto"/>
          <w:color w:val="000000" w:themeColor="text1"/>
          <w:szCs w:val="20"/>
          <w:lang w:val="en-GB"/>
        </w:rPr>
        <w:t>S</w:t>
      </w:r>
      <w:r w:rsidR="67EFE739" w:rsidRPr="00845FB7">
        <w:rPr>
          <w:rFonts w:eastAsia="Roboto" w:cs="Roboto"/>
          <w:color w:val="000000" w:themeColor="text1"/>
          <w:szCs w:val="20"/>
          <w:lang w:val="en-GB"/>
        </w:rPr>
        <w:t xml:space="preserve">ecretariat to prioritize relevant activities to implement the strategy in the programmes of work and budgets for the following </w:t>
      </w:r>
      <w:proofErr w:type="spellStart"/>
      <w:r w:rsidR="67EFE739" w:rsidRPr="00845FB7">
        <w:rPr>
          <w:rFonts w:eastAsia="Roboto" w:cs="Roboto"/>
          <w:color w:val="000000" w:themeColor="text1"/>
          <w:szCs w:val="20"/>
          <w:lang w:val="en-GB"/>
        </w:rPr>
        <w:t>bienniums</w:t>
      </w:r>
      <w:proofErr w:type="spellEnd"/>
      <w:r w:rsidR="67EFE739" w:rsidRPr="00845FB7">
        <w:rPr>
          <w:rFonts w:eastAsia="Roboto" w:cs="Roboto"/>
          <w:color w:val="000000" w:themeColor="text1"/>
          <w:szCs w:val="20"/>
          <w:lang w:val="en-GB"/>
        </w:rPr>
        <w:t>.</w:t>
      </w:r>
      <w:r w:rsidR="008B22A4" w:rsidRPr="00845FB7">
        <w:rPr>
          <w:rStyle w:val="normaltextrun"/>
          <w:color w:val="000000"/>
          <w:shd w:val="clear" w:color="auto" w:fill="FFFFFF"/>
          <w:lang w:val="en-GB"/>
        </w:rPr>
        <w:t xml:space="preserve"> </w:t>
      </w:r>
    </w:p>
    <w:p w14:paraId="6EE85168" w14:textId="662C479B" w:rsidR="00B3795B" w:rsidRPr="00845FB7" w:rsidRDefault="00B3795B" w:rsidP="00BD36F8">
      <w:pPr>
        <w:spacing w:after="120" w:line="276" w:lineRule="auto"/>
        <w:rPr>
          <w:rFonts w:cstheme="majorBidi"/>
          <w:szCs w:val="20"/>
          <w:lang w:val="en-GB"/>
        </w:rPr>
      </w:pPr>
      <w:r w:rsidRPr="00845FB7">
        <w:rPr>
          <w:rFonts w:cstheme="majorBidi"/>
          <w:szCs w:val="20"/>
          <w:lang w:val="en-GB"/>
        </w:rPr>
        <w:t xml:space="preserve">Effective knowledge management is a cornerstone of the Convention. It allows information exchange among </w:t>
      </w:r>
      <w:r w:rsidR="00A5203C" w:rsidRPr="00845FB7">
        <w:rPr>
          <w:rFonts w:cstheme="majorBidi"/>
          <w:szCs w:val="20"/>
          <w:lang w:val="en-GB"/>
        </w:rPr>
        <w:t>P</w:t>
      </w:r>
      <w:r w:rsidRPr="00845FB7">
        <w:rPr>
          <w:rFonts w:cstheme="majorBidi"/>
          <w:szCs w:val="20"/>
          <w:lang w:val="en-GB"/>
        </w:rPr>
        <w:t xml:space="preserve">arties to support their implementation efforts at national and regional level, including lessons learned through collaboration. The </w:t>
      </w:r>
      <w:r w:rsidR="00A5203C" w:rsidRPr="00845FB7">
        <w:rPr>
          <w:rFonts w:cstheme="majorBidi"/>
          <w:szCs w:val="20"/>
          <w:lang w:val="en-GB"/>
        </w:rPr>
        <w:t>S</w:t>
      </w:r>
      <w:r w:rsidRPr="00845FB7">
        <w:rPr>
          <w:rFonts w:cstheme="majorBidi"/>
          <w:szCs w:val="20"/>
          <w:lang w:val="en-GB"/>
        </w:rPr>
        <w:t xml:space="preserve">ecretariat’s digital </w:t>
      </w:r>
      <w:r w:rsidR="00962C8C" w:rsidRPr="00845FB7">
        <w:rPr>
          <w:rFonts w:cstheme="majorBidi"/>
          <w:szCs w:val="20"/>
          <w:lang w:val="en-GB"/>
        </w:rPr>
        <w:t>strategy aims</w:t>
      </w:r>
      <w:r w:rsidR="008621E0" w:rsidRPr="00845FB7">
        <w:rPr>
          <w:rFonts w:cstheme="majorBidi"/>
          <w:szCs w:val="20"/>
          <w:lang w:val="en-GB"/>
        </w:rPr>
        <w:t xml:space="preserve"> at </w:t>
      </w:r>
      <w:r w:rsidRPr="00845FB7">
        <w:rPr>
          <w:rFonts w:cstheme="majorBidi"/>
          <w:szCs w:val="20"/>
          <w:lang w:val="en-GB"/>
        </w:rPr>
        <w:t>increas</w:t>
      </w:r>
      <w:r w:rsidR="008621E0" w:rsidRPr="00845FB7">
        <w:rPr>
          <w:rFonts w:cstheme="majorBidi"/>
          <w:szCs w:val="20"/>
          <w:lang w:val="en-GB"/>
        </w:rPr>
        <w:t>ing</w:t>
      </w:r>
      <w:r w:rsidRPr="00845FB7">
        <w:rPr>
          <w:rFonts w:cstheme="majorBidi"/>
          <w:szCs w:val="20"/>
          <w:lang w:val="en-GB"/>
        </w:rPr>
        <w:t xml:space="preserve"> this capacity and foster</w:t>
      </w:r>
      <w:r w:rsidR="008621E0" w:rsidRPr="00845FB7">
        <w:rPr>
          <w:rFonts w:cstheme="majorBidi"/>
          <w:szCs w:val="20"/>
          <w:lang w:val="en-GB"/>
        </w:rPr>
        <w:t>ing</w:t>
      </w:r>
      <w:r w:rsidRPr="00845FB7">
        <w:rPr>
          <w:rFonts w:cstheme="majorBidi"/>
          <w:szCs w:val="20"/>
          <w:lang w:val="en-GB"/>
        </w:rPr>
        <w:t xml:space="preserve"> its monitoring.</w:t>
      </w:r>
    </w:p>
    <w:p w14:paraId="6187E7B5" w14:textId="473F08C3" w:rsidR="00B3795B" w:rsidRPr="00845FB7" w:rsidRDefault="00B3795B" w:rsidP="00BD36F8">
      <w:pPr>
        <w:spacing w:after="120" w:line="276" w:lineRule="auto"/>
        <w:rPr>
          <w:rFonts w:cstheme="majorBidi"/>
          <w:szCs w:val="20"/>
          <w:lang w:val="en-GB"/>
        </w:rPr>
      </w:pPr>
      <w:r w:rsidRPr="00845FB7">
        <w:rPr>
          <w:rFonts w:cstheme="majorBidi"/>
          <w:szCs w:val="20"/>
          <w:lang w:val="en-GB"/>
        </w:rPr>
        <w:t xml:space="preserve">Article 17 defines the </w:t>
      </w:r>
      <w:r w:rsidR="008621E0" w:rsidRPr="00845FB7">
        <w:rPr>
          <w:rFonts w:cstheme="majorBidi"/>
          <w:szCs w:val="20"/>
          <w:lang w:val="en-GB"/>
        </w:rPr>
        <w:t>S</w:t>
      </w:r>
      <w:r w:rsidRPr="00845FB7">
        <w:rPr>
          <w:rFonts w:cstheme="majorBidi"/>
          <w:szCs w:val="20"/>
          <w:lang w:val="en-GB"/>
        </w:rPr>
        <w:t>ecretariat as having a pivotal role in the information exchange procedures and mechanisms to facilitate implementation</w:t>
      </w:r>
      <w:r w:rsidR="008621E0" w:rsidRPr="00845FB7">
        <w:rPr>
          <w:rFonts w:cstheme="majorBidi"/>
          <w:szCs w:val="20"/>
          <w:lang w:val="en-GB"/>
        </w:rPr>
        <w:t xml:space="preserve"> of the Convention</w:t>
      </w:r>
      <w:r w:rsidRPr="00845FB7">
        <w:rPr>
          <w:rFonts w:cstheme="majorBidi"/>
          <w:szCs w:val="20"/>
          <w:lang w:val="en-GB"/>
        </w:rPr>
        <w:t>, effectively serving as a centralized hub for collecting, repackaging, translating if necessary and providing access to information relevant to the implementation of the Convention.</w:t>
      </w:r>
    </w:p>
    <w:p w14:paraId="35D0FE5F" w14:textId="38035C0F" w:rsidR="00B3795B" w:rsidRPr="00845FB7" w:rsidRDefault="00B3795B" w:rsidP="3D4F1C4B">
      <w:pPr>
        <w:spacing w:after="120" w:line="276" w:lineRule="auto"/>
        <w:rPr>
          <w:rFonts w:cstheme="majorBidi"/>
          <w:lang w:val="en-GB"/>
        </w:rPr>
      </w:pPr>
      <w:r w:rsidRPr="00845FB7">
        <w:rPr>
          <w:rFonts w:cstheme="majorBidi"/>
          <w:lang w:val="en-GB"/>
        </w:rPr>
        <w:lastRenderedPageBreak/>
        <w:t xml:space="preserve">The </w:t>
      </w:r>
      <w:r w:rsidR="00E06BAA" w:rsidRPr="00845FB7">
        <w:rPr>
          <w:rFonts w:cstheme="majorBidi"/>
          <w:lang w:val="en-GB"/>
        </w:rPr>
        <w:t xml:space="preserve">Secretariat </w:t>
      </w:r>
      <w:r w:rsidRPr="00845FB7">
        <w:rPr>
          <w:rFonts w:cstheme="majorBidi"/>
          <w:lang w:val="en-GB"/>
        </w:rPr>
        <w:t>maintains a digital presence through its website,</w:t>
      </w:r>
      <w:r w:rsidR="73F1D3C4" w:rsidRPr="00845FB7">
        <w:rPr>
          <w:rFonts w:cstheme="majorBidi"/>
          <w:lang w:val="en-GB"/>
        </w:rPr>
        <w:t xml:space="preserve"> </w:t>
      </w:r>
      <w:hyperlink r:id="rId63" w:history="1">
        <w:r w:rsidR="73F1D3C4" w:rsidRPr="00845FB7">
          <w:rPr>
            <w:rStyle w:val="Hyperlink"/>
            <w:rFonts w:cstheme="majorBidi"/>
            <w:lang w:val="en-GB"/>
          </w:rPr>
          <w:t>https://minamataconvention.org</w:t>
        </w:r>
      </w:hyperlink>
      <w:r w:rsidRPr="00845FB7">
        <w:rPr>
          <w:rFonts w:cstheme="majorBidi"/>
          <w:lang w:val="en-GB"/>
        </w:rPr>
        <w:t xml:space="preserve">, which serves as the main source of information for the public but also as a resource for the </w:t>
      </w:r>
      <w:r w:rsidR="00E06BAA" w:rsidRPr="00845FB7">
        <w:rPr>
          <w:rFonts w:cstheme="majorBidi"/>
          <w:lang w:val="en-GB"/>
        </w:rPr>
        <w:t>P</w:t>
      </w:r>
      <w:r w:rsidRPr="00845FB7">
        <w:rPr>
          <w:rFonts w:cstheme="majorBidi"/>
          <w:lang w:val="en-GB"/>
        </w:rPr>
        <w:t xml:space="preserve">arties to the Convention and stakeholders, industry, civil society, and the scientific community. This activity aims to strengthen the </w:t>
      </w:r>
      <w:r w:rsidR="00B57BA6" w:rsidRPr="00845FB7">
        <w:rPr>
          <w:rFonts w:cstheme="majorBidi"/>
          <w:lang w:val="en-GB"/>
        </w:rPr>
        <w:t>S</w:t>
      </w:r>
      <w:r w:rsidRPr="00845FB7">
        <w:rPr>
          <w:rFonts w:cstheme="majorBidi"/>
          <w:lang w:val="en-GB"/>
        </w:rPr>
        <w:t>ecretariat’s functioning and impact.</w:t>
      </w:r>
    </w:p>
    <w:p w14:paraId="2DBB4067" w14:textId="56CD8BD5" w:rsidR="00B3795B" w:rsidRPr="00845FB7" w:rsidRDefault="00B3795B" w:rsidP="00BD36F8">
      <w:pPr>
        <w:spacing w:after="120" w:line="276" w:lineRule="auto"/>
        <w:rPr>
          <w:rFonts w:cstheme="majorBidi"/>
          <w:szCs w:val="20"/>
          <w:lang w:val="en-GB"/>
        </w:rPr>
      </w:pPr>
      <w:r w:rsidRPr="00845FB7">
        <w:rPr>
          <w:rFonts w:cstheme="majorBidi"/>
          <w:szCs w:val="20"/>
          <w:lang w:val="en-GB"/>
        </w:rPr>
        <w:t xml:space="preserve">See also fact sheet C for activity 7 dealing with data reported by the </w:t>
      </w:r>
      <w:r w:rsidR="00B57BA6" w:rsidRPr="00845FB7">
        <w:rPr>
          <w:rFonts w:cstheme="majorBidi"/>
          <w:szCs w:val="20"/>
          <w:lang w:val="en-GB"/>
        </w:rPr>
        <w:t>P</w:t>
      </w:r>
      <w:r w:rsidRPr="00845FB7">
        <w:rPr>
          <w:rFonts w:cstheme="majorBidi"/>
          <w:szCs w:val="20"/>
          <w:lang w:val="en-GB"/>
        </w:rPr>
        <w:t>arties and the online reporting system.</w:t>
      </w:r>
    </w:p>
    <w:p w14:paraId="0DAC3853" w14:textId="5840E8FF" w:rsidR="00B3795B" w:rsidRPr="00845FB7" w:rsidRDefault="00B3795B" w:rsidP="00BD36F8">
      <w:pPr>
        <w:spacing w:after="120" w:line="276" w:lineRule="auto"/>
        <w:rPr>
          <w:rFonts w:cstheme="majorBidi"/>
          <w:szCs w:val="20"/>
          <w:lang w:val="en-GB"/>
        </w:rPr>
      </w:pPr>
      <w:r w:rsidRPr="00845FB7">
        <w:rPr>
          <w:rFonts w:cstheme="majorBidi"/>
          <w:szCs w:val="20"/>
          <w:lang w:val="en-GB"/>
        </w:rPr>
        <w:t xml:space="preserve">All the mentioned digital platforms need to be updated, maintained and continuously enhanced to maximize their usefulness to the </w:t>
      </w:r>
      <w:r w:rsidR="00520838" w:rsidRPr="00845FB7">
        <w:rPr>
          <w:rFonts w:cstheme="majorBidi"/>
          <w:szCs w:val="20"/>
          <w:lang w:val="en-GB"/>
        </w:rPr>
        <w:t>Parties</w:t>
      </w:r>
      <w:r w:rsidRPr="00845FB7">
        <w:rPr>
          <w:rFonts w:cstheme="majorBidi"/>
          <w:szCs w:val="20"/>
          <w:lang w:val="en-GB"/>
        </w:rPr>
        <w:t>.</w:t>
      </w:r>
    </w:p>
    <w:p w14:paraId="22F97DBA" w14:textId="6E760171" w:rsidR="00B3795B" w:rsidRPr="00845FB7" w:rsidRDefault="00B3795B" w:rsidP="00B3795B">
      <w:pPr>
        <w:pStyle w:val="Heading3"/>
        <w:rPr>
          <w:sz w:val="24"/>
          <w:lang w:val="en-GB"/>
        </w:rPr>
      </w:pPr>
      <w:r w:rsidRPr="00845FB7">
        <w:rPr>
          <w:sz w:val="24"/>
          <w:lang w:val="en-GB"/>
        </w:rPr>
        <w:t>Outcomes and activities</w:t>
      </w:r>
    </w:p>
    <w:p w14:paraId="58591D8A" w14:textId="77777777" w:rsidR="00B3795B" w:rsidRPr="00845FB7" w:rsidRDefault="00B3795B" w:rsidP="00BD36F8">
      <w:pPr>
        <w:pStyle w:val="Heading2"/>
        <w:spacing w:before="360" w:after="120"/>
        <w:rPr>
          <w:sz w:val="28"/>
          <w:szCs w:val="28"/>
          <w:lang w:val="en-GB"/>
        </w:rPr>
      </w:pPr>
      <w:r w:rsidRPr="00845FB7">
        <w:rPr>
          <w:sz w:val="28"/>
          <w:szCs w:val="28"/>
          <w:lang w:val="en-GB"/>
        </w:rPr>
        <w:t>Component 10.1. Digital strategy</w:t>
      </w:r>
    </w:p>
    <w:p w14:paraId="6DCF1038" w14:textId="77777777" w:rsidR="00B3795B" w:rsidRPr="00845FB7" w:rsidRDefault="00B3795B" w:rsidP="00BD36F8">
      <w:pPr>
        <w:spacing w:before="240"/>
        <w:rPr>
          <w:rFonts w:cstheme="majorBidi"/>
          <w:b/>
          <w:bCs/>
          <w:szCs w:val="20"/>
          <w:lang w:val="en-GB" w:eastAsia="en-GB"/>
        </w:rPr>
      </w:pPr>
      <w:r w:rsidRPr="00845FB7">
        <w:rPr>
          <w:rFonts w:cstheme="majorBidi"/>
          <w:b/>
          <w:bCs/>
          <w:szCs w:val="20"/>
          <w:lang w:val="en-GB" w:eastAsia="en-GB"/>
        </w:rPr>
        <w:t>OUTCOMES</w:t>
      </w:r>
    </w:p>
    <w:p w14:paraId="0FCD6132" w14:textId="10EBAB07" w:rsidR="002B6D1F" w:rsidRPr="00845FB7" w:rsidRDefault="45BBF84E" w:rsidP="60A3263E">
      <w:pPr>
        <w:spacing w:after="60"/>
        <w:rPr>
          <w:rFonts w:cstheme="majorBidi"/>
          <w:lang w:val="en-GB" w:eastAsia="en-GB"/>
        </w:rPr>
      </w:pPr>
      <w:r w:rsidRPr="00845FB7">
        <w:rPr>
          <w:rFonts w:cstheme="majorBidi"/>
          <w:lang w:val="en-GB" w:eastAsia="en-GB"/>
        </w:rPr>
        <w:t>Continue</w:t>
      </w:r>
      <w:r w:rsidR="000D4AEF" w:rsidRPr="00845FB7">
        <w:rPr>
          <w:rFonts w:cstheme="majorBidi"/>
          <w:lang w:val="en-GB" w:eastAsia="en-GB"/>
        </w:rPr>
        <w:t xml:space="preserve"> implementing the digital strategy </w:t>
      </w:r>
      <w:r w:rsidR="587CD6DC" w:rsidRPr="00845FB7">
        <w:rPr>
          <w:rFonts w:cstheme="majorBidi"/>
          <w:lang w:val="en-GB" w:eastAsia="en-GB"/>
        </w:rPr>
        <w:t>welcomed at</w:t>
      </w:r>
      <w:r w:rsidR="000D4AEF" w:rsidRPr="00845FB7">
        <w:rPr>
          <w:rFonts w:cstheme="majorBidi"/>
          <w:lang w:val="en-GB" w:eastAsia="en-GB"/>
        </w:rPr>
        <w:t xml:space="preserve"> COP-5 based on three pillars: (1) digital ecosystem, (2) building partnership and digital literacy, and (3) governance and innovation, by showing clear progress from the proposed activities of continuous improvement of the Convention website, the digital repository of publications in support of Article 17, the </w:t>
      </w:r>
      <w:r w:rsidR="002B40E4" w:rsidRPr="00845FB7">
        <w:rPr>
          <w:rFonts w:cstheme="majorBidi"/>
          <w:lang w:val="en-GB" w:eastAsia="en-GB"/>
        </w:rPr>
        <w:t>digitization</w:t>
      </w:r>
      <w:r w:rsidR="000D4AEF" w:rsidRPr="00845FB7">
        <w:rPr>
          <w:rFonts w:cstheme="majorBidi"/>
          <w:lang w:val="en-GB" w:eastAsia="en-GB"/>
        </w:rPr>
        <w:t xml:space="preserve"> of submissions, the Convention's taxonomy, an information exchange platform, online meetings and e-learning proposals.</w:t>
      </w:r>
    </w:p>
    <w:p w14:paraId="24F79279" w14:textId="668ECFF9" w:rsidR="00B3795B" w:rsidRPr="00845FB7" w:rsidRDefault="00B3795B" w:rsidP="00BD36F8">
      <w:pPr>
        <w:spacing w:before="240"/>
        <w:rPr>
          <w:rFonts w:cstheme="majorBidi"/>
          <w:b/>
          <w:bCs/>
          <w:szCs w:val="20"/>
          <w:lang w:val="en-GB" w:eastAsia="en-GB"/>
        </w:rPr>
      </w:pPr>
      <w:r w:rsidRPr="00845FB7">
        <w:rPr>
          <w:rFonts w:cstheme="majorBidi"/>
          <w:b/>
          <w:bCs/>
          <w:szCs w:val="20"/>
          <w:lang w:val="en-GB" w:eastAsia="en-GB"/>
        </w:rPr>
        <w:t>ACTIVITIES</w:t>
      </w:r>
    </w:p>
    <w:p w14:paraId="48BAF670" w14:textId="57F3C460" w:rsidR="00B3795B" w:rsidRPr="00845FB7" w:rsidRDefault="00B3795B" w:rsidP="00BD36F8">
      <w:pPr>
        <w:spacing w:after="120" w:line="240" w:lineRule="auto"/>
        <w:rPr>
          <w:rFonts w:eastAsia="Times New Roman" w:cstheme="majorBidi"/>
          <w:color w:val="0E101A"/>
          <w:szCs w:val="20"/>
          <w:lang w:val="en-GB"/>
        </w:rPr>
      </w:pPr>
      <w:r w:rsidRPr="00845FB7">
        <w:rPr>
          <w:rFonts w:eastAsia="Times New Roman" w:cstheme="majorBidi"/>
          <w:b/>
          <w:bCs/>
          <w:color w:val="0E101A"/>
          <w:lang w:val="en-GB"/>
        </w:rPr>
        <w:t xml:space="preserve">Website </w:t>
      </w:r>
      <w:r w:rsidR="000A7F65" w:rsidRPr="00845FB7">
        <w:rPr>
          <w:rFonts w:eastAsia="Times New Roman" w:cstheme="majorBidi"/>
          <w:b/>
          <w:bCs/>
          <w:color w:val="0E101A"/>
          <w:lang w:val="en-GB"/>
        </w:rPr>
        <w:t>improvement and maintenance</w:t>
      </w:r>
      <w:r w:rsidR="004F3E8E" w:rsidRPr="00845FB7">
        <w:rPr>
          <w:rFonts w:eastAsia="Times New Roman" w:cstheme="majorBidi"/>
          <w:b/>
          <w:bCs/>
          <w:color w:val="0E101A"/>
          <w:lang w:val="en-GB"/>
        </w:rPr>
        <w:t xml:space="preserve"> </w:t>
      </w:r>
    </w:p>
    <w:p w14:paraId="478CEF4B" w14:textId="6AE49AAC" w:rsidR="00B3795B" w:rsidRPr="00845FB7" w:rsidRDefault="00B3795B" w:rsidP="00BD36F8">
      <w:pPr>
        <w:numPr>
          <w:ilvl w:val="0"/>
          <w:numId w:val="10"/>
        </w:numPr>
        <w:spacing w:after="120" w:line="240" w:lineRule="auto"/>
        <w:rPr>
          <w:rFonts w:eastAsia="Times New Roman" w:cstheme="majorBidi"/>
          <w:color w:val="0E101A"/>
          <w:szCs w:val="20"/>
          <w:lang w:val="en-GB"/>
        </w:rPr>
      </w:pPr>
      <w:r w:rsidRPr="00845FB7">
        <w:rPr>
          <w:rFonts w:eastAsia="Times New Roman" w:cstheme="majorBidi"/>
          <w:color w:val="0E101A"/>
          <w:szCs w:val="20"/>
          <w:lang w:val="en-GB"/>
        </w:rPr>
        <w:t>Keep content updated in 3 working languages (English, French and Spanish) and official COP documents in all 6 UN languages, including decisions</w:t>
      </w:r>
      <w:r w:rsidR="003C6893" w:rsidRPr="00845FB7">
        <w:rPr>
          <w:rFonts w:eastAsia="Times New Roman" w:cstheme="majorBidi"/>
          <w:color w:val="0E101A"/>
          <w:szCs w:val="20"/>
          <w:lang w:val="en-GB"/>
        </w:rPr>
        <w:t xml:space="preserve"> </w:t>
      </w:r>
      <w:r w:rsidR="004F3E8E" w:rsidRPr="00845FB7">
        <w:rPr>
          <w:rFonts w:eastAsia="Times New Roman" w:cstheme="majorBidi"/>
          <w:color w:val="0E101A"/>
          <w:szCs w:val="20"/>
          <w:lang w:val="en-GB"/>
        </w:rPr>
        <w:t>(staff costs)</w:t>
      </w:r>
      <w:r w:rsidR="003C6893" w:rsidRPr="00845FB7">
        <w:rPr>
          <w:rFonts w:eastAsia="Times New Roman" w:cstheme="majorBidi"/>
          <w:color w:val="0E101A"/>
          <w:szCs w:val="20"/>
          <w:lang w:val="en-GB"/>
        </w:rPr>
        <w:t>.</w:t>
      </w:r>
    </w:p>
    <w:p w14:paraId="11637F05" w14:textId="606255A4" w:rsidR="00B3795B" w:rsidRPr="00845FB7" w:rsidRDefault="00B3795B" w:rsidP="3D4F1C4B">
      <w:pPr>
        <w:numPr>
          <w:ilvl w:val="0"/>
          <w:numId w:val="10"/>
        </w:numPr>
        <w:spacing w:after="120" w:line="240" w:lineRule="auto"/>
        <w:rPr>
          <w:rFonts w:eastAsia="Times New Roman" w:cstheme="majorBidi"/>
          <w:color w:val="0E101A"/>
          <w:lang w:val="en-GB"/>
        </w:rPr>
      </w:pPr>
      <w:r w:rsidRPr="00845FB7">
        <w:rPr>
          <w:rFonts w:eastAsia="Times New Roman" w:cstheme="majorBidi"/>
          <w:color w:val="0E101A"/>
          <w:lang w:val="en-GB"/>
        </w:rPr>
        <w:t>Website improvement and maintenance to ensure a good user experience and accessibility standards are maintained over time</w:t>
      </w:r>
      <w:r w:rsidR="008D2963" w:rsidRPr="00845FB7">
        <w:rPr>
          <w:rFonts w:eastAsia="Times New Roman" w:cstheme="majorBidi"/>
          <w:color w:val="0E101A"/>
          <w:lang w:val="en-GB"/>
        </w:rPr>
        <w:t>.</w:t>
      </w:r>
    </w:p>
    <w:p w14:paraId="11EF9322" w14:textId="377C4D85" w:rsidR="209108A6" w:rsidRPr="00845FB7" w:rsidRDefault="209108A6" w:rsidP="3D4F1C4B">
      <w:pPr>
        <w:numPr>
          <w:ilvl w:val="0"/>
          <w:numId w:val="10"/>
        </w:numPr>
        <w:spacing w:after="120" w:line="240" w:lineRule="auto"/>
        <w:rPr>
          <w:rFonts w:eastAsia="Roboto" w:cs="Roboto"/>
          <w:color w:val="0E101A"/>
          <w:szCs w:val="20"/>
          <w:lang w:val="en-GB"/>
        </w:rPr>
      </w:pPr>
      <w:r w:rsidRPr="00845FB7">
        <w:rPr>
          <w:rFonts w:eastAsia="Roboto" w:cs="Roboto"/>
          <w:color w:val="0E101A"/>
          <w:szCs w:val="20"/>
          <w:lang w:val="en-GB"/>
        </w:rPr>
        <w:t>Update thematic sections to incorporate data from national reports to support the effectiveness evaluation process.</w:t>
      </w:r>
    </w:p>
    <w:p w14:paraId="310CA79A" w14:textId="43863F0A" w:rsidR="00B3795B" w:rsidRPr="00845FB7" w:rsidRDefault="00B3795B" w:rsidP="00BD36F8">
      <w:pPr>
        <w:numPr>
          <w:ilvl w:val="0"/>
          <w:numId w:val="10"/>
        </w:numPr>
        <w:spacing w:after="120" w:line="240" w:lineRule="auto"/>
        <w:rPr>
          <w:rFonts w:eastAsia="Times New Roman" w:cstheme="majorBidi"/>
          <w:color w:val="0E101A"/>
          <w:szCs w:val="20"/>
          <w:lang w:val="en-GB"/>
        </w:rPr>
      </w:pPr>
      <w:r w:rsidRPr="00845FB7">
        <w:rPr>
          <w:rFonts w:eastAsia="Times New Roman" w:cstheme="majorBidi"/>
          <w:color w:val="0E101A"/>
          <w:szCs w:val="20"/>
          <w:lang w:val="en-GB"/>
        </w:rPr>
        <w:t xml:space="preserve">Enhance semantic relationships and content classification to boost data-driven processes and better support the </w:t>
      </w:r>
      <w:r w:rsidR="005B225C" w:rsidRPr="00845FB7">
        <w:rPr>
          <w:rFonts w:eastAsia="Times New Roman" w:cstheme="majorBidi"/>
          <w:color w:val="0E101A"/>
          <w:szCs w:val="20"/>
          <w:lang w:val="en-GB"/>
        </w:rPr>
        <w:t xml:space="preserve">Parties </w:t>
      </w:r>
      <w:r w:rsidRPr="00845FB7">
        <w:rPr>
          <w:rFonts w:eastAsia="Times New Roman" w:cstheme="majorBidi"/>
          <w:color w:val="0E101A"/>
          <w:szCs w:val="20"/>
          <w:lang w:val="en-GB"/>
        </w:rPr>
        <w:t xml:space="preserve">and other stakeholders in gathering information according to their needs. </w:t>
      </w:r>
    </w:p>
    <w:p w14:paraId="4D868F0B" w14:textId="077B9943" w:rsidR="00B3795B" w:rsidRPr="00845FB7" w:rsidRDefault="00B3795B" w:rsidP="60A3263E">
      <w:pPr>
        <w:numPr>
          <w:ilvl w:val="0"/>
          <w:numId w:val="10"/>
        </w:numPr>
        <w:spacing w:after="120" w:line="240" w:lineRule="auto"/>
        <w:rPr>
          <w:rFonts w:eastAsia="Times New Roman" w:cstheme="majorBidi"/>
          <w:color w:val="0E101A"/>
          <w:lang w:val="en-GB"/>
        </w:rPr>
      </w:pPr>
      <w:r w:rsidRPr="00845FB7">
        <w:rPr>
          <w:rFonts w:eastAsia="Times New Roman" w:cstheme="majorBidi"/>
          <w:color w:val="0E101A"/>
          <w:lang w:val="en-GB"/>
        </w:rPr>
        <w:t xml:space="preserve">Prepare a monitoring process to get </w:t>
      </w:r>
      <w:r w:rsidR="5970B1ED" w:rsidRPr="00845FB7">
        <w:rPr>
          <w:rFonts w:eastAsia="Times New Roman" w:cstheme="majorBidi"/>
          <w:color w:val="0E101A"/>
          <w:lang w:val="en-GB"/>
        </w:rPr>
        <w:t>statistical</w:t>
      </w:r>
      <w:r w:rsidRPr="00845FB7">
        <w:rPr>
          <w:rFonts w:eastAsia="Times New Roman" w:cstheme="majorBidi"/>
          <w:color w:val="0E101A"/>
          <w:lang w:val="en-GB"/>
        </w:rPr>
        <w:t xml:space="preserve"> insights</w:t>
      </w:r>
      <w:r w:rsidR="00DC4CA4" w:rsidRPr="00845FB7">
        <w:rPr>
          <w:rFonts w:eastAsia="Times New Roman" w:cstheme="majorBidi"/>
          <w:color w:val="0E101A"/>
          <w:lang w:val="en-GB"/>
        </w:rPr>
        <w:t xml:space="preserve"> (staff costs)</w:t>
      </w:r>
      <w:r w:rsidR="00A12C96" w:rsidRPr="00845FB7">
        <w:rPr>
          <w:rFonts w:eastAsia="Times New Roman" w:cstheme="majorBidi"/>
          <w:color w:val="0E101A"/>
          <w:lang w:val="en-GB"/>
        </w:rPr>
        <w:t>.</w:t>
      </w:r>
    </w:p>
    <w:p w14:paraId="764C3FC0" w14:textId="057D60F2" w:rsidR="07106E95" w:rsidRPr="00845FB7" w:rsidRDefault="07106E95" w:rsidP="00922BDA">
      <w:pPr>
        <w:spacing w:before="240" w:after="120" w:line="240" w:lineRule="auto"/>
        <w:rPr>
          <w:rFonts w:eastAsia="Times New Roman" w:cstheme="majorBidi"/>
          <w:b/>
          <w:bCs/>
          <w:color w:val="0E101A"/>
          <w:lang w:val="en-GB"/>
        </w:rPr>
      </w:pPr>
      <w:r w:rsidRPr="00845FB7">
        <w:rPr>
          <w:rFonts w:eastAsia="Times New Roman" w:cstheme="majorBidi"/>
          <w:b/>
          <w:bCs/>
          <w:color w:val="0E101A"/>
          <w:lang w:val="en-GB"/>
        </w:rPr>
        <w:t>Website hosting</w:t>
      </w:r>
    </w:p>
    <w:p w14:paraId="2332AED2" w14:textId="704010E0" w:rsidR="00E82132" w:rsidRPr="00922BDA" w:rsidRDefault="005B225C" w:rsidP="00922BDA">
      <w:pPr>
        <w:numPr>
          <w:ilvl w:val="0"/>
          <w:numId w:val="10"/>
        </w:numPr>
        <w:spacing w:after="120" w:line="240" w:lineRule="auto"/>
        <w:rPr>
          <w:rFonts w:eastAsia="Times New Roman" w:cstheme="majorBidi"/>
          <w:color w:val="0E101A"/>
          <w:szCs w:val="20"/>
          <w:lang w:val="en-GB"/>
        </w:rPr>
      </w:pPr>
      <w:r w:rsidRPr="00845FB7">
        <w:rPr>
          <w:rFonts w:eastAsia="Times New Roman" w:cstheme="majorBidi"/>
          <w:color w:val="0E101A"/>
          <w:lang w:val="en-GB"/>
        </w:rPr>
        <w:t>Web hosting</w:t>
      </w:r>
      <w:r w:rsidR="00AF4416" w:rsidRPr="00845FB7">
        <w:rPr>
          <w:rFonts w:eastAsia="Times New Roman" w:cstheme="majorBidi"/>
          <w:color w:val="0E101A"/>
          <w:lang w:val="en-GB"/>
        </w:rPr>
        <w:t xml:space="preserve"> on the UN cloud with a scalable solution to </w:t>
      </w:r>
      <w:r w:rsidR="007200E8" w:rsidRPr="00845FB7">
        <w:rPr>
          <w:rFonts w:eastAsia="Times New Roman" w:cstheme="majorBidi"/>
          <w:color w:val="0E101A"/>
          <w:lang w:val="en-GB"/>
        </w:rPr>
        <w:t>accommodate increasing traffic and content growth</w:t>
      </w:r>
      <w:r w:rsidR="00D21E76" w:rsidRPr="00845FB7">
        <w:rPr>
          <w:rFonts w:eastAsia="Times New Roman" w:cstheme="majorBidi"/>
          <w:color w:val="0E101A"/>
          <w:lang w:val="en-GB"/>
        </w:rPr>
        <w:t>.</w:t>
      </w:r>
    </w:p>
    <w:p w14:paraId="3E2A7981" w14:textId="17F5FF30" w:rsidR="00B3795B" w:rsidRPr="00845FB7" w:rsidRDefault="01419EFC" w:rsidP="00922BDA">
      <w:pPr>
        <w:spacing w:before="240" w:after="120" w:line="240" w:lineRule="auto"/>
        <w:rPr>
          <w:rFonts w:eastAsia="Times New Roman" w:cstheme="majorBidi"/>
          <w:color w:val="0E101A"/>
          <w:lang w:val="en-GB"/>
        </w:rPr>
      </w:pPr>
      <w:r w:rsidRPr="00845FB7">
        <w:rPr>
          <w:rFonts w:eastAsia="Times New Roman" w:cstheme="majorBidi"/>
          <w:b/>
          <w:bCs/>
          <w:color w:val="0E101A"/>
          <w:lang w:val="en-GB"/>
        </w:rPr>
        <w:t>Minamata Exchange Platform</w:t>
      </w:r>
      <w:r w:rsidR="631E5541" w:rsidRPr="00845FB7">
        <w:rPr>
          <w:rFonts w:eastAsia="Times New Roman" w:cstheme="majorBidi"/>
          <w:b/>
          <w:bCs/>
          <w:color w:val="0E101A"/>
          <w:lang w:val="en-GB"/>
        </w:rPr>
        <w:t xml:space="preserve"> </w:t>
      </w:r>
      <w:r w:rsidR="00B3795B" w:rsidRPr="00845FB7">
        <w:rPr>
          <w:rFonts w:eastAsia="Times New Roman" w:cstheme="majorBidi"/>
          <w:b/>
          <w:bCs/>
          <w:color w:val="0E101A"/>
          <w:lang w:val="en-GB"/>
        </w:rPr>
        <w:t xml:space="preserve"> </w:t>
      </w:r>
    </w:p>
    <w:p w14:paraId="02AC0187" w14:textId="75ABF552" w:rsidR="002F1DE6" w:rsidRPr="00922BDA" w:rsidRDefault="477282A4" w:rsidP="00922BDA">
      <w:pPr>
        <w:numPr>
          <w:ilvl w:val="0"/>
          <w:numId w:val="12"/>
        </w:numPr>
        <w:spacing w:after="120" w:line="240" w:lineRule="auto"/>
        <w:rPr>
          <w:rFonts w:eastAsia="Times New Roman" w:cstheme="majorBidi"/>
          <w:color w:val="0E101A"/>
          <w:lang w:val="en-GB"/>
        </w:rPr>
      </w:pPr>
      <w:r w:rsidRPr="00845FB7">
        <w:rPr>
          <w:rFonts w:eastAsia="Times New Roman" w:cstheme="majorBidi"/>
          <w:color w:val="0E101A"/>
          <w:lang w:val="en-GB"/>
        </w:rPr>
        <w:t xml:space="preserve">Building on the digital strategy, design and </w:t>
      </w:r>
      <w:r w:rsidR="002F1DE6" w:rsidRPr="00845FB7">
        <w:rPr>
          <w:rFonts w:eastAsia="Times New Roman" w:cstheme="majorBidi"/>
          <w:color w:val="0E101A"/>
          <w:lang w:val="en-GB"/>
        </w:rPr>
        <w:t xml:space="preserve">develop a </w:t>
      </w:r>
      <w:r w:rsidRPr="00845FB7">
        <w:rPr>
          <w:rFonts w:eastAsia="Times New Roman" w:cstheme="majorBidi"/>
          <w:color w:val="0E101A"/>
          <w:lang w:val="en-GB"/>
        </w:rPr>
        <w:t xml:space="preserve">platform to facilitate structured and inclusive </w:t>
      </w:r>
      <w:r w:rsidR="002F1DE6" w:rsidRPr="00845FB7">
        <w:rPr>
          <w:rFonts w:eastAsia="Times New Roman" w:cstheme="majorBidi"/>
          <w:color w:val="0E101A"/>
          <w:lang w:val="en-GB"/>
        </w:rPr>
        <w:t xml:space="preserve">information </w:t>
      </w:r>
      <w:r w:rsidRPr="00845FB7">
        <w:rPr>
          <w:rFonts w:eastAsia="Times New Roman" w:cstheme="majorBidi"/>
          <w:color w:val="0E101A"/>
          <w:lang w:val="en-GB"/>
        </w:rPr>
        <w:t>exchange.</w:t>
      </w:r>
      <w:r w:rsidR="002F1DE6" w:rsidRPr="00845FB7">
        <w:rPr>
          <w:rFonts w:eastAsia="Times New Roman" w:cstheme="majorBidi"/>
          <w:color w:val="0E101A"/>
          <w:lang w:val="en-GB"/>
        </w:rPr>
        <w:t xml:space="preserve"> This </w:t>
      </w:r>
      <w:r w:rsidRPr="00845FB7">
        <w:rPr>
          <w:rFonts w:eastAsia="Times New Roman" w:cstheme="majorBidi"/>
          <w:color w:val="0E101A"/>
          <w:lang w:val="en-GB"/>
        </w:rPr>
        <w:t xml:space="preserve">platform is aimed at helping build the capacity of </w:t>
      </w:r>
      <w:r w:rsidR="00972C2B" w:rsidRPr="00845FB7">
        <w:rPr>
          <w:rFonts w:eastAsia="Times New Roman" w:cstheme="majorBidi"/>
          <w:color w:val="0E101A"/>
          <w:lang w:val="en-GB"/>
        </w:rPr>
        <w:t>P</w:t>
      </w:r>
      <w:r w:rsidRPr="00845FB7">
        <w:rPr>
          <w:rFonts w:eastAsia="Times New Roman" w:cstheme="majorBidi"/>
          <w:color w:val="0E101A"/>
          <w:lang w:val="en-GB"/>
        </w:rPr>
        <w:t>arties and stakeholders by providing centralized access to scientific, technical, legal and implementation-related knowledge. It will support cooperation, data interoperability, and informed decision-making, and is envisioned to be operationalized in a scalable, cost-efficient way.</w:t>
      </w:r>
    </w:p>
    <w:p w14:paraId="4DADFD54" w14:textId="60011D5C" w:rsidR="009A2F07" w:rsidRPr="00845FB7" w:rsidRDefault="009A2F07" w:rsidP="00922BDA">
      <w:pPr>
        <w:spacing w:before="240" w:after="120" w:line="240" w:lineRule="auto"/>
        <w:rPr>
          <w:rFonts w:eastAsia="Times New Roman" w:cstheme="majorBidi"/>
          <w:color w:val="0E101A"/>
          <w:lang w:val="en-GB"/>
        </w:rPr>
      </w:pPr>
      <w:r w:rsidRPr="00845FB7">
        <w:rPr>
          <w:rFonts w:eastAsia="Times New Roman" w:cstheme="majorBidi"/>
          <w:b/>
          <w:bCs/>
          <w:color w:val="0E101A"/>
          <w:lang w:val="en-GB"/>
        </w:rPr>
        <w:t>Digitize Secretariat’s submissions</w:t>
      </w:r>
      <w:r w:rsidR="007B44F9" w:rsidRPr="00845FB7">
        <w:rPr>
          <w:rFonts w:eastAsia="Times New Roman" w:cstheme="majorBidi"/>
          <w:b/>
          <w:bCs/>
          <w:color w:val="0E101A"/>
          <w:lang w:val="en-GB"/>
        </w:rPr>
        <w:t xml:space="preserve"> </w:t>
      </w:r>
      <w:r w:rsidR="007B44F9" w:rsidRPr="00845FB7">
        <w:rPr>
          <w:rFonts w:eastAsia="Times New Roman" w:cstheme="majorBidi"/>
          <w:color w:val="0E101A"/>
          <w:lang w:val="en-GB"/>
        </w:rPr>
        <w:t>(subject to the availability of resources)</w:t>
      </w:r>
    </w:p>
    <w:p w14:paraId="187ABF19" w14:textId="5FD10E21" w:rsidR="00AD2802" w:rsidRPr="00845FB7" w:rsidRDefault="001D51D0">
      <w:pPr>
        <w:pStyle w:val="ListParagraph"/>
        <w:numPr>
          <w:ilvl w:val="0"/>
          <w:numId w:val="13"/>
        </w:numPr>
        <w:spacing w:after="120" w:line="240" w:lineRule="auto"/>
        <w:jc w:val="left"/>
        <w:rPr>
          <w:rFonts w:eastAsia="Times New Roman" w:cstheme="majorBidi"/>
          <w:color w:val="0E101A"/>
          <w:szCs w:val="20"/>
          <w:lang w:val="en-GB"/>
        </w:rPr>
      </w:pPr>
      <w:r w:rsidRPr="00845FB7">
        <w:rPr>
          <w:rFonts w:eastAsia="Times New Roman" w:cstheme="majorBidi"/>
          <w:color w:val="0E101A"/>
          <w:szCs w:val="20"/>
          <w:lang w:val="en-GB"/>
        </w:rPr>
        <w:t xml:space="preserve">The Secretariat aims to digitize submissions from Parties, beginning with </w:t>
      </w:r>
      <w:r w:rsidR="00520D38" w:rsidRPr="00845FB7">
        <w:rPr>
          <w:rFonts w:eastAsia="Times New Roman" w:cstheme="majorBidi"/>
          <w:color w:val="0E101A"/>
          <w:szCs w:val="20"/>
          <w:lang w:val="en-GB"/>
        </w:rPr>
        <w:t xml:space="preserve">information on </w:t>
      </w:r>
      <w:r w:rsidRPr="00845FB7">
        <w:rPr>
          <w:rFonts w:eastAsia="Times New Roman" w:cstheme="majorBidi"/>
          <w:color w:val="0E101A"/>
          <w:szCs w:val="20"/>
          <w:lang w:val="en-GB"/>
        </w:rPr>
        <w:t xml:space="preserve">national focal points (as stated in Article 17.4). National Focal Points serve as the main points of contact for information exchange under the Convention, and Parties are </w:t>
      </w:r>
      <w:r w:rsidR="00A45FB2" w:rsidRPr="00845FB7">
        <w:rPr>
          <w:rFonts w:eastAsia="Times New Roman" w:cstheme="majorBidi"/>
          <w:color w:val="0E101A"/>
          <w:szCs w:val="20"/>
          <w:lang w:val="en-GB"/>
        </w:rPr>
        <w:t xml:space="preserve">required to nominate NFP </w:t>
      </w:r>
      <w:proofErr w:type="gramStart"/>
      <w:r w:rsidR="00A45FB2" w:rsidRPr="00845FB7">
        <w:rPr>
          <w:rFonts w:eastAsia="Times New Roman" w:cstheme="majorBidi"/>
          <w:color w:val="0E101A"/>
          <w:szCs w:val="20"/>
          <w:lang w:val="en-GB"/>
        </w:rPr>
        <w:t>through the use of</w:t>
      </w:r>
      <w:proofErr w:type="gramEnd"/>
      <w:r w:rsidR="008C203C" w:rsidRPr="00845FB7">
        <w:rPr>
          <w:rFonts w:eastAsia="Times New Roman" w:cstheme="majorBidi"/>
          <w:color w:val="0E101A"/>
          <w:szCs w:val="20"/>
          <w:lang w:val="en-GB"/>
        </w:rPr>
        <w:t xml:space="preserve"> a</w:t>
      </w:r>
      <w:r w:rsidR="00A45FB2" w:rsidRPr="00845FB7">
        <w:rPr>
          <w:rFonts w:eastAsia="Times New Roman" w:cstheme="majorBidi"/>
          <w:color w:val="0E101A"/>
          <w:szCs w:val="20"/>
          <w:lang w:val="en-GB"/>
        </w:rPr>
        <w:t xml:space="preserve"> dedicated fo</w:t>
      </w:r>
      <w:r w:rsidR="008C203C" w:rsidRPr="00845FB7">
        <w:rPr>
          <w:rFonts w:eastAsia="Times New Roman" w:cstheme="majorBidi"/>
          <w:color w:val="0E101A"/>
          <w:szCs w:val="20"/>
          <w:lang w:val="en-GB"/>
        </w:rPr>
        <w:t>r</w:t>
      </w:r>
      <w:r w:rsidR="00A45FB2" w:rsidRPr="00845FB7">
        <w:rPr>
          <w:rFonts w:eastAsia="Times New Roman" w:cstheme="majorBidi"/>
          <w:color w:val="0E101A"/>
          <w:szCs w:val="20"/>
          <w:lang w:val="en-GB"/>
        </w:rPr>
        <w:t xml:space="preserve">m. </w:t>
      </w:r>
      <w:r w:rsidRPr="00845FB7">
        <w:rPr>
          <w:rFonts w:eastAsia="Times New Roman" w:cstheme="majorBidi"/>
          <w:color w:val="0E101A"/>
          <w:szCs w:val="20"/>
          <w:lang w:val="en-GB"/>
        </w:rPr>
        <w:t>By establishing a digital method to obtain structured data</w:t>
      </w:r>
      <w:r w:rsidR="00A45FB2" w:rsidRPr="00845FB7">
        <w:rPr>
          <w:rFonts w:eastAsia="Times New Roman" w:cstheme="majorBidi"/>
          <w:color w:val="0E101A"/>
          <w:szCs w:val="20"/>
          <w:lang w:val="en-GB"/>
        </w:rPr>
        <w:t xml:space="preserve"> on any changes to </w:t>
      </w:r>
      <w:r w:rsidR="008C203C" w:rsidRPr="00845FB7">
        <w:rPr>
          <w:rFonts w:eastAsia="Times New Roman" w:cstheme="majorBidi"/>
          <w:color w:val="0E101A"/>
          <w:szCs w:val="20"/>
          <w:lang w:val="en-GB"/>
        </w:rPr>
        <w:t xml:space="preserve">the contact details of </w:t>
      </w:r>
      <w:r w:rsidR="00A45FB2" w:rsidRPr="00845FB7">
        <w:rPr>
          <w:rFonts w:eastAsia="Times New Roman" w:cstheme="majorBidi"/>
          <w:color w:val="0E101A"/>
          <w:szCs w:val="20"/>
          <w:lang w:val="en-GB"/>
        </w:rPr>
        <w:t>NFPs</w:t>
      </w:r>
      <w:r w:rsidRPr="00845FB7">
        <w:rPr>
          <w:rFonts w:eastAsia="Times New Roman" w:cstheme="majorBidi"/>
          <w:color w:val="0E101A"/>
          <w:szCs w:val="20"/>
          <w:lang w:val="en-GB"/>
        </w:rPr>
        <w:t xml:space="preserve">, with a clear and efficient workflow, this initiative would greatly assist in avoiding errors when copying information. Moreover, it would enable the </w:t>
      </w:r>
      <w:r w:rsidRPr="00845FB7">
        <w:rPr>
          <w:rFonts w:eastAsia="Times New Roman" w:cstheme="majorBidi"/>
          <w:color w:val="0E101A"/>
          <w:szCs w:val="20"/>
          <w:lang w:val="en-GB"/>
        </w:rPr>
        <w:lastRenderedPageBreak/>
        <w:t>Secretariat to promptly and accurately update contact data across all relevant distribution lists and the website.</w:t>
      </w:r>
    </w:p>
    <w:p w14:paraId="60F8C7B6" w14:textId="4A7C9498" w:rsidR="00AD2802" w:rsidRPr="00845FB7" w:rsidRDefault="00AD2802" w:rsidP="00922BDA">
      <w:pPr>
        <w:spacing w:before="240" w:after="120" w:line="240" w:lineRule="auto"/>
        <w:rPr>
          <w:rFonts w:eastAsia="Times New Roman" w:cstheme="majorBidi"/>
          <w:color w:val="0E101A"/>
          <w:szCs w:val="20"/>
          <w:lang w:val="en-GB"/>
        </w:rPr>
      </w:pPr>
      <w:r w:rsidRPr="00922BDA">
        <w:rPr>
          <w:rFonts w:eastAsia="Times New Roman" w:cstheme="majorBidi"/>
          <w:b/>
          <w:bCs/>
          <w:color w:val="0E101A"/>
          <w:lang w:val="en-GB"/>
        </w:rPr>
        <w:t>Convention’s</w:t>
      </w:r>
      <w:r w:rsidRPr="00845FB7">
        <w:rPr>
          <w:rFonts w:eastAsia="Times New Roman" w:cstheme="majorBidi"/>
          <w:b/>
          <w:bCs/>
          <w:color w:val="0E101A"/>
          <w:szCs w:val="20"/>
          <w:lang w:val="en-GB"/>
        </w:rPr>
        <w:t xml:space="preserve"> taxonomy</w:t>
      </w:r>
      <w:r w:rsidR="007B44F9" w:rsidRPr="00845FB7">
        <w:rPr>
          <w:rFonts w:eastAsia="Times New Roman" w:cstheme="majorBidi"/>
          <w:b/>
          <w:bCs/>
          <w:color w:val="0E101A"/>
          <w:szCs w:val="20"/>
          <w:lang w:val="en-GB"/>
        </w:rPr>
        <w:t xml:space="preserve"> </w:t>
      </w:r>
      <w:r w:rsidR="007B44F9" w:rsidRPr="00845FB7">
        <w:rPr>
          <w:rFonts w:eastAsia="Times New Roman" w:cstheme="majorBidi"/>
          <w:color w:val="0E101A"/>
          <w:szCs w:val="20"/>
          <w:lang w:val="en-GB"/>
        </w:rPr>
        <w:t>(subject to the availability of resources)</w:t>
      </w:r>
    </w:p>
    <w:p w14:paraId="7FC221A8" w14:textId="3022AC2B" w:rsidR="00AD2802" w:rsidRPr="00845FB7" w:rsidRDefault="00854FFA" w:rsidP="00BD36F8">
      <w:pPr>
        <w:pStyle w:val="ListParagraph"/>
        <w:numPr>
          <w:ilvl w:val="0"/>
          <w:numId w:val="13"/>
        </w:numPr>
        <w:spacing w:after="120" w:line="240" w:lineRule="auto"/>
        <w:jc w:val="left"/>
        <w:rPr>
          <w:rFonts w:eastAsia="Times New Roman" w:cstheme="majorBidi"/>
          <w:color w:val="0E101A"/>
          <w:szCs w:val="20"/>
          <w:lang w:val="en-GB"/>
        </w:rPr>
      </w:pPr>
      <w:r w:rsidRPr="00845FB7">
        <w:rPr>
          <w:rFonts w:eastAsia="Times New Roman" w:cstheme="majorBidi"/>
          <w:color w:val="0E101A"/>
          <w:szCs w:val="20"/>
          <w:lang w:val="en-GB"/>
        </w:rPr>
        <w:t xml:space="preserve">Develop a </w:t>
      </w:r>
      <w:r w:rsidR="0091345A" w:rsidRPr="00845FB7">
        <w:rPr>
          <w:rFonts w:eastAsia="Times New Roman" w:cstheme="majorBidi"/>
          <w:color w:val="0E101A"/>
          <w:szCs w:val="20"/>
          <w:lang w:val="en-GB"/>
        </w:rPr>
        <w:t xml:space="preserve">data-driven </w:t>
      </w:r>
      <w:r w:rsidRPr="00845FB7">
        <w:rPr>
          <w:rFonts w:eastAsia="Times New Roman" w:cstheme="majorBidi"/>
          <w:color w:val="0E101A"/>
          <w:szCs w:val="20"/>
          <w:lang w:val="en-GB"/>
        </w:rPr>
        <w:t>taxonomy</w:t>
      </w:r>
      <w:r w:rsidR="002A54C8" w:rsidRPr="00845FB7">
        <w:rPr>
          <w:rFonts w:eastAsia="Times New Roman" w:cstheme="majorBidi"/>
          <w:color w:val="0E101A"/>
          <w:szCs w:val="20"/>
          <w:lang w:val="en-GB"/>
        </w:rPr>
        <w:t xml:space="preserve"> structure t</w:t>
      </w:r>
      <w:r w:rsidRPr="00845FB7">
        <w:rPr>
          <w:rFonts w:eastAsia="Times New Roman" w:cstheme="majorBidi"/>
          <w:color w:val="0E101A"/>
          <w:szCs w:val="20"/>
          <w:lang w:val="en-GB"/>
        </w:rPr>
        <w:t>o facilitate the organization of knowledge, as well as the analysis, comparison, and retrieval of data on mercury.</w:t>
      </w:r>
      <w:r w:rsidR="002A54C8" w:rsidRPr="00845FB7">
        <w:rPr>
          <w:rFonts w:eastAsia="Times New Roman" w:cstheme="majorBidi"/>
          <w:color w:val="0E101A"/>
          <w:szCs w:val="20"/>
          <w:lang w:val="en-GB"/>
        </w:rPr>
        <w:t xml:space="preserve"> This effort will also help in having </w:t>
      </w:r>
      <w:proofErr w:type="gramStart"/>
      <w:r w:rsidR="002A54C8" w:rsidRPr="00845FB7">
        <w:rPr>
          <w:rFonts w:eastAsia="Times New Roman" w:cstheme="majorBidi"/>
          <w:color w:val="0E101A"/>
          <w:szCs w:val="20"/>
          <w:lang w:val="en-GB"/>
        </w:rPr>
        <w:t>a</w:t>
      </w:r>
      <w:r w:rsidR="00022984" w:rsidRPr="00845FB7">
        <w:rPr>
          <w:rFonts w:eastAsia="Times New Roman" w:cstheme="majorBidi"/>
          <w:color w:val="0E101A"/>
          <w:szCs w:val="20"/>
          <w:lang w:val="en-GB"/>
        </w:rPr>
        <w:t>n</w:t>
      </w:r>
      <w:proofErr w:type="gramEnd"/>
      <w:r w:rsidR="00022984" w:rsidRPr="00845FB7">
        <w:rPr>
          <w:rFonts w:eastAsia="Times New Roman" w:cstheme="majorBidi"/>
          <w:color w:val="0E101A"/>
          <w:szCs w:val="20"/>
          <w:lang w:val="en-GB"/>
        </w:rPr>
        <w:t xml:space="preserve"> harmonized translation of relevant terms of the Convention.</w:t>
      </w:r>
    </w:p>
    <w:p w14:paraId="5AF32732" w14:textId="6FFB0B68" w:rsidR="005501C6" w:rsidRPr="00845FB7" w:rsidRDefault="005501C6" w:rsidP="3D4F1C4B">
      <w:pPr>
        <w:pStyle w:val="ListParagraph"/>
        <w:numPr>
          <w:ilvl w:val="0"/>
          <w:numId w:val="13"/>
        </w:numPr>
        <w:spacing w:after="120" w:line="240" w:lineRule="auto"/>
        <w:jc w:val="left"/>
        <w:rPr>
          <w:rFonts w:eastAsia="Times New Roman" w:cstheme="majorBidi"/>
          <w:color w:val="0E101A"/>
          <w:lang w:val="en-GB"/>
        </w:rPr>
      </w:pPr>
      <w:r w:rsidRPr="00845FB7">
        <w:rPr>
          <w:rFonts w:eastAsia="Times New Roman" w:cstheme="majorBidi"/>
          <w:color w:val="0E101A"/>
          <w:lang w:val="en-GB"/>
        </w:rPr>
        <w:t xml:space="preserve">Taxonomies are the first step in achieving structured knowledge and data management based on a semantic framework. These frameworks serve as fundamental building blocks for intelligent search functions, multilingual approaches to content, and </w:t>
      </w:r>
      <w:r w:rsidR="5F178AFC" w:rsidRPr="00845FB7">
        <w:rPr>
          <w:rFonts w:eastAsia="Times New Roman" w:cstheme="majorBidi"/>
          <w:color w:val="0E101A"/>
          <w:lang w:val="en-GB"/>
        </w:rPr>
        <w:t>automated</w:t>
      </w:r>
      <w:r w:rsidRPr="00845FB7">
        <w:rPr>
          <w:rFonts w:eastAsia="Times New Roman" w:cstheme="majorBidi"/>
          <w:color w:val="0E101A"/>
          <w:lang w:val="en-GB"/>
        </w:rPr>
        <w:t xml:space="preserve"> content</w:t>
      </w:r>
      <w:r w:rsidR="14EC75B9" w:rsidRPr="00845FB7">
        <w:rPr>
          <w:rFonts w:eastAsia="Times New Roman" w:cstheme="majorBidi"/>
          <w:color w:val="0E101A"/>
          <w:lang w:val="en-GB"/>
        </w:rPr>
        <w:t xml:space="preserve"> tagging</w:t>
      </w:r>
      <w:r w:rsidRPr="00845FB7">
        <w:rPr>
          <w:rFonts w:eastAsia="Times New Roman" w:cstheme="majorBidi"/>
          <w:color w:val="0E101A"/>
          <w:lang w:val="en-GB"/>
        </w:rPr>
        <w:t>.</w:t>
      </w:r>
    </w:p>
    <w:p w14:paraId="63BF8615" w14:textId="0CF18BB2" w:rsidR="00B3795B" w:rsidRPr="00845FB7" w:rsidRDefault="00B95A21" w:rsidP="00922BDA">
      <w:pPr>
        <w:spacing w:before="240" w:after="120" w:line="240" w:lineRule="auto"/>
        <w:rPr>
          <w:rFonts w:eastAsia="Times New Roman" w:cstheme="majorBidi"/>
          <w:color w:val="0E101A"/>
          <w:szCs w:val="20"/>
          <w:lang w:val="en-GB"/>
        </w:rPr>
      </w:pPr>
      <w:r w:rsidRPr="00845FB7">
        <w:rPr>
          <w:rFonts w:eastAsia="Times New Roman" w:cstheme="majorBidi"/>
          <w:b/>
          <w:bCs/>
          <w:color w:val="0E101A"/>
          <w:szCs w:val="20"/>
          <w:lang w:val="en-GB"/>
        </w:rPr>
        <w:t>Training of a generative AI model</w:t>
      </w:r>
      <w:r w:rsidR="00B3795B" w:rsidRPr="00845FB7">
        <w:rPr>
          <w:rFonts w:eastAsia="Times New Roman" w:cstheme="majorBidi"/>
          <w:b/>
          <w:bCs/>
          <w:color w:val="0E101A"/>
          <w:szCs w:val="20"/>
          <w:lang w:val="en-GB"/>
        </w:rPr>
        <w:t xml:space="preserve"> </w:t>
      </w:r>
      <w:r w:rsidR="00B3795B" w:rsidRPr="00845FB7">
        <w:rPr>
          <w:rFonts w:eastAsia="Times New Roman" w:cstheme="majorBidi"/>
          <w:color w:val="0E101A"/>
          <w:szCs w:val="20"/>
          <w:lang w:val="en-GB"/>
        </w:rPr>
        <w:t xml:space="preserve">(subject to the availability of </w:t>
      </w:r>
      <w:r w:rsidR="004C2651" w:rsidRPr="00845FB7">
        <w:rPr>
          <w:rFonts w:eastAsia="Times New Roman" w:cstheme="majorBidi"/>
          <w:color w:val="0E101A"/>
          <w:szCs w:val="20"/>
          <w:lang w:val="en-GB"/>
        </w:rPr>
        <w:t>resources</w:t>
      </w:r>
      <w:r w:rsidR="00B3795B" w:rsidRPr="00845FB7">
        <w:rPr>
          <w:rFonts w:eastAsia="Times New Roman" w:cstheme="majorBidi"/>
          <w:color w:val="0E101A"/>
          <w:szCs w:val="20"/>
          <w:lang w:val="en-GB"/>
        </w:rPr>
        <w:t>)</w:t>
      </w:r>
    </w:p>
    <w:p w14:paraId="1019E59E" w14:textId="5BD648D0" w:rsidR="004D4AEB" w:rsidRPr="00845FB7" w:rsidRDefault="475605B4" w:rsidP="133BAB4A">
      <w:pPr>
        <w:pStyle w:val="ListParagraph"/>
        <w:numPr>
          <w:ilvl w:val="0"/>
          <w:numId w:val="14"/>
        </w:numPr>
        <w:spacing w:after="120" w:line="240" w:lineRule="auto"/>
        <w:jc w:val="left"/>
        <w:rPr>
          <w:rFonts w:eastAsia="Times New Roman" w:cstheme="majorBidi"/>
          <w:color w:val="0E101A"/>
          <w:lang w:val="en-GB"/>
        </w:rPr>
      </w:pPr>
      <w:r w:rsidRPr="00845FB7">
        <w:rPr>
          <w:rFonts w:eastAsia="Times New Roman" w:cstheme="majorBidi"/>
          <w:color w:val="0E101A"/>
          <w:lang w:val="en-GB"/>
        </w:rPr>
        <w:t>This activity will explore the use of artificial intelligence (AI) tools to assist the Secretariat in synthesizing data and identifying trends across national reports submitted under Article 21. With over 100 Parties reporting through structured and narrative formats, AI can help extract common implementation challenges, highlight good practices, and flag areas needing further guidance. The pilot will focus on using AI to group responses thematically, suggest summary insights, and support data visualization efforts, thereby enhancing the utility of reporting data for Parties, the Conference of the Parties, and the effectiveness evaluation process.</w:t>
      </w:r>
    </w:p>
    <w:p w14:paraId="06076D5E" w14:textId="77777777" w:rsidR="00B3795B" w:rsidRPr="00845FB7" w:rsidRDefault="00B3795B" w:rsidP="00922BDA">
      <w:pPr>
        <w:spacing w:before="240" w:after="120" w:line="240" w:lineRule="auto"/>
        <w:rPr>
          <w:rFonts w:eastAsia="Times New Roman" w:cstheme="majorBidi"/>
          <w:color w:val="0E101A"/>
          <w:szCs w:val="20"/>
          <w:lang w:val="en-GB"/>
        </w:rPr>
      </w:pPr>
      <w:r w:rsidRPr="00845FB7">
        <w:rPr>
          <w:rFonts w:eastAsia="Times New Roman" w:cstheme="majorBidi"/>
          <w:b/>
          <w:bCs/>
          <w:color w:val="0E101A"/>
          <w:szCs w:val="20"/>
          <w:lang w:val="en-GB"/>
        </w:rPr>
        <w:t>Online meetings</w:t>
      </w:r>
      <w:r w:rsidRPr="00845FB7">
        <w:rPr>
          <w:rFonts w:eastAsia="Times New Roman" w:cstheme="majorBidi"/>
          <w:color w:val="0E101A"/>
          <w:szCs w:val="20"/>
          <w:lang w:val="en-GB"/>
        </w:rPr>
        <w:t xml:space="preserve"> (staff costs)</w:t>
      </w:r>
    </w:p>
    <w:p w14:paraId="65FB57FB" w14:textId="32937B0F" w:rsidR="00B3795B" w:rsidRPr="00845FB7" w:rsidRDefault="00B3795B" w:rsidP="00BD36F8">
      <w:pPr>
        <w:pStyle w:val="ListParagraph"/>
        <w:numPr>
          <w:ilvl w:val="0"/>
          <w:numId w:val="14"/>
        </w:numPr>
        <w:spacing w:after="120" w:line="240" w:lineRule="auto"/>
        <w:jc w:val="left"/>
        <w:rPr>
          <w:rFonts w:eastAsia="Times New Roman" w:cstheme="majorBidi"/>
          <w:color w:val="0E101A"/>
          <w:szCs w:val="20"/>
          <w:lang w:val="en-GB"/>
        </w:rPr>
      </w:pPr>
      <w:r w:rsidRPr="00845FB7">
        <w:rPr>
          <w:rFonts w:eastAsia="Times New Roman" w:cstheme="majorBidi"/>
          <w:color w:val="0E101A"/>
          <w:szCs w:val="20"/>
          <w:lang w:val="en-GB"/>
        </w:rPr>
        <w:t xml:space="preserve">Organize a new Minamata Online season to keep building knowledge among </w:t>
      </w:r>
      <w:r w:rsidR="007C1515" w:rsidRPr="00845FB7">
        <w:rPr>
          <w:rFonts w:eastAsia="Times New Roman" w:cstheme="majorBidi"/>
          <w:color w:val="0E101A"/>
          <w:szCs w:val="20"/>
          <w:lang w:val="en-GB"/>
        </w:rPr>
        <w:t>P</w:t>
      </w:r>
      <w:r w:rsidRPr="00845FB7">
        <w:rPr>
          <w:rFonts w:eastAsia="Times New Roman" w:cstheme="majorBidi"/>
          <w:color w:val="0E101A"/>
          <w:szCs w:val="20"/>
          <w:lang w:val="en-GB"/>
        </w:rPr>
        <w:t>arties and other stakeholders on the Convention's provisions, policy and scientific aspects.</w:t>
      </w:r>
    </w:p>
    <w:p w14:paraId="766B3828" w14:textId="46B43139" w:rsidR="00B3795B" w:rsidRPr="00845FB7" w:rsidRDefault="00B3795B" w:rsidP="00BD36F8">
      <w:pPr>
        <w:pStyle w:val="ListParagraph"/>
        <w:numPr>
          <w:ilvl w:val="0"/>
          <w:numId w:val="14"/>
        </w:numPr>
        <w:spacing w:after="120" w:line="240" w:lineRule="auto"/>
        <w:jc w:val="left"/>
        <w:rPr>
          <w:rFonts w:eastAsia="Times New Roman" w:cstheme="majorBidi"/>
          <w:color w:val="0E101A"/>
          <w:szCs w:val="20"/>
          <w:lang w:val="en-GB"/>
        </w:rPr>
      </w:pPr>
      <w:r w:rsidRPr="00845FB7">
        <w:rPr>
          <w:rFonts w:eastAsia="Times New Roman" w:cstheme="majorBidi"/>
          <w:color w:val="0E101A"/>
          <w:szCs w:val="20"/>
          <w:lang w:val="en-GB"/>
        </w:rPr>
        <w:t xml:space="preserve">Design broadcasted </w:t>
      </w:r>
      <w:r w:rsidR="00DD5F01" w:rsidRPr="00845FB7">
        <w:rPr>
          <w:rFonts w:eastAsia="Times New Roman" w:cstheme="majorBidi"/>
          <w:color w:val="0E101A"/>
          <w:szCs w:val="20"/>
          <w:lang w:val="en-GB"/>
        </w:rPr>
        <w:t xml:space="preserve">online </w:t>
      </w:r>
      <w:r w:rsidRPr="00845FB7">
        <w:rPr>
          <w:rFonts w:eastAsia="Times New Roman" w:cstheme="majorBidi"/>
          <w:color w:val="0E101A"/>
          <w:szCs w:val="20"/>
          <w:lang w:val="en-GB"/>
        </w:rPr>
        <w:t xml:space="preserve">side events </w:t>
      </w:r>
      <w:r w:rsidR="00301CCA" w:rsidRPr="00845FB7">
        <w:rPr>
          <w:rFonts w:eastAsia="Times New Roman" w:cstheme="majorBidi"/>
          <w:color w:val="0E101A"/>
          <w:szCs w:val="20"/>
          <w:lang w:val="en-GB"/>
        </w:rPr>
        <w:t xml:space="preserve">at </w:t>
      </w:r>
      <w:r w:rsidRPr="00845FB7">
        <w:rPr>
          <w:rFonts w:eastAsia="Times New Roman" w:cstheme="majorBidi"/>
          <w:color w:val="0E101A"/>
          <w:szCs w:val="20"/>
          <w:lang w:val="en-GB"/>
        </w:rPr>
        <w:t>COP-</w:t>
      </w:r>
      <w:r w:rsidR="00301CCA" w:rsidRPr="00845FB7">
        <w:rPr>
          <w:rFonts w:eastAsia="Times New Roman" w:cstheme="majorBidi"/>
          <w:color w:val="0E101A"/>
          <w:szCs w:val="20"/>
          <w:lang w:val="en-GB"/>
        </w:rPr>
        <w:t>7</w:t>
      </w:r>
      <w:r w:rsidRPr="00845FB7">
        <w:rPr>
          <w:rFonts w:eastAsia="Times New Roman" w:cstheme="majorBidi"/>
          <w:color w:val="0E101A"/>
          <w:szCs w:val="20"/>
          <w:lang w:val="en-GB"/>
        </w:rPr>
        <w:t>.</w:t>
      </w:r>
    </w:p>
    <w:p w14:paraId="0A566007" w14:textId="51AB30F6" w:rsidR="00B3795B" w:rsidRPr="00845FB7" w:rsidRDefault="00B3795B" w:rsidP="00BD36F8">
      <w:pPr>
        <w:pStyle w:val="ListParagraph"/>
        <w:numPr>
          <w:ilvl w:val="0"/>
          <w:numId w:val="14"/>
        </w:numPr>
        <w:spacing w:after="120" w:line="240" w:lineRule="auto"/>
        <w:jc w:val="left"/>
        <w:rPr>
          <w:rFonts w:eastAsia="Times New Roman" w:cstheme="majorBidi"/>
          <w:color w:val="0E101A"/>
          <w:szCs w:val="20"/>
          <w:lang w:val="en-GB"/>
        </w:rPr>
      </w:pPr>
      <w:r w:rsidRPr="00845FB7">
        <w:rPr>
          <w:rFonts w:eastAsia="Times New Roman" w:cstheme="majorBidi"/>
          <w:color w:val="0E101A"/>
          <w:szCs w:val="20"/>
          <w:lang w:val="en-GB"/>
        </w:rPr>
        <w:t xml:space="preserve">Build knowledge and skills in-house on platforms and run digital events to better provide support to </w:t>
      </w:r>
      <w:r w:rsidR="007C1515" w:rsidRPr="00845FB7">
        <w:rPr>
          <w:rFonts w:eastAsia="Times New Roman" w:cstheme="majorBidi"/>
          <w:color w:val="0E101A"/>
          <w:szCs w:val="20"/>
          <w:lang w:val="en-GB"/>
        </w:rPr>
        <w:t>P</w:t>
      </w:r>
      <w:r w:rsidRPr="00845FB7">
        <w:rPr>
          <w:rFonts w:eastAsia="Times New Roman" w:cstheme="majorBidi"/>
          <w:color w:val="0E101A"/>
          <w:szCs w:val="20"/>
          <w:lang w:val="en-GB"/>
        </w:rPr>
        <w:t>arties.</w:t>
      </w:r>
    </w:p>
    <w:p w14:paraId="2EAEAC02" w14:textId="4C8A66B9" w:rsidR="00B3795B" w:rsidRPr="00845FB7" w:rsidRDefault="00B3795B" w:rsidP="00BD36F8">
      <w:pPr>
        <w:pStyle w:val="ListParagraph"/>
        <w:numPr>
          <w:ilvl w:val="0"/>
          <w:numId w:val="14"/>
        </w:numPr>
        <w:spacing w:after="120" w:line="240" w:lineRule="auto"/>
        <w:jc w:val="left"/>
        <w:rPr>
          <w:rFonts w:eastAsia="Times New Roman" w:cstheme="majorBidi"/>
          <w:color w:val="0E101A"/>
          <w:szCs w:val="20"/>
          <w:lang w:val="en-GB"/>
        </w:rPr>
      </w:pPr>
      <w:r w:rsidRPr="00845FB7">
        <w:rPr>
          <w:rFonts w:eastAsia="Times New Roman" w:cstheme="majorBidi"/>
          <w:color w:val="0E101A"/>
          <w:szCs w:val="20"/>
          <w:lang w:val="en-GB"/>
        </w:rPr>
        <w:t>Support delegates from developing countr</w:t>
      </w:r>
      <w:r w:rsidR="00301CCA" w:rsidRPr="00845FB7">
        <w:rPr>
          <w:rFonts w:eastAsia="Times New Roman" w:cstheme="majorBidi"/>
          <w:color w:val="0E101A"/>
          <w:szCs w:val="20"/>
          <w:lang w:val="en-GB"/>
        </w:rPr>
        <w:t>y</w:t>
      </w:r>
      <w:r w:rsidRPr="00845FB7">
        <w:rPr>
          <w:rFonts w:eastAsia="Times New Roman" w:cstheme="majorBidi"/>
          <w:color w:val="0E101A"/>
          <w:szCs w:val="20"/>
          <w:lang w:val="en-GB"/>
        </w:rPr>
        <w:t xml:space="preserve"> </w:t>
      </w:r>
      <w:r w:rsidR="00972C2B" w:rsidRPr="00845FB7">
        <w:rPr>
          <w:rFonts w:eastAsia="Times New Roman" w:cstheme="majorBidi"/>
          <w:color w:val="0E101A"/>
          <w:szCs w:val="20"/>
          <w:lang w:val="en-GB"/>
        </w:rPr>
        <w:t>P</w:t>
      </w:r>
      <w:r w:rsidR="00B95A21" w:rsidRPr="00845FB7">
        <w:rPr>
          <w:rFonts w:eastAsia="Times New Roman" w:cstheme="majorBidi"/>
          <w:color w:val="0E101A"/>
          <w:szCs w:val="20"/>
          <w:lang w:val="en-GB"/>
        </w:rPr>
        <w:t xml:space="preserve">arties </w:t>
      </w:r>
      <w:r w:rsidRPr="00845FB7">
        <w:rPr>
          <w:rFonts w:eastAsia="Times New Roman" w:cstheme="majorBidi"/>
          <w:color w:val="0E101A"/>
          <w:szCs w:val="20"/>
          <w:lang w:val="en-GB"/>
        </w:rPr>
        <w:t xml:space="preserve">to </w:t>
      </w:r>
      <w:r w:rsidR="00DD5F01" w:rsidRPr="00845FB7">
        <w:rPr>
          <w:rFonts w:eastAsia="Times New Roman" w:cstheme="majorBidi"/>
          <w:color w:val="0E101A"/>
          <w:szCs w:val="20"/>
          <w:lang w:val="en-GB"/>
        </w:rPr>
        <w:t xml:space="preserve">connect </w:t>
      </w:r>
      <w:r w:rsidRPr="00845FB7">
        <w:rPr>
          <w:rFonts w:eastAsia="Times New Roman" w:cstheme="majorBidi"/>
          <w:color w:val="0E101A"/>
          <w:szCs w:val="20"/>
          <w:lang w:val="en-GB"/>
        </w:rPr>
        <w:t xml:space="preserve">to meetings to </w:t>
      </w:r>
      <w:r w:rsidR="007C1515" w:rsidRPr="00845FB7">
        <w:rPr>
          <w:rFonts w:eastAsia="Times New Roman" w:cstheme="majorBidi"/>
          <w:color w:val="0E101A"/>
          <w:szCs w:val="20"/>
          <w:lang w:val="en-GB"/>
        </w:rPr>
        <w:t xml:space="preserve">diminish </w:t>
      </w:r>
      <w:r w:rsidR="00301CCA" w:rsidRPr="00845FB7">
        <w:rPr>
          <w:rFonts w:eastAsia="Times New Roman" w:cstheme="majorBidi"/>
          <w:color w:val="0E101A"/>
          <w:szCs w:val="20"/>
          <w:lang w:val="en-GB"/>
        </w:rPr>
        <w:t xml:space="preserve">the </w:t>
      </w:r>
      <w:r w:rsidRPr="00845FB7">
        <w:rPr>
          <w:rFonts w:eastAsia="Times New Roman" w:cstheme="majorBidi"/>
          <w:color w:val="0E101A"/>
          <w:szCs w:val="20"/>
          <w:lang w:val="en-GB"/>
        </w:rPr>
        <w:t>digital divide.</w:t>
      </w:r>
    </w:p>
    <w:p w14:paraId="7E099CCB" w14:textId="6966CEC1" w:rsidR="00B3795B" w:rsidRPr="00845FB7" w:rsidRDefault="00B3795B" w:rsidP="00922BDA">
      <w:pPr>
        <w:spacing w:before="240" w:after="120" w:line="240" w:lineRule="auto"/>
        <w:rPr>
          <w:rFonts w:eastAsia="Times New Roman" w:cstheme="majorBidi"/>
          <w:color w:val="0E101A"/>
          <w:szCs w:val="20"/>
          <w:lang w:val="en-GB"/>
        </w:rPr>
      </w:pPr>
      <w:r w:rsidRPr="00845FB7">
        <w:rPr>
          <w:rFonts w:eastAsia="Times New Roman" w:cstheme="majorBidi"/>
          <w:b/>
          <w:bCs/>
          <w:color w:val="0E101A"/>
          <w:szCs w:val="20"/>
          <w:lang w:val="en-GB"/>
        </w:rPr>
        <w:t xml:space="preserve">E-learning </w:t>
      </w:r>
      <w:r w:rsidRPr="00845FB7">
        <w:rPr>
          <w:rFonts w:eastAsia="Times New Roman" w:cstheme="majorBidi"/>
          <w:color w:val="0E101A"/>
          <w:szCs w:val="20"/>
          <w:lang w:val="en-GB"/>
        </w:rPr>
        <w:t xml:space="preserve">(subject to the availability of </w:t>
      </w:r>
      <w:r w:rsidR="00322890" w:rsidRPr="00845FB7">
        <w:rPr>
          <w:rFonts w:eastAsia="Times New Roman" w:cstheme="majorBidi"/>
          <w:color w:val="0E101A"/>
          <w:szCs w:val="20"/>
          <w:lang w:val="en-GB"/>
        </w:rPr>
        <w:t>resources</w:t>
      </w:r>
      <w:r w:rsidRPr="00845FB7">
        <w:rPr>
          <w:rFonts w:eastAsia="Times New Roman" w:cstheme="majorBidi"/>
          <w:color w:val="0E101A"/>
          <w:szCs w:val="20"/>
          <w:lang w:val="en-GB"/>
        </w:rPr>
        <w:t>)</w:t>
      </w:r>
      <w:r w:rsidR="00674800" w:rsidRPr="00845FB7">
        <w:rPr>
          <w:rFonts w:eastAsia="Times New Roman" w:cstheme="majorBidi"/>
          <w:color w:val="0E101A"/>
          <w:szCs w:val="20"/>
          <w:lang w:val="en-GB"/>
        </w:rPr>
        <w:t xml:space="preserve"> – with a specific focus on developing country Parties</w:t>
      </w:r>
    </w:p>
    <w:p w14:paraId="1EF070B1" w14:textId="321CB89C" w:rsidR="00B3795B" w:rsidRPr="00845FB7" w:rsidRDefault="00B3795B" w:rsidP="3D4F1C4B">
      <w:pPr>
        <w:numPr>
          <w:ilvl w:val="0"/>
          <w:numId w:val="11"/>
        </w:numPr>
        <w:spacing w:after="120" w:line="240" w:lineRule="auto"/>
        <w:jc w:val="left"/>
        <w:rPr>
          <w:rFonts w:cstheme="majorBidi"/>
          <w:lang w:val="en-GB" w:eastAsia="en-GB"/>
        </w:rPr>
      </w:pPr>
      <w:r w:rsidRPr="00845FB7">
        <w:rPr>
          <w:rFonts w:eastAsia="Times New Roman" w:cstheme="majorBidi"/>
          <w:color w:val="0E101A"/>
          <w:lang w:val="en-GB"/>
        </w:rPr>
        <w:t xml:space="preserve">Prepare e-learning material and interactive courses jointly with the chemicals cluster and </w:t>
      </w:r>
      <w:proofErr w:type="spellStart"/>
      <w:r w:rsidRPr="00845FB7">
        <w:rPr>
          <w:rFonts w:eastAsia="Times New Roman" w:cstheme="majorBidi"/>
          <w:color w:val="0E101A"/>
          <w:lang w:val="en-GB"/>
        </w:rPr>
        <w:t>InforMEA</w:t>
      </w:r>
      <w:proofErr w:type="spellEnd"/>
      <w:r w:rsidRPr="00845FB7">
        <w:rPr>
          <w:rFonts w:eastAsia="Times New Roman" w:cstheme="majorBidi"/>
          <w:color w:val="0E101A"/>
          <w:lang w:val="en-GB"/>
        </w:rPr>
        <w:t xml:space="preserve">, seeking for synergies on themes related to the implementation of the Convention, such as </w:t>
      </w:r>
      <w:r w:rsidR="7D63B844" w:rsidRPr="00845FB7">
        <w:rPr>
          <w:rFonts w:eastAsia="Times New Roman" w:cstheme="majorBidi"/>
          <w:color w:val="0E101A"/>
          <w:lang w:val="en-GB"/>
        </w:rPr>
        <w:t>the interlinkages between</w:t>
      </w:r>
      <w:r w:rsidRPr="00845FB7">
        <w:rPr>
          <w:rFonts w:eastAsia="Times New Roman" w:cstheme="majorBidi"/>
          <w:color w:val="0E101A"/>
          <w:lang w:val="en-GB"/>
        </w:rPr>
        <w:t xml:space="preserve"> biodiversity, climate change and </w:t>
      </w:r>
      <w:r w:rsidR="001C3876" w:rsidRPr="00845FB7">
        <w:rPr>
          <w:rFonts w:eastAsia="Times New Roman" w:cstheme="majorBidi"/>
          <w:color w:val="0E101A"/>
          <w:lang w:val="en-GB"/>
        </w:rPr>
        <w:t>pollution</w:t>
      </w:r>
      <w:r w:rsidRPr="00845FB7">
        <w:rPr>
          <w:rFonts w:eastAsia="Times New Roman" w:cstheme="majorBidi"/>
          <w:color w:val="0E101A"/>
          <w:lang w:val="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B3795B" w:rsidRPr="00845FB7" w14:paraId="130040B3" w14:textId="77777777" w:rsidTr="3D4F1C4B">
        <w:tc>
          <w:tcPr>
            <w:tcW w:w="4508" w:type="dxa"/>
          </w:tcPr>
          <w:p w14:paraId="2BC221A7" w14:textId="7DE47263" w:rsidR="00B3795B" w:rsidRPr="00845FB7" w:rsidRDefault="00B3795B"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5191C3E1" w14:textId="55B036E8" w:rsidR="00B3795B" w:rsidRPr="00845FB7" w:rsidRDefault="00B3795B"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The website and related platforms provide current, relevant and accessible information</w:t>
            </w:r>
            <w:r w:rsidR="00322890" w:rsidRPr="00845FB7">
              <w:rPr>
                <w:rFonts w:cstheme="majorBidi"/>
                <w:szCs w:val="20"/>
                <w:lang w:val="en-GB" w:eastAsia="en-GB"/>
              </w:rPr>
              <w:t>;</w:t>
            </w:r>
          </w:p>
          <w:p w14:paraId="60148220" w14:textId="34B29A2A" w:rsidR="00B3795B" w:rsidRPr="00845FB7" w:rsidRDefault="00B3795B"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 xml:space="preserve">Minamata Convention website and </w:t>
            </w:r>
            <w:r w:rsidR="0031637F" w:rsidRPr="00845FB7">
              <w:rPr>
                <w:rFonts w:cstheme="majorBidi"/>
                <w:szCs w:val="20"/>
                <w:lang w:val="en-GB" w:eastAsia="en-GB"/>
              </w:rPr>
              <w:t xml:space="preserve">related </w:t>
            </w:r>
            <w:r w:rsidRPr="00845FB7">
              <w:rPr>
                <w:rFonts w:cstheme="majorBidi"/>
                <w:szCs w:val="20"/>
                <w:lang w:val="en-GB" w:eastAsia="en-GB"/>
              </w:rPr>
              <w:t>knowledge management platform</w:t>
            </w:r>
            <w:r w:rsidR="0031637F" w:rsidRPr="00845FB7">
              <w:rPr>
                <w:rFonts w:cstheme="majorBidi"/>
                <w:szCs w:val="20"/>
                <w:lang w:val="en-GB" w:eastAsia="en-GB"/>
              </w:rPr>
              <w:t>s</w:t>
            </w:r>
            <w:r w:rsidRPr="00845FB7">
              <w:rPr>
                <w:rFonts w:cstheme="majorBidi"/>
                <w:szCs w:val="20"/>
                <w:lang w:val="en-GB" w:eastAsia="en-GB"/>
              </w:rPr>
              <w:t xml:space="preserve"> updated, and relevant information shared in a timely manner</w:t>
            </w:r>
            <w:r w:rsidR="00322890" w:rsidRPr="00845FB7">
              <w:rPr>
                <w:rFonts w:cstheme="majorBidi"/>
                <w:szCs w:val="20"/>
                <w:lang w:val="en-GB" w:eastAsia="en-GB"/>
              </w:rPr>
              <w:t>;</w:t>
            </w:r>
          </w:p>
          <w:p w14:paraId="0DD0FB57" w14:textId="27F46F2F" w:rsidR="00B3795B" w:rsidRPr="00845FB7" w:rsidRDefault="0031637F"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 xml:space="preserve">Clearing-house mechanism initial phase </w:t>
            </w:r>
            <w:r w:rsidR="00B3795B" w:rsidRPr="00845FB7">
              <w:rPr>
                <w:rFonts w:cstheme="majorBidi"/>
                <w:szCs w:val="20"/>
                <w:lang w:val="en-GB" w:eastAsia="en-GB"/>
              </w:rPr>
              <w:t>implemented</w:t>
            </w:r>
            <w:r w:rsidR="00322890" w:rsidRPr="00845FB7">
              <w:rPr>
                <w:rFonts w:cstheme="majorBidi"/>
                <w:szCs w:val="20"/>
                <w:lang w:val="en-GB" w:eastAsia="en-GB"/>
              </w:rPr>
              <w:t>;</w:t>
            </w:r>
          </w:p>
          <w:p w14:paraId="2546F9CC" w14:textId="4594D08A" w:rsidR="00B3795B" w:rsidRPr="00845FB7" w:rsidRDefault="00B3795B"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 xml:space="preserve">Online meetings prepared an organized to support </w:t>
            </w:r>
            <w:r w:rsidR="00972C2B" w:rsidRPr="00845FB7">
              <w:rPr>
                <w:rFonts w:cstheme="majorBidi"/>
                <w:szCs w:val="20"/>
                <w:lang w:val="en-GB" w:eastAsia="en-GB"/>
              </w:rPr>
              <w:t>P</w:t>
            </w:r>
            <w:r w:rsidRPr="00845FB7">
              <w:rPr>
                <w:rFonts w:cstheme="majorBidi"/>
                <w:szCs w:val="20"/>
                <w:lang w:val="en-GB" w:eastAsia="en-GB"/>
              </w:rPr>
              <w:t>arties</w:t>
            </w:r>
            <w:r w:rsidR="00322890" w:rsidRPr="00845FB7">
              <w:rPr>
                <w:rFonts w:cstheme="majorBidi"/>
                <w:szCs w:val="20"/>
                <w:lang w:val="en-GB" w:eastAsia="en-GB"/>
              </w:rPr>
              <w:t>;</w:t>
            </w:r>
          </w:p>
          <w:p w14:paraId="2EE9BBA3" w14:textId="79111C51" w:rsidR="00B3795B" w:rsidRPr="00845FB7" w:rsidRDefault="00B3795B" w:rsidP="00972C2B">
            <w:pPr>
              <w:pStyle w:val="ListParagraph"/>
              <w:spacing w:after="60"/>
              <w:rPr>
                <w:rFonts w:cstheme="majorBidi"/>
                <w:szCs w:val="20"/>
                <w:lang w:val="en-GB" w:eastAsia="en-GB"/>
              </w:rPr>
            </w:pPr>
          </w:p>
        </w:tc>
        <w:tc>
          <w:tcPr>
            <w:tcW w:w="4508" w:type="dxa"/>
          </w:tcPr>
          <w:p w14:paraId="65DC951D" w14:textId="7226F9BA" w:rsidR="00B3795B" w:rsidRPr="00845FB7" w:rsidRDefault="00B3795B"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5A51735E" w14:textId="07FB01E5" w:rsidR="00B3795B" w:rsidRPr="00845FB7" w:rsidRDefault="00B3795B" w:rsidP="3D4F1C4B">
            <w:pPr>
              <w:pStyle w:val="ListParagraph"/>
              <w:numPr>
                <w:ilvl w:val="0"/>
                <w:numId w:val="4"/>
              </w:numPr>
              <w:spacing w:after="60"/>
              <w:rPr>
                <w:rFonts w:cstheme="majorBidi"/>
                <w:lang w:val="en-GB" w:eastAsia="en-GB"/>
              </w:rPr>
            </w:pPr>
            <w:r w:rsidRPr="00845FB7">
              <w:rPr>
                <w:rFonts w:cstheme="majorBidi"/>
                <w:lang w:val="en-GB" w:eastAsia="en-GB"/>
              </w:rPr>
              <w:t xml:space="preserve">Minamata </w:t>
            </w:r>
            <w:r w:rsidR="7E2CDE4C" w:rsidRPr="00845FB7">
              <w:rPr>
                <w:rFonts w:cstheme="majorBidi"/>
                <w:lang w:val="en-GB" w:eastAsia="en-GB"/>
              </w:rPr>
              <w:t xml:space="preserve">Convention </w:t>
            </w:r>
            <w:r w:rsidRPr="00845FB7">
              <w:rPr>
                <w:rFonts w:cstheme="majorBidi"/>
                <w:lang w:val="en-GB" w:eastAsia="en-GB"/>
              </w:rPr>
              <w:t>website</w:t>
            </w:r>
            <w:r w:rsidR="77A4E31B" w:rsidRPr="00845FB7">
              <w:rPr>
                <w:rFonts w:cstheme="majorBidi"/>
                <w:lang w:val="en-GB" w:eastAsia="en-GB"/>
              </w:rPr>
              <w:t xml:space="preserve"> regularly</w:t>
            </w:r>
            <w:r w:rsidRPr="00845FB7">
              <w:rPr>
                <w:rFonts w:cstheme="majorBidi"/>
                <w:lang w:val="en-GB" w:eastAsia="en-GB"/>
              </w:rPr>
              <w:t xml:space="preserve"> updated and </w:t>
            </w:r>
            <w:r w:rsidR="43AD8F24" w:rsidRPr="00845FB7">
              <w:rPr>
                <w:rFonts w:cstheme="majorBidi"/>
                <w:lang w:val="en-GB" w:eastAsia="en-GB"/>
              </w:rPr>
              <w:t xml:space="preserve">effectively </w:t>
            </w:r>
            <w:r w:rsidRPr="00845FB7">
              <w:rPr>
                <w:rFonts w:cstheme="majorBidi"/>
                <w:lang w:val="en-GB" w:eastAsia="en-GB"/>
              </w:rPr>
              <w:t>maintained</w:t>
            </w:r>
            <w:r w:rsidR="00322890" w:rsidRPr="00845FB7">
              <w:rPr>
                <w:rFonts w:cstheme="majorBidi"/>
                <w:lang w:val="en-GB" w:eastAsia="en-GB"/>
              </w:rPr>
              <w:t>;</w:t>
            </w:r>
          </w:p>
          <w:p w14:paraId="01C3C454" w14:textId="76887F61" w:rsidR="00B3795B"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Increased number of </w:t>
            </w:r>
            <w:proofErr w:type="gramStart"/>
            <w:r w:rsidRPr="00845FB7">
              <w:rPr>
                <w:rFonts w:cstheme="majorBidi"/>
                <w:szCs w:val="20"/>
                <w:lang w:val="en-GB" w:eastAsia="en-GB"/>
              </w:rPr>
              <w:t>access</w:t>
            </w:r>
            <w:proofErr w:type="gramEnd"/>
            <w:r w:rsidRPr="00845FB7">
              <w:rPr>
                <w:rFonts w:cstheme="majorBidi"/>
                <w:szCs w:val="20"/>
                <w:lang w:val="en-GB" w:eastAsia="en-GB"/>
              </w:rPr>
              <w:t xml:space="preserve"> to the Minamata </w:t>
            </w:r>
            <w:r w:rsidR="00592F75" w:rsidRPr="00845FB7">
              <w:rPr>
                <w:rFonts w:cstheme="majorBidi"/>
                <w:szCs w:val="20"/>
                <w:lang w:val="en-GB" w:eastAsia="en-GB"/>
              </w:rPr>
              <w:t xml:space="preserve">Convention </w:t>
            </w:r>
            <w:r w:rsidRPr="00845FB7">
              <w:rPr>
                <w:rFonts w:cstheme="majorBidi"/>
                <w:szCs w:val="20"/>
                <w:lang w:val="en-GB" w:eastAsia="en-GB"/>
              </w:rPr>
              <w:t>website and the knowledge management platform</w:t>
            </w:r>
            <w:r w:rsidR="00322890" w:rsidRPr="00845FB7">
              <w:rPr>
                <w:rFonts w:cstheme="majorBidi"/>
                <w:szCs w:val="20"/>
                <w:lang w:val="en-GB" w:eastAsia="en-GB"/>
              </w:rPr>
              <w:t>;</w:t>
            </w:r>
          </w:p>
          <w:p w14:paraId="4E4F8290" w14:textId="43837D76" w:rsidR="00B3795B"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Direct feedback from users</w:t>
            </w:r>
            <w:r w:rsidR="00322890" w:rsidRPr="00845FB7">
              <w:rPr>
                <w:rFonts w:cstheme="majorBidi"/>
                <w:szCs w:val="20"/>
                <w:lang w:val="en-GB" w:eastAsia="en-GB"/>
              </w:rPr>
              <w:t>;</w:t>
            </w:r>
          </w:p>
          <w:p w14:paraId="5B50A30F" w14:textId="1D83DCCD" w:rsidR="00B3795B"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Other related platforms updated and integrated with the website database</w:t>
            </w:r>
            <w:r w:rsidR="00322890" w:rsidRPr="00845FB7">
              <w:rPr>
                <w:rFonts w:cstheme="majorBidi"/>
                <w:szCs w:val="20"/>
                <w:lang w:val="en-GB" w:eastAsia="en-GB"/>
              </w:rPr>
              <w:t>;</w:t>
            </w:r>
          </w:p>
          <w:p w14:paraId="3F8C51A3" w14:textId="27D54F18" w:rsidR="00B3795B"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Digital repository accessible by users</w:t>
            </w:r>
            <w:r w:rsidR="00322890" w:rsidRPr="00845FB7">
              <w:rPr>
                <w:rFonts w:cstheme="majorBidi"/>
                <w:szCs w:val="20"/>
                <w:lang w:val="en-GB" w:eastAsia="en-GB"/>
              </w:rPr>
              <w:t>;</w:t>
            </w:r>
          </w:p>
          <w:p w14:paraId="6C6FAB01" w14:textId="76F072FF" w:rsidR="00B3795B" w:rsidRPr="00845FB7" w:rsidRDefault="00B3795B"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Number of online meetings and survey to participants</w:t>
            </w:r>
            <w:r w:rsidR="00322890" w:rsidRPr="00845FB7">
              <w:rPr>
                <w:rFonts w:cstheme="majorBidi"/>
                <w:szCs w:val="20"/>
                <w:lang w:val="en-GB" w:eastAsia="en-GB"/>
              </w:rPr>
              <w:t>;</w:t>
            </w:r>
          </w:p>
        </w:tc>
      </w:tr>
    </w:tbl>
    <w:p w14:paraId="0BBEC5E8" w14:textId="61FCB36D" w:rsidR="00B3795B" w:rsidRPr="00845FB7" w:rsidRDefault="00B3795B" w:rsidP="00B3795B">
      <w:pPr>
        <w:pStyle w:val="Heading3"/>
        <w:rPr>
          <w:sz w:val="24"/>
          <w:lang w:val="en-GB"/>
        </w:rPr>
      </w:pPr>
      <w:r w:rsidRPr="00845FB7">
        <w:rPr>
          <w:sz w:val="24"/>
          <w:lang w:val="en-GB"/>
        </w:rPr>
        <w:t>Partners</w:t>
      </w:r>
    </w:p>
    <w:p w14:paraId="30BB1592" w14:textId="45FB7954" w:rsidR="00B3795B" w:rsidRPr="00845FB7" w:rsidRDefault="00B3795B" w:rsidP="00BD36F8">
      <w:pPr>
        <w:spacing w:after="60" w:line="276" w:lineRule="auto"/>
        <w:rPr>
          <w:rFonts w:cstheme="majorBidi"/>
          <w:szCs w:val="20"/>
          <w:lang w:val="en-GB"/>
        </w:rPr>
      </w:pPr>
      <w:r w:rsidRPr="00845FB7">
        <w:rPr>
          <w:rFonts w:cstheme="majorBidi"/>
          <w:szCs w:val="20"/>
          <w:lang w:val="en-GB"/>
        </w:rPr>
        <w:t xml:space="preserve">UNEP, specially the </w:t>
      </w:r>
      <w:proofErr w:type="spellStart"/>
      <w:r w:rsidRPr="00845FB7">
        <w:rPr>
          <w:rFonts w:cstheme="majorBidi"/>
          <w:szCs w:val="20"/>
          <w:lang w:val="en-GB"/>
        </w:rPr>
        <w:t>InforMEA</w:t>
      </w:r>
      <w:proofErr w:type="spellEnd"/>
      <w:r w:rsidRPr="00845FB7">
        <w:rPr>
          <w:rFonts w:cstheme="majorBidi"/>
          <w:szCs w:val="20"/>
          <w:lang w:val="en-GB"/>
        </w:rPr>
        <w:t xml:space="preserve"> initiative and the World Environment Situation Room (WESR); MEAS (</w:t>
      </w:r>
      <w:proofErr w:type="gramStart"/>
      <w:r w:rsidRPr="00845FB7">
        <w:rPr>
          <w:rFonts w:cstheme="majorBidi"/>
          <w:szCs w:val="20"/>
          <w:lang w:val="en-GB"/>
        </w:rPr>
        <w:t>in particular chemical</w:t>
      </w:r>
      <w:proofErr w:type="gramEnd"/>
      <w:r w:rsidRPr="00845FB7">
        <w:rPr>
          <w:rFonts w:cstheme="majorBidi"/>
          <w:szCs w:val="20"/>
          <w:lang w:val="en-GB"/>
        </w:rPr>
        <w:t xml:space="preserve"> and waste conventions), the GEF, </w:t>
      </w:r>
      <w:r w:rsidR="00E21328" w:rsidRPr="00845FB7">
        <w:rPr>
          <w:rFonts w:cstheme="majorBidi"/>
          <w:szCs w:val="20"/>
          <w:lang w:val="en-GB"/>
        </w:rPr>
        <w:t>WHO, ILO and</w:t>
      </w:r>
      <w:r w:rsidR="00EC2261" w:rsidRPr="00845FB7">
        <w:rPr>
          <w:rFonts w:cstheme="majorBidi"/>
          <w:szCs w:val="20"/>
          <w:lang w:val="en-GB"/>
        </w:rPr>
        <w:t xml:space="preserve"> </w:t>
      </w:r>
      <w:r w:rsidRPr="00845FB7">
        <w:rPr>
          <w:rFonts w:cstheme="majorBidi"/>
          <w:szCs w:val="20"/>
          <w:lang w:val="en-GB"/>
        </w:rPr>
        <w:t>other UN agencies and MEAs as relevant.</w:t>
      </w:r>
    </w:p>
    <w:p w14:paraId="14375609" w14:textId="2B12312E" w:rsidR="00B3795B" w:rsidRPr="00845FB7" w:rsidRDefault="00B3795B" w:rsidP="00B3795B">
      <w:pPr>
        <w:pStyle w:val="Heading3"/>
        <w:rPr>
          <w:sz w:val="24"/>
          <w:lang w:val="en-GB"/>
        </w:rPr>
      </w:pPr>
      <w:r w:rsidRPr="00845FB7">
        <w:rPr>
          <w:sz w:val="24"/>
          <w:lang w:val="en-GB"/>
        </w:rPr>
        <w:lastRenderedPageBreak/>
        <w:t>Socio-economic aspects</w:t>
      </w:r>
    </w:p>
    <w:p w14:paraId="29EC6280" w14:textId="36D1D0F3" w:rsidR="00B3795B" w:rsidRPr="00845FB7" w:rsidRDefault="00B3795B"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Enhancing communication under the Minamata Convention will contribute to the achievement of the 2030 Agenda for Sustainable Development and the Sustainable Development Goals (SDGs), in particular, Goal 3 on ensuring healthy lives and promoting well-being for all at all ages; Goal 11 on making cities and human settlements inclusive, safe, resilient and sustainable; and Goal 12 on ensuring sustainable consumption and production patterns.</w:t>
      </w:r>
    </w:p>
    <w:p w14:paraId="403C5F2E" w14:textId="7A324742" w:rsidR="00B3795B" w:rsidRPr="00845FB7" w:rsidRDefault="00B3795B" w:rsidP="00BD36F8">
      <w:pPr>
        <w:spacing w:after="120" w:line="276" w:lineRule="auto"/>
        <w:rPr>
          <w:rFonts w:cstheme="majorBidi"/>
          <w:szCs w:val="20"/>
          <w:lang w:val="en-GB"/>
        </w:rPr>
      </w:pPr>
      <w:r w:rsidRPr="00845FB7">
        <w:rPr>
          <w:rFonts w:cstheme="majorBidi"/>
          <w:b/>
          <w:bCs/>
          <w:szCs w:val="20"/>
          <w:lang w:val="en-GB"/>
        </w:rPr>
        <w:t>Integrated Approach:</w:t>
      </w:r>
      <w:r w:rsidRPr="00845FB7">
        <w:rPr>
          <w:rFonts w:cstheme="majorBidi"/>
          <w:szCs w:val="20"/>
          <w:lang w:val="en-GB"/>
        </w:rPr>
        <w:t xml:space="preserve"> Mainstreaming and the development of partnerships rely upon a higher level of stakeholder awareness of the importance of the implementation of the Minamata Convention in general. </w:t>
      </w:r>
    </w:p>
    <w:p w14:paraId="671C39C1" w14:textId="77777777" w:rsidR="00B3795B" w:rsidRPr="00845FB7" w:rsidRDefault="00B3795B" w:rsidP="00B3795B">
      <w:pPr>
        <w:pStyle w:val="Heading3"/>
        <w:rPr>
          <w:lang w:val="en-GB"/>
        </w:rPr>
        <w:sectPr w:rsidR="00B3795B" w:rsidRPr="00845FB7" w:rsidSect="00BD36F8">
          <w:headerReference w:type="first" r:id="rId64"/>
          <w:footerReference w:type="first" r:id="rId65"/>
          <w:type w:val="continuous"/>
          <w:pgSz w:w="11906" w:h="16838" w:code="9"/>
          <w:pgMar w:top="907" w:right="992" w:bottom="1418" w:left="1418" w:header="539" w:footer="975" w:gutter="0"/>
          <w:cols w:space="708"/>
          <w:titlePg/>
          <w:docGrid w:linePitch="360"/>
        </w:sectPr>
      </w:pPr>
    </w:p>
    <w:p w14:paraId="14AB9F25" w14:textId="349C566D" w:rsidR="00B3795B" w:rsidRPr="00845FB7" w:rsidRDefault="00B3795B" w:rsidP="00BD36F8">
      <w:pPr>
        <w:pStyle w:val="Heading3"/>
        <w:rPr>
          <w:lang w:val="en-GB"/>
        </w:rPr>
      </w:pPr>
      <w:r w:rsidRPr="00845FB7">
        <w:rPr>
          <w:sz w:val="24"/>
          <w:lang w:val="en-GB"/>
        </w:rPr>
        <w:lastRenderedPageBreak/>
        <w:t>Resources requirements</w:t>
      </w:r>
    </w:p>
    <w:tbl>
      <w:tblPr>
        <w:tblpPr w:leftFromText="180" w:rightFromText="180" w:vertAnchor="text" w:horzAnchor="page" w:tblpX="1365" w:tblpY="164"/>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939"/>
        <w:gridCol w:w="939"/>
        <w:gridCol w:w="943"/>
        <w:gridCol w:w="940"/>
        <w:gridCol w:w="940"/>
        <w:gridCol w:w="945"/>
        <w:gridCol w:w="940"/>
        <w:gridCol w:w="940"/>
        <w:gridCol w:w="943"/>
        <w:gridCol w:w="940"/>
        <w:gridCol w:w="943"/>
        <w:gridCol w:w="943"/>
      </w:tblGrid>
      <w:tr w:rsidR="00E70109" w:rsidRPr="00B32CB4" w14:paraId="52DC6C36" w14:textId="77777777" w:rsidTr="002A243F">
        <w:trPr>
          <w:trHeight w:val="20"/>
        </w:trPr>
        <w:tc>
          <w:tcPr>
            <w:tcW w:w="1022" w:type="pct"/>
            <w:vMerge w:val="restart"/>
            <w:noWrap/>
            <w:vAlign w:val="center"/>
            <w:hideMark/>
          </w:tcPr>
          <w:p w14:paraId="608E2880" w14:textId="7777777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Activity/Output</w:t>
            </w:r>
          </w:p>
        </w:tc>
        <w:tc>
          <w:tcPr>
            <w:tcW w:w="1988" w:type="pct"/>
            <w:gridSpan w:val="6"/>
            <w:noWrap/>
            <w:vAlign w:val="center"/>
            <w:hideMark/>
          </w:tcPr>
          <w:p w14:paraId="48B498CE" w14:textId="7713CC5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5 per cent scenario (</w:t>
            </w:r>
            <w:r w:rsidR="00E2051A" w:rsidRPr="00B32CB4">
              <w:rPr>
                <w:rFonts w:eastAsia="Times New Roman" w:cs="Calibri"/>
                <w:b/>
                <w:bCs/>
                <w:color w:val="000000"/>
                <w:sz w:val="16"/>
                <w:szCs w:val="16"/>
                <w:lang w:val="en-GB"/>
              </w:rPr>
              <w:t>2026–2027</w:t>
            </w:r>
            <w:r w:rsidRPr="00B32CB4">
              <w:rPr>
                <w:rFonts w:eastAsia="Times New Roman" w:cs="Calibri"/>
                <w:b/>
                <w:bCs/>
                <w:color w:val="000000"/>
                <w:sz w:val="16"/>
                <w:szCs w:val="16"/>
                <w:lang w:val="en-GB"/>
              </w:rPr>
              <w:t>)</w:t>
            </w:r>
          </w:p>
        </w:tc>
        <w:tc>
          <w:tcPr>
            <w:tcW w:w="1990" w:type="pct"/>
            <w:gridSpan w:val="6"/>
            <w:noWrap/>
            <w:vAlign w:val="center"/>
            <w:hideMark/>
          </w:tcPr>
          <w:p w14:paraId="5F4AA7C9" w14:textId="1FDC566F"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Zero nominal growth scenario (</w:t>
            </w:r>
            <w:r w:rsidR="00E2051A" w:rsidRPr="00B32CB4">
              <w:rPr>
                <w:rFonts w:eastAsia="Times New Roman" w:cs="Calibri"/>
                <w:b/>
                <w:bCs/>
                <w:color w:val="000000"/>
                <w:sz w:val="16"/>
                <w:szCs w:val="16"/>
                <w:lang w:val="en-GB"/>
              </w:rPr>
              <w:t>2026–2027</w:t>
            </w:r>
            <w:r w:rsidRPr="00B32CB4">
              <w:rPr>
                <w:rFonts w:eastAsia="Times New Roman" w:cs="Calibri"/>
                <w:b/>
                <w:bCs/>
                <w:color w:val="000000"/>
                <w:sz w:val="16"/>
                <w:szCs w:val="16"/>
                <w:lang w:val="en-GB"/>
              </w:rPr>
              <w:t>)</w:t>
            </w:r>
          </w:p>
          <w:p w14:paraId="4B27D9D4" w14:textId="6158DB17" w:rsidR="000561E7" w:rsidRPr="00B32CB4" w:rsidRDefault="000561E7" w:rsidP="002C7374">
            <w:pPr>
              <w:spacing w:after="0" w:line="240" w:lineRule="auto"/>
              <w:jc w:val="left"/>
              <w:rPr>
                <w:rFonts w:eastAsia="Times New Roman" w:cs="Calibri"/>
                <w:b/>
                <w:bCs/>
                <w:color w:val="000000"/>
                <w:sz w:val="16"/>
                <w:szCs w:val="16"/>
                <w:lang w:val="en-GB"/>
              </w:rPr>
            </w:pPr>
          </w:p>
        </w:tc>
      </w:tr>
      <w:tr w:rsidR="00E70109" w:rsidRPr="00B32CB4" w14:paraId="7D9172F8" w14:textId="77777777" w:rsidTr="002A243F">
        <w:trPr>
          <w:trHeight w:val="20"/>
        </w:trPr>
        <w:tc>
          <w:tcPr>
            <w:tcW w:w="1022" w:type="pct"/>
            <w:vMerge/>
            <w:vAlign w:val="center"/>
            <w:hideMark/>
          </w:tcPr>
          <w:p w14:paraId="6D30376B" w14:textId="77777777" w:rsidR="000561E7" w:rsidRPr="00B32CB4" w:rsidRDefault="000561E7" w:rsidP="002C7374">
            <w:pPr>
              <w:spacing w:after="0" w:line="240" w:lineRule="auto"/>
              <w:jc w:val="left"/>
              <w:rPr>
                <w:rFonts w:eastAsia="Times New Roman" w:cs="Calibri"/>
                <w:b/>
                <w:bCs/>
                <w:color w:val="000000"/>
                <w:sz w:val="16"/>
                <w:szCs w:val="16"/>
                <w:lang w:val="en-GB"/>
              </w:rPr>
            </w:pPr>
          </w:p>
        </w:tc>
        <w:tc>
          <w:tcPr>
            <w:tcW w:w="993" w:type="pct"/>
            <w:gridSpan w:val="3"/>
            <w:vAlign w:val="center"/>
            <w:hideMark/>
          </w:tcPr>
          <w:p w14:paraId="6DCB01F9" w14:textId="7777777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General trust fund</w:t>
            </w:r>
          </w:p>
        </w:tc>
        <w:tc>
          <w:tcPr>
            <w:tcW w:w="995" w:type="pct"/>
            <w:gridSpan w:val="3"/>
            <w:vAlign w:val="center"/>
            <w:hideMark/>
          </w:tcPr>
          <w:p w14:paraId="2017A246" w14:textId="7777777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Special trust fund</w:t>
            </w:r>
          </w:p>
        </w:tc>
        <w:tc>
          <w:tcPr>
            <w:tcW w:w="994" w:type="pct"/>
            <w:gridSpan w:val="3"/>
            <w:vAlign w:val="center"/>
            <w:hideMark/>
          </w:tcPr>
          <w:p w14:paraId="45B911CC" w14:textId="7777777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General trust fund</w:t>
            </w:r>
          </w:p>
        </w:tc>
        <w:tc>
          <w:tcPr>
            <w:tcW w:w="995" w:type="pct"/>
            <w:gridSpan w:val="3"/>
            <w:vAlign w:val="center"/>
            <w:hideMark/>
          </w:tcPr>
          <w:p w14:paraId="67ECAC0E" w14:textId="7777777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Special trust fund</w:t>
            </w:r>
          </w:p>
        </w:tc>
      </w:tr>
      <w:tr w:rsidR="00D713FF" w:rsidRPr="00B32CB4" w14:paraId="3A1CC1A9" w14:textId="77777777" w:rsidTr="002A243F">
        <w:trPr>
          <w:trHeight w:val="419"/>
        </w:trPr>
        <w:tc>
          <w:tcPr>
            <w:tcW w:w="1022" w:type="pct"/>
            <w:vMerge w:val="restart"/>
            <w:noWrap/>
            <w:vAlign w:val="center"/>
            <w:hideMark/>
          </w:tcPr>
          <w:p w14:paraId="4FF484C9" w14:textId="7777777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vMerge w:val="restart"/>
            <w:vAlign w:val="center"/>
            <w:hideMark/>
          </w:tcPr>
          <w:p w14:paraId="7296F40D" w14:textId="17E51272"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6</w:t>
            </w:r>
          </w:p>
        </w:tc>
        <w:tc>
          <w:tcPr>
            <w:tcW w:w="331" w:type="pct"/>
            <w:vMerge w:val="restart"/>
            <w:vAlign w:val="center"/>
            <w:hideMark/>
          </w:tcPr>
          <w:p w14:paraId="241D792E" w14:textId="47A6975B"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7</w:t>
            </w:r>
          </w:p>
        </w:tc>
        <w:tc>
          <w:tcPr>
            <w:tcW w:w="332" w:type="pct"/>
            <w:vMerge w:val="restart"/>
            <w:vAlign w:val="center"/>
            <w:hideMark/>
          </w:tcPr>
          <w:p w14:paraId="19BEA744" w14:textId="2A1703D3"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Total (</w:t>
            </w:r>
            <w:r w:rsidR="00E2051A" w:rsidRPr="00B32CB4">
              <w:rPr>
                <w:rFonts w:eastAsia="Times New Roman" w:cs="Calibri"/>
                <w:b/>
                <w:bCs/>
                <w:color w:val="000000"/>
                <w:sz w:val="16"/>
                <w:szCs w:val="16"/>
                <w:lang w:val="en-GB"/>
              </w:rPr>
              <w:t>2026–2027</w:t>
            </w:r>
            <w:r w:rsidRPr="00B32CB4">
              <w:rPr>
                <w:rFonts w:eastAsia="Times New Roman" w:cs="Calibri"/>
                <w:b/>
                <w:bCs/>
                <w:color w:val="000000"/>
                <w:sz w:val="16"/>
                <w:szCs w:val="16"/>
                <w:lang w:val="en-GB"/>
              </w:rPr>
              <w:t>)</w:t>
            </w:r>
          </w:p>
        </w:tc>
        <w:tc>
          <w:tcPr>
            <w:tcW w:w="331" w:type="pct"/>
            <w:vMerge w:val="restart"/>
            <w:vAlign w:val="center"/>
            <w:hideMark/>
          </w:tcPr>
          <w:p w14:paraId="42238F1B" w14:textId="660024F3"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6</w:t>
            </w:r>
          </w:p>
        </w:tc>
        <w:tc>
          <w:tcPr>
            <w:tcW w:w="331" w:type="pct"/>
            <w:vMerge w:val="restart"/>
            <w:vAlign w:val="center"/>
            <w:hideMark/>
          </w:tcPr>
          <w:p w14:paraId="6935C983" w14:textId="11564400"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7</w:t>
            </w:r>
          </w:p>
        </w:tc>
        <w:tc>
          <w:tcPr>
            <w:tcW w:w="333" w:type="pct"/>
            <w:vMerge w:val="restart"/>
            <w:vAlign w:val="center"/>
            <w:hideMark/>
          </w:tcPr>
          <w:p w14:paraId="4F80841A" w14:textId="59EF8B7D"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Total (</w:t>
            </w:r>
            <w:r w:rsidR="00E2051A" w:rsidRPr="00B32CB4">
              <w:rPr>
                <w:rFonts w:eastAsia="Times New Roman" w:cs="Calibri"/>
                <w:b/>
                <w:bCs/>
                <w:color w:val="000000"/>
                <w:sz w:val="16"/>
                <w:szCs w:val="16"/>
                <w:lang w:val="en-GB"/>
              </w:rPr>
              <w:t>2026–2027</w:t>
            </w:r>
            <w:r w:rsidRPr="00B32CB4">
              <w:rPr>
                <w:rFonts w:eastAsia="Times New Roman" w:cs="Calibri"/>
                <w:b/>
                <w:bCs/>
                <w:color w:val="000000"/>
                <w:sz w:val="16"/>
                <w:szCs w:val="16"/>
                <w:lang w:val="en-GB"/>
              </w:rPr>
              <w:t>)</w:t>
            </w:r>
          </w:p>
        </w:tc>
        <w:tc>
          <w:tcPr>
            <w:tcW w:w="331" w:type="pct"/>
            <w:vMerge w:val="restart"/>
            <w:vAlign w:val="center"/>
            <w:hideMark/>
          </w:tcPr>
          <w:p w14:paraId="1058A74D" w14:textId="3780D9BF"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6</w:t>
            </w:r>
          </w:p>
        </w:tc>
        <w:tc>
          <w:tcPr>
            <w:tcW w:w="331" w:type="pct"/>
            <w:vMerge w:val="restart"/>
            <w:vAlign w:val="center"/>
            <w:hideMark/>
          </w:tcPr>
          <w:p w14:paraId="3416DDE2" w14:textId="4B93E2A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7</w:t>
            </w:r>
          </w:p>
        </w:tc>
        <w:tc>
          <w:tcPr>
            <w:tcW w:w="332" w:type="pct"/>
            <w:vMerge w:val="restart"/>
            <w:vAlign w:val="center"/>
            <w:hideMark/>
          </w:tcPr>
          <w:p w14:paraId="6C4B07AF" w14:textId="52664127"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Total (</w:t>
            </w:r>
            <w:r w:rsidR="00E2051A" w:rsidRPr="00B32CB4">
              <w:rPr>
                <w:rFonts w:eastAsia="Times New Roman" w:cs="Calibri"/>
                <w:b/>
                <w:bCs/>
                <w:color w:val="000000"/>
                <w:sz w:val="16"/>
                <w:szCs w:val="16"/>
                <w:lang w:val="en-GB"/>
              </w:rPr>
              <w:t>2026–2027</w:t>
            </w:r>
            <w:r w:rsidRPr="00B32CB4">
              <w:rPr>
                <w:rFonts w:eastAsia="Times New Roman" w:cs="Calibri"/>
                <w:b/>
                <w:bCs/>
                <w:color w:val="000000"/>
                <w:sz w:val="16"/>
                <w:szCs w:val="16"/>
                <w:lang w:val="en-GB"/>
              </w:rPr>
              <w:t>)</w:t>
            </w:r>
          </w:p>
        </w:tc>
        <w:tc>
          <w:tcPr>
            <w:tcW w:w="331" w:type="pct"/>
            <w:vMerge w:val="restart"/>
            <w:vAlign w:val="center"/>
            <w:hideMark/>
          </w:tcPr>
          <w:p w14:paraId="1572A396" w14:textId="62CCCF7E"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6</w:t>
            </w:r>
          </w:p>
        </w:tc>
        <w:tc>
          <w:tcPr>
            <w:tcW w:w="332" w:type="pct"/>
            <w:vMerge w:val="restart"/>
            <w:vAlign w:val="center"/>
            <w:hideMark/>
          </w:tcPr>
          <w:p w14:paraId="69FA7141" w14:textId="06B24F71"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202</w:t>
            </w:r>
            <w:r w:rsidR="00713A89" w:rsidRPr="00B32CB4">
              <w:rPr>
                <w:rFonts w:eastAsia="Times New Roman" w:cs="Calibri"/>
                <w:b/>
                <w:bCs/>
                <w:color w:val="000000"/>
                <w:sz w:val="16"/>
                <w:szCs w:val="16"/>
                <w:lang w:val="en-GB"/>
              </w:rPr>
              <w:t>7</w:t>
            </w:r>
          </w:p>
        </w:tc>
        <w:tc>
          <w:tcPr>
            <w:tcW w:w="332" w:type="pct"/>
            <w:vMerge w:val="restart"/>
            <w:vAlign w:val="center"/>
            <w:hideMark/>
          </w:tcPr>
          <w:p w14:paraId="47D7BA8E" w14:textId="505031DA" w:rsidR="000561E7" w:rsidRPr="00B32CB4" w:rsidRDefault="000561E7"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Total (202</w:t>
            </w:r>
            <w:r w:rsidR="00713A89" w:rsidRPr="00B32CB4">
              <w:rPr>
                <w:rFonts w:eastAsia="Times New Roman" w:cs="Calibri"/>
                <w:b/>
                <w:bCs/>
                <w:color w:val="000000"/>
                <w:sz w:val="16"/>
                <w:szCs w:val="16"/>
                <w:lang w:val="en-GB"/>
              </w:rPr>
              <w:t>6</w:t>
            </w:r>
            <w:r w:rsidRPr="00B32CB4">
              <w:rPr>
                <w:rFonts w:eastAsia="Times New Roman" w:cs="Calibri"/>
                <w:b/>
                <w:bCs/>
                <w:color w:val="000000"/>
                <w:sz w:val="16"/>
                <w:szCs w:val="16"/>
                <w:lang w:val="en-GB"/>
              </w:rPr>
              <w:t>- 202</w:t>
            </w:r>
            <w:r w:rsidR="00713A89" w:rsidRPr="00B32CB4">
              <w:rPr>
                <w:rFonts w:eastAsia="Times New Roman" w:cs="Calibri"/>
                <w:b/>
                <w:bCs/>
                <w:color w:val="000000"/>
                <w:sz w:val="16"/>
                <w:szCs w:val="16"/>
                <w:lang w:val="en-GB"/>
              </w:rPr>
              <w:t>7</w:t>
            </w:r>
            <w:r w:rsidRPr="00B32CB4">
              <w:rPr>
                <w:rFonts w:eastAsia="Times New Roman" w:cs="Calibri"/>
                <w:b/>
                <w:bCs/>
                <w:color w:val="000000"/>
                <w:sz w:val="16"/>
                <w:szCs w:val="16"/>
                <w:lang w:val="en-GB"/>
              </w:rPr>
              <w:t>)</w:t>
            </w:r>
          </w:p>
        </w:tc>
      </w:tr>
      <w:tr w:rsidR="00F45B98" w:rsidRPr="00B32CB4" w14:paraId="21FB1929" w14:textId="77777777" w:rsidTr="002A243F">
        <w:trPr>
          <w:trHeight w:val="419"/>
        </w:trPr>
        <w:tc>
          <w:tcPr>
            <w:tcW w:w="1022" w:type="pct"/>
            <w:vMerge/>
            <w:vAlign w:val="center"/>
            <w:hideMark/>
          </w:tcPr>
          <w:p w14:paraId="7C3E55B2"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1" w:type="pct"/>
            <w:vMerge/>
            <w:vAlign w:val="center"/>
            <w:hideMark/>
          </w:tcPr>
          <w:p w14:paraId="7E6A7DAE"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1" w:type="pct"/>
            <w:vMerge/>
            <w:vAlign w:val="center"/>
            <w:hideMark/>
          </w:tcPr>
          <w:p w14:paraId="56646B54"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2" w:type="pct"/>
            <w:vMerge/>
            <w:vAlign w:val="center"/>
            <w:hideMark/>
          </w:tcPr>
          <w:p w14:paraId="65765DBD"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1" w:type="pct"/>
            <w:vMerge/>
            <w:vAlign w:val="center"/>
            <w:hideMark/>
          </w:tcPr>
          <w:p w14:paraId="08F70EE7"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1" w:type="pct"/>
            <w:vMerge/>
            <w:vAlign w:val="center"/>
            <w:hideMark/>
          </w:tcPr>
          <w:p w14:paraId="09037556"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3" w:type="pct"/>
            <w:vMerge/>
            <w:vAlign w:val="center"/>
            <w:hideMark/>
          </w:tcPr>
          <w:p w14:paraId="64B9074F"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1" w:type="pct"/>
            <w:vMerge/>
            <w:vAlign w:val="center"/>
            <w:hideMark/>
          </w:tcPr>
          <w:p w14:paraId="295A3BD7"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1" w:type="pct"/>
            <w:vMerge/>
            <w:vAlign w:val="center"/>
            <w:hideMark/>
          </w:tcPr>
          <w:p w14:paraId="05B66E4B"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2" w:type="pct"/>
            <w:vMerge/>
            <w:vAlign w:val="center"/>
            <w:hideMark/>
          </w:tcPr>
          <w:p w14:paraId="42B1D5CA"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1" w:type="pct"/>
            <w:vMerge/>
            <w:vAlign w:val="center"/>
            <w:hideMark/>
          </w:tcPr>
          <w:p w14:paraId="3B63761B"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2" w:type="pct"/>
            <w:vMerge/>
            <w:vAlign w:val="center"/>
            <w:hideMark/>
          </w:tcPr>
          <w:p w14:paraId="71B6CDD6" w14:textId="77777777" w:rsidR="00F45B98" w:rsidRPr="00B32CB4" w:rsidRDefault="00F45B98" w:rsidP="002C7374">
            <w:pPr>
              <w:spacing w:after="0" w:line="240" w:lineRule="auto"/>
              <w:jc w:val="left"/>
              <w:rPr>
                <w:rFonts w:eastAsia="Times New Roman" w:cs="Calibri"/>
                <w:b/>
                <w:bCs/>
                <w:color w:val="000000"/>
                <w:sz w:val="16"/>
                <w:szCs w:val="16"/>
                <w:lang w:val="en-GB"/>
              </w:rPr>
            </w:pPr>
          </w:p>
        </w:tc>
        <w:tc>
          <w:tcPr>
            <w:tcW w:w="332" w:type="pct"/>
            <w:vMerge/>
            <w:vAlign w:val="center"/>
            <w:hideMark/>
          </w:tcPr>
          <w:p w14:paraId="0D037764" w14:textId="77777777" w:rsidR="00F45B98" w:rsidRPr="00B32CB4" w:rsidRDefault="00F45B98" w:rsidP="002C7374">
            <w:pPr>
              <w:spacing w:after="0" w:line="240" w:lineRule="auto"/>
              <w:jc w:val="left"/>
              <w:rPr>
                <w:rFonts w:eastAsia="Times New Roman" w:cs="Calibri"/>
                <w:b/>
                <w:bCs/>
                <w:color w:val="000000"/>
                <w:sz w:val="16"/>
                <w:szCs w:val="16"/>
                <w:lang w:val="en-GB"/>
              </w:rPr>
            </w:pPr>
          </w:p>
        </w:tc>
      </w:tr>
      <w:tr w:rsidR="00F45B98" w:rsidRPr="00B32CB4" w14:paraId="2328C734" w14:textId="77777777" w:rsidTr="00F45B98">
        <w:trPr>
          <w:trHeight w:val="20"/>
        </w:trPr>
        <w:tc>
          <w:tcPr>
            <w:tcW w:w="5000" w:type="pct"/>
            <w:gridSpan w:val="13"/>
            <w:noWrap/>
            <w:vAlign w:val="center"/>
            <w:hideMark/>
          </w:tcPr>
          <w:p w14:paraId="39011130" w14:textId="77777777" w:rsidR="00F45B98" w:rsidRPr="00B32CB4" w:rsidRDefault="00F45B98" w:rsidP="002C7374">
            <w:pPr>
              <w:spacing w:after="0" w:line="240" w:lineRule="auto"/>
              <w:jc w:val="left"/>
              <w:rPr>
                <w:rFonts w:eastAsia="Times New Roman" w:cs="Calibri"/>
                <w:b/>
                <w:bCs/>
                <w:color w:val="000000"/>
                <w:sz w:val="16"/>
                <w:szCs w:val="16"/>
                <w:lang w:val="en-GB"/>
              </w:rPr>
            </w:pPr>
            <w:r w:rsidRPr="00B32CB4">
              <w:rPr>
                <w:rFonts w:eastAsia="Times New Roman" w:cs="Calibri"/>
                <w:b/>
                <w:bCs/>
                <w:color w:val="000000"/>
                <w:sz w:val="16"/>
                <w:szCs w:val="16"/>
                <w:lang w:val="en-GB"/>
              </w:rPr>
              <w:t>10.1 Digital strategy</w:t>
            </w:r>
          </w:p>
        </w:tc>
      </w:tr>
      <w:tr w:rsidR="005B6766" w:rsidRPr="00B32CB4" w14:paraId="0AF4EAD2" w14:textId="77777777" w:rsidTr="002A243F">
        <w:trPr>
          <w:trHeight w:val="20"/>
        </w:trPr>
        <w:tc>
          <w:tcPr>
            <w:tcW w:w="1022" w:type="pct"/>
            <w:vAlign w:val="center"/>
            <w:hideMark/>
          </w:tcPr>
          <w:p w14:paraId="6E6ED773"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Website improvement and maintenance</w:t>
            </w:r>
          </w:p>
        </w:tc>
        <w:tc>
          <w:tcPr>
            <w:tcW w:w="331" w:type="pct"/>
            <w:noWrap/>
            <w:vAlign w:val="center"/>
            <w:hideMark/>
          </w:tcPr>
          <w:p w14:paraId="2D4C5482"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1" w:type="pct"/>
            <w:noWrap/>
            <w:vAlign w:val="center"/>
            <w:hideMark/>
          </w:tcPr>
          <w:p w14:paraId="6452D145" w14:textId="376192BC"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25,000</w:t>
            </w:r>
          </w:p>
        </w:tc>
        <w:tc>
          <w:tcPr>
            <w:tcW w:w="332" w:type="pct"/>
            <w:noWrap/>
            <w:vAlign w:val="center"/>
            <w:hideMark/>
          </w:tcPr>
          <w:p w14:paraId="5833404C" w14:textId="57393335"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45,000</w:t>
            </w:r>
          </w:p>
        </w:tc>
        <w:tc>
          <w:tcPr>
            <w:tcW w:w="331" w:type="pct"/>
            <w:noWrap/>
            <w:vAlign w:val="center"/>
            <w:hideMark/>
          </w:tcPr>
          <w:p w14:paraId="41368398" w14:textId="77777777" w:rsidR="005B6766" w:rsidRPr="00B32CB4" w:rsidRDefault="005B6766" w:rsidP="002C7374">
            <w:pPr>
              <w:spacing w:after="0" w:line="240" w:lineRule="auto"/>
              <w:jc w:val="center"/>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63632BD8" w14:textId="77777777" w:rsidR="005B6766" w:rsidRPr="00B32CB4" w:rsidRDefault="005B6766" w:rsidP="002C7374">
            <w:pPr>
              <w:spacing w:after="0" w:line="240" w:lineRule="auto"/>
              <w:jc w:val="center"/>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3" w:type="pct"/>
            <w:noWrap/>
            <w:vAlign w:val="center"/>
            <w:hideMark/>
          </w:tcPr>
          <w:p w14:paraId="6E95DE33" w14:textId="77777777" w:rsidR="005B6766" w:rsidRPr="00B32CB4" w:rsidRDefault="005B6766"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067A377A"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1" w:type="pct"/>
            <w:noWrap/>
            <w:vAlign w:val="center"/>
            <w:hideMark/>
          </w:tcPr>
          <w:p w14:paraId="19AEFAFF" w14:textId="503C9C99"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25,000</w:t>
            </w:r>
          </w:p>
        </w:tc>
        <w:tc>
          <w:tcPr>
            <w:tcW w:w="332" w:type="pct"/>
            <w:noWrap/>
            <w:vAlign w:val="center"/>
            <w:hideMark/>
          </w:tcPr>
          <w:p w14:paraId="68DFBA89" w14:textId="39D8DBDC"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45,000</w:t>
            </w:r>
          </w:p>
        </w:tc>
        <w:tc>
          <w:tcPr>
            <w:tcW w:w="331" w:type="pct"/>
            <w:noWrap/>
            <w:vAlign w:val="center"/>
            <w:hideMark/>
          </w:tcPr>
          <w:p w14:paraId="6A0418EC"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3A3CF8F1"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5026FBE8"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r>
      <w:tr w:rsidR="005B6766" w:rsidRPr="00B32CB4" w14:paraId="6CAC6069" w14:textId="77777777" w:rsidTr="002A243F">
        <w:trPr>
          <w:trHeight w:val="20"/>
        </w:trPr>
        <w:tc>
          <w:tcPr>
            <w:tcW w:w="1022" w:type="pct"/>
            <w:vAlign w:val="center"/>
            <w:hideMark/>
          </w:tcPr>
          <w:p w14:paraId="70E133D5"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Website hosting</w:t>
            </w:r>
          </w:p>
        </w:tc>
        <w:tc>
          <w:tcPr>
            <w:tcW w:w="331" w:type="pct"/>
            <w:noWrap/>
            <w:vAlign w:val="center"/>
            <w:hideMark/>
          </w:tcPr>
          <w:p w14:paraId="0A8E7666"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w:t>
            </w:r>
          </w:p>
        </w:tc>
        <w:tc>
          <w:tcPr>
            <w:tcW w:w="331" w:type="pct"/>
            <w:noWrap/>
            <w:vAlign w:val="center"/>
            <w:hideMark/>
          </w:tcPr>
          <w:p w14:paraId="1660CD59"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w:t>
            </w:r>
          </w:p>
        </w:tc>
        <w:tc>
          <w:tcPr>
            <w:tcW w:w="332" w:type="pct"/>
            <w:noWrap/>
            <w:vAlign w:val="center"/>
            <w:hideMark/>
          </w:tcPr>
          <w:p w14:paraId="1AB27BD8"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5,000</w:t>
            </w:r>
          </w:p>
        </w:tc>
        <w:tc>
          <w:tcPr>
            <w:tcW w:w="331" w:type="pct"/>
            <w:noWrap/>
            <w:vAlign w:val="center"/>
            <w:hideMark/>
          </w:tcPr>
          <w:p w14:paraId="4C45BCE6" w14:textId="77777777" w:rsidR="005B6766" w:rsidRPr="00B32CB4" w:rsidRDefault="005B6766" w:rsidP="002C7374">
            <w:pPr>
              <w:spacing w:after="0" w:line="240" w:lineRule="auto"/>
              <w:jc w:val="center"/>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2A6C9C92" w14:textId="77777777" w:rsidR="005B6766" w:rsidRPr="00B32CB4" w:rsidRDefault="005B6766" w:rsidP="002C7374">
            <w:pPr>
              <w:spacing w:after="0" w:line="240" w:lineRule="auto"/>
              <w:jc w:val="center"/>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3" w:type="pct"/>
            <w:noWrap/>
            <w:vAlign w:val="center"/>
            <w:hideMark/>
          </w:tcPr>
          <w:p w14:paraId="23BF5ECA" w14:textId="77777777" w:rsidR="005B6766" w:rsidRPr="00B32CB4" w:rsidRDefault="005B6766"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7FA42560"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w:t>
            </w:r>
          </w:p>
        </w:tc>
        <w:tc>
          <w:tcPr>
            <w:tcW w:w="331" w:type="pct"/>
            <w:noWrap/>
            <w:vAlign w:val="center"/>
            <w:hideMark/>
          </w:tcPr>
          <w:p w14:paraId="573AC457"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w:t>
            </w:r>
          </w:p>
        </w:tc>
        <w:tc>
          <w:tcPr>
            <w:tcW w:w="332" w:type="pct"/>
            <w:noWrap/>
            <w:vAlign w:val="center"/>
            <w:hideMark/>
          </w:tcPr>
          <w:p w14:paraId="048B302D"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5,000</w:t>
            </w:r>
          </w:p>
        </w:tc>
        <w:tc>
          <w:tcPr>
            <w:tcW w:w="331" w:type="pct"/>
            <w:noWrap/>
            <w:vAlign w:val="center"/>
            <w:hideMark/>
          </w:tcPr>
          <w:p w14:paraId="6AC3D768"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762B9F4C"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028B23BE"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r>
      <w:tr w:rsidR="005B6766" w:rsidRPr="00B32CB4" w14:paraId="6D5E8C27" w14:textId="77777777" w:rsidTr="002A243F">
        <w:trPr>
          <w:trHeight w:val="20"/>
        </w:trPr>
        <w:tc>
          <w:tcPr>
            <w:tcW w:w="1022" w:type="pct"/>
            <w:vAlign w:val="center"/>
            <w:hideMark/>
          </w:tcPr>
          <w:p w14:paraId="2BFB9023" w14:textId="4B764315"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themeColor="text1"/>
                <w:sz w:val="16"/>
                <w:szCs w:val="16"/>
                <w:lang w:val="en-GB"/>
              </w:rPr>
              <w:t>Minamata Exchange Platform</w:t>
            </w:r>
          </w:p>
        </w:tc>
        <w:tc>
          <w:tcPr>
            <w:tcW w:w="331" w:type="pct"/>
            <w:noWrap/>
            <w:vAlign w:val="center"/>
            <w:hideMark/>
          </w:tcPr>
          <w:p w14:paraId="6CD54915"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1" w:type="pct"/>
            <w:noWrap/>
            <w:vAlign w:val="center"/>
            <w:hideMark/>
          </w:tcPr>
          <w:p w14:paraId="4D619793"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3400C070"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20,000</w:t>
            </w:r>
          </w:p>
        </w:tc>
        <w:tc>
          <w:tcPr>
            <w:tcW w:w="331" w:type="pct"/>
            <w:noWrap/>
            <w:vAlign w:val="center"/>
            <w:hideMark/>
          </w:tcPr>
          <w:p w14:paraId="1BE360F5" w14:textId="77777777" w:rsidR="005B6766" w:rsidRPr="00B32CB4" w:rsidRDefault="005B6766" w:rsidP="002C7374">
            <w:pPr>
              <w:spacing w:after="0" w:line="240" w:lineRule="auto"/>
              <w:jc w:val="center"/>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7D0B496D" w14:textId="77777777" w:rsidR="005B6766" w:rsidRPr="00B32CB4" w:rsidRDefault="005B6766" w:rsidP="002C7374">
            <w:pPr>
              <w:spacing w:after="0" w:line="240" w:lineRule="auto"/>
              <w:jc w:val="center"/>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3" w:type="pct"/>
            <w:noWrap/>
            <w:vAlign w:val="center"/>
            <w:hideMark/>
          </w:tcPr>
          <w:p w14:paraId="350CE42B" w14:textId="77777777" w:rsidR="005B6766" w:rsidRPr="00B32CB4" w:rsidRDefault="005B6766" w:rsidP="002C7374">
            <w:pPr>
              <w:spacing w:after="0" w:line="240" w:lineRule="auto"/>
              <w:jc w:val="center"/>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4A9A0BFA"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1" w:type="pct"/>
            <w:noWrap/>
            <w:vAlign w:val="center"/>
            <w:hideMark/>
          </w:tcPr>
          <w:p w14:paraId="12CA652B"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7997D2F2"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20,000</w:t>
            </w:r>
          </w:p>
        </w:tc>
        <w:tc>
          <w:tcPr>
            <w:tcW w:w="331" w:type="pct"/>
            <w:noWrap/>
            <w:vAlign w:val="center"/>
            <w:hideMark/>
          </w:tcPr>
          <w:p w14:paraId="5084942F"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0935BC19"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6D7DC992"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r>
      <w:tr w:rsidR="005B6766" w:rsidRPr="00B32CB4" w14:paraId="09D1DB0B" w14:textId="77777777" w:rsidTr="002A243F">
        <w:trPr>
          <w:trHeight w:val="20"/>
        </w:trPr>
        <w:tc>
          <w:tcPr>
            <w:tcW w:w="1022" w:type="pct"/>
            <w:vAlign w:val="center"/>
            <w:hideMark/>
          </w:tcPr>
          <w:p w14:paraId="5F339A12" w14:textId="02555FF9"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Digitize Secretariat's submissions</w:t>
            </w:r>
          </w:p>
        </w:tc>
        <w:tc>
          <w:tcPr>
            <w:tcW w:w="331" w:type="pct"/>
            <w:noWrap/>
            <w:vAlign w:val="center"/>
            <w:hideMark/>
          </w:tcPr>
          <w:p w14:paraId="59AA7F93"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7CED1ED6"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2FC50249"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33F57ED1"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25,000</w:t>
            </w:r>
          </w:p>
        </w:tc>
        <w:tc>
          <w:tcPr>
            <w:tcW w:w="331" w:type="pct"/>
            <w:noWrap/>
            <w:vAlign w:val="center"/>
            <w:hideMark/>
          </w:tcPr>
          <w:p w14:paraId="6C0ED8A9"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3" w:type="pct"/>
            <w:noWrap/>
            <w:vAlign w:val="center"/>
            <w:hideMark/>
          </w:tcPr>
          <w:p w14:paraId="109AC934"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45,000</w:t>
            </w:r>
          </w:p>
        </w:tc>
        <w:tc>
          <w:tcPr>
            <w:tcW w:w="331" w:type="pct"/>
            <w:noWrap/>
            <w:vAlign w:val="center"/>
            <w:hideMark/>
          </w:tcPr>
          <w:p w14:paraId="1D258278"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430B005F"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181A20FE" w14:textId="77777777" w:rsidR="005B6766" w:rsidRPr="00B32CB4" w:rsidRDefault="005B6766" w:rsidP="002C7374">
            <w:pPr>
              <w:spacing w:after="0" w:line="240" w:lineRule="auto"/>
              <w:jc w:val="left"/>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3D707A01"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25,000</w:t>
            </w:r>
          </w:p>
        </w:tc>
        <w:tc>
          <w:tcPr>
            <w:tcW w:w="332" w:type="pct"/>
            <w:noWrap/>
            <w:vAlign w:val="center"/>
            <w:hideMark/>
          </w:tcPr>
          <w:p w14:paraId="1F054804"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2" w:type="pct"/>
            <w:noWrap/>
            <w:vAlign w:val="center"/>
            <w:hideMark/>
          </w:tcPr>
          <w:p w14:paraId="28A87827"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45,000</w:t>
            </w:r>
          </w:p>
        </w:tc>
      </w:tr>
      <w:tr w:rsidR="005B6766" w:rsidRPr="00B32CB4" w14:paraId="72107362" w14:textId="77777777" w:rsidTr="002A243F">
        <w:trPr>
          <w:trHeight w:val="20"/>
        </w:trPr>
        <w:tc>
          <w:tcPr>
            <w:tcW w:w="1022" w:type="pct"/>
            <w:vAlign w:val="center"/>
            <w:hideMark/>
          </w:tcPr>
          <w:p w14:paraId="52CCECF7" w14:textId="42565B81"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Convention's taxonomy for web semantics</w:t>
            </w:r>
          </w:p>
        </w:tc>
        <w:tc>
          <w:tcPr>
            <w:tcW w:w="331" w:type="pct"/>
            <w:noWrap/>
            <w:vAlign w:val="center"/>
            <w:hideMark/>
          </w:tcPr>
          <w:p w14:paraId="1AABB3DF"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48203A51"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176A1A22"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5C79429F"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25,000</w:t>
            </w:r>
          </w:p>
        </w:tc>
        <w:tc>
          <w:tcPr>
            <w:tcW w:w="331" w:type="pct"/>
            <w:noWrap/>
            <w:vAlign w:val="center"/>
            <w:hideMark/>
          </w:tcPr>
          <w:p w14:paraId="32FDB769"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3" w:type="pct"/>
            <w:noWrap/>
            <w:vAlign w:val="center"/>
            <w:hideMark/>
          </w:tcPr>
          <w:p w14:paraId="4A721554"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45,000</w:t>
            </w:r>
          </w:p>
        </w:tc>
        <w:tc>
          <w:tcPr>
            <w:tcW w:w="331" w:type="pct"/>
            <w:noWrap/>
            <w:vAlign w:val="center"/>
            <w:hideMark/>
          </w:tcPr>
          <w:p w14:paraId="15A91DB9"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13E5EC65"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76AA9C48" w14:textId="77777777" w:rsidR="005B6766" w:rsidRPr="00B32CB4" w:rsidRDefault="005B6766" w:rsidP="002C7374">
            <w:pPr>
              <w:spacing w:after="0" w:line="240" w:lineRule="auto"/>
              <w:jc w:val="left"/>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0A3A5BD6"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25,000</w:t>
            </w:r>
          </w:p>
        </w:tc>
        <w:tc>
          <w:tcPr>
            <w:tcW w:w="332" w:type="pct"/>
            <w:noWrap/>
            <w:vAlign w:val="center"/>
            <w:hideMark/>
          </w:tcPr>
          <w:p w14:paraId="7BE1E6F2"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20,000</w:t>
            </w:r>
          </w:p>
        </w:tc>
        <w:tc>
          <w:tcPr>
            <w:tcW w:w="332" w:type="pct"/>
            <w:noWrap/>
            <w:vAlign w:val="center"/>
            <w:hideMark/>
          </w:tcPr>
          <w:p w14:paraId="2465D9B0"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45,000</w:t>
            </w:r>
          </w:p>
        </w:tc>
      </w:tr>
      <w:tr w:rsidR="005B6766" w:rsidRPr="00B32CB4" w14:paraId="6C6E9275" w14:textId="77777777" w:rsidTr="002A243F">
        <w:trPr>
          <w:trHeight w:val="20"/>
        </w:trPr>
        <w:tc>
          <w:tcPr>
            <w:tcW w:w="1022" w:type="pct"/>
            <w:vAlign w:val="center"/>
            <w:hideMark/>
          </w:tcPr>
          <w:p w14:paraId="7C276AD0" w14:textId="12CD02EA"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Training of a generative AI model</w:t>
            </w:r>
          </w:p>
        </w:tc>
        <w:tc>
          <w:tcPr>
            <w:tcW w:w="331" w:type="pct"/>
            <w:noWrap/>
            <w:vAlign w:val="center"/>
            <w:hideMark/>
          </w:tcPr>
          <w:p w14:paraId="0F39A347"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31399C0F"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0A24A6F2"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3B254DEF"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35,000</w:t>
            </w:r>
          </w:p>
        </w:tc>
        <w:tc>
          <w:tcPr>
            <w:tcW w:w="331" w:type="pct"/>
            <w:noWrap/>
            <w:vAlign w:val="center"/>
            <w:hideMark/>
          </w:tcPr>
          <w:p w14:paraId="212B9042"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30,000</w:t>
            </w:r>
          </w:p>
        </w:tc>
        <w:tc>
          <w:tcPr>
            <w:tcW w:w="333" w:type="pct"/>
            <w:noWrap/>
            <w:vAlign w:val="center"/>
            <w:hideMark/>
          </w:tcPr>
          <w:p w14:paraId="1F4A03ED"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65,000</w:t>
            </w:r>
          </w:p>
        </w:tc>
        <w:tc>
          <w:tcPr>
            <w:tcW w:w="331" w:type="pct"/>
            <w:noWrap/>
            <w:vAlign w:val="center"/>
            <w:hideMark/>
          </w:tcPr>
          <w:p w14:paraId="75856DAA"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1ACD1968"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49546DFE" w14:textId="77777777" w:rsidR="005B6766" w:rsidRPr="00B32CB4" w:rsidRDefault="005B6766" w:rsidP="002C7374">
            <w:pPr>
              <w:spacing w:after="0" w:line="240" w:lineRule="auto"/>
              <w:jc w:val="left"/>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470C807D"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35,000</w:t>
            </w:r>
          </w:p>
        </w:tc>
        <w:tc>
          <w:tcPr>
            <w:tcW w:w="332" w:type="pct"/>
            <w:noWrap/>
            <w:vAlign w:val="center"/>
            <w:hideMark/>
          </w:tcPr>
          <w:p w14:paraId="45AA25BC"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30,000</w:t>
            </w:r>
          </w:p>
        </w:tc>
        <w:tc>
          <w:tcPr>
            <w:tcW w:w="332" w:type="pct"/>
            <w:noWrap/>
            <w:vAlign w:val="center"/>
            <w:hideMark/>
          </w:tcPr>
          <w:p w14:paraId="2B766D79"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65,000</w:t>
            </w:r>
          </w:p>
        </w:tc>
      </w:tr>
      <w:tr w:rsidR="005B6766" w:rsidRPr="00B32CB4" w14:paraId="21F6BD8D" w14:textId="77777777" w:rsidTr="002A243F">
        <w:trPr>
          <w:trHeight w:val="20"/>
        </w:trPr>
        <w:tc>
          <w:tcPr>
            <w:tcW w:w="1022" w:type="pct"/>
            <w:vAlign w:val="center"/>
            <w:hideMark/>
          </w:tcPr>
          <w:p w14:paraId="68F57D20"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e-learning</w:t>
            </w:r>
          </w:p>
        </w:tc>
        <w:tc>
          <w:tcPr>
            <w:tcW w:w="331" w:type="pct"/>
            <w:noWrap/>
            <w:vAlign w:val="center"/>
            <w:hideMark/>
          </w:tcPr>
          <w:p w14:paraId="2CCE20BF"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7ACB1D58"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5D31B0A1"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5651ED79"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15,000</w:t>
            </w:r>
          </w:p>
        </w:tc>
        <w:tc>
          <w:tcPr>
            <w:tcW w:w="331" w:type="pct"/>
            <w:noWrap/>
            <w:vAlign w:val="center"/>
            <w:hideMark/>
          </w:tcPr>
          <w:p w14:paraId="201024C2"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15,000</w:t>
            </w:r>
          </w:p>
        </w:tc>
        <w:tc>
          <w:tcPr>
            <w:tcW w:w="333" w:type="pct"/>
            <w:noWrap/>
            <w:vAlign w:val="center"/>
            <w:hideMark/>
          </w:tcPr>
          <w:p w14:paraId="265EEC3D"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30,000</w:t>
            </w:r>
          </w:p>
        </w:tc>
        <w:tc>
          <w:tcPr>
            <w:tcW w:w="331" w:type="pct"/>
            <w:noWrap/>
            <w:vAlign w:val="center"/>
            <w:hideMark/>
          </w:tcPr>
          <w:p w14:paraId="229997C2"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1" w:type="pct"/>
            <w:noWrap/>
            <w:vAlign w:val="center"/>
            <w:hideMark/>
          </w:tcPr>
          <w:p w14:paraId="795FBEC5" w14:textId="77777777" w:rsidR="005B6766" w:rsidRPr="00B32CB4" w:rsidRDefault="005B6766" w:rsidP="002C7374">
            <w:pPr>
              <w:spacing w:after="0" w:line="240" w:lineRule="auto"/>
              <w:jc w:val="left"/>
              <w:rPr>
                <w:rFonts w:eastAsia="Times New Roman" w:cs="Calibri"/>
                <w:color w:val="000000"/>
                <w:sz w:val="16"/>
                <w:szCs w:val="16"/>
                <w:lang w:val="en-GB"/>
              </w:rPr>
            </w:pPr>
            <w:r w:rsidRPr="00B32CB4">
              <w:rPr>
                <w:rFonts w:eastAsia="Times New Roman" w:cs="Calibri"/>
                <w:color w:val="000000"/>
                <w:sz w:val="16"/>
                <w:szCs w:val="16"/>
                <w:lang w:val="en-GB"/>
              </w:rPr>
              <w:t> </w:t>
            </w:r>
          </w:p>
        </w:tc>
        <w:tc>
          <w:tcPr>
            <w:tcW w:w="332" w:type="pct"/>
            <w:noWrap/>
            <w:vAlign w:val="center"/>
            <w:hideMark/>
          </w:tcPr>
          <w:p w14:paraId="69268ED7" w14:textId="77777777" w:rsidR="005B6766" w:rsidRPr="00B32CB4" w:rsidRDefault="005B6766" w:rsidP="002C7374">
            <w:pPr>
              <w:spacing w:after="0" w:line="240" w:lineRule="auto"/>
              <w:jc w:val="left"/>
              <w:rPr>
                <w:rFonts w:eastAsia="Times New Roman" w:cs="Calibri"/>
                <w:b/>
                <w:bCs/>
                <w:color w:val="000000"/>
                <w:sz w:val="16"/>
                <w:szCs w:val="16"/>
                <w:lang w:val="en-GB"/>
              </w:rPr>
            </w:pPr>
            <w:r w:rsidRPr="00B32CB4">
              <w:rPr>
                <w:rFonts w:eastAsia="Times New Roman" w:cs="Calibri"/>
                <w:b/>
                <w:bCs/>
                <w:color w:val="000000"/>
                <w:sz w:val="16"/>
                <w:szCs w:val="16"/>
                <w:lang w:val="en-GB"/>
              </w:rPr>
              <w:t> </w:t>
            </w:r>
          </w:p>
        </w:tc>
        <w:tc>
          <w:tcPr>
            <w:tcW w:w="331" w:type="pct"/>
            <w:noWrap/>
            <w:vAlign w:val="center"/>
            <w:hideMark/>
          </w:tcPr>
          <w:p w14:paraId="0742B0F1"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15,000</w:t>
            </w:r>
          </w:p>
        </w:tc>
        <w:tc>
          <w:tcPr>
            <w:tcW w:w="332" w:type="pct"/>
            <w:noWrap/>
            <w:vAlign w:val="center"/>
            <w:hideMark/>
          </w:tcPr>
          <w:p w14:paraId="248AB112" w14:textId="77777777" w:rsidR="005B6766" w:rsidRPr="00B32CB4" w:rsidRDefault="005B6766" w:rsidP="002C7374">
            <w:pPr>
              <w:spacing w:after="0" w:line="240" w:lineRule="auto"/>
              <w:jc w:val="right"/>
              <w:rPr>
                <w:rFonts w:eastAsia="Times New Roman" w:cs="Calibri"/>
                <w:color w:val="000000"/>
                <w:sz w:val="16"/>
                <w:szCs w:val="16"/>
                <w:lang w:val="en-GB"/>
              </w:rPr>
            </w:pPr>
            <w:r w:rsidRPr="00B32CB4">
              <w:rPr>
                <w:rFonts w:eastAsia="Times New Roman" w:cs="Calibri"/>
                <w:color w:val="000000"/>
                <w:sz w:val="16"/>
                <w:szCs w:val="16"/>
                <w:lang w:val="en-GB"/>
              </w:rPr>
              <w:t>15,000</w:t>
            </w:r>
          </w:p>
        </w:tc>
        <w:tc>
          <w:tcPr>
            <w:tcW w:w="332" w:type="pct"/>
            <w:noWrap/>
            <w:vAlign w:val="center"/>
            <w:hideMark/>
          </w:tcPr>
          <w:p w14:paraId="77B7B6C2" w14:textId="77777777" w:rsidR="005B6766" w:rsidRPr="00B32CB4" w:rsidRDefault="005B6766"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30,000</w:t>
            </w:r>
          </w:p>
        </w:tc>
      </w:tr>
      <w:tr w:rsidR="00F1558C" w:rsidRPr="00B32CB4" w14:paraId="776DB53F" w14:textId="77777777" w:rsidTr="002A243F">
        <w:trPr>
          <w:trHeight w:val="20"/>
        </w:trPr>
        <w:tc>
          <w:tcPr>
            <w:tcW w:w="1022" w:type="pct"/>
            <w:vAlign w:val="center"/>
            <w:hideMark/>
          </w:tcPr>
          <w:p w14:paraId="11D284D2"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Component total</w:t>
            </w:r>
          </w:p>
        </w:tc>
        <w:tc>
          <w:tcPr>
            <w:tcW w:w="331" w:type="pct"/>
            <w:noWrap/>
            <w:vAlign w:val="center"/>
            <w:hideMark/>
          </w:tcPr>
          <w:p w14:paraId="543E216A"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42,500</w:t>
            </w:r>
          </w:p>
        </w:tc>
        <w:tc>
          <w:tcPr>
            <w:tcW w:w="331" w:type="pct"/>
            <w:noWrap/>
            <w:vAlign w:val="center"/>
            <w:hideMark/>
          </w:tcPr>
          <w:p w14:paraId="6E94B107" w14:textId="3BE4DAFF"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27,500</w:t>
            </w:r>
          </w:p>
        </w:tc>
        <w:tc>
          <w:tcPr>
            <w:tcW w:w="332" w:type="pct"/>
            <w:noWrap/>
            <w:vAlign w:val="center"/>
            <w:hideMark/>
          </w:tcPr>
          <w:p w14:paraId="59584B5C" w14:textId="23C53E70"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70,000</w:t>
            </w:r>
          </w:p>
        </w:tc>
        <w:tc>
          <w:tcPr>
            <w:tcW w:w="331" w:type="pct"/>
            <w:noWrap/>
            <w:vAlign w:val="center"/>
            <w:hideMark/>
          </w:tcPr>
          <w:p w14:paraId="2B4FDEF7"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100,000</w:t>
            </w:r>
          </w:p>
        </w:tc>
        <w:tc>
          <w:tcPr>
            <w:tcW w:w="331" w:type="pct"/>
            <w:noWrap/>
            <w:vAlign w:val="center"/>
            <w:hideMark/>
          </w:tcPr>
          <w:p w14:paraId="32297BB4"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85,000</w:t>
            </w:r>
          </w:p>
        </w:tc>
        <w:tc>
          <w:tcPr>
            <w:tcW w:w="333" w:type="pct"/>
            <w:noWrap/>
            <w:vAlign w:val="center"/>
            <w:hideMark/>
          </w:tcPr>
          <w:p w14:paraId="7C7B7749"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185,000</w:t>
            </w:r>
          </w:p>
        </w:tc>
        <w:tc>
          <w:tcPr>
            <w:tcW w:w="331" w:type="pct"/>
            <w:noWrap/>
            <w:vAlign w:val="center"/>
            <w:hideMark/>
          </w:tcPr>
          <w:p w14:paraId="279C35FD"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42,500</w:t>
            </w:r>
          </w:p>
        </w:tc>
        <w:tc>
          <w:tcPr>
            <w:tcW w:w="331" w:type="pct"/>
            <w:noWrap/>
            <w:vAlign w:val="center"/>
            <w:hideMark/>
          </w:tcPr>
          <w:p w14:paraId="2ECFF82A" w14:textId="0BE83256"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27,500</w:t>
            </w:r>
          </w:p>
        </w:tc>
        <w:tc>
          <w:tcPr>
            <w:tcW w:w="332" w:type="pct"/>
            <w:noWrap/>
            <w:vAlign w:val="center"/>
            <w:hideMark/>
          </w:tcPr>
          <w:p w14:paraId="7B702125" w14:textId="62BB499A"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70,000</w:t>
            </w:r>
          </w:p>
        </w:tc>
        <w:tc>
          <w:tcPr>
            <w:tcW w:w="331" w:type="pct"/>
            <w:noWrap/>
            <w:vAlign w:val="center"/>
            <w:hideMark/>
          </w:tcPr>
          <w:p w14:paraId="17B489FF"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100,000</w:t>
            </w:r>
          </w:p>
        </w:tc>
        <w:tc>
          <w:tcPr>
            <w:tcW w:w="332" w:type="pct"/>
            <w:noWrap/>
            <w:vAlign w:val="center"/>
            <w:hideMark/>
          </w:tcPr>
          <w:p w14:paraId="041EB15D"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85,000</w:t>
            </w:r>
          </w:p>
        </w:tc>
        <w:tc>
          <w:tcPr>
            <w:tcW w:w="332" w:type="pct"/>
            <w:noWrap/>
            <w:vAlign w:val="center"/>
            <w:hideMark/>
          </w:tcPr>
          <w:p w14:paraId="2886F954"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185,000</w:t>
            </w:r>
          </w:p>
        </w:tc>
      </w:tr>
      <w:tr w:rsidR="00F1558C" w:rsidRPr="00B32CB4" w14:paraId="7E6F8BA7" w14:textId="77777777" w:rsidTr="002A243F">
        <w:trPr>
          <w:trHeight w:val="20"/>
        </w:trPr>
        <w:tc>
          <w:tcPr>
            <w:tcW w:w="1022" w:type="pct"/>
            <w:noWrap/>
            <w:vAlign w:val="center"/>
            <w:hideMark/>
          </w:tcPr>
          <w:p w14:paraId="46CF2D72"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 xml:space="preserve">Grand Total </w:t>
            </w:r>
          </w:p>
        </w:tc>
        <w:tc>
          <w:tcPr>
            <w:tcW w:w="331" w:type="pct"/>
            <w:noWrap/>
            <w:vAlign w:val="center"/>
            <w:hideMark/>
          </w:tcPr>
          <w:p w14:paraId="150F3620"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42,500</w:t>
            </w:r>
          </w:p>
        </w:tc>
        <w:tc>
          <w:tcPr>
            <w:tcW w:w="331" w:type="pct"/>
            <w:noWrap/>
            <w:vAlign w:val="center"/>
            <w:hideMark/>
          </w:tcPr>
          <w:p w14:paraId="039C1696" w14:textId="019C9E13"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27,500</w:t>
            </w:r>
          </w:p>
        </w:tc>
        <w:tc>
          <w:tcPr>
            <w:tcW w:w="332" w:type="pct"/>
            <w:noWrap/>
            <w:vAlign w:val="center"/>
            <w:hideMark/>
          </w:tcPr>
          <w:p w14:paraId="161B2B5F" w14:textId="4527A46F"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70,000</w:t>
            </w:r>
          </w:p>
        </w:tc>
        <w:tc>
          <w:tcPr>
            <w:tcW w:w="331" w:type="pct"/>
            <w:noWrap/>
            <w:vAlign w:val="center"/>
            <w:hideMark/>
          </w:tcPr>
          <w:p w14:paraId="2B5B9BCD"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100,000</w:t>
            </w:r>
          </w:p>
        </w:tc>
        <w:tc>
          <w:tcPr>
            <w:tcW w:w="331" w:type="pct"/>
            <w:noWrap/>
            <w:vAlign w:val="center"/>
            <w:hideMark/>
          </w:tcPr>
          <w:p w14:paraId="7474DB77"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85,000</w:t>
            </w:r>
          </w:p>
        </w:tc>
        <w:tc>
          <w:tcPr>
            <w:tcW w:w="333" w:type="pct"/>
            <w:noWrap/>
            <w:vAlign w:val="center"/>
            <w:hideMark/>
          </w:tcPr>
          <w:p w14:paraId="421455D2"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185,000</w:t>
            </w:r>
          </w:p>
        </w:tc>
        <w:tc>
          <w:tcPr>
            <w:tcW w:w="331" w:type="pct"/>
            <w:noWrap/>
            <w:vAlign w:val="center"/>
            <w:hideMark/>
          </w:tcPr>
          <w:p w14:paraId="212D4138"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42,500</w:t>
            </w:r>
          </w:p>
        </w:tc>
        <w:tc>
          <w:tcPr>
            <w:tcW w:w="331" w:type="pct"/>
            <w:noWrap/>
            <w:vAlign w:val="center"/>
            <w:hideMark/>
          </w:tcPr>
          <w:p w14:paraId="602BB258" w14:textId="5C1E6EF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27,500</w:t>
            </w:r>
          </w:p>
        </w:tc>
        <w:tc>
          <w:tcPr>
            <w:tcW w:w="332" w:type="pct"/>
            <w:noWrap/>
            <w:vAlign w:val="center"/>
            <w:hideMark/>
          </w:tcPr>
          <w:p w14:paraId="0765D23C" w14:textId="4D87FB24"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70,000</w:t>
            </w:r>
          </w:p>
        </w:tc>
        <w:tc>
          <w:tcPr>
            <w:tcW w:w="331" w:type="pct"/>
            <w:noWrap/>
            <w:vAlign w:val="center"/>
            <w:hideMark/>
          </w:tcPr>
          <w:p w14:paraId="683EE95D"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100,000</w:t>
            </w:r>
          </w:p>
        </w:tc>
        <w:tc>
          <w:tcPr>
            <w:tcW w:w="332" w:type="pct"/>
            <w:noWrap/>
            <w:vAlign w:val="center"/>
            <w:hideMark/>
          </w:tcPr>
          <w:p w14:paraId="508B7D02"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85,000</w:t>
            </w:r>
          </w:p>
        </w:tc>
        <w:tc>
          <w:tcPr>
            <w:tcW w:w="332" w:type="pct"/>
            <w:noWrap/>
            <w:vAlign w:val="center"/>
            <w:hideMark/>
          </w:tcPr>
          <w:p w14:paraId="1247A8F8" w14:textId="77777777" w:rsidR="00F1558C" w:rsidRPr="00B32CB4" w:rsidRDefault="00F1558C" w:rsidP="002C7374">
            <w:pPr>
              <w:spacing w:after="0" w:line="240" w:lineRule="auto"/>
              <w:jc w:val="right"/>
              <w:rPr>
                <w:rFonts w:eastAsia="Times New Roman" w:cs="Calibri"/>
                <w:b/>
                <w:bCs/>
                <w:color w:val="000000"/>
                <w:sz w:val="16"/>
                <w:szCs w:val="16"/>
                <w:lang w:val="en-GB"/>
              </w:rPr>
            </w:pPr>
            <w:r w:rsidRPr="00B32CB4">
              <w:rPr>
                <w:rFonts w:eastAsia="Times New Roman" w:cs="Calibri"/>
                <w:b/>
                <w:bCs/>
                <w:color w:val="000000"/>
                <w:sz w:val="16"/>
                <w:szCs w:val="16"/>
                <w:lang w:val="en-GB"/>
              </w:rPr>
              <w:t>185,000</w:t>
            </w:r>
          </w:p>
        </w:tc>
      </w:tr>
    </w:tbl>
    <w:p w14:paraId="170513E7" w14:textId="58FCC558" w:rsidR="00B3795B" w:rsidRPr="00845FB7" w:rsidRDefault="00B3795B" w:rsidP="00B3795B">
      <w:pPr>
        <w:pStyle w:val="Heading3"/>
        <w:rPr>
          <w:bCs/>
          <w:sz w:val="24"/>
          <w:lang w:val="en-GB"/>
        </w:rPr>
      </w:pPr>
      <w:r w:rsidRPr="00845FB7">
        <w:rPr>
          <w:sz w:val="24"/>
          <w:lang w:val="en-GB"/>
        </w:rPr>
        <w:t>Overview of resources</w:t>
      </w:r>
    </w:p>
    <w:tbl>
      <w:tblPr>
        <w:tblStyle w:val="TableGridLight"/>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4"/>
        <w:gridCol w:w="2268"/>
        <w:gridCol w:w="2127"/>
      </w:tblGrid>
      <w:tr w:rsidR="00B3795B" w:rsidRPr="00845FB7" w14:paraId="3300201D" w14:textId="77777777" w:rsidTr="00BD36F8">
        <w:trPr>
          <w:trHeight w:val="340"/>
        </w:trPr>
        <w:tc>
          <w:tcPr>
            <w:tcW w:w="4815" w:type="dxa"/>
            <w:noWrap/>
            <w:hideMark/>
          </w:tcPr>
          <w:p w14:paraId="38D94701" w14:textId="77777777" w:rsidR="00B3795B" w:rsidRPr="00845FB7" w:rsidRDefault="00B3795B" w:rsidP="00A10FE4">
            <w:pPr>
              <w:rPr>
                <w:rFonts w:cstheme="majorBidi"/>
                <w:b/>
                <w:bCs/>
                <w:sz w:val="18"/>
                <w:szCs w:val="18"/>
                <w:lang w:val="en-GB"/>
              </w:rPr>
            </w:pPr>
            <w:r w:rsidRPr="00845FB7">
              <w:rPr>
                <w:rFonts w:cstheme="majorBidi"/>
                <w:b/>
                <w:bCs/>
                <w:sz w:val="18"/>
                <w:szCs w:val="18"/>
                <w:lang w:val="en-GB"/>
              </w:rPr>
              <w:t>Budget</w:t>
            </w:r>
          </w:p>
        </w:tc>
        <w:tc>
          <w:tcPr>
            <w:tcW w:w="1984" w:type="dxa"/>
            <w:hideMark/>
          </w:tcPr>
          <w:p w14:paraId="0285D326" w14:textId="509C2CAB" w:rsidR="00B3795B" w:rsidRPr="00845FB7" w:rsidRDefault="00B3795B" w:rsidP="00E24D9A">
            <w:pPr>
              <w:jc w:val="center"/>
              <w:rPr>
                <w:rFonts w:cstheme="majorBidi"/>
                <w:b/>
                <w:bCs/>
                <w:sz w:val="18"/>
                <w:szCs w:val="18"/>
                <w:lang w:val="en-GB"/>
              </w:rPr>
            </w:pPr>
            <w:r w:rsidRPr="00845FB7">
              <w:rPr>
                <w:rFonts w:cstheme="majorBidi"/>
                <w:b/>
                <w:bCs/>
                <w:sz w:val="18"/>
                <w:szCs w:val="18"/>
                <w:lang w:val="en-GB"/>
              </w:rPr>
              <w:t xml:space="preserve">General </w:t>
            </w:r>
            <w:r w:rsidR="0057653E" w:rsidRPr="00845FB7">
              <w:rPr>
                <w:rFonts w:cstheme="majorBidi"/>
                <w:b/>
                <w:bCs/>
                <w:sz w:val="18"/>
                <w:szCs w:val="18"/>
                <w:lang w:val="en-GB"/>
              </w:rPr>
              <w:t>t</w:t>
            </w:r>
            <w:r w:rsidRPr="00845FB7">
              <w:rPr>
                <w:rFonts w:cstheme="majorBidi"/>
                <w:b/>
                <w:bCs/>
                <w:sz w:val="18"/>
                <w:szCs w:val="18"/>
                <w:lang w:val="en-GB"/>
              </w:rPr>
              <w:t xml:space="preserve">rust </w:t>
            </w:r>
            <w:r w:rsidR="0057653E" w:rsidRPr="00845FB7">
              <w:rPr>
                <w:rFonts w:cstheme="majorBidi"/>
                <w:b/>
                <w:bCs/>
                <w:sz w:val="18"/>
                <w:szCs w:val="18"/>
                <w:lang w:val="en-GB"/>
              </w:rPr>
              <w:t>f</w:t>
            </w:r>
            <w:r w:rsidRPr="00845FB7">
              <w:rPr>
                <w:rFonts w:cstheme="majorBidi"/>
                <w:b/>
                <w:bCs/>
                <w:sz w:val="18"/>
                <w:szCs w:val="18"/>
                <w:lang w:val="en-GB"/>
              </w:rPr>
              <w:t>und</w:t>
            </w:r>
          </w:p>
        </w:tc>
        <w:tc>
          <w:tcPr>
            <w:tcW w:w="2268" w:type="dxa"/>
            <w:hideMark/>
          </w:tcPr>
          <w:p w14:paraId="63020DDA" w14:textId="115837F6" w:rsidR="00B3795B" w:rsidRPr="00845FB7" w:rsidRDefault="00B3795B" w:rsidP="00E24D9A">
            <w:pPr>
              <w:jc w:val="center"/>
              <w:rPr>
                <w:rFonts w:cstheme="majorBidi"/>
                <w:b/>
                <w:bCs/>
                <w:sz w:val="18"/>
                <w:szCs w:val="18"/>
                <w:lang w:val="en-GB"/>
              </w:rPr>
            </w:pPr>
            <w:r w:rsidRPr="00845FB7">
              <w:rPr>
                <w:rFonts w:cstheme="majorBidi"/>
                <w:b/>
                <w:bCs/>
                <w:sz w:val="18"/>
                <w:szCs w:val="18"/>
                <w:lang w:val="en-GB"/>
              </w:rPr>
              <w:t xml:space="preserve">Special </w:t>
            </w:r>
            <w:r w:rsidR="0057653E" w:rsidRPr="00845FB7">
              <w:rPr>
                <w:rFonts w:cstheme="majorBidi"/>
                <w:b/>
                <w:bCs/>
                <w:sz w:val="18"/>
                <w:szCs w:val="18"/>
                <w:lang w:val="en-GB"/>
              </w:rPr>
              <w:t>t</w:t>
            </w:r>
            <w:r w:rsidRPr="00845FB7">
              <w:rPr>
                <w:rFonts w:cstheme="majorBidi"/>
                <w:b/>
                <w:bCs/>
                <w:sz w:val="18"/>
                <w:szCs w:val="18"/>
                <w:lang w:val="en-GB"/>
              </w:rPr>
              <w:t xml:space="preserve">rust </w:t>
            </w:r>
            <w:r w:rsidR="0057653E" w:rsidRPr="00845FB7">
              <w:rPr>
                <w:rFonts w:cstheme="majorBidi"/>
                <w:b/>
                <w:bCs/>
                <w:sz w:val="18"/>
                <w:szCs w:val="18"/>
                <w:lang w:val="en-GB"/>
              </w:rPr>
              <w:t>f</w:t>
            </w:r>
            <w:r w:rsidRPr="00845FB7">
              <w:rPr>
                <w:rFonts w:cstheme="majorBidi"/>
                <w:b/>
                <w:bCs/>
                <w:sz w:val="18"/>
                <w:szCs w:val="18"/>
                <w:lang w:val="en-GB"/>
              </w:rPr>
              <w:t>und</w:t>
            </w:r>
          </w:p>
        </w:tc>
        <w:tc>
          <w:tcPr>
            <w:tcW w:w="2127" w:type="dxa"/>
            <w:hideMark/>
          </w:tcPr>
          <w:p w14:paraId="60DA551D" w14:textId="28BE6D5F" w:rsidR="00B3795B" w:rsidRPr="00845FB7" w:rsidRDefault="00B3795B" w:rsidP="00E24D9A">
            <w:pPr>
              <w:jc w:val="center"/>
              <w:rPr>
                <w:rFonts w:cstheme="majorBidi"/>
                <w:b/>
                <w:bCs/>
                <w:sz w:val="18"/>
                <w:szCs w:val="18"/>
                <w:lang w:val="en-GB"/>
              </w:rPr>
            </w:pPr>
            <w:r w:rsidRPr="00845FB7">
              <w:rPr>
                <w:rFonts w:cstheme="majorBidi"/>
                <w:b/>
                <w:bCs/>
                <w:sz w:val="18"/>
                <w:szCs w:val="18"/>
                <w:lang w:val="en-GB"/>
              </w:rPr>
              <w:t xml:space="preserve">Total </w:t>
            </w:r>
            <w:r w:rsidR="0057653E" w:rsidRPr="00845FB7">
              <w:rPr>
                <w:rFonts w:cstheme="majorBidi"/>
                <w:b/>
                <w:bCs/>
                <w:sz w:val="18"/>
                <w:szCs w:val="18"/>
                <w:lang w:val="en-GB"/>
              </w:rPr>
              <w:t>c</w:t>
            </w:r>
            <w:r w:rsidRPr="00845FB7">
              <w:rPr>
                <w:rFonts w:cstheme="majorBidi"/>
                <w:b/>
                <w:bCs/>
                <w:sz w:val="18"/>
                <w:szCs w:val="18"/>
                <w:lang w:val="en-GB"/>
              </w:rPr>
              <w:t>ontribution</w:t>
            </w:r>
          </w:p>
        </w:tc>
      </w:tr>
      <w:tr w:rsidR="00F33E10" w:rsidRPr="00845FB7" w14:paraId="6DAB1A48" w14:textId="77777777" w:rsidTr="00BD36F8">
        <w:trPr>
          <w:trHeight w:val="340"/>
        </w:trPr>
        <w:tc>
          <w:tcPr>
            <w:tcW w:w="4815" w:type="dxa"/>
          </w:tcPr>
          <w:p w14:paraId="70CF18AE" w14:textId="7970163F" w:rsidR="00F33E10" w:rsidRPr="00845FB7" w:rsidRDefault="00F33E10" w:rsidP="00A10FE4">
            <w:pPr>
              <w:rPr>
                <w:rFonts w:cstheme="majorBidi"/>
                <w:sz w:val="18"/>
                <w:szCs w:val="18"/>
                <w:lang w:val="en-GB"/>
              </w:rPr>
            </w:pPr>
            <w:r w:rsidRPr="00845FB7">
              <w:rPr>
                <w:rFonts w:cstheme="majorBidi"/>
                <w:sz w:val="18"/>
                <w:szCs w:val="18"/>
                <w:lang w:val="en-GB"/>
              </w:rPr>
              <w:t>202</w:t>
            </w:r>
            <w:r w:rsidR="00873ABE" w:rsidRPr="00845FB7">
              <w:rPr>
                <w:rFonts w:cstheme="majorBidi"/>
                <w:sz w:val="18"/>
                <w:szCs w:val="18"/>
                <w:lang w:val="en-GB"/>
              </w:rPr>
              <w:t>4</w:t>
            </w:r>
            <w:r w:rsidRPr="00845FB7">
              <w:rPr>
                <w:rFonts w:cstheme="majorBidi"/>
                <w:sz w:val="18"/>
                <w:szCs w:val="18"/>
                <w:lang w:val="en-GB"/>
              </w:rPr>
              <w:t>-202</w:t>
            </w:r>
            <w:r w:rsidR="00873ABE" w:rsidRPr="00845FB7">
              <w:rPr>
                <w:rFonts w:cstheme="majorBidi"/>
                <w:sz w:val="18"/>
                <w:szCs w:val="18"/>
                <w:lang w:val="en-GB"/>
              </w:rPr>
              <w:t>5</w:t>
            </w:r>
            <w:r w:rsidRPr="00845FB7">
              <w:rPr>
                <w:rFonts w:cstheme="majorBidi"/>
                <w:sz w:val="18"/>
                <w:szCs w:val="18"/>
                <w:lang w:val="en-GB"/>
              </w:rPr>
              <w:t xml:space="preserve"> approved</w:t>
            </w:r>
          </w:p>
        </w:tc>
        <w:tc>
          <w:tcPr>
            <w:tcW w:w="1984" w:type="dxa"/>
            <w:noWrap/>
          </w:tcPr>
          <w:p w14:paraId="53F2C3EB" w14:textId="53D9162C" w:rsidR="00F33E10" w:rsidRPr="00845FB7" w:rsidRDefault="00CA0328" w:rsidP="00D356FA">
            <w:pPr>
              <w:jc w:val="right"/>
              <w:rPr>
                <w:rFonts w:cstheme="majorBidi"/>
                <w:b/>
                <w:bCs/>
                <w:sz w:val="18"/>
                <w:szCs w:val="18"/>
                <w:lang w:val="en-GB"/>
              </w:rPr>
            </w:pPr>
            <w:r w:rsidRPr="00845FB7">
              <w:rPr>
                <w:rFonts w:cstheme="majorBidi"/>
                <w:b/>
                <w:bCs/>
                <w:sz w:val="18"/>
                <w:szCs w:val="18"/>
                <w:lang w:val="en-GB"/>
              </w:rPr>
              <w:t>70,000</w:t>
            </w:r>
          </w:p>
        </w:tc>
        <w:tc>
          <w:tcPr>
            <w:tcW w:w="2268" w:type="dxa"/>
            <w:noWrap/>
          </w:tcPr>
          <w:p w14:paraId="23530030" w14:textId="02187397" w:rsidR="00F33E10" w:rsidRPr="00845FB7" w:rsidRDefault="00CA0328" w:rsidP="00D356FA">
            <w:pPr>
              <w:jc w:val="right"/>
              <w:rPr>
                <w:rFonts w:cstheme="majorBidi"/>
                <w:b/>
                <w:bCs/>
                <w:sz w:val="18"/>
                <w:szCs w:val="18"/>
                <w:lang w:val="en-GB"/>
              </w:rPr>
            </w:pPr>
            <w:r w:rsidRPr="00845FB7">
              <w:rPr>
                <w:rFonts w:cstheme="majorBidi"/>
                <w:b/>
                <w:bCs/>
                <w:sz w:val="18"/>
                <w:szCs w:val="18"/>
                <w:lang w:val="en-GB"/>
              </w:rPr>
              <w:t>185,000</w:t>
            </w:r>
          </w:p>
        </w:tc>
        <w:tc>
          <w:tcPr>
            <w:tcW w:w="2127" w:type="dxa"/>
            <w:noWrap/>
          </w:tcPr>
          <w:p w14:paraId="423B07E8" w14:textId="0F800983" w:rsidR="00F33E10" w:rsidRPr="00845FB7" w:rsidRDefault="00CA0328" w:rsidP="00D356FA">
            <w:pPr>
              <w:jc w:val="right"/>
              <w:rPr>
                <w:rFonts w:cstheme="majorBidi"/>
                <w:b/>
                <w:bCs/>
                <w:sz w:val="18"/>
                <w:szCs w:val="18"/>
                <w:lang w:val="en-GB"/>
              </w:rPr>
            </w:pPr>
            <w:r w:rsidRPr="00845FB7">
              <w:rPr>
                <w:rFonts w:cstheme="majorBidi"/>
                <w:b/>
                <w:bCs/>
                <w:sz w:val="18"/>
                <w:szCs w:val="18"/>
                <w:lang w:val="en-GB"/>
              </w:rPr>
              <w:t>255,000</w:t>
            </w:r>
          </w:p>
        </w:tc>
      </w:tr>
      <w:tr w:rsidR="00F33E10" w:rsidRPr="00845FB7" w14:paraId="69FE0B4D" w14:textId="77777777" w:rsidTr="00BD36F8">
        <w:trPr>
          <w:trHeight w:val="340"/>
        </w:trPr>
        <w:tc>
          <w:tcPr>
            <w:tcW w:w="4815" w:type="dxa"/>
          </w:tcPr>
          <w:p w14:paraId="581C358A" w14:textId="67C3234D" w:rsidR="00F33E10" w:rsidRPr="00845FB7" w:rsidRDefault="00E2051A" w:rsidP="00F33E10">
            <w:pPr>
              <w:rPr>
                <w:rFonts w:cstheme="majorBidi"/>
                <w:sz w:val="18"/>
                <w:szCs w:val="18"/>
                <w:lang w:val="en-GB"/>
              </w:rPr>
            </w:pPr>
            <w:r w:rsidRPr="00845FB7">
              <w:rPr>
                <w:rFonts w:cstheme="majorBidi"/>
                <w:sz w:val="18"/>
                <w:szCs w:val="18"/>
                <w:lang w:val="en-GB"/>
              </w:rPr>
              <w:t>2026–2027</w:t>
            </w:r>
            <w:r w:rsidR="00F33E10" w:rsidRPr="00845FB7">
              <w:rPr>
                <w:rFonts w:cstheme="majorBidi"/>
                <w:sz w:val="18"/>
                <w:szCs w:val="18"/>
                <w:lang w:val="en-GB"/>
              </w:rPr>
              <w:t xml:space="preserve"> requested in the 5 per cent scenario</w:t>
            </w:r>
          </w:p>
        </w:tc>
        <w:tc>
          <w:tcPr>
            <w:tcW w:w="1984" w:type="dxa"/>
            <w:noWrap/>
          </w:tcPr>
          <w:p w14:paraId="4D3ED2DD" w14:textId="2938F1A3" w:rsidR="00F33E10" w:rsidRPr="00845FB7" w:rsidRDefault="00A1080F" w:rsidP="00F33E10">
            <w:pPr>
              <w:jc w:val="right"/>
              <w:rPr>
                <w:rFonts w:cstheme="majorBidi"/>
                <w:b/>
                <w:bCs/>
                <w:sz w:val="18"/>
                <w:szCs w:val="18"/>
                <w:lang w:val="en-GB"/>
              </w:rPr>
            </w:pPr>
            <w:r w:rsidRPr="00845FB7">
              <w:rPr>
                <w:rFonts w:cstheme="majorBidi"/>
                <w:b/>
                <w:bCs/>
                <w:sz w:val="18"/>
                <w:szCs w:val="18"/>
                <w:lang w:val="en-GB"/>
              </w:rPr>
              <w:t>7</w:t>
            </w:r>
            <w:r w:rsidR="00FC6626" w:rsidRPr="00845FB7">
              <w:rPr>
                <w:rFonts w:cstheme="majorBidi"/>
                <w:b/>
                <w:bCs/>
                <w:sz w:val="18"/>
                <w:szCs w:val="18"/>
                <w:lang w:val="en-GB"/>
              </w:rPr>
              <w:t>0,000</w:t>
            </w:r>
          </w:p>
        </w:tc>
        <w:tc>
          <w:tcPr>
            <w:tcW w:w="2268" w:type="dxa"/>
            <w:noWrap/>
          </w:tcPr>
          <w:p w14:paraId="7E2C390E" w14:textId="65ACEA46" w:rsidR="00F33E10" w:rsidRPr="00845FB7" w:rsidRDefault="00CF663D" w:rsidP="00F33E10">
            <w:pPr>
              <w:jc w:val="right"/>
              <w:rPr>
                <w:rFonts w:cstheme="majorBidi"/>
                <w:b/>
                <w:bCs/>
                <w:sz w:val="18"/>
                <w:szCs w:val="18"/>
                <w:lang w:val="en-GB"/>
              </w:rPr>
            </w:pPr>
            <w:r w:rsidRPr="00845FB7">
              <w:rPr>
                <w:rFonts w:cstheme="majorBidi"/>
                <w:b/>
                <w:bCs/>
                <w:sz w:val="18"/>
                <w:szCs w:val="18"/>
                <w:lang w:val="en-GB"/>
              </w:rPr>
              <w:t>185,000</w:t>
            </w:r>
          </w:p>
        </w:tc>
        <w:tc>
          <w:tcPr>
            <w:tcW w:w="2127" w:type="dxa"/>
            <w:noWrap/>
          </w:tcPr>
          <w:p w14:paraId="0195C6F3" w14:textId="78F60F30" w:rsidR="00F33E10" w:rsidRPr="00845FB7" w:rsidRDefault="00683454" w:rsidP="00F33E10">
            <w:pPr>
              <w:jc w:val="right"/>
              <w:rPr>
                <w:rFonts w:cstheme="majorBidi"/>
                <w:b/>
                <w:bCs/>
                <w:sz w:val="18"/>
                <w:szCs w:val="18"/>
                <w:lang w:val="en-GB"/>
              </w:rPr>
            </w:pPr>
            <w:r w:rsidRPr="00845FB7">
              <w:rPr>
                <w:rFonts w:cstheme="majorBidi"/>
                <w:b/>
                <w:bCs/>
                <w:sz w:val="18"/>
                <w:szCs w:val="18"/>
                <w:lang w:val="en-GB"/>
              </w:rPr>
              <w:t>255</w:t>
            </w:r>
            <w:r w:rsidR="00F266A5" w:rsidRPr="00845FB7">
              <w:rPr>
                <w:rFonts w:cstheme="majorBidi"/>
                <w:b/>
                <w:bCs/>
                <w:sz w:val="18"/>
                <w:szCs w:val="18"/>
                <w:lang w:val="en-GB"/>
              </w:rPr>
              <w:t>,000</w:t>
            </w:r>
          </w:p>
        </w:tc>
      </w:tr>
      <w:tr w:rsidR="00F33E10" w:rsidRPr="00845FB7" w14:paraId="5292F044" w14:textId="77777777" w:rsidTr="00BD36F8">
        <w:trPr>
          <w:trHeight w:val="340"/>
        </w:trPr>
        <w:tc>
          <w:tcPr>
            <w:tcW w:w="4815" w:type="dxa"/>
          </w:tcPr>
          <w:p w14:paraId="52047D90" w14:textId="39627CBE" w:rsidR="00F33E10" w:rsidRPr="00845FB7" w:rsidRDefault="00E2051A" w:rsidP="00F33E10">
            <w:pPr>
              <w:rPr>
                <w:rFonts w:cstheme="majorBidi"/>
                <w:sz w:val="18"/>
                <w:szCs w:val="18"/>
                <w:lang w:val="en-GB"/>
              </w:rPr>
            </w:pPr>
            <w:r w:rsidRPr="00845FB7">
              <w:rPr>
                <w:rFonts w:cstheme="majorBidi"/>
                <w:sz w:val="18"/>
                <w:szCs w:val="18"/>
                <w:lang w:val="en-GB"/>
              </w:rPr>
              <w:t>2026–2027</w:t>
            </w:r>
            <w:r w:rsidR="00524DD5" w:rsidRPr="00845FB7">
              <w:rPr>
                <w:rFonts w:cstheme="majorBidi"/>
                <w:sz w:val="18"/>
                <w:szCs w:val="18"/>
                <w:lang w:val="en-GB"/>
              </w:rPr>
              <w:t xml:space="preserve"> requested in the zero nominal growth scenario</w:t>
            </w:r>
          </w:p>
        </w:tc>
        <w:tc>
          <w:tcPr>
            <w:tcW w:w="1984" w:type="dxa"/>
            <w:noWrap/>
          </w:tcPr>
          <w:p w14:paraId="1151D488" w14:textId="49818C00" w:rsidR="00F33E10" w:rsidRPr="00845FB7" w:rsidRDefault="00A1080F" w:rsidP="00F33E10">
            <w:pPr>
              <w:jc w:val="right"/>
              <w:rPr>
                <w:rFonts w:cstheme="majorBidi"/>
                <w:b/>
                <w:bCs/>
                <w:sz w:val="18"/>
                <w:szCs w:val="18"/>
                <w:lang w:val="en-GB"/>
              </w:rPr>
            </w:pPr>
            <w:r w:rsidRPr="00845FB7">
              <w:rPr>
                <w:rFonts w:cstheme="majorBidi"/>
                <w:b/>
                <w:bCs/>
                <w:sz w:val="18"/>
                <w:szCs w:val="18"/>
                <w:lang w:val="en-GB"/>
              </w:rPr>
              <w:t>7</w:t>
            </w:r>
            <w:r w:rsidR="00FC6626" w:rsidRPr="00845FB7">
              <w:rPr>
                <w:rFonts w:cstheme="majorBidi"/>
                <w:b/>
                <w:bCs/>
                <w:sz w:val="18"/>
                <w:szCs w:val="18"/>
                <w:lang w:val="en-GB"/>
              </w:rPr>
              <w:t>0,000</w:t>
            </w:r>
          </w:p>
        </w:tc>
        <w:tc>
          <w:tcPr>
            <w:tcW w:w="2268" w:type="dxa"/>
            <w:noWrap/>
          </w:tcPr>
          <w:p w14:paraId="0B53295F" w14:textId="70AF09D2" w:rsidR="00F33E10" w:rsidRPr="00845FB7" w:rsidRDefault="00FC6626" w:rsidP="00F33E10">
            <w:pPr>
              <w:jc w:val="right"/>
              <w:rPr>
                <w:rFonts w:cstheme="majorBidi"/>
                <w:b/>
                <w:bCs/>
                <w:sz w:val="18"/>
                <w:szCs w:val="18"/>
                <w:lang w:val="en-GB"/>
              </w:rPr>
            </w:pPr>
            <w:r w:rsidRPr="00845FB7">
              <w:rPr>
                <w:rFonts w:cstheme="majorBidi"/>
                <w:b/>
                <w:bCs/>
                <w:sz w:val="18"/>
                <w:szCs w:val="18"/>
                <w:lang w:val="en-GB"/>
              </w:rPr>
              <w:t>185,000</w:t>
            </w:r>
          </w:p>
        </w:tc>
        <w:tc>
          <w:tcPr>
            <w:tcW w:w="2127" w:type="dxa"/>
            <w:noWrap/>
          </w:tcPr>
          <w:p w14:paraId="1066CB53" w14:textId="6C08B5DC" w:rsidR="00F33E10" w:rsidRPr="00845FB7" w:rsidRDefault="00683454" w:rsidP="00F33E10">
            <w:pPr>
              <w:jc w:val="right"/>
              <w:rPr>
                <w:rFonts w:cstheme="majorBidi"/>
                <w:b/>
                <w:bCs/>
                <w:sz w:val="18"/>
                <w:szCs w:val="18"/>
                <w:lang w:val="en-GB"/>
              </w:rPr>
            </w:pPr>
            <w:r w:rsidRPr="00845FB7">
              <w:rPr>
                <w:rFonts w:cstheme="majorBidi"/>
                <w:b/>
                <w:bCs/>
                <w:sz w:val="18"/>
                <w:szCs w:val="18"/>
                <w:lang w:val="en-GB"/>
              </w:rPr>
              <w:t>255</w:t>
            </w:r>
            <w:r w:rsidR="00F266A5" w:rsidRPr="00845FB7">
              <w:rPr>
                <w:rFonts w:cstheme="majorBidi"/>
                <w:b/>
                <w:bCs/>
                <w:sz w:val="18"/>
                <w:szCs w:val="18"/>
                <w:lang w:val="en-GB"/>
              </w:rPr>
              <w:t>,000</w:t>
            </w:r>
          </w:p>
        </w:tc>
      </w:tr>
    </w:tbl>
    <w:p w14:paraId="18B2717B" w14:textId="77777777" w:rsidR="00B3795B" w:rsidRPr="00845FB7" w:rsidRDefault="00B3795B" w:rsidP="00B3795B">
      <w:pPr>
        <w:rPr>
          <w:color w:val="0563C1" w:themeColor="hyperlink"/>
          <w:u w:val="single"/>
          <w:lang w:val="en-GB"/>
        </w:rPr>
        <w:sectPr w:rsidR="00B3795B" w:rsidRPr="00845FB7" w:rsidSect="00BD36F8">
          <w:headerReference w:type="first" r:id="rId66"/>
          <w:footerReference w:type="first" r:id="rId67"/>
          <w:type w:val="continuous"/>
          <w:pgSz w:w="16838" w:h="11906" w:orient="landscape" w:code="9"/>
          <w:pgMar w:top="907" w:right="992" w:bottom="1418" w:left="1418" w:header="539" w:footer="975" w:gutter="0"/>
          <w:cols w:space="708"/>
          <w:titlePg/>
          <w:docGrid w:linePitch="360"/>
        </w:sectPr>
      </w:pPr>
    </w:p>
    <w:p w14:paraId="5CB01C91" w14:textId="0320BE4F" w:rsidR="002141E9" w:rsidRPr="00845FB7" w:rsidRDefault="002141E9" w:rsidP="002141E9">
      <w:pPr>
        <w:pStyle w:val="Heading1"/>
        <w:rPr>
          <w:szCs w:val="40"/>
          <w:lang w:val="en-GB"/>
        </w:rPr>
      </w:pPr>
      <w:r w:rsidRPr="00845FB7">
        <w:rPr>
          <w:b w:val="0"/>
          <w:noProof/>
          <w:szCs w:val="40"/>
          <w:lang w:val="en-GB" w:bidi="fr-FR"/>
        </w:rPr>
        <w:lastRenderedPageBreak/>
        <mc:AlternateContent>
          <mc:Choice Requires="wps">
            <w:drawing>
              <wp:anchor distT="0" distB="0" distL="114300" distR="114300" simplePos="0" relativeHeight="251658244" behindDoc="1" locked="0" layoutInCell="1" allowOverlap="1" wp14:anchorId="7EE1C2D8" wp14:editId="7EAA82C6">
                <wp:simplePos x="0" y="0"/>
                <wp:positionH relativeFrom="column">
                  <wp:posOffset>-5080</wp:posOffset>
                </wp:positionH>
                <wp:positionV relativeFrom="paragraph">
                  <wp:posOffset>-4445</wp:posOffset>
                </wp:positionV>
                <wp:extent cx="6267450" cy="633910"/>
                <wp:effectExtent l="0" t="0" r="0" b="0"/>
                <wp:wrapNone/>
                <wp:docPr id="14" name="Rectangle 14" descr="P2556#y1"/>
                <wp:cNvGraphicFramePr/>
                <a:graphic xmlns:a="http://schemas.openxmlformats.org/drawingml/2006/main">
                  <a:graphicData uri="http://schemas.microsoft.com/office/word/2010/wordprocessingShape">
                    <wps:wsp>
                      <wps:cNvSpPr/>
                      <wps:spPr>
                        <a:xfrm>
                          <a:off x="0" y="0"/>
                          <a:ext cx="6267450" cy="633910"/>
                        </a:xfrm>
                        <a:prstGeom prst="rect">
                          <a:avLst/>
                        </a:prstGeom>
                        <a:solidFill>
                          <a:srgbClr val="E8B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73824592">
              <v:rect id="Rectangle 14" style="position:absolute;margin-left:-.4pt;margin-top:-.35pt;width:493.5pt;height:49.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P2556#y1" o:spid="_x0000_s1026" fillcolor="#e8bc00" stroked="f" strokeweight="1pt" w14:anchorId="23AA5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"/>
            </w:pict>
          </mc:Fallback>
        </mc:AlternateContent>
      </w:r>
      <w:r w:rsidRPr="00845FB7">
        <w:rPr>
          <w:szCs w:val="40"/>
          <w:lang w:val="en-GB"/>
        </w:rPr>
        <w:t xml:space="preserve">Fact sheet E. Overall management </w:t>
      </w:r>
    </w:p>
    <w:p w14:paraId="6B44BFC3" w14:textId="40B20F6A" w:rsidR="002141E9" w:rsidRPr="00845FB7" w:rsidRDefault="002141E9" w:rsidP="002141E9">
      <w:pPr>
        <w:pStyle w:val="Heading2"/>
        <w:rPr>
          <w:rFonts w:cstheme="majorBidi"/>
          <w:color w:val="FFC000"/>
          <w:sz w:val="36"/>
          <w:szCs w:val="36"/>
          <w:lang w:val="en-GB"/>
        </w:rPr>
      </w:pPr>
      <w:r w:rsidRPr="00845FB7">
        <w:rPr>
          <w:rFonts w:cstheme="majorBidi"/>
          <w:color w:val="FFC000"/>
          <w:sz w:val="36"/>
          <w:szCs w:val="36"/>
          <w:lang w:val="en-GB"/>
        </w:rPr>
        <w:t>Activity 1</w:t>
      </w:r>
      <w:r w:rsidR="00F53F4C" w:rsidRPr="00845FB7">
        <w:rPr>
          <w:rFonts w:cstheme="majorBidi"/>
          <w:color w:val="FFC000"/>
          <w:sz w:val="36"/>
          <w:szCs w:val="36"/>
          <w:lang w:val="en-GB"/>
        </w:rPr>
        <w:t>1</w:t>
      </w:r>
      <w:r w:rsidRPr="00845FB7">
        <w:rPr>
          <w:rFonts w:cstheme="majorBidi"/>
          <w:color w:val="FFC000"/>
          <w:sz w:val="36"/>
          <w:szCs w:val="36"/>
          <w:lang w:val="en-GB"/>
        </w:rPr>
        <w:t>. Executive direction and management</w:t>
      </w:r>
    </w:p>
    <w:p w14:paraId="477D9AEB" w14:textId="576257FB" w:rsidR="002141E9" w:rsidRPr="00845FB7" w:rsidRDefault="002141E9" w:rsidP="002141E9">
      <w:pPr>
        <w:pStyle w:val="Heading3"/>
        <w:rPr>
          <w:sz w:val="24"/>
          <w:lang w:val="en-GB"/>
        </w:rPr>
      </w:pPr>
      <w:r w:rsidRPr="00845FB7">
        <w:rPr>
          <w:sz w:val="24"/>
          <w:lang w:val="en-GB"/>
        </w:rPr>
        <w:t>Budget</w:t>
      </w:r>
    </w:p>
    <w:p w14:paraId="60BCFC26" w14:textId="3B3A983E" w:rsidR="002141E9" w:rsidRPr="00845FB7" w:rsidRDefault="002141E9" w:rsidP="00E646E8">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BA7286"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calcOnExit w:val="0"/>
            <w:checkBox>
              <w:sizeAuto/>
              <w:default w:val="0"/>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BA7286" w:rsidRPr="00845FB7">
        <w:rPr>
          <w:rFonts w:cstheme="majorBidi"/>
          <w:szCs w:val="20"/>
          <w:lang w:val="en-GB"/>
        </w:rPr>
        <w:t>Special Trust Fund</w:t>
      </w:r>
    </w:p>
    <w:p w14:paraId="4D222CC6" w14:textId="19614366" w:rsidR="002141E9" w:rsidRPr="00845FB7" w:rsidRDefault="002141E9" w:rsidP="002141E9">
      <w:pPr>
        <w:pStyle w:val="Heading3"/>
        <w:rPr>
          <w:sz w:val="24"/>
          <w:lang w:val="en-GB"/>
        </w:rPr>
      </w:pPr>
      <w:r w:rsidRPr="00845FB7">
        <w:rPr>
          <w:sz w:val="24"/>
          <w:lang w:val="en-GB"/>
        </w:rPr>
        <w:t>Reference</w:t>
      </w:r>
    </w:p>
    <w:p w14:paraId="331C8225" w14:textId="796B4A30" w:rsidR="002141E9" w:rsidRPr="00845FB7" w:rsidRDefault="00EA12BD" w:rsidP="00B32CB4">
      <w:pPr>
        <w:spacing w:after="60"/>
        <w:ind w:left="1985" w:hanging="1985"/>
        <w:rPr>
          <w:rFonts w:cstheme="majorBidi"/>
          <w:szCs w:val="20"/>
          <w:lang w:val="en-GB"/>
        </w:rPr>
      </w:pPr>
      <w:r w:rsidRPr="00845FB7">
        <w:rPr>
          <w:rFonts w:cstheme="majorBidi"/>
          <w:b/>
          <w:bCs/>
          <w:szCs w:val="20"/>
          <w:lang w:val="en-GB"/>
        </w:rPr>
        <w:t>UNEP/MC/COP.6/23:</w:t>
      </w:r>
      <w:r w:rsidRPr="00845FB7">
        <w:rPr>
          <w:rFonts w:cstheme="majorBidi"/>
          <w:szCs w:val="20"/>
          <w:lang w:val="en-GB"/>
        </w:rPr>
        <w:t xml:space="preserve"> Programme of work and budget: proposed operational budgets for the two funding scenarios for the biennium </w:t>
      </w:r>
      <w:r w:rsidR="00E2051A" w:rsidRPr="00845FB7">
        <w:rPr>
          <w:rFonts w:cstheme="majorBidi"/>
          <w:szCs w:val="20"/>
          <w:lang w:val="en-GB"/>
        </w:rPr>
        <w:t>2026–2027</w:t>
      </w:r>
    </w:p>
    <w:p w14:paraId="67B99397" w14:textId="1E0AAA2A" w:rsidR="002141E9" w:rsidRPr="00845FB7" w:rsidRDefault="002141E9" w:rsidP="002141E9">
      <w:pPr>
        <w:pStyle w:val="Heading3"/>
        <w:rPr>
          <w:sz w:val="24"/>
          <w:lang w:val="en-GB"/>
        </w:rPr>
      </w:pPr>
      <w:r w:rsidRPr="00845FB7">
        <w:rPr>
          <w:sz w:val="24"/>
          <w:lang w:val="en-GB"/>
        </w:rPr>
        <w:t>Mandate</w:t>
      </w:r>
    </w:p>
    <w:p w14:paraId="555FF300" w14:textId="36FBADAC" w:rsidR="002141E9" w:rsidRPr="00845FB7" w:rsidRDefault="002141E9" w:rsidP="00BD36F8">
      <w:pPr>
        <w:spacing w:after="60"/>
        <w:rPr>
          <w:rFonts w:cstheme="majorBidi"/>
          <w:b/>
          <w:bCs/>
          <w:szCs w:val="20"/>
          <w:lang w:val="en-GB"/>
        </w:rPr>
      </w:pPr>
      <w:r w:rsidRPr="00845FB7">
        <w:rPr>
          <w:rFonts w:cstheme="majorBidi"/>
          <w:b/>
          <w:bCs/>
          <w:szCs w:val="20"/>
          <w:lang w:val="en-GB"/>
        </w:rPr>
        <w:t>Convention</w:t>
      </w:r>
      <w:r w:rsidRPr="00845FB7">
        <w:rPr>
          <w:rFonts w:cstheme="majorBidi"/>
          <w:bCs/>
          <w:szCs w:val="20"/>
          <w:lang w:val="en-GB"/>
        </w:rPr>
        <w:t xml:space="preserve">: Article 24 </w:t>
      </w:r>
    </w:p>
    <w:p w14:paraId="5CFA3D76" w14:textId="425FFD06" w:rsidR="002141E9" w:rsidRPr="00845FB7" w:rsidRDefault="002141E9" w:rsidP="00BD36F8">
      <w:pPr>
        <w:spacing w:after="60"/>
        <w:rPr>
          <w:rFonts w:cstheme="majorBidi"/>
          <w:bCs/>
          <w:szCs w:val="20"/>
          <w:lang w:val="en-GB"/>
        </w:rPr>
      </w:pPr>
      <w:r w:rsidRPr="00845FB7">
        <w:rPr>
          <w:rFonts w:cstheme="majorBidi"/>
          <w:b/>
          <w:bCs/>
          <w:szCs w:val="20"/>
          <w:lang w:val="en-GB"/>
        </w:rPr>
        <w:t>COP decision</w:t>
      </w:r>
      <w:r w:rsidR="0057653E" w:rsidRPr="00845FB7">
        <w:rPr>
          <w:rFonts w:cstheme="majorBidi"/>
          <w:b/>
          <w:bCs/>
          <w:szCs w:val="20"/>
          <w:lang w:val="en-GB"/>
        </w:rPr>
        <w:t>(</w:t>
      </w:r>
      <w:r w:rsidRPr="00845FB7">
        <w:rPr>
          <w:rFonts w:cstheme="majorBidi"/>
          <w:b/>
          <w:bCs/>
          <w:szCs w:val="20"/>
          <w:lang w:val="en-GB"/>
        </w:rPr>
        <w:t>s</w:t>
      </w:r>
      <w:r w:rsidR="0057653E" w:rsidRPr="00845FB7">
        <w:rPr>
          <w:rFonts w:cstheme="majorBidi"/>
          <w:b/>
          <w:bCs/>
          <w:szCs w:val="20"/>
          <w:lang w:val="en-GB"/>
        </w:rPr>
        <w:t>)</w:t>
      </w:r>
      <w:r w:rsidRPr="00845FB7">
        <w:rPr>
          <w:rFonts w:cstheme="majorBidi"/>
          <w:b/>
          <w:bCs/>
          <w:szCs w:val="20"/>
          <w:lang w:val="en-GB"/>
        </w:rPr>
        <w:t xml:space="preserve">: </w:t>
      </w:r>
      <w:r w:rsidRPr="00845FB7">
        <w:rPr>
          <w:rFonts w:cstheme="majorBidi"/>
          <w:szCs w:val="20"/>
          <w:lang w:val="en-GB"/>
        </w:rPr>
        <w:t>MC-1/15</w:t>
      </w:r>
      <w:r w:rsidR="006941A5" w:rsidRPr="00845FB7">
        <w:rPr>
          <w:rFonts w:cstheme="majorBidi"/>
          <w:szCs w:val="20"/>
          <w:lang w:val="en-GB"/>
        </w:rPr>
        <w:t xml:space="preserve">, </w:t>
      </w:r>
      <w:r w:rsidR="0097340E" w:rsidRPr="00845FB7">
        <w:rPr>
          <w:rFonts w:cstheme="majorBidi"/>
          <w:szCs w:val="20"/>
          <w:lang w:val="en-GB"/>
        </w:rPr>
        <w:t>MC-2/12</w:t>
      </w:r>
      <w:r w:rsidRPr="00845FB7">
        <w:rPr>
          <w:rFonts w:cstheme="majorBidi"/>
          <w:szCs w:val="20"/>
          <w:lang w:val="en-GB"/>
        </w:rPr>
        <w:t>; MC-3/12</w:t>
      </w:r>
      <w:r w:rsidR="00463FC7" w:rsidRPr="00845FB7">
        <w:rPr>
          <w:rFonts w:cstheme="majorBidi"/>
          <w:szCs w:val="20"/>
          <w:lang w:val="en-GB"/>
        </w:rPr>
        <w:t>; MC-4/2 and MC-4/</w:t>
      </w:r>
      <w:r w:rsidR="00491EF3" w:rsidRPr="00845FB7">
        <w:rPr>
          <w:rFonts w:cstheme="majorBidi"/>
          <w:szCs w:val="20"/>
          <w:lang w:val="en-GB"/>
        </w:rPr>
        <w:t>13</w:t>
      </w:r>
      <w:r w:rsidR="00073B61" w:rsidRPr="00845FB7">
        <w:rPr>
          <w:rFonts w:cstheme="majorBidi"/>
          <w:szCs w:val="20"/>
          <w:lang w:val="en-GB"/>
        </w:rPr>
        <w:t>; MC-5/20</w:t>
      </w:r>
    </w:p>
    <w:p w14:paraId="0714B861" w14:textId="713D1A14" w:rsidR="002141E9" w:rsidRPr="00845FB7" w:rsidRDefault="002141E9" w:rsidP="00BD36F8">
      <w:pPr>
        <w:spacing w:after="60"/>
        <w:rPr>
          <w:rFonts w:cstheme="majorBidi"/>
          <w:b/>
          <w:szCs w:val="20"/>
          <w:lang w:val="en-GB"/>
        </w:rPr>
      </w:pPr>
      <w:r w:rsidRPr="00845FB7">
        <w:rPr>
          <w:rFonts w:cstheme="majorBidi"/>
          <w:b/>
          <w:bCs/>
          <w:szCs w:val="20"/>
          <w:lang w:val="en-GB"/>
        </w:rPr>
        <w:t xml:space="preserve">Financial </w:t>
      </w:r>
      <w:r w:rsidR="0097340E" w:rsidRPr="00845FB7">
        <w:rPr>
          <w:rFonts w:cstheme="majorBidi"/>
          <w:b/>
          <w:bCs/>
          <w:szCs w:val="20"/>
          <w:lang w:val="en-GB"/>
        </w:rPr>
        <w:t>r</w:t>
      </w:r>
      <w:r w:rsidRPr="00845FB7">
        <w:rPr>
          <w:rFonts w:cstheme="majorBidi"/>
          <w:b/>
          <w:bCs/>
          <w:szCs w:val="20"/>
          <w:lang w:val="en-GB"/>
        </w:rPr>
        <w:t xml:space="preserve">ules and </w:t>
      </w:r>
      <w:r w:rsidR="0097340E" w:rsidRPr="00845FB7">
        <w:rPr>
          <w:rFonts w:cstheme="majorBidi"/>
          <w:b/>
          <w:bCs/>
          <w:szCs w:val="20"/>
          <w:lang w:val="en-GB"/>
        </w:rPr>
        <w:t>r</w:t>
      </w:r>
      <w:r w:rsidRPr="00845FB7">
        <w:rPr>
          <w:rFonts w:cstheme="majorBidi"/>
          <w:b/>
          <w:bCs/>
          <w:szCs w:val="20"/>
          <w:lang w:val="en-GB"/>
        </w:rPr>
        <w:t xml:space="preserve">ules of </w:t>
      </w:r>
      <w:r w:rsidR="0097340E" w:rsidRPr="00845FB7">
        <w:rPr>
          <w:rFonts w:cstheme="majorBidi"/>
          <w:b/>
          <w:bCs/>
          <w:szCs w:val="20"/>
          <w:lang w:val="en-GB"/>
        </w:rPr>
        <w:t>p</w:t>
      </w:r>
      <w:r w:rsidRPr="00845FB7">
        <w:rPr>
          <w:rFonts w:cstheme="majorBidi"/>
          <w:b/>
          <w:bCs/>
          <w:szCs w:val="20"/>
          <w:lang w:val="en-GB"/>
        </w:rPr>
        <w:t>rocedure</w:t>
      </w:r>
      <w:r w:rsidRPr="00845FB7">
        <w:rPr>
          <w:rFonts w:cstheme="majorBidi"/>
          <w:bCs/>
          <w:szCs w:val="20"/>
          <w:lang w:val="en-GB"/>
        </w:rPr>
        <w:t xml:space="preserve">; </w:t>
      </w:r>
      <w:r w:rsidRPr="00845FB7">
        <w:rPr>
          <w:rFonts w:cstheme="majorBidi"/>
          <w:b/>
          <w:szCs w:val="20"/>
          <w:lang w:val="en-GB"/>
        </w:rPr>
        <w:t>relevant decisions of the United Nations Environment Assembly of UNEP.</w:t>
      </w:r>
    </w:p>
    <w:p w14:paraId="40F212EA" w14:textId="641EC69B" w:rsidR="002141E9" w:rsidRPr="00845FB7" w:rsidRDefault="002141E9" w:rsidP="002141E9">
      <w:pPr>
        <w:pStyle w:val="Heading3"/>
        <w:rPr>
          <w:sz w:val="24"/>
          <w:lang w:val="en-GB"/>
        </w:rPr>
      </w:pPr>
      <w:r w:rsidRPr="00845FB7">
        <w:rPr>
          <w:sz w:val="24"/>
          <w:lang w:val="en-GB"/>
        </w:rPr>
        <w:t>Background and rationale</w:t>
      </w:r>
    </w:p>
    <w:p w14:paraId="21CC8542" w14:textId="6D2767B5" w:rsidR="002141E9" w:rsidRPr="00845FB7" w:rsidRDefault="002141E9" w:rsidP="00BD36F8">
      <w:pPr>
        <w:autoSpaceDE w:val="0"/>
        <w:autoSpaceDN w:val="0"/>
        <w:adjustRightInd w:val="0"/>
        <w:spacing w:after="120"/>
        <w:rPr>
          <w:rFonts w:cstheme="majorBidi"/>
          <w:szCs w:val="20"/>
          <w:lang w:val="en-GB" w:eastAsia="en-GB"/>
        </w:rPr>
      </w:pPr>
      <w:r w:rsidRPr="00845FB7">
        <w:rPr>
          <w:rFonts w:cstheme="majorBidi"/>
          <w:szCs w:val="20"/>
          <w:lang w:val="en-GB" w:eastAsia="en-GB"/>
        </w:rPr>
        <w:t xml:space="preserve">This activity provides for the coherent management, coordination, administration and delivery mechanism required for the implementation of the programme of work of the Convention as well as the efficient management and administration of the </w:t>
      </w:r>
      <w:r w:rsidR="00B52CC9" w:rsidRPr="00845FB7">
        <w:rPr>
          <w:rFonts w:cstheme="majorBidi"/>
          <w:szCs w:val="20"/>
          <w:lang w:val="en-GB" w:eastAsia="en-GB"/>
        </w:rPr>
        <w:t>S</w:t>
      </w:r>
      <w:r w:rsidRPr="00845FB7">
        <w:rPr>
          <w:rFonts w:cstheme="majorBidi"/>
          <w:szCs w:val="20"/>
          <w:lang w:val="en-GB" w:eastAsia="en-GB"/>
        </w:rPr>
        <w:t xml:space="preserve">ecretariat’s staff and financial resources, by addressing the needs of the </w:t>
      </w:r>
      <w:r w:rsidR="00B52CC9" w:rsidRPr="00845FB7">
        <w:rPr>
          <w:rFonts w:cstheme="majorBidi"/>
          <w:szCs w:val="20"/>
          <w:lang w:val="en-GB" w:eastAsia="en-GB"/>
        </w:rPr>
        <w:t>C</w:t>
      </w:r>
      <w:r w:rsidRPr="00845FB7">
        <w:rPr>
          <w:rFonts w:cstheme="majorBidi"/>
          <w:szCs w:val="20"/>
          <w:lang w:val="en-GB" w:eastAsia="en-GB"/>
        </w:rPr>
        <w:t xml:space="preserve">onvention, in conformity with applicable United Nations (UN) rules and regulations, policies and procedures as well as UN business practices. </w:t>
      </w:r>
    </w:p>
    <w:p w14:paraId="3E20FE2F" w14:textId="77777777" w:rsidR="002141E9" w:rsidRPr="00845FB7" w:rsidRDefault="002141E9" w:rsidP="00BD36F8">
      <w:pPr>
        <w:spacing w:after="120"/>
        <w:rPr>
          <w:rFonts w:eastAsia="DengXian" w:cstheme="majorBidi"/>
          <w:szCs w:val="20"/>
          <w:lang w:val="en-GB"/>
        </w:rPr>
      </w:pPr>
      <w:r w:rsidRPr="00845FB7">
        <w:rPr>
          <w:rFonts w:cstheme="majorBidi"/>
          <w:szCs w:val="20"/>
          <w:lang w:val="en-GB" w:eastAsia="en-GB"/>
        </w:rPr>
        <w:t>This activity groups together all staff travel costs related to the programme of work activities in all the other fact sheets and that are funded under the general trust fund.</w:t>
      </w:r>
    </w:p>
    <w:p w14:paraId="12C41650" w14:textId="7434B7E1" w:rsidR="002141E9" w:rsidRPr="00845FB7" w:rsidRDefault="002141E9" w:rsidP="002141E9">
      <w:pPr>
        <w:pStyle w:val="Heading3"/>
        <w:rPr>
          <w:sz w:val="24"/>
          <w:lang w:val="en-GB"/>
        </w:rPr>
      </w:pPr>
      <w:r w:rsidRPr="00845FB7">
        <w:rPr>
          <w:sz w:val="24"/>
          <w:lang w:val="en-GB"/>
        </w:rPr>
        <w:t>Outcomes and activities</w:t>
      </w:r>
    </w:p>
    <w:p w14:paraId="0798A83F" w14:textId="633CF4AA" w:rsidR="002141E9" w:rsidRPr="00845FB7" w:rsidRDefault="002141E9" w:rsidP="00BD36F8">
      <w:pPr>
        <w:pStyle w:val="Heading2"/>
        <w:spacing w:before="360" w:after="120"/>
        <w:rPr>
          <w:sz w:val="28"/>
          <w:szCs w:val="28"/>
          <w:lang w:val="en-GB"/>
        </w:rPr>
      </w:pPr>
      <w:r w:rsidRPr="00845FB7">
        <w:rPr>
          <w:sz w:val="28"/>
          <w:szCs w:val="28"/>
          <w:lang w:val="en-GB"/>
        </w:rPr>
        <w:t>Component 1</w:t>
      </w:r>
      <w:r w:rsidR="00F53F4C" w:rsidRPr="00845FB7">
        <w:rPr>
          <w:sz w:val="28"/>
          <w:szCs w:val="28"/>
          <w:lang w:val="en-GB"/>
        </w:rPr>
        <w:t>1</w:t>
      </w:r>
      <w:r w:rsidRPr="00845FB7">
        <w:rPr>
          <w:sz w:val="28"/>
          <w:szCs w:val="28"/>
          <w:lang w:val="en-GB"/>
        </w:rPr>
        <w:t xml:space="preserve">.1 Overall management </w:t>
      </w:r>
    </w:p>
    <w:p w14:paraId="067B40AC" w14:textId="77777777" w:rsidR="002141E9" w:rsidRPr="00845FB7" w:rsidRDefault="002141E9" w:rsidP="00BD36F8">
      <w:pPr>
        <w:spacing w:before="240"/>
        <w:rPr>
          <w:rFonts w:cstheme="majorBidi"/>
          <w:b/>
          <w:bCs/>
          <w:szCs w:val="20"/>
          <w:lang w:val="en-GB" w:eastAsia="en-GB"/>
        </w:rPr>
      </w:pPr>
      <w:r w:rsidRPr="00845FB7">
        <w:rPr>
          <w:rFonts w:cstheme="majorBidi"/>
          <w:b/>
          <w:bCs/>
          <w:szCs w:val="20"/>
          <w:lang w:val="en-GB" w:eastAsia="en-GB"/>
        </w:rPr>
        <w:t>OUTCOMES</w:t>
      </w:r>
    </w:p>
    <w:p w14:paraId="03382344" w14:textId="309C62CF" w:rsidR="002141E9" w:rsidRPr="00845FB7" w:rsidRDefault="002141E9" w:rsidP="00BD36F8">
      <w:pPr>
        <w:spacing w:after="60"/>
        <w:rPr>
          <w:rFonts w:cstheme="majorBidi"/>
          <w:b/>
          <w:bCs/>
          <w:szCs w:val="20"/>
          <w:lang w:val="en-GB" w:eastAsia="en-GB"/>
        </w:rPr>
      </w:pPr>
      <w:r w:rsidRPr="00845FB7">
        <w:rPr>
          <w:rFonts w:cstheme="majorBidi"/>
          <w:szCs w:val="20"/>
          <w:lang w:val="en-GB"/>
        </w:rPr>
        <w:t xml:space="preserve">This component aims at the management and coordination of the </w:t>
      </w:r>
      <w:r w:rsidR="002C64DA" w:rsidRPr="00845FB7">
        <w:rPr>
          <w:rFonts w:cstheme="majorBidi"/>
          <w:szCs w:val="20"/>
          <w:lang w:val="en-GB"/>
        </w:rPr>
        <w:t xml:space="preserve">work under the </w:t>
      </w:r>
      <w:r w:rsidRPr="00845FB7">
        <w:rPr>
          <w:rFonts w:cstheme="majorBidi"/>
          <w:szCs w:val="20"/>
          <w:lang w:val="en-GB"/>
        </w:rPr>
        <w:t xml:space="preserve">Convention both externally with relevant stakeholders and internally within the </w:t>
      </w:r>
      <w:r w:rsidR="00B52CC9" w:rsidRPr="00845FB7">
        <w:rPr>
          <w:rFonts w:cstheme="majorBidi"/>
          <w:szCs w:val="20"/>
          <w:lang w:val="en-GB"/>
        </w:rPr>
        <w:t>S</w:t>
      </w:r>
      <w:r w:rsidRPr="00845FB7">
        <w:rPr>
          <w:rFonts w:cstheme="majorBidi"/>
          <w:szCs w:val="20"/>
          <w:lang w:val="en-GB"/>
        </w:rPr>
        <w:t xml:space="preserve">ecretariat. It encompasses the effective and efficient delivery of </w:t>
      </w:r>
      <w:r w:rsidR="002C64DA" w:rsidRPr="00845FB7">
        <w:rPr>
          <w:rFonts w:cstheme="majorBidi"/>
          <w:szCs w:val="20"/>
          <w:lang w:val="en-GB"/>
        </w:rPr>
        <w:t>S</w:t>
      </w:r>
      <w:r w:rsidRPr="00845FB7">
        <w:rPr>
          <w:rFonts w:cstheme="majorBidi"/>
          <w:szCs w:val="20"/>
          <w:lang w:val="en-GB"/>
        </w:rPr>
        <w:t xml:space="preserve">ecretariat functions, ensuring coherence of the mandated procedures and processes under the Convention and overseeing the implementation of the approved programme of work. </w:t>
      </w:r>
    </w:p>
    <w:p w14:paraId="1BADA85E" w14:textId="77777777" w:rsidR="002141E9" w:rsidRPr="00845FB7" w:rsidRDefault="002141E9" w:rsidP="00BD36F8">
      <w:pPr>
        <w:spacing w:before="240"/>
        <w:rPr>
          <w:rFonts w:cstheme="majorBidi"/>
          <w:b/>
          <w:bCs/>
          <w:szCs w:val="20"/>
          <w:lang w:val="en-GB" w:eastAsia="en-GB"/>
        </w:rPr>
      </w:pPr>
      <w:r w:rsidRPr="00845FB7">
        <w:rPr>
          <w:rFonts w:cstheme="majorBidi"/>
          <w:b/>
          <w:bCs/>
          <w:szCs w:val="20"/>
          <w:lang w:val="en-GB" w:eastAsia="en-GB"/>
        </w:rPr>
        <w:t>ACTIVITIES (staff costs)</w:t>
      </w:r>
    </w:p>
    <w:p w14:paraId="7020EE9F" w14:textId="77777777" w:rsidR="002141E9" w:rsidRPr="00845FB7" w:rsidRDefault="002141E9" w:rsidP="00BD36F8">
      <w:pPr>
        <w:pStyle w:val="ListParagraph"/>
        <w:numPr>
          <w:ilvl w:val="0"/>
          <w:numId w:val="3"/>
        </w:numPr>
        <w:spacing w:after="60" w:line="240" w:lineRule="auto"/>
        <w:jc w:val="left"/>
        <w:rPr>
          <w:rFonts w:eastAsia="Times New Roman" w:cstheme="majorBidi"/>
          <w:color w:val="000000"/>
          <w:szCs w:val="20"/>
          <w:lang w:val="en-GB"/>
        </w:rPr>
      </w:pPr>
      <w:r w:rsidRPr="00845FB7">
        <w:rPr>
          <w:rFonts w:eastAsia="Times New Roman" w:cstheme="majorBidi"/>
          <w:color w:val="000000"/>
          <w:szCs w:val="20"/>
          <w:lang w:val="en-GB"/>
        </w:rPr>
        <w:t xml:space="preserve">Deliver the meetings of the Convention; </w:t>
      </w:r>
    </w:p>
    <w:p w14:paraId="3A6F3DC0" w14:textId="77777777" w:rsidR="002141E9" w:rsidRPr="00845FB7" w:rsidRDefault="002141E9" w:rsidP="00BD36F8">
      <w:pPr>
        <w:pStyle w:val="ListParagraph"/>
        <w:numPr>
          <w:ilvl w:val="0"/>
          <w:numId w:val="3"/>
        </w:numPr>
        <w:spacing w:after="60" w:line="240" w:lineRule="auto"/>
        <w:jc w:val="left"/>
        <w:rPr>
          <w:rFonts w:eastAsia="Times New Roman" w:cstheme="majorBidi"/>
          <w:color w:val="000000"/>
          <w:szCs w:val="20"/>
          <w:lang w:val="en-GB"/>
        </w:rPr>
      </w:pPr>
      <w:r w:rsidRPr="00845FB7">
        <w:rPr>
          <w:rFonts w:eastAsia="Times New Roman" w:cstheme="majorBidi"/>
          <w:color w:val="000000"/>
          <w:szCs w:val="20"/>
          <w:lang w:val="en-GB"/>
        </w:rPr>
        <w:t>Hold internal and external consultations and coordination;</w:t>
      </w:r>
    </w:p>
    <w:p w14:paraId="58A0CF7B" w14:textId="7E039180" w:rsidR="002141E9" w:rsidRPr="00845FB7" w:rsidRDefault="002141E9" w:rsidP="00BD36F8">
      <w:pPr>
        <w:pStyle w:val="ListParagraph"/>
        <w:numPr>
          <w:ilvl w:val="0"/>
          <w:numId w:val="3"/>
        </w:numPr>
        <w:spacing w:after="60" w:line="240" w:lineRule="auto"/>
        <w:jc w:val="left"/>
        <w:rPr>
          <w:rFonts w:eastAsia="Times New Roman" w:cstheme="majorBidi"/>
          <w:color w:val="000000"/>
          <w:szCs w:val="20"/>
          <w:lang w:val="en-GB"/>
        </w:rPr>
      </w:pPr>
      <w:r w:rsidRPr="00845FB7">
        <w:rPr>
          <w:rFonts w:eastAsia="Times New Roman" w:cstheme="majorBidi"/>
          <w:color w:val="000000"/>
          <w:szCs w:val="20"/>
          <w:lang w:val="en-GB"/>
        </w:rPr>
        <w:t xml:space="preserve">Build relations with donors for the Convention and for the Specific International Programme, as well as with the Global Environment Facility (GEF) </w:t>
      </w:r>
      <w:r w:rsidR="005B4EA9" w:rsidRPr="00845FB7">
        <w:rPr>
          <w:rFonts w:eastAsia="Times New Roman" w:cstheme="majorBidi"/>
          <w:color w:val="000000"/>
          <w:szCs w:val="20"/>
          <w:lang w:val="en-GB"/>
        </w:rPr>
        <w:t>S</w:t>
      </w:r>
      <w:r w:rsidRPr="00845FB7">
        <w:rPr>
          <w:rFonts w:eastAsia="Times New Roman" w:cstheme="majorBidi"/>
          <w:color w:val="000000"/>
          <w:szCs w:val="20"/>
          <w:lang w:val="en-GB"/>
        </w:rPr>
        <w:t xml:space="preserve">ecretariat and GEF Council and Assembly; </w:t>
      </w:r>
    </w:p>
    <w:p w14:paraId="2C448EA1" w14:textId="3814B218" w:rsidR="002141E9" w:rsidRPr="00845FB7" w:rsidRDefault="002141E9" w:rsidP="00BD36F8">
      <w:pPr>
        <w:pStyle w:val="ListParagraph"/>
        <w:numPr>
          <w:ilvl w:val="0"/>
          <w:numId w:val="3"/>
        </w:numPr>
        <w:spacing w:after="60"/>
        <w:rPr>
          <w:rFonts w:cstheme="majorBidi"/>
          <w:szCs w:val="20"/>
          <w:lang w:val="en-GB" w:eastAsia="en-GB"/>
        </w:rPr>
      </w:pPr>
      <w:r w:rsidRPr="00845FB7">
        <w:rPr>
          <w:rFonts w:eastAsia="Times New Roman" w:cstheme="majorBidi"/>
          <w:color w:val="000000"/>
          <w:szCs w:val="20"/>
          <w:lang w:val="en-GB"/>
        </w:rPr>
        <w:lastRenderedPageBreak/>
        <w:t>Deliver outputs envisaged under the programme of work for 202</w:t>
      </w:r>
      <w:r w:rsidR="00D4593E" w:rsidRPr="00845FB7">
        <w:rPr>
          <w:rFonts w:eastAsia="Times New Roman" w:cstheme="majorBidi"/>
          <w:color w:val="000000"/>
          <w:szCs w:val="20"/>
          <w:lang w:val="en-GB"/>
        </w:rPr>
        <w:t>6</w:t>
      </w:r>
      <w:r w:rsidRPr="00845FB7">
        <w:rPr>
          <w:rFonts w:eastAsia="Times New Roman" w:cstheme="majorBidi"/>
          <w:color w:val="000000"/>
          <w:szCs w:val="20"/>
          <w:lang w:val="en-GB"/>
        </w:rPr>
        <w:t>-2</w:t>
      </w:r>
      <w:r w:rsidR="00D4593E" w:rsidRPr="00845FB7">
        <w:rPr>
          <w:rFonts w:eastAsia="Times New Roman" w:cstheme="majorBidi"/>
          <w:color w:val="000000"/>
          <w:szCs w:val="20"/>
          <w:lang w:val="en-GB"/>
        </w:rPr>
        <w:t>7</w:t>
      </w:r>
      <w:r w:rsidRPr="00845FB7">
        <w:rPr>
          <w:rFonts w:eastAsia="Times New Roman" w:cstheme="majorBidi"/>
          <w:color w:val="00000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4508"/>
        <w:gridCol w:w="4508"/>
      </w:tblGrid>
      <w:tr w:rsidR="002141E9" w:rsidRPr="00845FB7" w14:paraId="3473DE2D" w14:textId="77777777" w:rsidTr="00A10FE4">
        <w:tc>
          <w:tcPr>
            <w:tcW w:w="4508" w:type="dxa"/>
          </w:tcPr>
          <w:p w14:paraId="45E8F134" w14:textId="4695129F" w:rsidR="002141E9" w:rsidRPr="00845FB7" w:rsidRDefault="002141E9"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147A38ED" w14:textId="34C25208" w:rsidR="002141E9" w:rsidRPr="00845FB7" w:rsidRDefault="002141E9" w:rsidP="00BD36F8">
            <w:pPr>
              <w:pStyle w:val="Normalnumber"/>
              <w:keepNext/>
              <w:keepLines/>
              <w:numPr>
                <w:ilvl w:val="0"/>
                <w:numId w:val="16"/>
              </w:numPr>
              <w:tabs>
                <w:tab w:val="left" w:pos="720"/>
              </w:tabs>
              <w:spacing w:after="60" w:line="276" w:lineRule="auto"/>
              <w:ind w:left="723"/>
              <w:rPr>
                <w:rFonts w:ascii="Roboto" w:hAnsi="Roboto" w:cstheme="majorBidi"/>
              </w:rPr>
            </w:pPr>
            <w:r w:rsidRPr="00845FB7">
              <w:rPr>
                <w:rFonts w:ascii="Roboto" w:hAnsi="Roboto" w:cstheme="majorBidi"/>
              </w:rPr>
              <w:t>Delivery of meeting of the Conference of the Parties and their bodies;</w:t>
            </w:r>
          </w:p>
          <w:p w14:paraId="2FE69831" w14:textId="77777777" w:rsidR="002141E9" w:rsidRPr="00845FB7" w:rsidRDefault="002141E9" w:rsidP="00BD36F8">
            <w:pPr>
              <w:pStyle w:val="Normalnumber"/>
              <w:numPr>
                <w:ilvl w:val="0"/>
                <w:numId w:val="16"/>
              </w:numPr>
              <w:tabs>
                <w:tab w:val="left" w:pos="720"/>
              </w:tabs>
              <w:spacing w:after="60" w:line="276" w:lineRule="auto"/>
              <w:ind w:left="723"/>
              <w:rPr>
                <w:rFonts w:ascii="Roboto" w:hAnsi="Roboto" w:cstheme="majorBidi"/>
              </w:rPr>
            </w:pPr>
            <w:r w:rsidRPr="00845FB7">
              <w:rPr>
                <w:rFonts w:ascii="Roboto" w:hAnsi="Roboto" w:cstheme="majorBidi"/>
              </w:rPr>
              <w:t>Resources leveraged to support national implementation;</w:t>
            </w:r>
          </w:p>
          <w:p w14:paraId="3C695D34" w14:textId="77777777" w:rsidR="002141E9" w:rsidRPr="00845FB7" w:rsidRDefault="002141E9" w:rsidP="00BD36F8">
            <w:pPr>
              <w:pStyle w:val="Normalnumber"/>
              <w:numPr>
                <w:ilvl w:val="0"/>
                <w:numId w:val="16"/>
              </w:numPr>
              <w:tabs>
                <w:tab w:val="left" w:pos="720"/>
              </w:tabs>
              <w:spacing w:after="60" w:line="276" w:lineRule="auto"/>
              <w:ind w:left="723"/>
              <w:rPr>
                <w:rFonts w:ascii="Roboto" w:hAnsi="Roboto" w:cstheme="majorBidi"/>
              </w:rPr>
            </w:pPr>
            <w:r w:rsidRPr="00845FB7">
              <w:rPr>
                <w:rFonts w:ascii="Roboto" w:hAnsi="Roboto" w:cstheme="majorBidi"/>
              </w:rPr>
              <w:t>Implementation and delivery of technical assistance activities in collaboration with relevant partners;</w:t>
            </w:r>
          </w:p>
          <w:p w14:paraId="31295FB8" w14:textId="15565881" w:rsidR="002141E9" w:rsidRPr="00845FB7" w:rsidRDefault="002141E9" w:rsidP="00BD36F8">
            <w:pPr>
              <w:pStyle w:val="Normalnumber"/>
              <w:numPr>
                <w:ilvl w:val="0"/>
                <w:numId w:val="16"/>
              </w:numPr>
              <w:tabs>
                <w:tab w:val="left" w:pos="720"/>
              </w:tabs>
              <w:spacing w:after="60" w:line="276" w:lineRule="auto"/>
              <w:ind w:left="723"/>
              <w:rPr>
                <w:rFonts w:ascii="Roboto" w:hAnsi="Roboto" w:cstheme="majorBidi"/>
              </w:rPr>
            </w:pPr>
            <w:r w:rsidRPr="00845FB7">
              <w:rPr>
                <w:rFonts w:ascii="Roboto" w:hAnsi="Roboto" w:cstheme="majorBidi"/>
              </w:rPr>
              <w:t xml:space="preserve">Openness and transparency of the </w:t>
            </w:r>
            <w:r w:rsidR="00C4395C" w:rsidRPr="00845FB7">
              <w:rPr>
                <w:rFonts w:ascii="Roboto" w:hAnsi="Roboto" w:cstheme="majorBidi"/>
              </w:rPr>
              <w:t>S</w:t>
            </w:r>
            <w:r w:rsidRPr="00845FB7">
              <w:rPr>
                <w:rFonts w:ascii="Roboto" w:hAnsi="Roboto" w:cstheme="majorBidi"/>
              </w:rPr>
              <w:t xml:space="preserve">ecretariat and its activities through web posting of the </w:t>
            </w:r>
            <w:r w:rsidR="00C4395C" w:rsidRPr="00845FB7">
              <w:rPr>
                <w:rFonts w:ascii="Roboto" w:hAnsi="Roboto" w:cstheme="majorBidi"/>
              </w:rPr>
              <w:t>S</w:t>
            </w:r>
            <w:r w:rsidRPr="00845FB7">
              <w:rPr>
                <w:rFonts w:ascii="Roboto" w:hAnsi="Roboto" w:cstheme="majorBidi"/>
              </w:rPr>
              <w:t>ecretariat’s reports;</w:t>
            </w:r>
          </w:p>
          <w:p w14:paraId="1B49E8CB" w14:textId="2C8DF9D2" w:rsidR="002141E9" w:rsidRPr="00845FB7" w:rsidRDefault="002141E9" w:rsidP="00BD36F8">
            <w:pPr>
              <w:pStyle w:val="Normalnumber"/>
              <w:numPr>
                <w:ilvl w:val="0"/>
                <w:numId w:val="16"/>
              </w:numPr>
              <w:tabs>
                <w:tab w:val="left" w:pos="720"/>
              </w:tabs>
              <w:spacing w:after="60" w:line="276" w:lineRule="auto"/>
              <w:ind w:left="723"/>
              <w:rPr>
                <w:rFonts w:ascii="Roboto" w:eastAsia="DengXian" w:hAnsi="Roboto" w:cstheme="majorBidi"/>
                <w:lang w:eastAsia="en-GB"/>
              </w:rPr>
            </w:pPr>
            <w:r w:rsidRPr="00845FB7">
              <w:rPr>
                <w:rFonts w:ascii="Roboto" w:hAnsi="Roboto" w:cstheme="majorBidi"/>
              </w:rPr>
              <w:t xml:space="preserve">Programme of work delivered by the </w:t>
            </w:r>
            <w:r w:rsidR="00C4395C" w:rsidRPr="00845FB7">
              <w:rPr>
                <w:rFonts w:ascii="Roboto" w:hAnsi="Roboto" w:cstheme="majorBidi"/>
              </w:rPr>
              <w:t>S</w:t>
            </w:r>
            <w:r w:rsidRPr="00845FB7">
              <w:rPr>
                <w:rFonts w:ascii="Roboto" w:hAnsi="Roboto" w:cstheme="majorBidi"/>
              </w:rPr>
              <w:t>ecretariat;</w:t>
            </w:r>
          </w:p>
          <w:p w14:paraId="7618E255" w14:textId="0DE71E97" w:rsidR="002141E9" w:rsidRPr="00845FB7" w:rsidRDefault="00C4395C" w:rsidP="00BD36F8">
            <w:pPr>
              <w:pStyle w:val="Normalnumber"/>
              <w:numPr>
                <w:ilvl w:val="0"/>
                <w:numId w:val="16"/>
              </w:numPr>
              <w:tabs>
                <w:tab w:val="left" w:pos="720"/>
              </w:tabs>
              <w:spacing w:after="60" w:line="276" w:lineRule="auto"/>
              <w:ind w:left="723"/>
              <w:rPr>
                <w:rFonts w:cstheme="majorBidi"/>
                <w:b/>
                <w:bCs/>
                <w:lang w:eastAsia="en-GB"/>
              </w:rPr>
            </w:pPr>
            <w:r w:rsidRPr="00845FB7">
              <w:rPr>
                <w:rFonts w:ascii="Roboto" w:hAnsi="Roboto" w:cstheme="majorBidi"/>
              </w:rPr>
              <w:t>S</w:t>
            </w:r>
            <w:r w:rsidR="002141E9" w:rsidRPr="00845FB7">
              <w:rPr>
                <w:rFonts w:ascii="Roboto" w:hAnsi="Roboto" w:cstheme="majorBidi"/>
              </w:rPr>
              <w:t>ecretariat staff trained and working efficiently.</w:t>
            </w:r>
          </w:p>
        </w:tc>
        <w:tc>
          <w:tcPr>
            <w:tcW w:w="4508" w:type="dxa"/>
          </w:tcPr>
          <w:p w14:paraId="7AB5DF90" w14:textId="4270C166" w:rsidR="002141E9" w:rsidRPr="00845FB7" w:rsidRDefault="002141E9"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2E4E9C63" w14:textId="77777777" w:rsidR="002141E9" w:rsidRPr="00845FB7" w:rsidRDefault="002141E9" w:rsidP="00BD36F8">
            <w:pPr>
              <w:pStyle w:val="Normalnumber"/>
              <w:keepNext/>
              <w:keepLines/>
              <w:numPr>
                <w:ilvl w:val="0"/>
                <w:numId w:val="16"/>
              </w:numPr>
              <w:tabs>
                <w:tab w:val="left" w:pos="720"/>
              </w:tabs>
              <w:spacing w:after="60" w:line="276" w:lineRule="auto"/>
              <w:ind w:left="723"/>
              <w:rPr>
                <w:rFonts w:cstheme="majorBidi"/>
              </w:rPr>
            </w:pPr>
            <w:r w:rsidRPr="00845FB7">
              <w:rPr>
                <w:rFonts w:ascii="Roboto" w:hAnsi="Roboto" w:cstheme="majorBidi"/>
              </w:rPr>
              <w:t>List of participants, meeting documents, reports and decisions of COP and subsidiary bodies;</w:t>
            </w:r>
          </w:p>
          <w:p w14:paraId="18D24C39" w14:textId="7AE01797" w:rsidR="002141E9" w:rsidRPr="00845FB7" w:rsidRDefault="002141E9" w:rsidP="00BD36F8">
            <w:pPr>
              <w:pStyle w:val="Normalnumber"/>
              <w:keepNext/>
              <w:keepLines/>
              <w:numPr>
                <w:ilvl w:val="0"/>
                <w:numId w:val="16"/>
              </w:numPr>
              <w:tabs>
                <w:tab w:val="left" w:pos="720"/>
              </w:tabs>
              <w:spacing w:after="60" w:line="276" w:lineRule="auto"/>
              <w:ind w:left="723"/>
              <w:rPr>
                <w:rFonts w:cstheme="majorBidi"/>
              </w:rPr>
            </w:pPr>
            <w:r w:rsidRPr="00845FB7">
              <w:rPr>
                <w:rFonts w:ascii="Roboto" w:hAnsi="Roboto" w:cstheme="majorBidi"/>
              </w:rPr>
              <w:t>UNEP financial statements</w:t>
            </w:r>
            <w:r w:rsidR="002757CB" w:rsidRPr="00845FB7">
              <w:rPr>
                <w:rFonts w:ascii="Roboto" w:hAnsi="Roboto" w:cstheme="majorBidi"/>
              </w:rPr>
              <w:t xml:space="preserve"> </w:t>
            </w:r>
            <w:r w:rsidR="00B249F0" w:rsidRPr="00845FB7">
              <w:rPr>
                <w:rFonts w:ascii="Roboto" w:hAnsi="Roboto" w:cstheme="majorBidi"/>
              </w:rPr>
              <w:t xml:space="preserve">and overview </w:t>
            </w:r>
            <w:r w:rsidRPr="00845FB7">
              <w:rPr>
                <w:rFonts w:ascii="Roboto" w:hAnsi="Roboto" w:cstheme="majorBidi"/>
              </w:rPr>
              <w:t xml:space="preserve">on contributions related to the </w:t>
            </w:r>
            <w:r w:rsidR="00C4395C" w:rsidRPr="00845FB7">
              <w:rPr>
                <w:rFonts w:ascii="Roboto" w:hAnsi="Roboto" w:cstheme="majorBidi"/>
              </w:rPr>
              <w:t>C</w:t>
            </w:r>
            <w:r w:rsidRPr="00845FB7">
              <w:rPr>
                <w:rFonts w:ascii="Roboto" w:hAnsi="Roboto" w:cstheme="majorBidi"/>
              </w:rPr>
              <w:t xml:space="preserve">onvention posted on the </w:t>
            </w:r>
            <w:r w:rsidR="00C4395C" w:rsidRPr="00845FB7">
              <w:rPr>
                <w:rFonts w:ascii="Roboto" w:hAnsi="Roboto" w:cstheme="majorBidi"/>
              </w:rPr>
              <w:t>C</w:t>
            </w:r>
            <w:r w:rsidRPr="00845FB7">
              <w:rPr>
                <w:rFonts w:ascii="Roboto" w:hAnsi="Roboto" w:cstheme="majorBidi"/>
              </w:rPr>
              <w:t>onvention’s websites;</w:t>
            </w:r>
          </w:p>
          <w:p w14:paraId="56C2DA68" w14:textId="401C659F" w:rsidR="002141E9" w:rsidRPr="00845FB7" w:rsidRDefault="002141E9" w:rsidP="00BD36F8">
            <w:pPr>
              <w:pStyle w:val="Normalnumber"/>
              <w:keepNext/>
              <w:keepLines/>
              <w:numPr>
                <w:ilvl w:val="0"/>
                <w:numId w:val="16"/>
              </w:numPr>
              <w:tabs>
                <w:tab w:val="left" w:pos="720"/>
              </w:tabs>
              <w:spacing w:after="60" w:line="276" w:lineRule="auto"/>
              <w:ind w:left="723"/>
              <w:rPr>
                <w:rFonts w:cstheme="majorBidi"/>
              </w:rPr>
            </w:pPr>
            <w:r w:rsidRPr="00845FB7">
              <w:rPr>
                <w:rFonts w:ascii="Roboto" w:hAnsi="Roboto" w:cstheme="majorBidi"/>
              </w:rPr>
              <w:t xml:space="preserve">Webinars and workshops proceedings posted on the </w:t>
            </w:r>
            <w:r w:rsidR="00C4395C" w:rsidRPr="00845FB7">
              <w:rPr>
                <w:rFonts w:ascii="Roboto" w:hAnsi="Roboto" w:cstheme="majorBidi"/>
              </w:rPr>
              <w:t>C</w:t>
            </w:r>
            <w:r w:rsidRPr="00845FB7">
              <w:rPr>
                <w:rFonts w:ascii="Roboto" w:hAnsi="Roboto" w:cstheme="majorBidi"/>
              </w:rPr>
              <w:t>onvention’s website;</w:t>
            </w:r>
          </w:p>
          <w:p w14:paraId="0C41AE5D" w14:textId="1C736CB1" w:rsidR="002141E9" w:rsidRPr="00845FB7" w:rsidRDefault="002141E9" w:rsidP="00BD36F8">
            <w:pPr>
              <w:pStyle w:val="Normalnumber"/>
              <w:keepNext/>
              <w:keepLines/>
              <w:numPr>
                <w:ilvl w:val="0"/>
                <w:numId w:val="16"/>
              </w:numPr>
              <w:tabs>
                <w:tab w:val="left" w:pos="720"/>
              </w:tabs>
              <w:spacing w:after="60" w:line="276" w:lineRule="auto"/>
              <w:ind w:left="723"/>
              <w:rPr>
                <w:rFonts w:cstheme="majorBidi"/>
              </w:rPr>
            </w:pPr>
            <w:r w:rsidRPr="00845FB7">
              <w:rPr>
                <w:rFonts w:ascii="Roboto" w:hAnsi="Roboto" w:cstheme="majorBidi"/>
              </w:rPr>
              <w:t xml:space="preserve">Reports posted on the </w:t>
            </w:r>
            <w:r w:rsidR="00C4395C" w:rsidRPr="00845FB7">
              <w:rPr>
                <w:rFonts w:ascii="Roboto" w:hAnsi="Roboto" w:cstheme="majorBidi"/>
              </w:rPr>
              <w:t>C</w:t>
            </w:r>
            <w:r w:rsidRPr="00845FB7">
              <w:rPr>
                <w:rFonts w:ascii="Roboto" w:hAnsi="Roboto" w:cstheme="majorBidi"/>
              </w:rPr>
              <w:t>onvention’s website;</w:t>
            </w:r>
          </w:p>
          <w:p w14:paraId="4ECACC73" w14:textId="77777777" w:rsidR="002141E9" w:rsidRPr="00845FB7" w:rsidRDefault="002141E9" w:rsidP="00BD36F8">
            <w:pPr>
              <w:pStyle w:val="Normalnumber"/>
              <w:keepNext/>
              <w:keepLines/>
              <w:numPr>
                <w:ilvl w:val="0"/>
                <w:numId w:val="16"/>
              </w:numPr>
              <w:tabs>
                <w:tab w:val="left" w:pos="720"/>
              </w:tabs>
              <w:spacing w:after="60" w:line="276" w:lineRule="auto"/>
              <w:ind w:left="723"/>
              <w:rPr>
                <w:rFonts w:cstheme="majorBidi"/>
              </w:rPr>
            </w:pPr>
            <w:r w:rsidRPr="00845FB7">
              <w:rPr>
                <w:rFonts w:ascii="Roboto" w:hAnsi="Roboto" w:cstheme="majorBidi"/>
              </w:rPr>
              <w:t>Programme of work and budget approved by COP;</w:t>
            </w:r>
          </w:p>
          <w:p w14:paraId="55122720" w14:textId="77777777" w:rsidR="002141E9" w:rsidRPr="00845FB7" w:rsidRDefault="002141E9" w:rsidP="00BD36F8">
            <w:pPr>
              <w:pStyle w:val="Normalnumber"/>
              <w:keepNext/>
              <w:keepLines/>
              <w:numPr>
                <w:ilvl w:val="0"/>
                <w:numId w:val="16"/>
              </w:numPr>
              <w:tabs>
                <w:tab w:val="left" w:pos="720"/>
              </w:tabs>
              <w:spacing w:after="60" w:line="276" w:lineRule="auto"/>
              <w:ind w:left="723"/>
              <w:rPr>
                <w:rFonts w:cstheme="majorBidi"/>
                <w:lang w:eastAsia="en-GB"/>
              </w:rPr>
            </w:pPr>
            <w:r w:rsidRPr="00845FB7">
              <w:rPr>
                <w:rFonts w:ascii="Roboto" w:hAnsi="Roboto" w:cstheme="majorBidi"/>
              </w:rPr>
              <w:t>Smooth, collaborative and timely implementation of mandated activities, in conformity with applicable rules and regulations, policies, procedures and practices.</w:t>
            </w:r>
          </w:p>
        </w:tc>
      </w:tr>
    </w:tbl>
    <w:p w14:paraId="5C1F3F3C" w14:textId="22B453FA" w:rsidR="002141E9" w:rsidRPr="00845FB7" w:rsidRDefault="002141E9" w:rsidP="00BD36F8">
      <w:pPr>
        <w:pStyle w:val="Heading2"/>
        <w:spacing w:before="360" w:after="120"/>
        <w:rPr>
          <w:sz w:val="28"/>
          <w:szCs w:val="28"/>
          <w:lang w:val="en-GB"/>
        </w:rPr>
      </w:pPr>
      <w:r w:rsidRPr="00845FB7">
        <w:rPr>
          <w:sz w:val="28"/>
          <w:szCs w:val="28"/>
          <w:lang w:val="en-GB"/>
        </w:rPr>
        <w:t>Component 1</w:t>
      </w:r>
      <w:r w:rsidR="00F53F4C" w:rsidRPr="00845FB7">
        <w:rPr>
          <w:sz w:val="28"/>
          <w:szCs w:val="28"/>
          <w:lang w:val="en-GB"/>
        </w:rPr>
        <w:t>1</w:t>
      </w:r>
      <w:r w:rsidRPr="00845FB7">
        <w:rPr>
          <w:sz w:val="28"/>
          <w:szCs w:val="28"/>
          <w:lang w:val="en-GB"/>
        </w:rPr>
        <w:t xml:space="preserve">.2. Staff travel </w:t>
      </w:r>
    </w:p>
    <w:p w14:paraId="35C9C74D" w14:textId="77777777" w:rsidR="002141E9" w:rsidRPr="00845FB7" w:rsidRDefault="002141E9" w:rsidP="00BD36F8">
      <w:pPr>
        <w:spacing w:before="240"/>
        <w:rPr>
          <w:rFonts w:cstheme="majorBidi"/>
          <w:b/>
          <w:bCs/>
          <w:szCs w:val="20"/>
          <w:lang w:val="en-GB" w:eastAsia="en-GB"/>
        </w:rPr>
      </w:pPr>
      <w:r w:rsidRPr="00845FB7">
        <w:rPr>
          <w:rFonts w:cstheme="majorBidi"/>
          <w:b/>
          <w:bCs/>
          <w:szCs w:val="20"/>
          <w:lang w:val="en-GB" w:eastAsia="en-GB"/>
        </w:rPr>
        <w:t>OUTCOMES</w:t>
      </w:r>
    </w:p>
    <w:p w14:paraId="3B1B5561" w14:textId="011BB47D" w:rsidR="002141E9" w:rsidRPr="00845FB7" w:rsidRDefault="002141E9" w:rsidP="00BD36F8">
      <w:pPr>
        <w:spacing w:after="60"/>
        <w:rPr>
          <w:rFonts w:cstheme="majorBidi"/>
          <w:b/>
          <w:bCs/>
          <w:szCs w:val="20"/>
          <w:lang w:val="en-GB" w:eastAsia="en-GB"/>
        </w:rPr>
      </w:pPr>
      <w:r w:rsidRPr="00845FB7">
        <w:rPr>
          <w:rFonts w:cstheme="majorBidi"/>
          <w:szCs w:val="20"/>
          <w:lang w:val="en-GB"/>
        </w:rPr>
        <w:t xml:space="preserve">The </w:t>
      </w:r>
      <w:r w:rsidR="00BB3CE3" w:rsidRPr="00845FB7">
        <w:rPr>
          <w:rFonts w:cstheme="majorBidi"/>
          <w:szCs w:val="20"/>
          <w:lang w:val="en-GB"/>
        </w:rPr>
        <w:t xml:space="preserve">staff of the Secretariat </w:t>
      </w:r>
      <w:r w:rsidRPr="00845FB7">
        <w:rPr>
          <w:rFonts w:cstheme="majorBidi"/>
          <w:szCs w:val="20"/>
          <w:lang w:val="en-GB"/>
        </w:rPr>
        <w:t xml:space="preserve">takes part, as appropriate, in relevant international processes </w:t>
      </w:r>
      <w:r w:rsidR="00BB3CE3" w:rsidRPr="00845FB7">
        <w:rPr>
          <w:rFonts w:cstheme="majorBidi"/>
          <w:szCs w:val="20"/>
          <w:lang w:val="en-GB"/>
        </w:rPr>
        <w:t xml:space="preserve">to represent the Convention </w:t>
      </w:r>
      <w:r w:rsidRPr="00845FB7">
        <w:rPr>
          <w:rFonts w:cstheme="majorBidi"/>
          <w:szCs w:val="20"/>
          <w:lang w:val="en-GB"/>
        </w:rPr>
        <w:t xml:space="preserve">and the </w:t>
      </w:r>
      <w:r w:rsidR="00BB3CE3" w:rsidRPr="00845FB7">
        <w:rPr>
          <w:rFonts w:cstheme="majorBidi"/>
          <w:szCs w:val="20"/>
          <w:lang w:val="en-GB"/>
        </w:rPr>
        <w:t>S</w:t>
      </w:r>
      <w:r w:rsidRPr="00845FB7">
        <w:rPr>
          <w:rFonts w:cstheme="majorBidi"/>
          <w:szCs w:val="20"/>
          <w:lang w:val="en-GB"/>
        </w:rPr>
        <w:t xml:space="preserve">ecretariat cooperates actively with partners to implement the programme of work of the Convention and attain its objectives. </w:t>
      </w:r>
      <w:r w:rsidR="00265C96" w:rsidRPr="00845FB7">
        <w:rPr>
          <w:rFonts w:cstheme="majorBidi"/>
          <w:szCs w:val="20"/>
          <w:lang w:val="en-GB"/>
        </w:rPr>
        <w:t>C</w:t>
      </w:r>
      <w:r w:rsidRPr="00845FB7">
        <w:rPr>
          <w:rFonts w:cstheme="majorBidi"/>
          <w:szCs w:val="20"/>
          <w:lang w:val="en-GB"/>
        </w:rPr>
        <w:t>onsidering the environmental footprint</w:t>
      </w:r>
      <w:r w:rsidR="00265C96" w:rsidRPr="00845FB7">
        <w:rPr>
          <w:rFonts w:cstheme="majorBidi"/>
          <w:szCs w:val="20"/>
          <w:lang w:val="en-GB"/>
        </w:rPr>
        <w:t xml:space="preserve"> and cost efficiency</w:t>
      </w:r>
      <w:r w:rsidRPr="00845FB7">
        <w:rPr>
          <w:rFonts w:cstheme="majorBidi"/>
          <w:szCs w:val="20"/>
          <w:lang w:val="en-GB"/>
        </w:rPr>
        <w:t xml:space="preserve">, the </w:t>
      </w:r>
      <w:r w:rsidR="00265C96" w:rsidRPr="00845FB7">
        <w:rPr>
          <w:rFonts w:cstheme="majorBidi"/>
          <w:szCs w:val="20"/>
          <w:lang w:val="en-GB"/>
        </w:rPr>
        <w:t>S</w:t>
      </w:r>
      <w:r w:rsidRPr="00845FB7">
        <w:rPr>
          <w:rFonts w:cstheme="majorBidi"/>
          <w:szCs w:val="20"/>
          <w:lang w:val="en-GB"/>
        </w:rPr>
        <w:t>ecretariat will attend meetings online in as much as possible and undertake travel when needed.</w:t>
      </w:r>
    </w:p>
    <w:p w14:paraId="22A72B0E" w14:textId="77777777" w:rsidR="002141E9" w:rsidRPr="00845FB7" w:rsidRDefault="002141E9" w:rsidP="00BD36F8">
      <w:pPr>
        <w:spacing w:before="240"/>
        <w:rPr>
          <w:rFonts w:cstheme="majorBidi"/>
          <w:b/>
          <w:bCs/>
          <w:szCs w:val="20"/>
          <w:lang w:val="en-GB" w:eastAsia="en-GB"/>
        </w:rPr>
      </w:pPr>
      <w:r w:rsidRPr="00845FB7">
        <w:rPr>
          <w:rFonts w:cstheme="majorBidi"/>
          <w:b/>
          <w:bCs/>
          <w:szCs w:val="20"/>
          <w:lang w:val="en-GB" w:eastAsia="en-GB"/>
        </w:rPr>
        <w:t>ACTIVITIES</w:t>
      </w:r>
    </w:p>
    <w:p w14:paraId="022B7023" w14:textId="77777777" w:rsidR="002141E9" w:rsidRPr="00845FB7" w:rsidRDefault="002141E9" w:rsidP="00BD36F8">
      <w:pPr>
        <w:pStyle w:val="ListParagraph"/>
        <w:numPr>
          <w:ilvl w:val="0"/>
          <w:numId w:val="3"/>
        </w:numPr>
        <w:spacing w:after="60" w:line="240" w:lineRule="auto"/>
        <w:jc w:val="left"/>
        <w:rPr>
          <w:rFonts w:eastAsia="Times New Roman" w:cstheme="majorBidi"/>
          <w:color w:val="000000"/>
          <w:szCs w:val="20"/>
          <w:lang w:val="en-GB"/>
        </w:rPr>
      </w:pPr>
      <w:r w:rsidRPr="00845FB7">
        <w:rPr>
          <w:rFonts w:eastAsia="Times New Roman" w:cstheme="majorBidi"/>
          <w:color w:val="000000"/>
          <w:szCs w:val="20"/>
          <w:lang w:val="en-GB"/>
        </w:rPr>
        <w:t>Participation of staff in missions to support the implementation of the Convention;</w:t>
      </w:r>
    </w:p>
    <w:p w14:paraId="57799D18" w14:textId="77777777" w:rsidR="002141E9" w:rsidRPr="00845FB7" w:rsidRDefault="002141E9" w:rsidP="00BD36F8">
      <w:pPr>
        <w:pStyle w:val="ListParagraph"/>
        <w:numPr>
          <w:ilvl w:val="0"/>
          <w:numId w:val="3"/>
        </w:numPr>
        <w:spacing w:after="60" w:line="240" w:lineRule="auto"/>
        <w:jc w:val="left"/>
        <w:rPr>
          <w:rFonts w:eastAsia="Times New Roman" w:cstheme="majorBidi"/>
          <w:color w:val="000000"/>
          <w:szCs w:val="20"/>
          <w:lang w:val="en-GB"/>
        </w:rPr>
      </w:pPr>
      <w:r w:rsidRPr="00845FB7">
        <w:rPr>
          <w:rFonts w:eastAsia="Times New Roman" w:cstheme="majorBidi"/>
          <w:color w:val="000000"/>
          <w:szCs w:val="20"/>
          <w:lang w:val="en-GB"/>
        </w:rPr>
        <w:t xml:space="preserve">Participation of staff in the meetings of the various bodies of the Convention; </w:t>
      </w:r>
    </w:p>
    <w:p w14:paraId="6F8C8C44" w14:textId="69CF50CD" w:rsidR="002141E9" w:rsidRPr="00845FB7" w:rsidRDefault="002141E9" w:rsidP="00BD36F8">
      <w:pPr>
        <w:pStyle w:val="ListParagraph"/>
        <w:numPr>
          <w:ilvl w:val="0"/>
          <w:numId w:val="3"/>
        </w:numPr>
        <w:spacing w:after="60" w:line="240" w:lineRule="auto"/>
        <w:jc w:val="left"/>
        <w:rPr>
          <w:rFonts w:eastAsia="Times New Roman" w:cstheme="majorBidi"/>
          <w:color w:val="000000"/>
          <w:szCs w:val="20"/>
          <w:lang w:val="en-GB"/>
        </w:rPr>
      </w:pPr>
      <w:r w:rsidRPr="00845FB7">
        <w:rPr>
          <w:rFonts w:eastAsia="Times New Roman" w:cstheme="majorBidi"/>
          <w:color w:val="000000"/>
          <w:szCs w:val="20"/>
          <w:lang w:val="en-GB"/>
        </w:rPr>
        <w:t>Participation of staff in meetings and activities of other organization</w:t>
      </w:r>
      <w:r w:rsidR="000A745A" w:rsidRPr="00845FB7">
        <w:rPr>
          <w:rFonts w:eastAsia="Times New Roman" w:cstheme="majorBidi"/>
          <w:color w:val="000000"/>
          <w:szCs w:val="20"/>
          <w:lang w:val="en-GB"/>
        </w:rPr>
        <w:t>s</w:t>
      </w:r>
      <w:r w:rsidRPr="00845FB7">
        <w:rPr>
          <w:rFonts w:eastAsia="Times New Roman" w:cstheme="majorBidi"/>
          <w:color w:val="000000"/>
          <w:szCs w:val="20"/>
          <w:lang w:val="en-GB"/>
        </w:rPr>
        <w:t xml:space="preserve"> in the chemicals and waste cluster, the sustainable development agenda, and in areas of relevance to the Convention;</w:t>
      </w:r>
    </w:p>
    <w:p w14:paraId="7DEE08C8" w14:textId="77777777" w:rsidR="002141E9" w:rsidRPr="00845FB7" w:rsidRDefault="002141E9" w:rsidP="00BD36F8">
      <w:pPr>
        <w:pStyle w:val="ListParagraph"/>
        <w:numPr>
          <w:ilvl w:val="0"/>
          <w:numId w:val="3"/>
        </w:numPr>
        <w:spacing w:after="60" w:line="240" w:lineRule="auto"/>
        <w:jc w:val="left"/>
        <w:rPr>
          <w:rFonts w:eastAsia="Times New Roman" w:cstheme="majorBidi"/>
          <w:color w:val="000000"/>
          <w:szCs w:val="20"/>
          <w:lang w:val="en-GB"/>
        </w:rPr>
      </w:pPr>
      <w:r w:rsidRPr="00845FB7">
        <w:rPr>
          <w:rFonts w:eastAsia="Times New Roman" w:cstheme="majorBidi"/>
          <w:color w:val="000000"/>
          <w:szCs w:val="20"/>
          <w:lang w:val="en-GB"/>
        </w:rPr>
        <w:t>Participation in meetings of the GEF Council, the GEF Assembly, the UN Environment Assembly, and other such key environment and sustainable development fora; and</w:t>
      </w:r>
    </w:p>
    <w:p w14:paraId="2FD3D911" w14:textId="77777777" w:rsidR="002141E9" w:rsidRPr="00845FB7" w:rsidRDefault="002141E9" w:rsidP="00BD36F8">
      <w:pPr>
        <w:pStyle w:val="ListParagraph"/>
        <w:numPr>
          <w:ilvl w:val="0"/>
          <w:numId w:val="3"/>
        </w:numPr>
        <w:spacing w:after="60"/>
        <w:rPr>
          <w:rFonts w:cstheme="majorBidi"/>
          <w:szCs w:val="20"/>
          <w:lang w:val="en-GB" w:eastAsia="en-GB"/>
        </w:rPr>
      </w:pPr>
      <w:r w:rsidRPr="00845FB7">
        <w:rPr>
          <w:rFonts w:eastAsia="Times New Roman" w:cstheme="majorBidi"/>
          <w:color w:val="000000"/>
          <w:szCs w:val="20"/>
          <w:lang w:val="en-GB"/>
        </w:rPr>
        <w:t>Travel of the Executive Secretary and other staff members as required for bilateral and partner meetings.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4508"/>
        <w:gridCol w:w="4508"/>
      </w:tblGrid>
      <w:tr w:rsidR="002141E9" w:rsidRPr="00845FB7" w14:paraId="1BCAAC47" w14:textId="77777777" w:rsidTr="00A10FE4">
        <w:tc>
          <w:tcPr>
            <w:tcW w:w="4508" w:type="dxa"/>
          </w:tcPr>
          <w:p w14:paraId="13BE60DA" w14:textId="0CDAAA04" w:rsidR="002141E9" w:rsidRPr="00845FB7" w:rsidRDefault="002141E9"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099654DA" w14:textId="71338252" w:rsidR="002141E9" w:rsidRPr="00845FB7" w:rsidRDefault="00087192" w:rsidP="00BD36F8">
            <w:pPr>
              <w:pStyle w:val="Normalnumber"/>
              <w:numPr>
                <w:ilvl w:val="0"/>
                <w:numId w:val="5"/>
              </w:numPr>
              <w:tabs>
                <w:tab w:val="left" w:pos="720"/>
              </w:tabs>
              <w:spacing w:after="60" w:line="276" w:lineRule="auto"/>
              <w:rPr>
                <w:rFonts w:ascii="Roboto" w:hAnsi="Roboto" w:cstheme="majorBidi"/>
              </w:rPr>
            </w:pPr>
            <w:r w:rsidRPr="00845FB7">
              <w:rPr>
                <w:rFonts w:ascii="Roboto" w:hAnsi="Roboto" w:cstheme="majorBidi"/>
              </w:rPr>
              <w:t>S</w:t>
            </w:r>
            <w:r w:rsidR="002141E9" w:rsidRPr="00845FB7">
              <w:rPr>
                <w:rFonts w:ascii="Roboto" w:hAnsi="Roboto" w:cstheme="majorBidi"/>
              </w:rPr>
              <w:t>ecretariat participation at relevant meetings and conferences;</w:t>
            </w:r>
          </w:p>
          <w:p w14:paraId="6741F7E0" w14:textId="77777777" w:rsidR="002141E9" w:rsidRPr="00845FB7" w:rsidRDefault="002141E9" w:rsidP="00BD36F8">
            <w:pPr>
              <w:pStyle w:val="Normalnumber"/>
              <w:numPr>
                <w:ilvl w:val="0"/>
                <w:numId w:val="5"/>
              </w:numPr>
              <w:tabs>
                <w:tab w:val="left" w:pos="720"/>
              </w:tabs>
              <w:spacing w:after="60" w:line="276" w:lineRule="auto"/>
              <w:rPr>
                <w:rFonts w:ascii="Roboto" w:hAnsi="Roboto" w:cstheme="majorBidi"/>
              </w:rPr>
            </w:pPr>
            <w:r w:rsidRPr="00845FB7">
              <w:rPr>
                <w:rFonts w:ascii="Roboto" w:hAnsi="Roboto" w:cstheme="majorBidi"/>
              </w:rPr>
              <w:t>Effective cooperation with partners and input is provided to ongoing processes as necessary;</w:t>
            </w:r>
          </w:p>
          <w:p w14:paraId="5CADB257" w14:textId="1ED986CC" w:rsidR="002141E9" w:rsidRPr="00845FB7" w:rsidRDefault="002141E9" w:rsidP="00BD36F8">
            <w:pPr>
              <w:pStyle w:val="ListParagraph"/>
              <w:numPr>
                <w:ilvl w:val="0"/>
                <w:numId w:val="5"/>
              </w:numPr>
              <w:spacing w:after="60"/>
              <w:rPr>
                <w:rFonts w:cstheme="majorBidi"/>
                <w:b/>
                <w:bCs/>
                <w:szCs w:val="20"/>
                <w:lang w:val="en-GB" w:eastAsia="en-GB"/>
              </w:rPr>
            </w:pPr>
            <w:r w:rsidRPr="00845FB7">
              <w:rPr>
                <w:rFonts w:cstheme="majorBidi"/>
                <w:szCs w:val="20"/>
                <w:lang w:val="en-GB"/>
              </w:rPr>
              <w:t>The Minamata Convention is part of relevant international processes.</w:t>
            </w:r>
          </w:p>
        </w:tc>
        <w:tc>
          <w:tcPr>
            <w:tcW w:w="4508" w:type="dxa"/>
          </w:tcPr>
          <w:p w14:paraId="1DC7F4A3" w14:textId="62D3D215" w:rsidR="002141E9" w:rsidRPr="00845FB7" w:rsidRDefault="002141E9"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1B00C0A6" w14:textId="77777777" w:rsidR="002141E9" w:rsidRPr="00845FB7" w:rsidRDefault="002141E9" w:rsidP="00BD36F8">
            <w:pPr>
              <w:numPr>
                <w:ilvl w:val="0"/>
                <w:numId w:val="4"/>
              </w:numPr>
              <w:spacing w:after="60" w:line="276" w:lineRule="auto"/>
              <w:jc w:val="left"/>
              <w:rPr>
                <w:rFonts w:cstheme="majorBidi"/>
                <w:i/>
                <w:szCs w:val="20"/>
                <w:lang w:val="en-GB"/>
              </w:rPr>
            </w:pPr>
            <w:r w:rsidRPr="00845FB7">
              <w:rPr>
                <w:rFonts w:cstheme="majorBidi"/>
                <w:szCs w:val="20"/>
                <w:lang w:val="en-GB"/>
              </w:rPr>
              <w:t xml:space="preserve">Staff travel reports; </w:t>
            </w:r>
          </w:p>
          <w:p w14:paraId="2EA5701C" w14:textId="3213B892" w:rsidR="002141E9" w:rsidRPr="00845FB7" w:rsidRDefault="002141E9" w:rsidP="00BD36F8">
            <w:pPr>
              <w:numPr>
                <w:ilvl w:val="0"/>
                <w:numId w:val="4"/>
              </w:numPr>
              <w:spacing w:after="60" w:line="276" w:lineRule="auto"/>
              <w:jc w:val="left"/>
              <w:rPr>
                <w:rFonts w:cstheme="majorBidi"/>
                <w:szCs w:val="20"/>
                <w:lang w:val="en-GB" w:eastAsia="en-GB"/>
              </w:rPr>
            </w:pPr>
            <w:r w:rsidRPr="00845FB7">
              <w:rPr>
                <w:rFonts w:cstheme="majorBidi"/>
                <w:szCs w:val="20"/>
                <w:lang w:val="en-GB"/>
              </w:rPr>
              <w:t>Reports on international cooperation activities.</w:t>
            </w:r>
          </w:p>
        </w:tc>
      </w:tr>
    </w:tbl>
    <w:p w14:paraId="493FEBEB" w14:textId="682C12A9" w:rsidR="002141E9" w:rsidRPr="00845FB7" w:rsidRDefault="002141E9" w:rsidP="002141E9">
      <w:pPr>
        <w:pStyle w:val="Heading3"/>
        <w:rPr>
          <w:sz w:val="24"/>
          <w:lang w:val="en-GB"/>
        </w:rPr>
      </w:pPr>
      <w:r w:rsidRPr="00845FB7">
        <w:rPr>
          <w:sz w:val="24"/>
          <w:lang w:val="en-GB"/>
        </w:rPr>
        <w:lastRenderedPageBreak/>
        <w:t>Partners</w:t>
      </w:r>
    </w:p>
    <w:p w14:paraId="344A8531" w14:textId="00630437" w:rsidR="002141E9" w:rsidRPr="00845FB7" w:rsidRDefault="002141E9" w:rsidP="00BD36F8">
      <w:pPr>
        <w:spacing w:after="60" w:line="276" w:lineRule="auto"/>
        <w:rPr>
          <w:rFonts w:cstheme="majorBidi"/>
          <w:szCs w:val="20"/>
          <w:lang w:val="en-GB"/>
        </w:rPr>
      </w:pPr>
      <w:r w:rsidRPr="00845FB7">
        <w:rPr>
          <w:rFonts w:cstheme="majorBidi"/>
          <w:bCs/>
          <w:szCs w:val="20"/>
          <w:lang w:val="en-GB"/>
        </w:rPr>
        <w:t xml:space="preserve">UNEP and UNEP regional offices, as well as other organizations in the UN system; Global Environment Facility (GEF), civil society, industry, academia; </w:t>
      </w:r>
      <w:r w:rsidR="00087192" w:rsidRPr="00845FB7">
        <w:rPr>
          <w:rFonts w:cstheme="majorBidi"/>
          <w:bCs/>
          <w:szCs w:val="20"/>
          <w:lang w:val="en-GB"/>
        </w:rPr>
        <w:t xml:space="preserve">other MEAs, </w:t>
      </w:r>
      <w:r w:rsidRPr="00845FB7">
        <w:rPr>
          <w:rFonts w:cstheme="majorBidi"/>
          <w:bCs/>
          <w:szCs w:val="20"/>
          <w:lang w:val="en-GB"/>
        </w:rPr>
        <w:t>Basel and Stockholm conventions regional centres.</w:t>
      </w:r>
    </w:p>
    <w:p w14:paraId="29E47514" w14:textId="38D24B8F" w:rsidR="002141E9" w:rsidRPr="00845FB7" w:rsidRDefault="002141E9" w:rsidP="002141E9">
      <w:pPr>
        <w:pStyle w:val="Heading3"/>
        <w:rPr>
          <w:sz w:val="24"/>
          <w:lang w:val="en-GB"/>
        </w:rPr>
      </w:pPr>
      <w:r w:rsidRPr="00845FB7">
        <w:rPr>
          <w:sz w:val="24"/>
          <w:lang w:val="en-GB"/>
        </w:rPr>
        <w:t>Socio-economic aspects</w:t>
      </w:r>
    </w:p>
    <w:p w14:paraId="3C6C56A9" w14:textId="77777777" w:rsidR="002141E9" w:rsidRPr="00845FB7" w:rsidRDefault="002141E9"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The activity will address all three dimensions of the Sustainable Development: environmental, economic and social. Among other Sustainable Development Goals (SDGs), it will support the implementation of SDG No. 3 on ensuring healthy lives </w:t>
      </w:r>
      <w:r w:rsidRPr="00845FB7">
        <w:rPr>
          <w:rFonts w:cstheme="majorBidi"/>
          <w:szCs w:val="20"/>
          <w:lang w:val="en-GB"/>
        </w:rPr>
        <w:br/>
        <w:t>(target 3.9:  by 2030 substantially reduce the number of deaths and illnesses from hazardous chemicals and air, water and soil pollution and contamination), SDG No. 5 on gender equality, SDG No. 12 on ensuring sustainable consumption and production patterns (target 12.4: by 2020 achieve environmentally sound management of chemicals and all wastes throughout their lifecycle and minimizing their adverse impacts on human health and the environment); it will also support SDG No. 1 on ending poverty in all its forms everywhere, SDG No.16 on promoting peaceful and inclusive societies for sustainable development, provide access to justice for all and build effective, accountable and inclusive institutions at all levels, etc.</w:t>
      </w:r>
    </w:p>
    <w:p w14:paraId="35EB341A" w14:textId="77777777" w:rsidR="002141E9" w:rsidRPr="00845FB7" w:rsidRDefault="002141E9" w:rsidP="00BD36F8">
      <w:pPr>
        <w:spacing w:after="120" w:line="276" w:lineRule="auto"/>
        <w:rPr>
          <w:rFonts w:cstheme="majorBidi"/>
          <w:szCs w:val="20"/>
          <w:lang w:val="en-GB"/>
        </w:rPr>
      </w:pPr>
      <w:r w:rsidRPr="00845FB7">
        <w:rPr>
          <w:rFonts w:cstheme="majorBidi"/>
          <w:b/>
          <w:bCs/>
          <w:szCs w:val="20"/>
          <w:lang w:val="en-GB"/>
        </w:rPr>
        <w:t xml:space="preserve">Integrated Approach: </w:t>
      </w:r>
      <w:r w:rsidRPr="00845FB7">
        <w:rPr>
          <w:rFonts w:cstheme="majorBidi"/>
          <w:szCs w:val="20"/>
          <w:lang w:val="en-GB"/>
        </w:rPr>
        <w:t>The activity will be supportive of the integrated approach to address the financing of the sound management of chemicals and wastes, in particular in relation to mainstreaming of chemicals and wastes into sustainable development processes, as provided for in the resolutions adopted by the United Nations Environment Assembly of the United Nations Environment Programme at its first session in  2014 and in 2015 on the Agenda 2030 and the 17 SDGs.</w:t>
      </w:r>
    </w:p>
    <w:p w14:paraId="1B3AACCE" w14:textId="77777777" w:rsidR="002141E9" w:rsidRPr="00845FB7" w:rsidRDefault="002141E9" w:rsidP="002141E9">
      <w:pPr>
        <w:pStyle w:val="Heading3"/>
        <w:rPr>
          <w:lang w:val="en-GB"/>
        </w:rPr>
        <w:sectPr w:rsidR="002141E9" w:rsidRPr="00845FB7" w:rsidSect="00BD36F8">
          <w:headerReference w:type="first" r:id="rId68"/>
          <w:footerReference w:type="first" r:id="rId69"/>
          <w:type w:val="continuous"/>
          <w:pgSz w:w="11906" w:h="16838" w:code="9"/>
          <w:pgMar w:top="907" w:right="992" w:bottom="1418" w:left="1418" w:header="539" w:footer="975" w:gutter="0"/>
          <w:cols w:space="708"/>
          <w:titlePg/>
          <w:docGrid w:linePitch="360"/>
        </w:sectPr>
      </w:pPr>
    </w:p>
    <w:p w14:paraId="350408C5" w14:textId="3B7276E1" w:rsidR="002141E9" w:rsidRPr="00845FB7" w:rsidRDefault="002141E9" w:rsidP="002141E9">
      <w:pPr>
        <w:pStyle w:val="Heading3"/>
        <w:rPr>
          <w:sz w:val="24"/>
          <w:lang w:val="en-GB"/>
        </w:rPr>
      </w:pPr>
      <w:r w:rsidRPr="00845FB7">
        <w:rPr>
          <w:sz w:val="24"/>
          <w:lang w:val="en-GB"/>
        </w:rPr>
        <w:lastRenderedPageBreak/>
        <w:t>Resource requirements</w:t>
      </w:r>
    </w:p>
    <w:tbl>
      <w:tblPr>
        <w:tblpPr w:leftFromText="180" w:rightFromText="180" w:horzAnchor="margin" w:tblpY="555"/>
        <w:tblW w:w="14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02"/>
        <w:gridCol w:w="1157"/>
        <w:gridCol w:w="1157"/>
        <w:gridCol w:w="754"/>
        <w:gridCol w:w="754"/>
        <w:gridCol w:w="853"/>
        <w:gridCol w:w="1205"/>
        <w:gridCol w:w="1157"/>
        <w:gridCol w:w="1157"/>
        <w:gridCol w:w="754"/>
        <w:gridCol w:w="754"/>
        <w:gridCol w:w="853"/>
      </w:tblGrid>
      <w:tr w:rsidR="00C77370" w:rsidRPr="00B32CB4" w14:paraId="11EACC94" w14:textId="77777777" w:rsidTr="00C77370">
        <w:trPr>
          <w:trHeight w:val="284"/>
        </w:trPr>
        <w:tc>
          <w:tcPr>
            <w:tcW w:w="3114" w:type="dxa"/>
            <w:vMerge w:val="restart"/>
            <w:noWrap/>
            <w:vAlign w:val="center"/>
            <w:hideMark/>
          </w:tcPr>
          <w:p w14:paraId="76D12E4D" w14:textId="77777777"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Activity/Output</w:t>
            </w:r>
          </w:p>
        </w:tc>
        <w:tc>
          <w:tcPr>
            <w:tcW w:w="5877" w:type="dxa"/>
            <w:gridSpan w:val="6"/>
            <w:noWrap/>
            <w:vAlign w:val="center"/>
            <w:hideMark/>
          </w:tcPr>
          <w:p w14:paraId="51EA3DC7" w14:textId="523AE730"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5</w:t>
            </w:r>
            <w:r w:rsidR="00AA3466" w:rsidRPr="00B32CB4">
              <w:rPr>
                <w:rFonts w:eastAsia="Times New Roman" w:cstheme="majorBidi"/>
                <w:b/>
                <w:bCs/>
                <w:color w:val="000000"/>
                <w:sz w:val="16"/>
                <w:szCs w:val="16"/>
                <w:lang w:val="en-GB"/>
              </w:rPr>
              <w:t xml:space="preserve"> per cent</w:t>
            </w:r>
            <w:r w:rsidRPr="00B32CB4">
              <w:rPr>
                <w:rFonts w:eastAsia="Times New Roman" w:cstheme="majorBidi"/>
                <w:b/>
                <w:bCs/>
                <w:color w:val="000000"/>
                <w:sz w:val="16"/>
                <w:szCs w:val="16"/>
                <w:lang w:val="en-GB"/>
              </w:rPr>
              <w:t xml:space="preserve"> scenario (</w:t>
            </w:r>
            <w:r w:rsidR="00E2051A" w:rsidRPr="00B32CB4">
              <w:rPr>
                <w:rFonts w:eastAsia="Times New Roman" w:cstheme="majorBidi"/>
                <w:b/>
                <w:bCs/>
                <w:color w:val="000000"/>
                <w:sz w:val="16"/>
                <w:szCs w:val="16"/>
                <w:lang w:val="en-GB"/>
              </w:rPr>
              <w:t>2026–2027</w:t>
            </w:r>
            <w:r w:rsidRPr="00B32CB4">
              <w:rPr>
                <w:rFonts w:eastAsia="Times New Roman" w:cstheme="majorBidi"/>
                <w:b/>
                <w:bCs/>
                <w:color w:val="000000"/>
                <w:sz w:val="16"/>
                <w:szCs w:val="16"/>
                <w:lang w:val="en-GB"/>
              </w:rPr>
              <w:t>)</w:t>
            </w:r>
          </w:p>
        </w:tc>
        <w:tc>
          <w:tcPr>
            <w:tcW w:w="5880" w:type="dxa"/>
            <w:gridSpan w:val="6"/>
            <w:noWrap/>
            <w:vAlign w:val="center"/>
            <w:hideMark/>
          </w:tcPr>
          <w:p w14:paraId="2250D43C" w14:textId="51C02879"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Zero nominal growth scenario (</w:t>
            </w:r>
            <w:r w:rsidR="00E2051A" w:rsidRPr="00B32CB4">
              <w:rPr>
                <w:rFonts w:eastAsia="Times New Roman" w:cstheme="majorBidi"/>
                <w:b/>
                <w:bCs/>
                <w:color w:val="000000"/>
                <w:sz w:val="16"/>
                <w:szCs w:val="16"/>
                <w:lang w:val="en-GB"/>
              </w:rPr>
              <w:t>2026–2027</w:t>
            </w:r>
            <w:r w:rsidRPr="00B32CB4">
              <w:rPr>
                <w:rFonts w:eastAsia="Times New Roman" w:cstheme="majorBidi"/>
                <w:b/>
                <w:bCs/>
                <w:color w:val="000000"/>
                <w:sz w:val="16"/>
                <w:szCs w:val="16"/>
                <w:lang w:val="en-GB"/>
              </w:rPr>
              <w:t>)</w:t>
            </w:r>
          </w:p>
        </w:tc>
      </w:tr>
      <w:tr w:rsidR="00C77370" w:rsidRPr="00B32CB4" w14:paraId="1A9B0C1F" w14:textId="77777777" w:rsidTr="00C77370">
        <w:trPr>
          <w:trHeight w:val="284"/>
        </w:trPr>
        <w:tc>
          <w:tcPr>
            <w:tcW w:w="3114" w:type="dxa"/>
            <w:vMerge/>
            <w:vAlign w:val="center"/>
            <w:hideMark/>
          </w:tcPr>
          <w:p w14:paraId="77B707E1" w14:textId="77777777" w:rsidR="002141E9" w:rsidRPr="00B32CB4" w:rsidRDefault="002141E9" w:rsidP="00A10FE4">
            <w:pPr>
              <w:spacing w:after="0" w:line="240" w:lineRule="auto"/>
              <w:contextualSpacing/>
              <w:jc w:val="left"/>
              <w:rPr>
                <w:rFonts w:eastAsia="Times New Roman" w:cstheme="majorBidi"/>
                <w:b/>
                <w:bCs/>
                <w:color w:val="000000"/>
                <w:sz w:val="16"/>
                <w:szCs w:val="16"/>
                <w:lang w:val="en-GB"/>
              </w:rPr>
            </w:pPr>
          </w:p>
        </w:tc>
        <w:tc>
          <w:tcPr>
            <w:tcW w:w="3516" w:type="dxa"/>
            <w:gridSpan w:val="3"/>
            <w:vAlign w:val="center"/>
            <w:hideMark/>
          </w:tcPr>
          <w:p w14:paraId="43B632D5" w14:textId="461DC51C"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General </w:t>
            </w:r>
            <w:r w:rsidR="00AA3466" w:rsidRPr="00B32CB4">
              <w:rPr>
                <w:rFonts w:eastAsia="Times New Roman" w:cstheme="majorBidi"/>
                <w:b/>
                <w:bCs/>
                <w:color w:val="000000"/>
                <w:sz w:val="16"/>
                <w:szCs w:val="16"/>
                <w:lang w:val="en-GB"/>
              </w:rPr>
              <w:t>t</w:t>
            </w:r>
            <w:r w:rsidRPr="00B32CB4">
              <w:rPr>
                <w:rFonts w:eastAsia="Times New Roman" w:cstheme="majorBidi"/>
                <w:b/>
                <w:bCs/>
                <w:color w:val="000000"/>
                <w:sz w:val="16"/>
                <w:szCs w:val="16"/>
                <w:lang w:val="en-GB"/>
              </w:rPr>
              <w:t xml:space="preserve">rust </w:t>
            </w:r>
            <w:r w:rsidR="00AA3466" w:rsidRPr="00B32CB4">
              <w:rPr>
                <w:rFonts w:eastAsia="Times New Roman" w:cstheme="majorBidi"/>
                <w:b/>
                <w:bCs/>
                <w:color w:val="000000"/>
                <w:sz w:val="16"/>
                <w:szCs w:val="16"/>
                <w:lang w:val="en-GB"/>
              </w:rPr>
              <w:t>f</w:t>
            </w:r>
            <w:r w:rsidRPr="00B32CB4">
              <w:rPr>
                <w:rFonts w:eastAsia="Times New Roman" w:cstheme="majorBidi"/>
                <w:b/>
                <w:bCs/>
                <w:color w:val="000000"/>
                <w:sz w:val="16"/>
                <w:szCs w:val="16"/>
                <w:lang w:val="en-GB"/>
              </w:rPr>
              <w:t>und</w:t>
            </w:r>
          </w:p>
        </w:tc>
        <w:tc>
          <w:tcPr>
            <w:tcW w:w="2361" w:type="dxa"/>
            <w:gridSpan w:val="3"/>
            <w:vAlign w:val="center"/>
            <w:hideMark/>
          </w:tcPr>
          <w:p w14:paraId="3FC8E507" w14:textId="59D8A108"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Special </w:t>
            </w:r>
            <w:r w:rsidR="00AA3466" w:rsidRPr="00B32CB4">
              <w:rPr>
                <w:rFonts w:eastAsia="Times New Roman" w:cstheme="majorBidi"/>
                <w:b/>
                <w:bCs/>
                <w:color w:val="000000"/>
                <w:sz w:val="16"/>
                <w:szCs w:val="16"/>
                <w:lang w:val="en-GB"/>
              </w:rPr>
              <w:t>t</w:t>
            </w:r>
            <w:r w:rsidRPr="00B32CB4">
              <w:rPr>
                <w:rFonts w:eastAsia="Times New Roman" w:cstheme="majorBidi"/>
                <w:b/>
                <w:bCs/>
                <w:color w:val="000000"/>
                <w:sz w:val="16"/>
                <w:szCs w:val="16"/>
                <w:lang w:val="en-GB"/>
              </w:rPr>
              <w:t xml:space="preserve">rust </w:t>
            </w:r>
            <w:r w:rsidR="00AA3466" w:rsidRPr="00B32CB4">
              <w:rPr>
                <w:rFonts w:eastAsia="Times New Roman" w:cstheme="majorBidi"/>
                <w:b/>
                <w:bCs/>
                <w:color w:val="000000"/>
                <w:sz w:val="16"/>
                <w:szCs w:val="16"/>
                <w:lang w:val="en-GB"/>
              </w:rPr>
              <w:t>f</w:t>
            </w:r>
            <w:r w:rsidRPr="00B32CB4">
              <w:rPr>
                <w:rFonts w:eastAsia="Times New Roman" w:cstheme="majorBidi"/>
                <w:b/>
                <w:bCs/>
                <w:color w:val="000000"/>
                <w:sz w:val="16"/>
                <w:szCs w:val="16"/>
                <w:lang w:val="en-GB"/>
              </w:rPr>
              <w:t>und</w:t>
            </w:r>
          </w:p>
        </w:tc>
        <w:tc>
          <w:tcPr>
            <w:tcW w:w="3519" w:type="dxa"/>
            <w:gridSpan w:val="3"/>
            <w:vAlign w:val="center"/>
            <w:hideMark/>
          </w:tcPr>
          <w:p w14:paraId="19071A9B" w14:textId="5AF5FA87"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General </w:t>
            </w:r>
            <w:r w:rsidR="00AA3466" w:rsidRPr="00B32CB4">
              <w:rPr>
                <w:rFonts w:eastAsia="Times New Roman" w:cstheme="majorBidi"/>
                <w:b/>
                <w:bCs/>
                <w:color w:val="000000"/>
                <w:sz w:val="16"/>
                <w:szCs w:val="16"/>
                <w:lang w:val="en-GB"/>
              </w:rPr>
              <w:t>t</w:t>
            </w:r>
            <w:r w:rsidRPr="00B32CB4">
              <w:rPr>
                <w:rFonts w:eastAsia="Times New Roman" w:cstheme="majorBidi"/>
                <w:b/>
                <w:bCs/>
                <w:color w:val="000000"/>
                <w:sz w:val="16"/>
                <w:szCs w:val="16"/>
                <w:lang w:val="en-GB"/>
              </w:rPr>
              <w:t xml:space="preserve">rust </w:t>
            </w:r>
            <w:r w:rsidR="00AA3466" w:rsidRPr="00B32CB4">
              <w:rPr>
                <w:rFonts w:eastAsia="Times New Roman" w:cstheme="majorBidi"/>
                <w:b/>
                <w:bCs/>
                <w:color w:val="000000"/>
                <w:sz w:val="16"/>
                <w:szCs w:val="16"/>
                <w:lang w:val="en-GB"/>
              </w:rPr>
              <w:t>f</w:t>
            </w:r>
            <w:r w:rsidRPr="00B32CB4">
              <w:rPr>
                <w:rFonts w:eastAsia="Times New Roman" w:cstheme="majorBidi"/>
                <w:b/>
                <w:bCs/>
                <w:color w:val="000000"/>
                <w:sz w:val="16"/>
                <w:szCs w:val="16"/>
                <w:lang w:val="en-GB"/>
              </w:rPr>
              <w:t>und</w:t>
            </w:r>
          </w:p>
        </w:tc>
        <w:tc>
          <w:tcPr>
            <w:tcW w:w="2361" w:type="dxa"/>
            <w:gridSpan w:val="3"/>
            <w:vAlign w:val="center"/>
            <w:hideMark/>
          </w:tcPr>
          <w:p w14:paraId="409476B6" w14:textId="690982A7"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Special </w:t>
            </w:r>
            <w:r w:rsidR="00AA3466" w:rsidRPr="00B32CB4">
              <w:rPr>
                <w:rFonts w:eastAsia="Times New Roman" w:cstheme="majorBidi"/>
                <w:b/>
                <w:bCs/>
                <w:color w:val="000000"/>
                <w:sz w:val="16"/>
                <w:szCs w:val="16"/>
                <w:lang w:val="en-GB"/>
              </w:rPr>
              <w:t>t</w:t>
            </w:r>
            <w:r w:rsidRPr="00B32CB4">
              <w:rPr>
                <w:rFonts w:eastAsia="Times New Roman" w:cstheme="majorBidi"/>
                <w:b/>
                <w:bCs/>
                <w:color w:val="000000"/>
                <w:sz w:val="16"/>
                <w:szCs w:val="16"/>
                <w:lang w:val="en-GB"/>
              </w:rPr>
              <w:t xml:space="preserve">rust </w:t>
            </w:r>
            <w:r w:rsidR="00AA3466" w:rsidRPr="00B32CB4">
              <w:rPr>
                <w:rFonts w:eastAsia="Times New Roman" w:cstheme="majorBidi"/>
                <w:b/>
                <w:bCs/>
                <w:color w:val="000000"/>
                <w:sz w:val="16"/>
                <w:szCs w:val="16"/>
                <w:lang w:val="en-GB"/>
              </w:rPr>
              <w:t>f</w:t>
            </w:r>
            <w:r w:rsidRPr="00B32CB4">
              <w:rPr>
                <w:rFonts w:eastAsia="Times New Roman" w:cstheme="majorBidi"/>
                <w:b/>
                <w:bCs/>
                <w:color w:val="000000"/>
                <w:sz w:val="16"/>
                <w:szCs w:val="16"/>
                <w:lang w:val="en-GB"/>
              </w:rPr>
              <w:t>und</w:t>
            </w:r>
          </w:p>
        </w:tc>
      </w:tr>
      <w:tr w:rsidR="00C77370" w:rsidRPr="00B32CB4" w14:paraId="35594712" w14:textId="77777777" w:rsidTr="00C77370">
        <w:trPr>
          <w:trHeight w:val="512"/>
        </w:trPr>
        <w:tc>
          <w:tcPr>
            <w:tcW w:w="3114" w:type="dxa"/>
            <w:noWrap/>
            <w:vAlign w:val="center"/>
            <w:hideMark/>
          </w:tcPr>
          <w:p w14:paraId="492CB93C" w14:textId="77777777"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w:t>
            </w:r>
          </w:p>
        </w:tc>
        <w:tc>
          <w:tcPr>
            <w:tcW w:w="1202" w:type="dxa"/>
            <w:vAlign w:val="center"/>
            <w:hideMark/>
          </w:tcPr>
          <w:p w14:paraId="53CB0092" w14:textId="10AE0727"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6</w:t>
            </w:r>
          </w:p>
        </w:tc>
        <w:tc>
          <w:tcPr>
            <w:tcW w:w="1157" w:type="dxa"/>
            <w:vAlign w:val="center"/>
            <w:hideMark/>
          </w:tcPr>
          <w:p w14:paraId="2DE1CFB6" w14:textId="4DCE0EBA"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7</w:t>
            </w:r>
          </w:p>
        </w:tc>
        <w:tc>
          <w:tcPr>
            <w:tcW w:w="1157" w:type="dxa"/>
            <w:vAlign w:val="center"/>
            <w:hideMark/>
          </w:tcPr>
          <w:p w14:paraId="4AEA3775" w14:textId="73442438"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Total </w:t>
            </w:r>
            <w:r w:rsidRPr="00B32CB4">
              <w:rPr>
                <w:rFonts w:eastAsia="Times New Roman" w:cstheme="majorBidi"/>
                <w:b/>
                <w:bCs/>
                <w:color w:val="000000"/>
                <w:sz w:val="16"/>
                <w:szCs w:val="16"/>
                <w:lang w:val="en-GB"/>
              </w:rPr>
              <w:br/>
              <w:t>(</w:t>
            </w:r>
            <w:r w:rsidR="00E2051A" w:rsidRPr="00B32CB4">
              <w:rPr>
                <w:rFonts w:eastAsia="Times New Roman" w:cstheme="majorBidi"/>
                <w:b/>
                <w:bCs/>
                <w:color w:val="000000"/>
                <w:sz w:val="16"/>
                <w:szCs w:val="16"/>
                <w:lang w:val="en-GB"/>
              </w:rPr>
              <w:t>2026–2027</w:t>
            </w:r>
            <w:r w:rsidRPr="00B32CB4">
              <w:rPr>
                <w:rFonts w:eastAsia="Times New Roman" w:cstheme="majorBidi"/>
                <w:b/>
                <w:bCs/>
                <w:color w:val="000000"/>
                <w:sz w:val="16"/>
                <w:szCs w:val="16"/>
                <w:lang w:val="en-GB"/>
              </w:rPr>
              <w:t>)</w:t>
            </w:r>
          </w:p>
        </w:tc>
        <w:tc>
          <w:tcPr>
            <w:tcW w:w="754" w:type="dxa"/>
            <w:vAlign w:val="center"/>
            <w:hideMark/>
          </w:tcPr>
          <w:p w14:paraId="165E6224" w14:textId="425F312D"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6</w:t>
            </w:r>
          </w:p>
        </w:tc>
        <w:tc>
          <w:tcPr>
            <w:tcW w:w="754" w:type="dxa"/>
            <w:vAlign w:val="center"/>
            <w:hideMark/>
          </w:tcPr>
          <w:p w14:paraId="3DE7C25D" w14:textId="59418D46"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7</w:t>
            </w:r>
          </w:p>
        </w:tc>
        <w:tc>
          <w:tcPr>
            <w:tcW w:w="853" w:type="dxa"/>
            <w:vAlign w:val="center"/>
            <w:hideMark/>
          </w:tcPr>
          <w:p w14:paraId="7F1847F7" w14:textId="48D94FC8"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Total </w:t>
            </w:r>
            <w:r w:rsidRPr="00B32CB4">
              <w:rPr>
                <w:rFonts w:eastAsia="Times New Roman" w:cstheme="majorBidi"/>
                <w:b/>
                <w:bCs/>
                <w:color w:val="000000"/>
                <w:sz w:val="16"/>
                <w:szCs w:val="16"/>
                <w:lang w:val="en-GB"/>
              </w:rPr>
              <w:br/>
              <w:t>(</w:t>
            </w:r>
            <w:r w:rsidR="00E2051A" w:rsidRPr="00B32CB4">
              <w:rPr>
                <w:rFonts w:eastAsia="Times New Roman" w:cstheme="majorBidi"/>
                <w:b/>
                <w:bCs/>
                <w:color w:val="000000"/>
                <w:sz w:val="16"/>
                <w:szCs w:val="16"/>
                <w:lang w:val="en-GB"/>
              </w:rPr>
              <w:t>2026–2027</w:t>
            </w:r>
            <w:r w:rsidRPr="00B32CB4">
              <w:rPr>
                <w:rFonts w:eastAsia="Times New Roman" w:cstheme="majorBidi"/>
                <w:b/>
                <w:bCs/>
                <w:color w:val="000000"/>
                <w:sz w:val="16"/>
                <w:szCs w:val="16"/>
                <w:lang w:val="en-GB"/>
              </w:rPr>
              <w:t>)</w:t>
            </w:r>
          </w:p>
        </w:tc>
        <w:tc>
          <w:tcPr>
            <w:tcW w:w="1205" w:type="dxa"/>
            <w:vAlign w:val="center"/>
            <w:hideMark/>
          </w:tcPr>
          <w:p w14:paraId="618DDB4B" w14:textId="7A01BEC2"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6</w:t>
            </w:r>
          </w:p>
        </w:tc>
        <w:tc>
          <w:tcPr>
            <w:tcW w:w="1157" w:type="dxa"/>
            <w:vAlign w:val="center"/>
            <w:hideMark/>
          </w:tcPr>
          <w:p w14:paraId="1A22C329" w14:textId="566E91C3"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7</w:t>
            </w:r>
          </w:p>
        </w:tc>
        <w:tc>
          <w:tcPr>
            <w:tcW w:w="1157" w:type="dxa"/>
            <w:vAlign w:val="center"/>
            <w:hideMark/>
          </w:tcPr>
          <w:p w14:paraId="42A5B97C" w14:textId="69B7B4B1"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Total </w:t>
            </w:r>
            <w:r w:rsidRPr="00B32CB4">
              <w:rPr>
                <w:rFonts w:eastAsia="Times New Roman" w:cstheme="majorBidi"/>
                <w:b/>
                <w:bCs/>
                <w:color w:val="000000"/>
                <w:sz w:val="16"/>
                <w:szCs w:val="16"/>
                <w:lang w:val="en-GB"/>
              </w:rPr>
              <w:br/>
              <w:t>(</w:t>
            </w:r>
            <w:r w:rsidR="00E2051A" w:rsidRPr="00B32CB4">
              <w:rPr>
                <w:rFonts w:eastAsia="Times New Roman" w:cstheme="majorBidi"/>
                <w:b/>
                <w:bCs/>
                <w:color w:val="000000"/>
                <w:sz w:val="16"/>
                <w:szCs w:val="16"/>
                <w:lang w:val="en-GB"/>
              </w:rPr>
              <w:t>2026–2027</w:t>
            </w:r>
            <w:r w:rsidRPr="00B32CB4">
              <w:rPr>
                <w:rFonts w:eastAsia="Times New Roman" w:cstheme="majorBidi"/>
                <w:b/>
                <w:bCs/>
                <w:color w:val="000000"/>
                <w:sz w:val="16"/>
                <w:szCs w:val="16"/>
                <w:lang w:val="en-GB"/>
              </w:rPr>
              <w:t>)</w:t>
            </w:r>
          </w:p>
        </w:tc>
        <w:tc>
          <w:tcPr>
            <w:tcW w:w="754" w:type="dxa"/>
            <w:vAlign w:val="center"/>
            <w:hideMark/>
          </w:tcPr>
          <w:p w14:paraId="6AC9AFB9" w14:textId="169E490D"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6</w:t>
            </w:r>
          </w:p>
        </w:tc>
        <w:tc>
          <w:tcPr>
            <w:tcW w:w="754" w:type="dxa"/>
            <w:vAlign w:val="center"/>
            <w:hideMark/>
          </w:tcPr>
          <w:p w14:paraId="566738B4" w14:textId="21936B5D"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202</w:t>
            </w:r>
            <w:r w:rsidR="007F7193" w:rsidRPr="00B32CB4">
              <w:rPr>
                <w:rFonts w:eastAsia="Times New Roman" w:cstheme="majorBidi"/>
                <w:b/>
                <w:bCs/>
                <w:color w:val="000000"/>
                <w:sz w:val="16"/>
                <w:szCs w:val="16"/>
                <w:lang w:val="en-GB"/>
              </w:rPr>
              <w:t>7</w:t>
            </w:r>
          </w:p>
        </w:tc>
        <w:tc>
          <w:tcPr>
            <w:tcW w:w="853" w:type="dxa"/>
            <w:vAlign w:val="center"/>
            <w:hideMark/>
          </w:tcPr>
          <w:p w14:paraId="50F72BD4" w14:textId="414FA1C1" w:rsidR="002141E9" w:rsidRPr="00B32CB4" w:rsidRDefault="002141E9" w:rsidP="00A10FE4">
            <w:pPr>
              <w:spacing w:after="0" w:line="240" w:lineRule="auto"/>
              <w:contextualSpacing/>
              <w:jc w:val="center"/>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Total </w:t>
            </w:r>
            <w:r w:rsidRPr="00B32CB4">
              <w:rPr>
                <w:rFonts w:eastAsia="Times New Roman" w:cstheme="majorBidi"/>
                <w:b/>
                <w:bCs/>
                <w:color w:val="000000"/>
                <w:sz w:val="16"/>
                <w:szCs w:val="16"/>
                <w:lang w:val="en-GB"/>
              </w:rPr>
              <w:br/>
              <w:t>(</w:t>
            </w:r>
            <w:r w:rsidR="00E2051A" w:rsidRPr="00B32CB4">
              <w:rPr>
                <w:rFonts w:eastAsia="Times New Roman" w:cstheme="majorBidi"/>
                <w:b/>
                <w:bCs/>
                <w:color w:val="000000"/>
                <w:sz w:val="16"/>
                <w:szCs w:val="16"/>
                <w:lang w:val="en-GB"/>
              </w:rPr>
              <w:t>2026–2027</w:t>
            </w:r>
            <w:r w:rsidRPr="00B32CB4">
              <w:rPr>
                <w:rFonts w:eastAsia="Times New Roman" w:cstheme="majorBidi"/>
                <w:b/>
                <w:bCs/>
                <w:color w:val="000000"/>
                <w:sz w:val="16"/>
                <w:szCs w:val="16"/>
                <w:lang w:val="en-GB"/>
              </w:rPr>
              <w:t>)</w:t>
            </w:r>
          </w:p>
        </w:tc>
      </w:tr>
      <w:tr w:rsidR="00C77370" w:rsidRPr="00B32CB4" w14:paraId="04CAAD61" w14:textId="77777777" w:rsidTr="00C77370">
        <w:trPr>
          <w:trHeight w:val="284"/>
        </w:trPr>
        <w:tc>
          <w:tcPr>
            <w:tcW w:w="14871" w:type="dxa"/>
            <w:gridSpan w:val="13"/>
            <w:noWrap/>
            <w:vAlign w:val="center"/>
            <w:hideMark/>
          </w:tcPr>
          <w:p w14:paraId="3D085C53" w14:textId="2DD9080F" w:rsidR="002141E9" w:rsidRPr="00B32CB4" w:rsidRDefault="002141E9" w:rsidP="00A10FE4">
            <w:pPr>
              <w:spacing w:after="0" w:line="240" w:lineRule="auto"/>
              <w:contextualSpacing/>
              <w:jc w:val="lef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w:t>
            </w:r>
            <w:r w:rsidR="009F7DF3" w:rsidRPr="00B32CB4">
              <w:rPr>
                <w:rFonts w:eastAsia="Times New Roman" w:cstheme="majorBidi"/>
                <w:b/>
                <w:bCs/>
                <w:color w:val="000000"/>
                <w:sz w:val="16"/>
                <w:szCs w:val="16"/>
                <w:lang w:val="en-GB"/>
              </w:rPr>
              <w:t>1</w:t>
            </w:r>
            <w:r w:rsidRPr="00B32CB4">
              <w:rPr>
                <w:rFonts w:eastAsia="Times New Roman" w:cstheme="majorBidi"/>
                <w:b/>
                <w:bCs/>
                <w:color w:val="000000"/>
                <w:sz w:val="16"/>
                <w:szCs w:val="16"/>
                <w:lang w:val="en-GB"/>
              </w:rPr>
              <w:t>. Executive direction and management</w:t>
            </w:r>
          </w:p>
        </w:tc>
      </w:tr>
      <w:tr w:rsidR="00C77370" w:rsidRPr="00B32CB4" w14:paraId="763A65E0" w14:textId="77777777" w:rsidTr="00C77370">
        <w:trPr>
          <w:trHeight w:val="284"/>
        </w:trPr>
        <w:tc>
          <w:tcPr>
            <w:tcW w:w="14871" w:type="dxa"/>
            <w:gridSpan w:val="13"/>
            <w:noWrap/>
            <w:vAlign w:val="center"/>
            <w:hideMark/>
          </w:tcPr>
          <w:p w14:paraId="6E6A11D1" w14:textId="5B5D964F" w:rsidR="002141E9" w:rsidRPr="00B32CB4" w:rsidRDefault="002141E9" w:rsidP="00A10FE4">
            <w:pPr>
              <w:spacing w:after="0" w:line="240" w:lineRule="auto"/>
              <w:contextualSpacing/>
              <w:jc w:val="lef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w:t>
            </w:r>
            <w:r w:rsidR="009F7DF3" w:rsidRPr="00B32CB4">
              <w:rPr>
                <w:rFonts w:eastAsia="Times New Roman" w:cstheme="majorBidi"/>
                <w:b/>
                <w:bCs/>
                <w:color w:val="000000"/>
                <w:sz w:val="16"/>
                <w:szCs w:val="16"/>
                <w:lang w:val="en-GB"/>
              </w:rPr>
              <w:t>1</w:t>
            </w:r>
            <w:r w:rsidRPr="00B32CB4">
              <w:rPr>
                <w:rFonts w:eastAsia="Times New Roman" w:cstheme="majorBidi"/>
                <w:b/>
                <w:bCs/>
                <w:color w:val="000000"/>
                <w:sz w:val="16"/>
                <w:szCs w:val="16"/>
                <w:lang w:val="en-GB"/>
              </w:rPr>
              <w:t xml:space="preserve">.1. Overall management   </w:t>
            </w:r>
          </w:p>
        </w:tc>
      </w:tr>
      <w:tr w:rsidR="00C77370" w:rsidRPr="00B32CB4" w14:paraId="0571F257" w14:textId="77777777" w:rsidTr="00C77370">
        <w:trPr>
          <w:trHeight w:val="397"/>
        </w:trPr>
        <w:tc>
          <w:tcPr>
            <w:tcW w:w="3114" w:type="dxa"/>
            <w:vAlign w:val="center"/>
            <w:hideMark/>
          </w:tcPr>
          <w:p w14:paraId="39633265" w14:textId="77777777" w:rsidR="002141E9" w:rsidRPr="00B32CB4" w:rsidRDefault="002141E9" w:rsidP="00A10FE4">
            <w:pPr>
              <w:spacing w:after="0" w:line="240" w:lineRule="auto"/>
              <w:contextualSpacing/>
              <w:jc w:val="left"/>
              <w:rPr>
                <w:rFonts w:eastAsia="Times New Roman" w:cstheme="majorBidi"/>
                <w:color w:val="000000"/>
                <w:sz w:val="16"/>
                <w:szCs w:val="16"/>
                <w:lang w:val="en-GB"/>
              </w:rPr>
            </w:pPr>
            <w:r w:rsidRPr="00B32CB4">
              <w:rPr>
                <w:rFonts w:eastAsia="Times New Roman" w:cstheme="majorBidi"/>
                <w:color w:val="000000"/>
                <w:sz w:val="16"/>
                <w:szCs w:val="16"/>
                <w:lang w:val="en-GB"/>
              </w:rPr>
              <w:t>Overall management</w:t>
            </w:r>
          </w:p>
        </w:tc>
        <w:tc>
          <w:tcPr>
            <w:tcW w:w="1202" w:type="dxa"/>
            <w:noWrap/>
            <w:vAlign w:val="center"/>
            <w:hideMark/>
          </w:tcPr>
          <w:p w14:paraId="2D911573" w14:textId="5CB4C788" w:rsidR="002141E9" w:rsidRPr="00B32CB4" w:rsidRDefault="002141E9"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2,</w:t>
            </w:r>
            <w:r w:rsidR="00187B38" w:rsidRPr="00B32CB4">
              <w:rPr>
                <w:rFonts w:eastAsia="Times New Roman" w:cstheme="majorBidi"/>
                <w:color w:val="000000"/>
                <w:sz w:val="16"/>
                <w:szCs w:val="16"/>
                <w:lang w:val="en-GB"/>
              </w:rPr>
              <w:t>714,996</w:t>
            </w:r>
            <w:r w:rsidRPr="00B32CB4">
              <w:rPr>
                <w:rFonts w:eastAsia="Times New Roman" w:cstheme="majorBidi"/>
                <w:color w:val="000000"/>
                <w:sz w:val="16"/>
                <w:szCs w:val="16"/>
                <w:lang w:val="en-GB"/>
              </w:rPr>
              <w:t> </w:t>
            </w:r>
          </w:p>
        </w:tc>
        <w:tc>
          <w:tcPr>
            <w:tcW w:w="1157" w:type="dxa"/>
            <w:noWrap/>
            <w:vAlign w:val="center"/>
          </w:tcPr>
          <w:p w14:paraId="31F09E91" w14:textId="53F0BDCF" w:rsidR="002141E9" w:rsidRPr="00B32CB4" w:rsidRDefault="00187B38"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2,703,946</w:t>
            </w:r>
          </w:p>
        </w:tc>
        <w:tc>
          <w:tcPr>
            <w:tcW w:w="1157" w:type="dxa"/>
            <w:noWrap/>
            <w:vAlign w:val="center"/>
          </w:tcPr>
          <w:p w14:paraId="76FFE695" w14:textId="6D1C340D" w:rsidR="002141E9" w:rsidRPr="00B32CB4" w:rsidRDefault="00692E0C"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5,418,942</w:t>
            </w:r>
          </w:p>
        </w:tc>
        <w:tc>
          <w:tcPr>
            <w:tcW w:w="754" w:type="dxa"/>
            <w:noWrap/>
            <w:vAlign w:val="center"/>
          </w:tcPr>
          <w:p w14:paraId="523DCE06"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2815AB9A"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853" w:type="dxa"/>
            <w:noWrap/>
            <w:vAlign w:val="center"/>
          </w:tcPr>
          <w:p w14:paraId="6264EA3E"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1205" w:type="dxa"/>
            <w:noWrap/>
            <w:vAlign w:val="center"/>
          </w:tcPr>
          <w:p w14:paraId="547B284F" w14:textId="2E97F8C3" w:rsidR="002141E9" w:rsidRPr="00B32CB4" w:rsidRDefault="002141E9" w:rsidP="00186468">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2,</w:t>
            </w:r>
            <w:r w:rsidR="00F30FCB" w:rsidRPr="00B32CB4">
              <w:rPr>
                <w:rFonts w:eastAsia="Times New Roman" w:cstheme="majorBidi"/>
                <w:color w:val="000000"/>
                <w:sz w:val="16"/>
                <w:szCs w:val="16"/>
                <w:lang w:val="en-GB"/>
              </w:rPr>
              <w:t>679,996</w:t>
            </w:r>
          </w:p>
        </w:tc>
        <w:tc>
          <w:tcPr>
            <w:tcW w:w="1157" w:type="dxa"/>
            <w:noWrap/>
            <w:vAlign w:val="center"/>
          </w:tcPr>
          <w:p w14:paraId="13C64C19" w14:textId="088DE78E" w:rsidR="002141E9" w:rsidRPr="00B32CB4" w:rsidRDefault="00F30FCB" w:rsidP="00186468">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2,668,946</w:t>
            </w:r>
          </w:p>
        </w:tc>
        <w:tc>
          <w:tcPr>
            <w:tcW w:w="1157" w:type="dxa"/>
            <w:noWrap/>
            <w:vAlign w:val="center"/>
          </w:tcPr>
          <w:p w14:paraId="3962160D" w14:textId="62D23164" w:rsidR="002141E9" w:rsidRPr="00B32CB4" w:rsidRDefault="00F30FCB" w:rsidP="00186468">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5,348,942</w:t>
            </w:r>
          </w:p>
        </w:tc>
        <w:tc>
          <w:tcPr>
            <w:tcW w:w="754" w:type="dxa"/>
            <w:noWrap/>
            <w:vAlign w:val="center"/>
          </w:tcPr>
          <w:p w14:paraId="02F4C8B1"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03C3EB39"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853" w:type="dxa"/>
            <w:noWrap/>
            <w:vAlign w:val="center"/>
          </w:tcPr>
          <w:p w14:paraId="0E2390AD"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r>
      <w:tr w:rsidR="00C77370" w:rsidRPr="00B32CB4" w14:paraId="345268C5" w14:textId="77777777" w:rsidTr="00C77370">
        <w:trPr>
          <w:trHeight w:val="284"/>
        </w:trPr>
        <w:tc>
          <w:tcPr>
            <w:tcW w:w="3114" w:type="dxa"/>
            <w:noWrap/>
            <w:vAlign w:val="center"/>
            <w:hideMark/>
          </w:tcPr>
          <w:p w14:paraId="7F6AB25B" w14:textId="77777777" w:rsidR="002141E9" w:rsidRPr="00B32CB4" w:rsidRDefault="002141E9" w:rsidP="00A10FE4">
            <w:pPr>
              <w:spacing w:after="0" w:line="240" w:lineRule="auto"/>
              <w:contextualSpacing/>
              <w:jc w:val="left"/>
              <w:rPr>
                <w:rFonts w:eastAsia="Times New Roman" w:cstheme="majorBidi"/>
                <w:color w:val="000000"/>
                <w:sz w:val="16"/>
                <w:szCs w:val="16"/>
                <w:lang w:val="en-GB"/>
              </w:rPr>
            </w:pPr>
            <w:r w:rsidRPr="00B32CB4">
              <w:rPr>
                <w:rFonts w:eastAsia="Times New Roman" w:cstheme="majorBidi"/>
                <w:color w:val="000000"/>
                <w:sz w:val="16"/>
                <w:szCs w:val="16"/>
                <w:lang w:val="en-GB"/>
              </w:rPr>
              <w:t>Strategic external and internal consultations and coordination</w:t>
            </w:r>
          </w:p>
        </w:tc>
        <w:tc>
          <w:tcPr>
            <w:tcW w:w="1202" w:type="dxa"/>
            <w:noWrap/>
            <w:vAlign w:val="center"/>
            <w:hideMark/>
          </w:tcPr>
          <w:p w14:paraId="3B493ED6"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10,000 </w:t>
            </w:r>
          </w:p>
        </w:tc>
        <w:tc>
          <w:tcPr>
            <w:tcW w:w="1157" w:type="dxa"/>
            <w:noWrap/>
            <w:vAlign w:val="center"/>
          </w:tcPr>
          <w:p w14:paraId="03FC7E06"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10,000</w:t>
            </w:r>
          </w:p>
        </w:tc>
        <w:tc>
          <w:tcPr>
            <w:tcW w:w="1157" w:type="dxa"/>
            <w:noWrap/>
            <w:vAlign w:val="center"/>
          </w:tcPr>
          <w:p w14:paraId="087B5D56"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20,000</w:t>
            </w:r>
          </w:p>
        </w:tc>
        <w:tc>
          <w:tcPr>
            <w:tcW w:w="754" w:type="dxa"/>
            <w:noWrap/>
            <w:vAlign w:val="center"/>
          </w:tcPr>
          <w:p w14:paraId="7FB865B5"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6022DD2B"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853" w:type="dxa"/>
            <w:noWrap/>
            <w:vAlign w:val="center"/>
          </w:tcPr>
          <w:p w14:paraId="348BA3BF"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1205" w:type="dxa"/>
            <w:noWrap/>
            <w:vAlign w:val="center"/>
          </w:tcPr>
          <w:p w14:paraId="6C15AA27" w14:textId="77777777" w:rsidR="002141E9" w:rsidRPr="00B32CB4" w:rsidRDefault="002141E9" w:rsidP="00186468">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10,000 </w:t>
            </w:r>
          </w:p>
        </w:tc>
        <w:tc>
          <w:tcPr>
            <w:tcW w:w="1157" w:type="dxa"/>
            <w:noWrap/>
            <w:vAlign w:val="center"/>
          </w:tcPr>
          <w:p w14:paraId="162D9D38" w14:textId="77777777" w:rsidR="002141E9" w:rsidRPr="00B32CB4" w:rsidRDefault="002141E9" w:rsidP="00186468">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10,000</w:t>
            </w:r>
          </w:p>
        </w:tc>
        <w:tc>
          <w:tcPr>
            <w:tcW w:w="1157" w:type="dxa"/>
            <w:noWrap/>
            <w:vAlign w:val="center"/>
          </w:tcPr>
          <w:p w14:paraId="6EF53B57" w14:textId="77777777" w:rsidR="002141E9" w:rsidRPr="00B32CB4" w:rsidRDefault="002141E9" w:rsidP="00186468">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20,000</w:t>
            </w:r>
          </w:p>
        </w:tc>
        <w:tc>
          <w:tcPr>
            <w:tcW w:w="754" w:type="dxa"/>
            <w:noWrap/>
            <w:vAlign w:val="center"/>
          </w:tcPr>
          <w:p w14:paraId="50F27C2E"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0192C90E"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853" w:type="dxa"/>
            <w:noWrap/>
            <w:vAlign w:val="center"/>
          </w:tcPr>
          <w:p w14:paraId="7737D77A"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r>
      <w:tr w:rsidR="00C77370" w:rsidRPr="00B32CB4" w14:paraId="67A19FD2" w14:textId="77777777" w:rsidTr="00C77370">
        <w:trPr>
          <w:trHeight w:val="284"/>
        </w:trPr>
        <w:tc>
          <w:tcPr>
            <w:tcW w:w="3114" w:type="dxa"/>
            <w:noWrap/>
            <w:vAlign w:val="center"/>
            <w:hideMark/>
          </w:tcPr>
          <w:p w14:paraId="588A1FE9"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Component total</w:t>
            </w:r>
          </w:p>
        </w:tc>
        <w:tc>
          <w:tcPr>
            <w:tcW w:w="1202" w:type="dxa"/>
            <w:noWrap/>
            <w:vAlign w:val="center"/>
            <w:hideMark/>
          </w:tcPr>
          <w:p w14:paraId="45F71F63" w14:textId="52CEA5D4" w:rsidR="002141E9" w:rsidRPr="00B32CB4" w:rsidRDefault="003E7F8C"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w:t>
            </w:r>
            <w:r w:rsidR="00712520" w:rsidRPr="00B32CB4">
              <w:rPr>
                <w:rFonts w:eastAsia="Times New Roman" w:cstheme="majorBidi"/>
                <w:b/>
                <w:bCs/>
                <w:color w:val="000000"/>
                <w:sz w:val="16"/>
                <w:szCs w:val="16"/>
                <w:lang w:val="en-GB"/>
              </w:rPr>
              <w:t>724,996</w:t>
            </w:r>
            <w:r w:rsidR="002141E9" w:rsidRPr="00B32CB4">
              <w:rPr>
                <w:rFonts w:eastAsia="Times New Roman" w:cstheme="majorBidi"/>
                <w:b/>
                <w:bCs/>
                <w:color w:val="000000"/>
                <w:sz w:val="16"/>
                <w:szCs w:val="16"/>
                <w:lang w:val="en-GB"/>
              </w:rPr>
              <w:t> </w:t>
            </w:r>
          </w:p>
        </w:tc>
        <w:tc>
          <w:tcPr>
            <w:tcW w:w="1157" w:type="dxa"/>
            <w:noWrap/>
            <w:vAlign w:val="center"/>
          </w:tcPr>
          <w:p w14:paraId="347BE877" w14:textId="3919A788"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w:t>
            </w:r>
            <w:r w:rsidR="00273391" w:rsidRPr="00B32CB4">
              <w:rPr>
                <w:rFonts w:eastAsia="Times New Roman" w:cstheme="majorBidi"/>
                <w:b/>
                <w:bCs/>
                <w:color w:val="000000"/>
                <w:sz w:val="16"/>
                <w:szCs w:val="16"/>
                <w:lang w:val="en-GB"/>
              </w:rPr>
              <w:t>713,946</w:t>
            </w:r>
          </w:p>
        </w:tc>
        <w:tc>
          <w:tcPr>
            <w:tcW w:w="1157" w:type="dxa"/>
            <w:noWrap/>
            <w:vAlign w:val="center"/>
          </w:tcPr>
          <w:p w14:paraId="1091EC5C" w14:textId="1D6E68B7" w:rsidR="002141E9" w:rsidRPr="00B32CB4" w:rsidRDefault="00273391"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5,438,942</w:t>
            </w:r>
          </w:p>
        </w:tc>
        <w:tc>
          <w:tcPr>
            <w:tcW w:w="754" w:type="dxa"/>
            <w:noWrap/>
            <w:vAlign w:val="center"/>
          </w:tcPr>
          <w:p w14:paraId="492531B4"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32F0ADA5"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853" w:type="dxa"/>
            <w:noWrap/>
            <w:vAlign w:val="center"/>
          </w:tcPr>
          <w:p w14:paraId="564251F4"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1205" w:type="dxa"/>
            <w:noWrap/>
            <w:vAlign w:val="center"/>
          </w:tcPr>
          <w:p w14:paraId="494EF4A0" w14:textId="68E3A8CF" w:rsidR="002141E9" w:rsidRPr="00B32CB4" w:rsidRDefault="002141E9" w:rsidP="00186468">
            <w:pPr>
              <w:spacing w:after="0" w:line="240" w:lineRule="auto"/>
              <w:contextualSpacing/>
              <w:jc w:val="right"/>
              <w:rPr>
                <w:rFonts w:eastAsia="Times New Roman" w:cstheme="majorBidi"/>
                <w:color w:val="000000"/>
                <w:sz w:val="16"/>
                <w:szCs w:val="16"/>
                <w:lang w:val="en-GB"/>
              </w:rPr>
            </w:pPr>
            <w:r w:rsidRPr="00B32CB4">
              <w:rPr>
                <w:rFonts w:eastAsia="Times New Roman" w:cstheme="majorBidi"/>
                <w:b/>
                <w:bCs/>
                <w:color w:val="000000"/>
                <w:sz w:val="16"/>
                <w:szCs w:val="16"/>
                <w:lang w:val="en-GB"/>
              </w:rPr>
              <w:t>2,</w:t>
            </w:r>
            <w:r w:rsidR="001B0B13" w:rsidRPr="00B32CB4">
              <w:rPr>
                <w:rFonts w:eastAsia="Times New Roman" w:cstheme="majorBidi"/>
                <w:b/>
                <w:bCs/>
                <w:color w:val="000000"/>
                <w:sz w:val="16"/>
                <w:szCs w:val="16"/>
                <w:lang w:val="en-GB"/>
              </w:rPr>
              <w:t>689,996</w:t>
            </w:r>
            <w:r w:rsidRPr="00B32CB4">
              <w:rPr>
                <w:rFonts w:eastAsia="Times New Roman" w:cstheme="majorBidi"/>
                <w:b/>
                <w:bCs/>
                <w:color w:val="000000"/>
                <w:sz w:val="16"/>
                <w:szCs w:val="16"/>
                <w:lang w:val="en-GB"/>
              </w:rPr>
              <w:t> </w:t>
            </w:r>
          </w:p>
        </w:tc>
        <w:tc>
          <w:tcPr>
            <w:tcW w:w="1157" w:type="dxa"/>
            <w:noWrap/>
            <w:vAlign w:val="center"/>
          </w:tcPr>
          <w:p w14:paraId="750B890B" w14:textId="1381C3B1" w:rsidR="002141E9" w:rsidRPr="00B32CB4" w:rsidRDefault="002141E9" w:rsidP="00186468">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w:t>
            </w:r>
            <w:r w:rsidR="001B0B13" w:rsidRPr="00B32CB4">
              <w:rPr>
                <w:rFonts w:eastAsia="Times New Roman" w:cstheme="majorBidi"/>
                <w:b/>
                <w:bCs/>
                <w:color w:val="000000"/>
                <w:sz w:val="16"/>
                <w:szCs w:val="16"/>
                <w:lang w:val="en-GB"/>
              </w:rPr>
              <w:t>678,946</w:t>
            </w:r>
          </w:p>
        </w:tc>
        <w:tc>
          <w:tcPr>
            <w:tcW w:w="1157" w:type="dxa"/>
            <w:noWrap/>
            <w:vAlign w:val="center"/>
          </w:tcPr>
          <w:p w14:paraId="569572EA" w14:textId="467B30C7" w:rsidR="002141E9" w:rsidRPr="00B32CB4" w:rsidRDefault="00146329" w:rsidP="00186468">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5,368,942</w:t>
            </w:r>
          </w:p>
        </w:tc>
        <w:tc>
          <w:tcPr>
            <w:tcW w:w="754" w:type="dxa"/>
            <w:noWrap/>
            <w:vAlign w:val="center"/>
          </w:tcPr>
          <w:p w14:paraId="3E666807"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79B1B965"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853" w:type="dxa"/>
            <w:noWrap/>
            <w:vAlign w:val="center"/>
          </w:tcPr>
          <w:p w14:paraId="32224444"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r>
      <w:tr w:rsidR="00C77370" w:rsidRPr="00B32CB4" w14:paraId="616F2FD6" w14:textId="77777777" w:rsidTr="00C77370">
        <w:trPr>
          <w:trHeight w:val="284"/>
        </w:trPr>
        <w:tc>
          <w:tcPr>
            <w:tcW w:w="14871" w:type="dxa"/>
            <w:gridSpan w:val="13"/>
            <w:noWrap/>
            <w:vAlign w:val="center"/>
          </w:tcPr>
          <w:p w14:paraId="3E7D2131" w14:textId="77777777" w:rsidR="002141E9" w:rsidRPr="00B32CB4" w:rsidRDefault="002141E9" w:rsidP="00A10FE4">
            <w:pPr>
              <w:spacing w:after="0" w:line="240" w:lineRule="auto"/>
              <w:contextualSpacing/>
              <w:jc w:val="left"/>
              <w:rPr>
                <w:rFonts w:eastAsia="Times New Roman" w:cstheme="majorBidi"/>
                <w:b/>
                <w:bCs/>
                <w:color w:val="000000"/>
                <w:sz w:val="16"/>
                <w:szCs w:val="16"/>
                <w:lang w:val="en-GB"/>
              </w:rPr>
            </w:pPr>
          </w:p>
        </w:tc>
      </w:tr>
      <w:tr w:rsidR="00C77370" w:rsidRPr="00B32CB4" w14:paraId="2FFDAD36" w14:textId="77777777" w:rsidTr="00C77370">
        <w:trPr>
          <w:trHeight w:val="284"/>
        </w:trPr>
        <w:tc>
          <w:tcPr>
            <w:tcW w:w="3114" w:type="dxa"/>
            <w:noWrap/>
            <w:vAlign w:val="center"/>
            <w:hideMark/>
          </w:tcPr>
          <w:p w14:paraId="018B192F" w14:textId="31A225C3" w:rsidR="002141E9" w:rsidRPr="00B32CB4" w:rsidRDefault="009F7DF3" w:rsidP="00A10FE4">
            <w:pPr>
              <w:spacing w:after="0" w:line="240" w:lineRule="auto"/>
              <w:contextualSpacing/>
              <w:jc w:val="left"/>
              <w:rPr>
                <w:rFonts w:eastAsia="Times New Roman" w:cstheme="majorBidi"/>
                <w:color w:val="000000"/>
                <w:sz w:val="16"/>
                <w:szCs w:val="16"/>
                <w:lang w:val="en-GB"/>
              </w:rPr>
            </w:pPr>
            <w:r w:rsidRPr="00B32CB4">
              <w:rPr>
                <w:rFonts w:eastAsia="Times New Roman" w:cstheme="majorBidi"/>
                <w:b/>
                <w:bCs/>
                <w:color w:val="000000"/>
                <w:sz w:val="16"/>
                <w:szCs w:val="16"/>
                <w:lang w:val="en-GB"/>
              </w:rPr>
              <w:t xml:space="preserve">11.2 </w:t>
            </w:r>
            <w:r w:rsidR="002141E9" w:rsidRPr="00B32CB4">
              <w:rPr>
                <w:rFonts w:eastAsia="Times New Roman" w:cstheme="majorBidi"/>
                <w:b/>
                <w:bCs/>
                <w:color w:val="000000"/>
                <w:sz w:val="16"/>
                <w:szCs w:val="16"/>
                <w:lang w:val="en-GB"/>
              </w:rPr>
              <w:t>Staff travel</w:t>
            </w:r>
            <w:r w:rsidR="002141E9" w:rsidRPr="00B32CB4">
              <w:rPr>
                <w:rFonts w:eastAsia="Times New Roman" w:cstheme="majorBidi"/>
                <w:color w:val="000000"/>
                <w:sz w:val="16"/>
                <w:szCs w:val="16"/>
                <w:lang w:val="en-GB"/>
              </w:rPr>
              <w:t xml:space="preserve"> </w:t>
            </w:r>
          </w:p>
        </w:tc>
        <w:tc>
          <w:tcPr>
            <w:tcW w:w="1202" w:type="dxa"/>
            <w:noWrap/>
            <w:vAlign w:val="center"/>
            <w:hideMark/>
          </w:tcPr>
          <w:p w14:paraId="5051DDE4" w14:textId="5B0EA4B6" w:rsidR="002141E9" w:rsidRPr="00B32CB4" w:rsidRDefault="00006D90"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85,811</w:t>
            </w:r>
          </w:p>
        </w:tc>
        <w:tc>
          <w:tcPr>
            <w:tcW w:w="1157" w:type="dxa"/>
            <w:noWrap/>
            <w:vAlign w:val="center"/>
          </w:tcPr>
          <w:p w14:paraId="6FBA480C" w14:textId="5A0AA3D2" w:rsidR="002141E9" w:rsidRPr="00B32CB4" w:rsidRDefault="00006D90"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103,000</w:t>
            </w:r>
          </w:p>
        </w:tc>
        <w:tc>
          <w:tcPr>
            <w:tcW w:w="1157" w:type="dxa"/>
            <w:noWrap/>
            <w:vAlign w:val="center"/>
          </w:tcPr>
          <w:p w14:paraId="586ADFF5" w14:textId="109F7F8F" w:rsidR="002141E9" w:rsidRPr="00B32CB4" w:rsidRDefault="006503CE"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188,811</w:t>
            </w:r>
          </w:p>
        </w:tc>
        <w:tc>
          <w:tcPr>
            <w:tcW w:w="754" w:type="dxa"/>
            <w:noWrap/>
            <w:vAlign w:val="center"/>
          </w:tcPr>
          <w:p w14:paraId="171E8D8D"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0A292202"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853" w:type="dxa"/>
            <w:noWrap/>
            <w:vAlign w:val="center"/>
          </w:tcPr>
          <w:p w14:paraId="670A5AA6"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1205" w:type="dxa"/>
            <w:noWrap/>
            <w:vAlign w:val="center"/>
          </w:tcPr>
          <w:p w14:paraId="13448DCA" w14:textId="774CDB49" w:rsidR="002141E9" w:rsidRPr="00B32CB4" w:rsidRDefault="006503CE"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82,061</w:t>
            </w:r>
          </w:p>
        </w:tc>
        <w:tc>
          <w:tcPr>
            <w:tcW w:w="1157" w:type="dxa"/>
            <w:noWrap/>
            <w:vAlign w:val="center"/>
          </w:tcPr>
          <w:p w14:paraId="48003F0C" w14:textId="290E98A0" w:rsidR="002141E9" w:rsidRPr="00B32CB4" w:rsidRDefault="00BD2B6E"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color w:val="000000"/>
                <w:sz w:val="16"/>
                <w:szCs w:val="16"/>
                <w:lang w:val="en-GB"/>
              </w:rPr>
              <w:t>10</w:t>
            </w:r>
            <w:r w:rsidR="006503CE" w:rsidRPr="00B32CB4">
              <w:rPr>
                <w:rFonts w:eastAsia="Times New Roman" w:cstheme="majorBidi"/>
                <w:color w:val="000000"/>
                <w:sz w:val="16"/>
                <w:szCs w:val="16"/>
                <w:lang w:val="en-GB"/>
              </w:rPr>
              <w:t>0</w:t>
            </w:r>
            <w:r w:rsidRPr="00B32CB4">
              <w:rPr>
                <w:rFonts w:eastAsia="Times New Roman" w:cstheme="majorBidi"/>
                <w:color w:val="000000"/>
                <w:sz w:val="16"/>
                <w:szCs w:val="16"/>
                <w:lang w:val="en-GB"/>
              </w:rPr>
              <w:t>,000</w:t>
            </w:r>
          </w:p>
        </w:tc>
        <w:tc>
          <w:tcPr>
            <w:tcW w:w="1157" w:type="dxa"/>
            <w:noWrap/>
            <w:vAlign w:val="center"/>
          </w:tcPr>
          <w:p w14:paraId="4C7F7FD5" w14:textId="3647950C" w:rsidR="002141E9" w:rsidRPr="00B32CB4" w:rsidRDefault="005936AB"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182,061</w:t>
            </w:r>
          </w:p>
        </w:tc>
        <w:tc>
          <w:tcPr>
            <w:tcW w:w="754" w:type="dxa"/>
            <w:noWrap/>
            <w:vAlign w:val="center"/>
          </w:tcPr>
          <w:p w14:paraId="5257EB5D"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11ED3896"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853" w:type="dxa"/>
            <w:noWrap/>
            <w:vAlign w:val="center"/>
          </w:tcPr>
          <w:p w14:paraId="54A09840"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r>
      <w:tr w:rsidR="00C77370" w:rsidRPr="00B32CB4" w14:paraId="320FB75B" w14:textId="77777777" w:rsidTr="00C77370">
        <w:trPr>
          <w:trHeight w:val="284"/>
        </w:trPr>
        <w:tc>
          <w:tcPr>
            <w:tcW w:w="3114" w:type="dxa"/>
            <w:noWrap/>
            <w:vAlign w:val="center"/>
            <w:hideMark/>
          </w:tcPr>
          <w:p w14:paraId="31EAC1EA"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Component total</w:t>
            </w:r>
          </w:p>
        </w:tc>
        <w:tc>
          <w:tcPr>
            <w:tcW w:w="1202" w:type="dxa"/>
            <w:noWrap/>
            <w:vAlign w:val="center"/>
            <w:hideMark/>
          </w:tcPr>
          <w:p w14:paraId="161E0AEC" w14:textId="4506E8B4"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w:t>
            </w:r>
            <w:r w:rsidR="005936AB" w:rsidRPr="00B32CB4">
              <w:rPr>
                <w:rFonts w:eastAsia="Times New Roman" w:cstheme="majorBidi"/>
                <w:b/>
                <w:bCs/>
                <w:color w:val="000000"/>
                <w:sz w:val="16"/>
                <w:szCs w:val="16"/>
                <w:lang w:val="en-GB"/>
              </w:rPr>
              <w:t>85,811</w:t>
            </w:r>
          </w:p>
        </w:tc>
        <w:tc>
          <w:tcPr>
            <w:tcW w:w="1157" w:type="dxa"/>
            <w:noWrap/>
            <w:vAlign w:val="center"/>
          </w:tcPr>
          <w:p w14:paraId="1995BC34" w14:textId="60F49409" w:rsidR="002141E9" w:rsidRPr="00B32CB4" w:rsidRDefault="005936AB"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103,000</w:t>
            </w:r>
          </w:p>
        </w:tc>
        <w:tc>
          <w:tcPr>
            <w:tcW w:w="1157" w:type="dxa"/>
            <w:noWrap/>
            <w:vAlign w:val="center"/>
          </w:tcPr>
          <w:p w14:paraId="2061E0C6" w14:textId="44B2CE6B" w:rsidR="002141E9" w:rsidRPr="00B32CB4" w:rsidRDefault="005936AB"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188,811</w:t>
            </w:r>
          </w:p>
        </w:tc>
        <w:tc>
          <w:tcPr>
            <w:tcW w:w="754" w:type="dxa"/>
            <w:noWrap/>
            <w:vAlign w:val="center"/>
          </w:tcPr>
          <w:p w14:paraId="65F8C326"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754" w:type="dxa"/>
            <w:noWrap/>
            <w:vAlign w:val="center"/>
          </w:tcPr>
          <w:p w14:paraId="136383FD"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853" w:type="dxa"/>
            <w:noWrap/>
            <w:vAlign w:val="center"/>
          </w:tcPr>
          <w:p w14:paraId="6BCB4C10"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1205" w:type="dxa"/>
            <w:noWrap/>
            <w:vAlign w:val="center"/>
          </w:tcPr>
          <w:p w14:paraId="7131E2C4" w14:textId="14673EA7" w:rsidR="002141E9" w:rsidRPr="00B32CB4" w:rsidRDefault="005936AB"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82,061</w:t>
            </w:r>
          </w:p>
        </w:tc>
        <w:tc>
          <w:tcPr>
            <w:tcW w:w="1157" w:type="dxa"/>
            <w:noWrap/>
            <w:vAlign w:val="center"/>
          </w:tcPr>
          <w:p w14:paraId="21D57B35" w14:textId="355E72F9" w:rsidR="002141E9" w:rsidRPr="00B32CB4" w:rsidRDefault="00BD2B6E"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10</w:t>
            </w:r>
            <w:r w:rsidR="005936AB" w:rsidRPr="00B32CB4">
              <w:rPr>
                <w:rFonts w:eastAsia="Times New Roman" w:cstheme="majorBidi"/>
                <w:b/>
                <w:bCs/>
                <w:color w:val="000000"/>
                <w:sz w:val="16"/>
                <w:szCs w:val="16"/>
                <w:lang w:val="en-GB"/>
              </w:rPr>
              <w:t>0</w:t>
            </w:r>
            <w:r w:rsidRPr="00B32CB4">
              <w:rPr>
                <w:rFonts w:eastAsia="Times New Roman" w:cstheme="majorBidi"/>
                <w:b/>
                <w:bCs/>
                <w:color w:val="000000"/>
                <w:sz w:val="16"/>
                <w:szCs w:val="16"/>
                <w:lang w:val="en-GB"/>
              </w:rPr>
              <w:t>,000</w:t>
            </w:r>
          </w:p>
        </w:tc>
        <w:tc>
          <w:tcPr>
            <w:tcW w:w="1157" w:type="dxa"/>
            <w:noWrap/>
            <w:vAlign w:val="center"/>
          </w:tcPr>
          <w:p w14:paraId="15E4596D" w14:textId="5E15CC92" w:rsidR="002141E9" w:rsidRPr="00B32CB4" w:rsidRDefault="00314EE3"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182,061</w:t>
            </w:r>
          </w:p>
        </w:tc>
        <w:tc>
          <w:tcPr>
            <w:tcW w:w="754" w:type="dxa"/>
            <w:noWrap/>
            <w:vAlign w:val="center"/>
          </w:tcPr>
          <w:p w14:paraId="744774C6"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754" w:type="dxa"/>
            <w:noWrap/>
            <w:vAlign w:val="center"/>
          </w:tcPr>
          <w:p w14:paraId="7457C963"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853" w:type="dxa"/>
            <w:noWrap/>
            <w:vAlign w:val="center"/>
          </w:tcPr>
          <w:p w14:paraId="66D5C5BC"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r>
      <w:tr w:rsidR="00C77370" w:rsidRPr="00B32CB4" w14:paraId="33618DE2" w14:textId="77777777" w:rsidTr="00C77370">
        <w:trPr>
          <w:trHeight w:val="284"/>
        </w:trPr>
        <w:tc>
          <w:tcPr>
            <w:tcW w:w="3114" w:type="dxa"/>
            <w:noWrap/>
            <w:vAlign w:val="center"/>
            <w:hideMark/>
          </w:tcPr>
          <w:p w14:paraId="1FF9F3C7" w14:textId="77777777" w:rsidR="002141E9" w:rsidRPr="00B32CB4" w:rsidRDefault="002141E9" w:rsidP="00A10FE4">
            <w:pPr>
              <w:spacing w:after="0" w:line="240" w:lineRule="auto"/>
              <w:contextualSpacing/>
              <w:jc w:val="lef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 xml:space="preserve">Grand Total </w:t>
            </w:r>
          </w:p>
        </w:tc>
        <w:tc>
          <w:tcPr>
            <w:tcW w:w="1202" w:type="dxa"/>
            <w:noWrap/>
            <w:vAlign w:val="center"/>
            <w:hideMark/>
          </w:tcPr>
          <w:p w14:paraId="5309EB57" w14:textId="143C3B09"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w:t>
            </w:r>
            <w:r w:rsidR="001F6CCE" w:rsidRPr="00B32CB4">
              <w:rPr>
                <w:rFonts w:eastAsia="Times New Roman" w:cstheme="majorBidi"/>
                <w:b/>
                <w:bCs/>
                <w:color w:val="000000"/>
                <w:sz w:val="16"/>
                <w:szCs w:val="16"/>
                <w:lang w:val="en-GB"/>
              </w:rPr>
              <w:t>,810,807</w:t>
            </w:r>
            <w:r w:rsidRPr="00B32CB4">
              <w:rPr>
                <w:rFonts w:eastAsia="Times New Roman" w:cstheme="majorBidi"/>
                <w:b/>
                <w:bCs/>
                <w:color w:val="000000"/>
                <w:sz w:val="16"/>
                <w:szCs w:val="16"/>
                <w:lang w:val="en-GB"/>
              </w:rPr>
              <w:t> </w:t>
            </w:r>
          </w:p>
        </w:tc>
        <w:tc>
          <w:tcPr>
            <w:tcW w:w="1157" w:type="dxa"/>
            <w:noWrap/>
            <w:vAlign w:val="center"/>
          </w:tcPr>
          <w:p w14:paraId="3E963E79" w14:textId="406F923A" w:rsidR="002141E9" w:rsidRPr="00B32CB4" w:rsidRDefault="001F6CCE"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2,816,946</w:t>
            </w:r>
          </w:p>
        </w:tc>
        <w:tc>
          <w:tcPr>
            <w:tcW w:w="1157" w:type="dxa"/>
            <w:noWrap/>
            <w:vAlign w:val="center"/>
          </w:tcPr>
          <w:p w14:paraId="24E787F1" w14:textId="77D12005" w:rsidR="002141E9" w:rsidRPr="00B32CB4" w:rsidRDefault="00F1570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5,627,753</w:t>
            </w:r>
          </w:p>
        </w:tc>
        <w:tc>
          <w:tcPr>
            <w:tcW w:w="754" w:type="dxa"/>
            <w:noWrap/>
            <w:vAlign w:val="center"/>
          </w:tcPr>
          <w:p w14:paraId="6156F62D"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602EFD14"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853" w:type="dxa"/>
            <w:noWrap/>
            <w:vAlign w:val="center"/>
          </w:tcPr>
          <w:p w14:paraId="05AFD537"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1205" w:type="dxa"/>
            <w:noWrap/>
            <w:vAlign w:val="center"/>
          </w:tcPr>
          <w:p w14:paraId="45935681" w14:textId="730CD802" w:rsidR="002141E9" w:rsidRPr="00B32CB4" w:rsidRDefault="002141E9" w:rsidP="00A10FE4">
            <w:pPr>
              <w:spacing w:after="0" w:line="240" w:lineRule="auto"/>
              <w:contextualSpacing/>
              <w:jc w:val="right"/>
              <w:rPr>
                <w:rFonts w:eastAsia="Times New Roman" w:cstheme="majorBidi"/>
                <w:color w:val="000000"/>
                <w:sz w:val="16"/>
                <w:szCs w:val="16"/>
                <w:lang w:val="en-GB"/>
              </w:rPr>
            </w:pPr>
            <w:r w:rsidRPr="00B32CB4">
              <w:rPr>
                <w:rFonts w:eastAsia="Times New Roman" w:cstheme="majorBidi"/>
                <w:b/>
                <w:bCs/>
                <w:color w:val="000000"/>
                <w:sz w:val="16"/>
                <w:szCs w:val="16"/>
                <w:lang w:val="en-GB"/>
              </w:rPr>
              <w:t>2,</w:t>
            </w:r>
            <w:r w:rsidR="00CF2455" w:rsidRPr="00B32CB4">
              <w:rPr>
                <w:rFonts w:eastAsia="Times New Roman" w:cstheme="majorBidi"/>
                <w:b/>
                <w:bCs/>
                <w:color w:val="000000"/>
                <w:sz w:val="16"/>
                <w:szCs w:val="16"/>
                <w:lang w:val="en-GB"/>
              </w:rPr>
              <w:t>772,057</w:t>
            </w:r>
            <w:r w:rsidRPr="00B32CB4">
              <w:rPr>
                <w:rFonts w:eastAsia="Times New Roman" w:cstheme="majorBidi"/>
                <w:b/>
                <w:bCs/>
                <w:color w:val="000000"/>
                <w:sz w:val="16"/>
                <w:szCs w:val="16"/>
                <w:lang w:val="en-GB"/>
              </w:rPr>
              <w:t> </w:t>
            </w:r>
          </w:p>
        </w:tc>
        <w:tc>
          <w:tcPr>
            <w:tcW w:w="1157" w:type="dxa"/>
            <w:noWrap/>
            <w:vAlign w:val="center"/>
          </w:tcPr>
          <w:p w14:paraId="406A5D31" w14:textId="3D417C23"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2,</w:t>
            </w:r>
            <w:r w:rsidR="00CF2455" w:rsidRPr="00B32CB4">
              <w:rPr>
                <w:rFonts w:eastAsia="Times New Roman" w:cstheme="majorBidi"/>
                <w:b/>
                <w:bCs/>
                <w:color w:val="000000"/>
                <w:sz w:val="16"/>
                <w:szCs w:val="16"/>
                <w:lang w:val="en-GB"/>
              </w:rPr>
              <w:t>778,946</w:t>
            </w:r>
          </w:p>
        </w:tc>
        <w:tc>
          <w:tcPr>
            <w:tcW w:w="1157" w:type="dxa"/>
            <w:noWrap/>
            <w:vAlign w:val="center"/>
          </w:tcPr>
          <w:p w14:paraId="4B8601D5" w14:textId="1FB29070" w:rsidR="002141E9" w:rsidRPr="00B32CB4" w:rsidRDefault="00616250" w:rsidP="00A10FE4">
            <w:pPr>
              <w:spacing w:after="0" w:line="240" w:lineRule="auto"/>
              <w:contextualSpacing/>
              <w:jc w:val="right"/>
              <w:rPr>
                <w:rFonts w:eastAsia="Times New Roman" w:cstheme="majorBidi"/>
                <w:b/>
                <w:bCs/>
                <w:color w:val="000000"/>
                <w:sz w:val="16"/>
                <w:szCs w:val="16"/>
                <w:lang w:val="en-GB"/>
              </w:rPr>
            </w:pPr>
            <w:r w:rsidRPr="00B32CB4">
              <w:rPr>
                <w:rFonts w:eastAsia="Times New Roman" w:cstheme="majorBidi"/>
                <w:b/>
                <w:bCs/>
                <w:color w:val="000000"/>
                <w:sz w:val="16"/>
                <w:szCs w:val="16"/>
                <w:lang w:val="en-GB"/>
              </w:rPr>
              <w:t>5,</w:t>
            </w:r>
            <w:r w:rsidR="00A560FB" w:rsidRPr="00B32CB4">
              <w:rPr>
                <w:rFonts w:eastAsia="Times New Roman" w:cstheme="majorBidi"/>
                <w:b/>
                <w:bCs/>
                <w:color w:val="000000"/>
                <w:sz w:val="16"/>
                <w:szCs w:val="16"/>
                <w:lang w:val="en-GB"/>
              </w:rPr>
              <w:t>551,003</w:t>
            </w:r>
          </w:p>
        </w:tc>
        <w:tc>
          <w:tcPr>
            <w:tcW w:w="754" w:type="dxa"/>
            <w:noWrap/>
            <w:vAlign w:val="center"/>
          </w:tcPr>
          <w:p w14:paraId="6F012AD5" w14:textId="77777777" w:rsidR="002141E9" w:rsidRPr="00B32CB4" w:rsidRDefault="002141E9" w:rsidP="00A10FE4">
            <w:pPr>
              <w:spacing w:after="0" w:line="240" w:lineRule="auto"/>
              <w:contextualSpacing/>
              <w:jc w:val="right"/>
              <w:rPr>
                <w:rFonts w:eastAsia="Times New Roman" w:cstheme="majorBidi"/>
                <w:color w:val="000000"/>
                <w:sz w:val="16"/>
                <w:szCs w:val="16"/>
                <w:lang w:val="en-GB"/>
              </w:rPr>
            </w:pPr>
          </w:p>
        </w:tc>
        <w:tc>
          <w:tcPr>
            <w:tcW w:w="754" w:type="dxa"/>
            <w:noWrap/>
            <w:vAlign w:val="center"/>
          </w:tcPr>
          <w:p w14:paraId="1AD52125"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c>
          <w:tcPr>
            <w:tcW w:w="853" w:type="dxa"/>
            <w:noWrap/>
            <w:vAlign w:val="center"/>
          </w:tcPr>
          <w:p w14:paraId="7D655457" w14:textId="77777777" w:rsidR="002141E9" w:rsidRPr="00B32CB4" w:rsidRDefault="002141E9" w:rsidP="00A10FE4">
            <w:pPr>
              <w:spacing w:after="0" w:line="240" w:lineRule="auto"/>
              <w:contextualSpacing/>
              <w:jc w:val="right"/>
              <w:rPr>
                <w:rFonts w:eastAsia="Times New Roman" w:cstheme="majorBidi"/>
                <w:b/>
                <w:bCs/>
                <w:color w:val="000000"/>
                <w:sz w:val="16"/>
                <w:szCs w:val="16"/>
                <w:lang w:val="en-GB"/>
              </w:rPr>
            </w:pPr>
          </w:p>
        </w:tc>
      </w:tr>
    </w:tbl>
    <w:p w14:paraId="408CEFBE" w14:textId="77777777" w:rsidR="002141E9" w:rsidRPr="00845FB7" w:rsidRDefault="002141E9" w:rsidP="002141E9">
      <w:pPr>
        <w:contextualSpacing/>
        <w:rPr>
          <w:b/>
          <w:bCs/>
          <w:sz w:val="24"/>
          <w:szCs w:val="24"/>
          <w:lang w:val="en-GB"/>
        </w:rPr>
      </w:pPr>
    </w:p>
    <w:p w14:paraId="79D6214A" w14:textId="77777777" w:rsidR="002141E9" w:rsidRPr="00845FB7" w:rsidRDefault="002141E9" w:rsidP="00BD36F8">
      <w:pPr>
        <w:pStyle w:val="Heading3"/>
        <w:rPr>
          <w:bCs/>
          <w:sz w:val="24"/>
          <w:lang w:val="en-GB"/>
        </w:rPr>
      </w:pPr>
      <w:r w:rsidRPr="00845FB7">
        <w:rPr>
          <w:bCs/>
          <w:sz w:val="24"/>
          <w:lang w:val="en-GB"/>
        </w:rPr>
        <w:t xml:space="preserve">Overview of </w:t>
      </w:r>
      <w:r w:rsidRPr="00845FB7">
        <w:rPr>
          <w:sz w:val="24"/>
          <w:lang w:val="en-GB"/>
        </w:rPr>
        <w:t>resources</w:t>
      </w:r>
    </w:p>
    <w:tbl>
      <w:tblPr>
        <w:tblStyle w:val="TableGridLight"/>
        <w:tblpPr w:leftFromText="180" w:rightFromText="180" w:vertAnchor="text" w:tblpY="1"/>
        <w:tblOverlap w:val="never"/>
        <w:tblW w:w="10060" w:type="dxa"/>
        <w:tblLook w:val="04A0" w:firstRow="1" w:lastRow="0" w:firstColumn="1" w:lastColumn="0" w:noHBand="0" w:noVBand="1"/>
      </w:tblPr>
      <w:tblGrid>
        <w:gridCol w:w="4531"/>
        <w:gridCol w:w="1985"/>
        <w:gridCol w:w="1985"/>
        <w:gridCol w:w="1985"/>
      </w:tblGrid>
      <w:tr w:rsidR="002141E9" w:rsidRPr="00845FB7" w14:paraId="088FAD84" w14:textId="77777777" w:rsidTr="003C779F">
        <w:trPr>
          <w:trHeight w:val="340"/>
        </w:trPr>
        <w:tc>
          <w:tcPr>
            <w:tcW w:w="4531" w:type="dxa"/>
            <w:noWrap/>
            <w:hideMark/>
          </w:tcPr>
          <w:p w14:paraId="26C808D9" w14:textId="77777777" w:rsidR="002141E9" w:rsidRPr="00845FB7" w:rsidRDefault="002141E9" w:rsidP="003C779F">
            <w:pPr>
              <w:contextualSpacing/>
              <w:rPr>
                <w:rFonts w:cstheme="majorBidi"/>
                <w:b/>
                <w:bCs/>
                <w:sz w:val="18"/>
                <w:szCs w:val="18"/>
                <w:lang w:val="en-GB"/>
              </w:rPr>
            </w:pPr>
            <w:r w:rsidRPr="00845FB7">
              <w:rPr>
                <w:rFonts w:cstheme="majorBidi"/>
                <w:b/>
                <w:bCs/>
                <w:sz w:val="18"/>
                <w:szCs w:val="18"/>
                <w:lang w:val="en-GB"/>
              </w:rPr>
              <w:t>Budget</w:t>
            </w:r>
          </w:p>
        </w:tc>
        <w:tc>
          <w:tcPr>
            <w:tcW w:w="1985" w:type="dxa"/>
            <w:hideMark/>
          </w:tcPr>
          <w:p w14:paraId="63083523" w14:textId="1899C334" w:rsidR="002141E9" w:rsidRPr="00845FB7" w:rsidRDefault="002141E9" w:rsidP="003C779F">
            <w:pPr>
              <w:contextualSpacing/>
              <w:jc w:val="center"/>
              <w:rPr>
                <w:rFonts w:cstheme="majorBidi"/>
                <w:b/>
                <w:bCs/>
                <w:sz w:val="18"/>
                <w:szCs w:val="18"/>
                <w:lang w:val="en-GB"/>
              </w:rPr>
            </w:pPr>
            <w:r w:rsidRPr="00845FB7">
              <w:rPr>
                <w:rFonts w:cstheme="majorBidi"/>
                <w:b/>
                <w:bCs/>
                <w:sz w:val="18"/>
                <w:szCs w:val="18"/>
                <w:lang w:val="en-GB"/>
              </w:rPr>
              <w:t xml:space="preserve">General </w:t>
            </w:r>
            <w:r w:rsidR="00AA3466" w:rsidRPr="00845FB7">
              <w:rPr>
                <w:rFonts w:cstheme="majorBidi"/>
                <w:b/>
                <w:bCs/>
                <w:sz w:val="18"/>
                <w:szCs w:val="18"/>
                <w:lang w:val="en-GB"/>
              </w:rPr>
              <w:t>t</w:t>
            </w:r>
            <w:r w:rsidRPr="00845FB7">
              <w:rPr>
                <w:rFonts w:cstheme="majorBidi"/>
                <w:b/>
                <w:bCs/>
                <w:sz w:val="18"/>
                <w:szCs w:val="18"/>
                <w:lang w:val="en-GB"/>
              </w:rPr>
              <w:t xml:space="preserve">rust </w:t>
            </w:r>
            <w:r w:rsidR="00AA3466" w:rsidRPr="00845FB7">
              <w:rPr>
                <w:rFonts w:cstheme="majorBidi"/>
                <w:b/>
                <w:bCs/>
                <w:sz w:val="18"/>
                <w:szCs w:val="18"/>
                <w:lang w:val="en-GB"/>
              </w:rPr>
              <w:t>f</w:t>
            </w:r>
            <w:r w:rsidRPr="00845FB7">
              <w:rPr>
                <w:rFonts w:cstheme="majorBidi"/>
                <w:b/>
                <w:bCs/>
                <w:sz w:val="18"/>
                <w:szCs w:val="18"/>
                <w:lang w:val="en-GB"/>
              </w:rPr>
              <w:t>und</w:t>
            </w:r>
          </w:p>
        </w:tc>
        <w:tc>
          <w:tcPr>
            <w:tcW w:w="1985" w:type="dxa"/>
            <w:hideMark/>
          </w:tcPr>
          <w:p w14:paraId="4CEB646B" w14:textId="7E7987FD" w:rsidR="002141E9" w:rsidRPr="00845FB7" w:rsidRDefault="002141E9" w:rsidP="003C779F">
            <w:pPr>
              <w:contextualSpacing/>
              <w:jc w:val="center"/>
              <w:rPr>
                <w:rFonts w:cstheme="majorBidi"/>
                <w:b/>
                <w:bCs/>
                <w:sz w:val="18"/>
                <w:szCs w:val="18"/>
                <w:lang w:val="en-GB"/>
              </w:rPr>
            </w:pPr>
            <w:r w:rsidRPr="00845FB7">
              <w:rPr>
                <w:rFonts w:cstheme="majorBidi"/>
                <w:b/>
                <w:bCs/>
                <w:sz w:val="18"/>
                <w:szCs w:val="18"/>
                <w:lang w:val="en-GB"/>
              </w:rPr>
              <w:t xml:space="preserve">Special </w:t>
            </w:r>
            <w:r w:rsidR="00AA3466" w:rsidRPr="00845FB7">
              <w:rPr>
                <w:rFonts w:cstheme="majorBidi"/>
                <w:b/>
                <w:bCs/>
                <w:sz w:val="18"/>
                <w:szCs w:val="18"/>
                <w:lang w:val="en-GB"/>
              </w:rPr>
              <w:t>t</w:t>
            </w:r>
            <w:r w:rsidRPr="00845FB7">
              <w:rPr>
                <w:rFonts w:cstheme="majorBidi"/>
                <w:b/>
                <w:bCs/>
                <w:sz w:val="18"/>
                <w:szCs w:val="18"/>
                <w:lang w:val="en-GB"/>
              </w:rPr>
              <w:t xml:space="preserve">rust </w:t>
            </w:r>
            <w:r w:rsidR="00AA3466" w:rsidRPr="00845FB7">
              <w:rPr>
                <w:rFonts w:cstheme="majorBidi"/>
                <w:b/>
                <w:bCs/>
                <w:sz w:val="18"/>
                <w:szCs w:val="18"/>
                <w:lang w:val="en-GB"/>
              </w:rPr>
              <w:t>f</w:t>
            </w:r>
            <w:r w:rsidRPr="00845FB7">
              <w:rPr>
                <w:rFonts w:cstheme="majorBidi"/>
                <w:b/>
                <w:bCs/>
                <w:sz w:val="18"/>
                <w:szCs w:val="18"/>
                <w:lang w:val="en-GB"/>
              </w:rPr>
              <w:t>und</w:t>
            </w:r>
          </w:p>
        </w:tc>
        <w:tc>
          <w:tcPr>
            <w:tcW w:w="1985" w:type="dxa"/>
            <w:hideMark/>
          </w:tcPr>
          <w:p w14:paraId="7D783B81" w14:textId="3709D026" w:rsidR="002141E9" w:rsidRPr="00845FB7" w:rsidRDefault="002141E9" w:rsidP="003C779F">
            <w:pPr>
              <w:contextualSpacing/>
              <w:jc w:val="center"/>
              <w:rPr>
                <w:rFonts w:cstheme="majorBidi"/>
                <w:b/>
                <w:bCs/>
                <w:sz w:val="18"/>
                <w:szCs w:val="18"/>
                <w:lang w:val="en-GB"/>
              </w:rPr>
            </w:pPr>
            <w:r w:rsidRPr="00845FB7">
              <w:rPr>
                <w:rFonts w:cstheme="majorBidi"/>
                <w:b/>
                <w:bCs/>
                <w:sz w:val="18"/>
                <w:szCs w:val="18"/>
                <w:lang w:val="en-GB"/>
              </w:rPr>
              <w:t xml:space="preserve">Total </w:t>
            </w:r>
            <w:r w:rsidR="00AA3466" w:rsidRPr="00845FB7">
              <w:rPr>
                <w:rFonts w:cstheme="majorBidi"/>
                <w:b/>
                <w:bCs/>
                <w:sz w:val="18"/>
                <w:szCs w:val="18"/>
                <w:lang w:val="en-GB"/>
              </w:rPr>
              <w:t>c</w:t>
            </w:r>
            <w:r w:rsidRPr="00845FB7">
              <w:rPr>
                <w:rFonts w:cstheme="majorBidi"/>
                <w:b/>
                <w:bCs/>
                <w:sz w:val="18"/>
                <w:szCs w:val="18"/>
                <w:lang w:val="en-GB"/>
              </w:rPr>
              <w:t>ontribution</w:t>
            </w:r>
          </w:p>
        </w:tc>
      </w:tr>
      <w:tr w:rsidR="002141E9" w:rsidRPr="00845FB7" w14:paraId="6003F8A4" w14:textId="77777777" w:rsidTr="003C779F">
        <w:trPr>
          <w:trHeight w:val="340"/>
        </w:trPr>
        <w:tc>
          <w:tcPr>
            <w:tcW w:w="4531" w:type="dxa"/>
            <w:noWrap/>
            <w:hideMark/>
          </w:tcPr>
          <w:p w14:paraId="0B0058EE" w14:textId="0DCB75D8" w:rsidR="002141E9" w:rsidRPr="00845FB7" w:rsidRDefault="002141E9" w:rsidP="003C779F">
            <w:pPr>
              <w:jc w:val="left"/>
              <w:rPr>
                <w:rFonts w:cstheme="majorBidi"/>
                <w:sz w:val="18"/>
                <w:szCs w:val="18"/>
                <w:lang w:val="en-GB"/>
              </w:rPr>
            </w:pPr>
            <w:r w:rsidRPr="00845FB7">
              <w:rPr>
                <w:rFonts w:cstheme="majorBidi"/>
                <w:sz w:val="18"/>
                <w:szCs w:val="18"/>
                <w:lang w:val="en-GB"/>
              </w:rPr>
              <w:t>202</w:t>
            </w:r>
            <w:r w:rsidR="00005EE7" w:rsidRPr="00845FB7">
              <w:rPr>
                <w:rFonts w:cstheme="majorBidi"/>
                <w:sz w:val="18"/>
                <w:szCs w:val="18"/>
                <w:lang w:val="en-GB"/>
              </w:rPr>
              <w:t>4</w:t>
            </w:r>
            <w:r w:rsidRPr="00845FB7">
              <w:rPr>
                <w:rFonts w:cstheme="majorBidi"/>
                <w:sz w:val="18"/>
                <w:szCs w:val="18"/>
                <w:lang w:val="en-GB"/>
              </w:rPr>
              <w:t>-202</w:t>
            </w:r>
            <w:r w:rsidR="00005EE7" w:rsidRPr="00845FB7">
              <w:rPr>
                <w:rFonts w:cstheme="majorBidi"/>
                <w:sz w:val="18"/>
                <w:szCs w:val="18"/>
                <w:lang w:val="en-GB"/>
              </w:rPr>
              <w:t>5</w:t>
            </w:r>
            <w:r w:rsidRPr="00845FB7">
              <w:rPr>
                <w:rFonts w:cstheme="majorBidi"/>
                <w:sz w:val="18"/>
                <w:szCs w:val="18"/>
                <w:lang w:val="en-GB"/>
              </w:rPr>
              <w:t xml:space="preserve"> approved</w:t>
            </w:r>
          </w:p>
        </w:tc>
        <w:tc>
          <w:tcPr>
            <w:tcW w:w="1985" w:type="dxa"/>
            <w:noWrap/>
          </w:tcPr>
          <w:p w14:paraId="276049E0" w14:textId="1F39E41F" w:rsidR="002141E9" w:rsidRPr="00845FB7" w:rsidRDefault="008401DE" w:rsidP="003C779F">
            <w:pPr>
              <w:jc w:val="right"/>
              <w:rPr>
                <w:rFonts w:cstheme="majorBidi"/>
                <w:b/>
                <w:bCs/>
                <w:sz w:val="18"/>
                <w:szCs w:val="18"/>
                <w:lang w:val="en-GB"/>
              </w:rPr>
            </w:pPr>
            <w:r w:rsidRPr="00845FB7">
              <w:rPr>
                <w:rFonts w:cstheme="majorBidi"/>
                <w:b/>
                <w:bCs/>
                <w:sz w:val="18"/>
                <w:szCs w:val="18"/>
                <w:lang w:val="en-GB"/>
              </w:rPr>
              <w:t>5</w:t>
            </w:r>
            <w:r w:rsidR="00903604" w:rsidRPr="00845FB7">
              <w:rPr>
                <w:rFonts w:cstheme="majorBidi"/>
                <w:b/>
                <w:bCs/>
                <w:sz w:val="18"/>
                <w:szCs w:val="18"/>
                <w:lang w:val="en-GB"/>
              </w:rPr>
              <w:t>,217,637</w:t>
            </w:r>
          </w:p>
        </w:tc>
        <w:tc>
          <w:tcPr>
            <w:tcW w:w="1985" w:type="dxa"/>
            <w:noWrap/>
          </w:tcPr>
          <w:p w14:paraId="33FEDEAF" w14:textId="77777777" w:rsidR="002141E9" w:rsidRPr="00845FB7" w:rsidRDefault="002141E9" w:rsidP="003C779F">
            <w:pPr>
              <w:jc w:val="right"/>
              <w:rPr>
                <w:rFonts w:cstheme="majorBidi"/>
                <w:b/>
                <w:bCs/>
                <w:sz w:val="18"/>
                <w:szCs w:val="18"/>
                <w:lang w:val="en-GB"/>
              </w:rPr>
            </w:pPr>
          </w:p>
        </w:tc>
        <w:tc>
          <w:tcPr>
            <w:tcW w:w="1985" w:type="dxa"/>
            <w:noWrap/>
          </w:tcPr>
          <w:p w14:paraId="53B19DEA" w14:textId="3D42D514" w:rsidR="002141E9" w:rsidRPr="00845FB7" w:rsidRDefault="00903604" w:rsidP="003C779F">
            <w:pPr>
              <w:jc w:val="right"/>
              <w:rPr>
                <w:rFonts w:cstheme="majorBidi"/>
                <w:b/>
                <w:bCs/>
                <w:sz w:val="18"/>
                <w:szCs w:val="18"/>
                <w:lang w:val="en-GB"/>
              </w:rPr>
            </w:pPr>
            <w:r w:rsidRPr="00845FB7">
              <w:rPr>
                <w:rFonts w:cstheme="majorBidi"/>
                <w:b/>
                <w:bCs/>
                <w:sz w:val="18"/>
                <w:szCs w:val="18"/>
                <w:lang w:val="en-GB"/>
              </w:rPr>
              <w:t>5,217,637</w:t>
            </w:r>
          </w:p>
        </w:tc>
      </w:tr>
      <w:tr w:rsidR="002141E9" w:rsidRPr="00845FB7" w14:paraId="1826CAEA" w14:textId="77777777" w:rsidTr="003C779F">
        <w:trPr>
          <w:trHeight w:val="340"/>
        </w:trPr>
        <w:tc>
          <w:tcPr>
            <w:tcW w:w="4531" w:type="dxa"/>
            <w:hideMark/>
          </w:tcPr>
          <w:p w14:paraId="1366953B" w14:textId="5C9F8094" w:rsidR="002141E9" w:rsidRPr="00845FB7" w:rsidRDefault="00E2051A" w:rsidP="003C779F">
            <w:pPr>
              <w:jc w:val="left"/>
              <w:rPr>
                <w:rFonts w:cstheme="majorBidi"/>
                <w:sz w:val="18"/>
                <w:szCs w:val="18"/>
                <w:lang w:val="en-GB"/>
              </w:rPr>
            </w:pPr>
            <w:r w:rsidRPr="00845FB7">
              <w:rPr>
                <w:rFonts w:cstheme="majorBidi"/>
                <w:sz w:val="18"/>
                <w:szCs w:val="18"/>
                <w:lang w:val="en-GB"/>
              </w:rPr>
              <w:t>2026–2027</w:t>
            </w:r>
            <w:r w:rsidR="002141E9" w:rsidRPr="00845FB7">
              <w:rPr>
                <w:rFonts w:cstheme="majorBidi"/>
                <w:sz w:val="18"/>
                <w:szCs w:val="18"/>
                <w:lang w:val="en-GB"/>
              </w:rPr>
              <w:t xml:space="preserve"> requested in </w:t>
            </w:r>
            <w:r w:rsidR="00AA3466" w:rsidRPr="00845FB7">
              <w:rPr>
                <w:rFonts w:cstheme="majorBidi"/>
                <w:sz w:val="18"/>
                <w:szCs w:val="18"/>
                <w:lang w:val="en-GB"/>
              </w:rPr>
              <w:t xml:space="preserve">the </w:t>
            </w:r>
            <w:r w:rsidR="002141E9" w:rsidRPr="00845FB7">
              <w:rPr>
                <w:rFonts w:cstheme="majorBidi"/>
                <w:sz w:val="18"/>
                <w:szCs w:val="18"/>
                <w:lang w:val="en-GB"/>
              </w:rPr>
              <w:t>5</w:t>
            </w:r>
            <w:r w:rsidR="00AA3466" w:rsidRPr="00845FB7">
              <w:rPr>
                <w:rFonts w:cstheme="majorBidi"/>
                <w:sz w:val="18"/>
                <w:szCs w:val="18"/>
                <w:lang w:val="en-GB"/>
              </w:rPr>
              <w:t xml:space="preserve"> per cent</w:t>
            </w:r>
            <w:r w:rsidR="002141E9" w:rsidRPr="00845FB7">
              <w:rPr>
                <w:rFonts w:cstheme="majorBidi"/>
                <w:sz w:val="18"/>
                <w:szCs w:val="18"/>
                <w:lang w:val="en-GB"/>
              </w:rPr>
              <w:t xml:space="preserve"> scenario</w:t>
            </w:r>
          </w:p>
        </w:tc>
        <w:tc>
          <w:tcPr>
            <w:tcW w:w="1985" w:type="dxa"/>
            <w:noWrap/>
          </w:tcPr>
          <w:p w14:paraId="6177B041" w14:textId="6D89BE14" w:rsidR="002141E9" w:rsidRPr="00845FB7" w:rsidRDefault="00294BC6" w:rsidP="003C779F">
            <w:pPr>
              <w:jc w:val="right"/>
              <w:rPr>
                <w:rFonts w:cstheme="majorBidi"/>
                <w:b/>
                <w:bCs/>
                <w:sz w:val="18"/>
                <w:szCs w:val="18"/>
                <w:lang w:val="en-GB"/>
              </w:rPr>
            </w:pPr>
            <w:r w:rsidRPr="00845FB7">
              <w:rPr>
                <w:rFonts w:eastAsia="Times New Roman" w:cstheme="majorBidi"/>
                <w:b/>
                <w:bCs/>
                <w:color w:val="000000"/>
                <w:sz w:val="18"/>
                <w:szCs w:val="18"/>
                <w:lang w:val="en-GB"/>
              </w:rPr>
              <w:t>5,</w:t>
            </w:r>
            <w:r w:rsidR="00455F84" w:rsidRPr="00845FB7">
              <w:rPr>
                <w:rFonts w:eastAsia="Times New Roman" w:cstheme="majorBidi"/>
                <w:b/>
                <w:bCs/>
                <w:color w:val="000000"/>
                <w:sz w:val="18"/>
                <w:szCs w:val="18"/>
                <w:lang w:val="en-GB"/>
              </w:rPr>
              <w:t>627,753</w:t>
            </w:r>
          </w:p>
        </w:tc>
        <w:tc>
          <w:tcPr>
            <w:tcW w:w="1985" w:type="dxa"/>
            <w:noWrap/>
          </w:tcPr>
          <w:p w14:paraId="47B193D1" w14:textId="77777777" w:rsidR="002141E9" w:rsidRPr="00845FB7" w:rsidRDefault="002141E9" w:rsidP="003C779F">
            <w:pPr>
              <w:jc w:val="right"/>
              <w:rPr>
                <w:rFonts w:cstheme="majorBidi"/>
                <w:b/>
                <w:bCs/>
                <w:sz w:val="18"/>
                <w:szCs w:val="18"/>
                <w:lang w:val="en-GB"/>
              </w:rPr>
            </w:pPr>
          </w:p>
        </w:tc>
        <w:tc>
          <w:tcPr>
            <w:tcW w:w="1985" w:type="dxa"/>
            <w:noWrap/>
          </w:tcPr>
          <w:p w14:paraId="0280897A" w14:textId="1D58F695" w:rsidR="002141E9" w:rsidRPr="00845FB7" w:rsidRDefault="00234E45" w:rsidP="003C779F">
            <w:pPr>
              <w:jc w:val="right"/>
              <w:rPr>
                <w:rFonts w:cstheme="majorBidi"/>
                <w:b/>
                <w:bCs/>
                <w:sz w:val="18"/>
                <w:szCs w:val="18"/>
                <w:lang w:val="en-GB"/>
              </w:rPr>
            </w:pPr>
            <w:r w:rsidRPr="00845FB7">
              <w:rPr>
                <w:rFonts w:eastAsia="Times New Roman" w:cstheme="majorBidi"/>
                <w:b/>
                <w:bCs/>
                <w:color w:val="000000"/>
                <w:sz w:val="18"/>
                <w:szCs w:val="18"/>
                <w:lang w:val="en-GB"/>
              </w:rPr>
              <w:t>5,627,753</w:t>
            </w:r>
          </w:p>
        </w:tc>
      </w:tr>
      <w:tr w:rsidR="002141E9" w:rsidRPr="00845FB7" w14:paraId="27EBB87C" w14:textId="77777777" w:rsidTr="003C779F">
        <w:trPr>
          <w:trHeight w:val="340"/>
        </w:trPr>
        <w:tc>
          <w:tcPr>
            <w:tcW w:w="4531" w:type="dxa"/>
            <w:hideMark/>
          </w:tcPr>
          <w:p w14:paraId="23433254" w14:textId="27B3D3AD" w:rsidR="002141E9" w:rsidRPr="00845FB7" w:rsidRDefault="00E2051A" w:rsidP="003C779F">
            <w:pPr>
              <w:jc w:val="left"/>
              <w:rPr>
                <w:rFonts w:cstheme="majorBidi"/>
                <w:sz w:val="18"/>
                <w:szCs w:val="18"/>
                <w:lang w:val="en-GB"/>
              </w:rPr>
            </w:pPr>
            <w:r w:rsidRPr="00845FB7">
              <w:rPr>
                <w:rFonts w:cstheme="majorBidi"/>
                <w:sz w:val="18"/>
                <w:szCs w:val="18"/>
                <w:lang w:val="en-GB"/>
              </w:rPr>
              <w:t>2026–2027</w:t>
            </w:r>
            <w:r w:rsidR="002141E9" w:rsidRPr="00845FB7">
              <w:rPr>
                <w:rFonts w:cstheme="majorBidi"/>
                <w:sz w:val="18"/>
                <w:szCs w:val="18"/>
                <w:lang w:val="en-GB"/>
              </w:rPr>
              <w:t xml:space="preserve"> requested in </w:t>
            </w:r>
            <w:r w:rsidR="00AA3466" w:rsidRPr="00845FB7">
              <w:rPr>
                <w:rFonts w:cstheme="majorBidi"/>
                <w:sz w:val="18"/>
                <w:szCs w:val="18"/>
                <w:lang w:val="en-GB"/>
              </w:rPr>
              <w:t>the z</w:t>
            </w:r>
            <w:r w:rsidR="002141E9" w:rsidRPr="00845FB7">
              <w:rPr>
                <w:rFonts w:cstheme="majorBidi"/>
                <w:sz w:val="18"/>
                <w:szCs w:val="18"/>
                <w:lang w:val="en-GB"/>
              </w:rPr>
              <w:t>ero nominal growth scenario</w:t>
            </w:r>
          </w:p>
        </w:tc>
        <w:tc>
          <w:tcPr>
            <w:tcW w:w="1985" w:type="dxa"/>
            <w:noWrap/>
          </w:tcPr>
          <w:p w14:paraId="63EE7749" w14:textId="7E14AA92" w:rsidR="002141E9" w:rsidRPr="00845FB7" w:rsidRDefault="000D121C" w:rsidP="003C779F">
            <w:pPr>
              <w:jc w:val="right"/>
              <w:rPr>
                <w:rFonts w:cstheme="majorBidi"/>
                <w:b/>
                <w:bCs/>
                <w:sz w:val="18"/>
                <w:szCs w:val="18"/>
                <w:lang w:val="en-GB"/>
              </w:rPr>
            </w:pPr>
            <w:r w:rsidRPr="00845FB7">
              <w:rPr>
                <w:rFonts w:eastAsia="Times New Roman" w:cstheme="majorBidi"/>
                <w:b/>
                <w:bCs/>
                <w:color w:val="000000"/>
                <w:sz w:val="18"/>
                <w:szCs w:val="18"/>
                <w:lang w:val="en-GB"/>
              </w:rPr>
              <w:t>5,</w:t>
            </w:r>
            <w:r w:rsidR="00234E45" w:rsidRPr="00845FB7">
              <w:rPr>
                <w:rFonts w:eastAsia="Times New Roman" w:cstheme="majorBidi"/>
                <w:b/>
                <w:bCs/>
                <w:color w:val="000000"/>
                <w:sz w:val="18"/>
                <w:szCs w:val="18"/>
                <w:lang w:val="en-GB"/>
              </w:rPr>
              <w:t>551,003</w:t>
            </w:r>
          </w:p>
        </w:tc>
        <w:tc>
          <w:tcPr>
            <w:tcW w:w="1985" w:type="dxa"/>
            <w:noWrap/>
          </w:tcPr>
          <w:p w14:paraId="4E632341" w14:textId="77777777" w:rsidR="002141E9" w:rsidRPr="00845FB7" w:rsidRDefault="002141E9" w:rsidP="003C779F">
            <w:pPr>
              <w:jc w:val="right"/>
              <w:rPr>
                <w:rFonts w:cstheme="majorBidi"/>
                <w:b/>
                <w:bCs/>
                <w:sz w:val="18"/>
                <w:szCs w:val="18"/>
                <w:lang w:val="en-GB"/>
              </w:rPr>
            </w:pPr>
          </w:p>
        </w:tc>
        <w:tc>
          <w:tcPr>
            <w:tcW w:w="1985" w:type="dxa"/>
            <w:noWrap/>
          </w:tcPr>
          <w:p w14:paraId="4C4C587E" w14:textId="3696A2F0" w:rsidR="002141E9" w:rsidRPr="00845FB7" w:rsidRDefault="00234E45" w:rsidP="003C779F">
            <w:pPr>
              <w:jc w:val="right"/>
              <w:rPr>
                <w:rFonts w:cstheme="majorBidi"/>
                <w:b/>
                <w:bCs/>
                <w:sz w:val="18"/>
                <w:szCs w:val="18"/>
                <w:lang w:val="en-GB"/>
              </w:rPr>
            </w:pPr>
            <w:r w:rsidRPr="00845FB7">
              <w:rPr>
                <w:rFonts w:eastAsia="Times New Roman" w:cstheme="majorBidi"/>
                <w:b/>
                <w:bCs/>
                <w:color w:val="000000"/>
                <w:sz w:val="18"/>
                <w:szCs w:val="18"/>
                <w:lang w:val="en-GB"/>
              </w:rPr>
              <w:t>5,551,003</w:t>
            </w:r>
          </w:p>
        </w:tc>
      </w:tr>
    </w:tbl>
    <w:p w14:paraId="1AA47DCA" w14:textId="685ADA33" w:rsidR="009824CD" w:rsidRPr="00845FB7" w:rsidRDefault="003C779F" w:rsidP="002141E9">
      <w:pPr>
        <w:rPr>
          <w:rFonts w:eastAsia="DengXian" w:cs="Arial"/>
          <w:szCs w:val="20"/>
          <w:lang w:val="en-GB" w:eastAsia="en-GB"/>
        </w:rPr>
        <w:sectPr w:rsidR="009824CD" w:rsidRPr="00845FB7" w:rsidSect="00BD36F8">
          <w:headerReference w:type="first" r:id="rId70"/>
          <w:footerReference w:type="first" r:id="rId71"/>
          <w:pgSz w:w="16838" w:h="11906" w:orient="landscape" w:code="9"/>
          <w:pgMar w:top="907" w:right="992" w:bottom="1418" w:left="1418" w:header="539" w:footer="975" w:gutter="0"/>
          <w:cols w:space="708"/>
          <w:titlePg/>
          <w:docGrid w:linePitch="360"/>
        </w:sectPr>
      </w:pPr>
      <w:r w:rsidRPr="00845FB7">
        <w:rPr>
          <w:rFonts w:eastAsia="DengXian" w:cs="Arial"/>
          <w:szCs w:val="20"/>
          <w:lang w:val="en-GB" w:eastAsia="en-GB"/>
        </w:rPr>
        <w:br w:type="textWrapping" w:clear="all"/>
      </w:r>
    </w:p>
    <w:p w14:paraId="1841B02D" w14:textId="0148C99A" w:rsidR="00206B29" w:rsidRPr="00845FB7" w:rsidRDefault="00206B29" w:rsidP="0099595D">
      <w:pPr>
        <w:pStyle w:val="Heading2"/>
        <w:jc w:val="left"/>
        <w:rPr>
          <w:rFonts w:cstheme="majorBidi"/>
          <w:color w:val="FFC000"/>
          <w:sz w:val="36"/>
          <w:szCs w:val="36"/>
          <w:lang w:val="en-GB"/>
        </w:rPr>
      </w:pPr>
      <w:r w:rsidRPr="00845FB7">
        <w:rPr>
          <w:rFonts w:cstheme="majorBidi"/>
          <w:color w:val="FFC000"/>
          <w:sz w:val="36"/>
          <w:szCs w:val="36"/>
          <w:lang w:val="en-GB"/>
        </w:rPr>
        <w:lastRenderedPageBreak/>
        <w:t>Activity 1</w:t>
      </w:r>
      <w:r w:rsidR="00133098" w:rsidRPr="00845FB7">
        <w:rPr>
          <w:rFonts w:cstheme="majorBidi"/>
          <w:color w:val="FFC000"/>
          <w:sz w:val="36"/>
          <w:szCs w:val="36"/>
          <w:lang w:val="en-GB"/>
        </w:rPr>
        <w:t>2</w:t>
      </w:r>
      <w:r w:rsidRPr="00845FB7">
        <w:rPr>
          <w:rFonts w:cstheme="majorBidi"/>
          <w:color w:val="FFC000"/>
          <w:sz w:val="36"/>
          <w:szCs w:val="36"/>
          <w:lang w:val="en-GB"/>
        </w:rPr>
        <w:t>. International cooperation and coordination</w:t>
      </w:r>
    </w:p>
    <w:p w14:paraId="2B106532" w14:textId="0E9CC4F6" w:rsidR="00206B29" w:rsidRPr="00845FB7" w:rsidRDefault="00206B29" w:rsidP="00206B29">
      <w:pPr>
        <w:pStyle w:val="Heading3"/>
        <w:rPr>
          <w:sz w:val="24"/>
          <w:lang w:val="en-GB"/>
        </w:rPr>
      </w:pPr>
      <w:r w:rsidRPr="00845FB7">
        <w:rPr>
          <w:sz w:val="24"/>
          <w:lang w:val="en-GB"/>
        </w:rPr>
        <w:t>Budget</w:t>
      </w:r>
    </w:p>
    <w:p w14:paraId="2F070782" w14:textId="55FB2CD3" w:rsidR="00206B29" w:rsidRPr="00845FB7" w:rsidRDefault="00206B29" w:rsidP="00206B29">
      <w:pPr>
        <w:rPr>
          <w:rFonts w:cstheme="majorBidi"/>
          <w:szCs w:val="20"/>
          <w:lang w:val="en-GB"/>
        </w:rPr>
      </w:pPr>
      <w:r w:rsidRPr="00845FB7">
        <w:rPr>
          <w:rFonts w:cstheme="majorBidi"/>
          <w:szCs w:val="20"/>
          <w:lang w:val="en-GB"/>
        </w:rPr>
        <w:fldChar w:fldCharType="begin"/>
      </w:r>
      <w:r w:rsidRPr="00845FB7">
        <w:rPr>
          <w:rFonts w:cstheme="majorBidi"/>
          <w:szCs w:val="20"/>
          <w:lang w:val="en-GB"/>
        </w:rPr>
        <w:instrText>FORMCHECKBOX</w:instrText>
      </w:r>
      <w:r w:rsidR="0092003F">
        <w:rPr>
          <w:rFonts w:cstheme="majorBidi"/>
          <w:szCs w:val="20"/>
          <w:lang w:val="en-GB"/>
        </w:rPr>
        <w:fldChar w:fldCharType="separate"/>
      </w:r>
      <w:r w:rsidRPr="00845FB7">
        <w:rPr>
          <w:rFonts w:cstheme="majorBidi"/>
          <w:szCs w:val="20"/>
          <w:lang w:val="en-GB"/>
        </w:rPr>
        <w:fldChar w:fldCharType="end"/>
      </w:r>
      <w:r w:rsidR="00FA40E9" w:rsidRPr="00845FB7">
        <w:rPr>
          <w:rFonts w:cstheme="majorBidi"/>
          <w:szCs w:val="20"/>
          <w:lang w:val="en-GB"/>
        </w:rPr>
        <w:fldChar w:fldCharType="begin">
          <w:ffData>
            <w:name w:val=""/>
            <w:enabled/>
            <w:calcOnExit w:val="0"/>
            <w:checkBox>
              <w:sizeAuto/>
              <w:default w:val="1"/>
              <w:checked w:val="0"/>
            </w:checkBox>
          </w:ffData>
        </w:fldChar>
      </w:r>
      <w:r w:rsidR="00FA40E9"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00FA40E9" w:rsidRPr="00845FB7">
        <w:rPr>
          <w:rFonts w:cstheme="majorBidi"/>
          <w:szCs w:val="20"/>
          <w:lang w:val="en-GB"/>
        </w:rPr>
        <w:fldChar w:fldCharType="end"/>
      </w:r>
      <w:r w:rsidR="00FA40E9" w:rsidRPr="00845FB7">
        <w:rPr>
          <w:rFonts w:cstheme="majorBidi"/>
          <w:szCs w:val="20"/>
          <w:lang w:val="en-GB"/>
        </w:rPr>
        <w:t xml:space="preserve"> </w:t>
      </w:r>
      <w:r w:rsidR="005303AD" w:rsidRPr="00845FB7">
        <w:rPr>
          <w:rFonts w:cstheme="majorBidi"/>
          <w:szCs w:val="20"/>
          <w:lang w:val="en-GB"/>
        </w:rPr>
        <w:t>General Trust Fund</w:t>
      </w:r>
      <w:r w:rsidRPr="00845FB7">
        <w:rPr>
          <w:rFonts w:cstheme="majorBidi"/>
          <w:szCs w:val="20"/>
          <w:lang w:val="en-GB"/>
        </w:rPr>
        <w:t xml:space="preserve">                    </w:t>
      </w:r>
      <w:r w:rsidR="00FA40E9" w:rsidRPr="00845FB7">
        <w:rPr>
          <w:rFonts w:cstheme="majorBidi"/>
          <w:szCs w:val="20"/>
          <w:lang w:val="en-GB"/>
        </w:rPr>
        <w:fldChar w:fldCharType="begin">
          <w:ffData>
            <w:name w:val=""/>
            <w:enabled/>
            <w:calcOnExit w:val="0"/>
            <w:checkBox>
              <w:sizeAuto/>
              <w:default w:val="1"/>
            </w:checkBox>
          </w:ffData>
        </w:fldChar>
      </w:r>
      <w:r w:rsidR="00FA40E9"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00FA40E9" w:rsidRPr="00845FB7">
        <w:rPr>
          <w:rFonts w:cstheme="majorBidi"/>
          <w:szCs w:val="20"/>
          <w:lang w:val="en-GB"/>
        </w:rPr>
        <w:fldChar w:fldCharType="end"/>
      </w:r>
      <w:r w:rsidR="00FA40E9" w:rsidRPr="00845FB7">
        <w:rPr>
          <w:rFonts w:cstheme="majorBidi"/>
          <w:szCs w:val="20"/>
          <w:lang w:val="en-GB"/>
        </w:rPr>
        <w:t xml:space="preserve"> </w:t>
      </w:r>
      <w:r w:rsidRPr="00845FB7">
        <w:rPr>
          <w:rFonts w:cstheme="majorBidi"/>
          <w:szCs w:val="20"/>
          <w:lang w:val="en-GB"/>
        </w:rPr>
        <w:fldChar w:fldCharType="begin"/>
      </w:r>
      <w:r w:rsidRPr="00845FB7">
        <w:rPr>
          <w:rFonts w:cstheme="majorBidi"/>
          <w:szCs w:val="20"/>
          <w:lang w:val="en-GB"/>
        </w:rPr>
        <w:instrText>FORMCHECKBOX</w:instrText>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5303AD" w:rsidRPr="00845FB7">
        <w:rPr>
          <w:rFonts w:cstheme="majorBidi"/>
          <w:szCs w:val="20"/>
          <w:lang w:val="en-GB"/>
        </w:rPr>
        <w:t>Special Trust Fund</w:t>
      </w:r>
    </w:p>
    <w:p w14:paraId="3BB7BF9F" w14:textId="217AC74C" w:rsidR="00206B29" w:rsidRPr="00845FB7" w:rsidRDefault="00206B29" w:rsidP="00206B29">
      <w:pPr>
        <w:pStyle w:val="Heading3"/>
        <w:rPr>
          <w:sz w:val="24"/>
          <w:lang w:val="en-GB"/>
        </w:rPr>
      </w:pPr>
      <w:r w:rsidRPr="00845FB7">
        <w:rPr>
          <w:sz w:val="24"/>
          <w:lang w:val="en-GB"/>
        </w:rPr>
        <w:t>Reference</w:t>
      </w:r>
    </w:p>
    <w:p w14:paraId="02901BD2" w14:textId="1FF38CEC" w:rsidR="002A1C95" w:rsidRPr="00845FB7" w:rsidRDefault="00206B29" w:rsidP="00BD36F8">
      <w:pPr>
        <w:spacing w:after="60"/>
        <w:rPr>
          <w:rFonts w:cstheme="majorBidi"/>
          <w:szCs w:val="20"/>
          <w:lang w:val="en-GB"/>
        </w:rPr>
      </w:pPr>
      <w:r w:rsidRPr="00845FB7">
        <w:rPr>
          <w:rFonts w:cstheme="majorBidi"/>
          <w:b/>
          <w:bCs/>
          <w:szCs w:val="20"/>
          <w:lang w:val="en-GB"/>
        </w:rPr>
        <w:t>UNEP/MC/COP.</w:t>
      </w:r>
      <w:r w:rsidR="003779D5" w:rsidRPr="00845FB7">
        <w:rPr>
          <w:rFonts w:cstheme="majorBidi"/>
          <w:b/>
          <w:bCs/>
          <w:szCs w:val="20"/>
          <w:lang w:val="en-GB"/>
        </w:rPr>
        <w:t>5</w:t>
      </w:r>
      <w:r w:rsidRPr="00845FB7">
        <w:rPr>
          <w:rFonts w:cstheme="majorBidi"/>
          <w:b/>
          <w:bCs/>
          <w:szCs w:val="20"/>
          <w:lang w:val="en-GB"/>
        </w:rPr>
        <w:t>/2</w:t>
      </w:r>
      <w:r w:rsidR="00DB1F60" w:rsidRPr="00845FB7">
        <w:rPr>
          <w:rFonts w:cstheme="majorBidi"/>
          <w:b/>
          <w:bCs/>
          <w:szCs w:val="20"/>
          <w:lang w:val="en-GB"/>
        </w:rPr>
        <w:t>1</w:t>
      </w:r>
      <w:r w:rsidR="002A1C95" w:rsidRPr="00845FB7">
        <w:rPr>
          <w:rFonts w:cstheme="majorBidi"/>
          <w:b/>
          <w:bCs/>
          <w:szCs w:val="20"/>
          <w:lang w:val="en-GB"/>
        </w:rPr>
        <w:t>:</w:t>
      </w:r>
      <w:r w:rsidR="005615D6" w:rsidRPr="00845FB7">
        <w:rPr>
          <w:rFonts w:cstheme="majorBidi"/>
          <w:szCs w:val="20"/>
          <w:lang w:val="en-GB"/>
        </w:rPr>
        <w:t xml:space="preserve"> International cooperation and coordination</w:t>
      </w:r>
    </w:p>
    <w:p w14:paraId="7635EC90" w14:textId="50343D02" w:rsidR="00206B29" w:rsidRPr="00845FB7" w:rsidRDefault="00206B29" w:rsidP="00206B29">
      <w:pPr>
        <w:pStyle w:val="Heading3"/>
        <w:rPr>
          <w:sz w:val="24"/>
          <w:lang w:val="en-GB"/>
        </w:rPr>
      </w:pPr>
      <w:r w:rsidRPr="00845FB7">
        <w:rPr>
          <w:sz w:val="24"/>
          <w:lang w:val="en-GB"/>
        </w:rPr>
        <w:t>Mandate</w:t>
      </w:r>
    </w:p>
    <w:p w14:paraId="0DC13C23" w14:textId="7EB8FE63" w:rsidR="00206B29" w:rsidRPr="00845FB7" w:rsidRDefault="00D87E9A" w:rsidP="00BD36F8">
      <w:pPr>
        <w:spacing w:after="60"/>
        <w:rPr>
          <w:rFonts w:eastAsia="DengXian" w:cstheme="majorBidi"/>
          <w:szCs w:val="20"/>
          <w:lang w:val="en-GB"/>
        </w:rPr>
      </w:pPr>
      <w:r w:rsidRPr="00845FB7">
        <w:rPr>
          <w:rFonts w:cstheme="majorBidi"/>
          <w:b/>
          <w:bCs/>
          <w:szCs w:val="20"/>
          <w:lang w:val="en-GB"/>
        </w:rPr>
        <w:t>Convention</w:t>
      </w:r>
      <w:r w:rsidRPr="00845FB7">
        <w:rPr>
          <w:rFonts w:cstheme="majorBidi"/>
          <w:szCs w:val="20"/>
          <w:lang w:val="en-GB"/>
        </w:rPr>
        <w:t>:</w:t>
      </w:r>
      <w:r w:rsidR="00206B29" w:rsidRPr="00845FB7">
        <w:rPr>
          <w:rFonts w:cstheme="majorBidi"/>
          <w:szCs w:val="20"/>
          <w:lang w:val="en-GB"/>
        </w:rPr>
        <w:t xml:space="preserve"> </w:t>
      </w:r>
      <w:r w:rsidR="00206B29" w:rsidRPr="00845FB7">
        <w:rPr>
          <w:rFonts w:eastAsia="Roboto" w:cstheme="majorBidi"/>
          <w:szCs w:val="20"/>
          <w:lang w:val="en-GB"/>
        </w:rPr>
        <w:t>Article</w:t>
      </w:r>
      <w:r w:rsidR="00AA3466" w:rsidRPr="00845FB7">
        <w:rPr>
          <w:rFonts w:eastAsia="Roboto" w:cstheme="majorBidi"/>
          <w:szCs w:val="20"/>
          <w:lang w:val="en-GB"/>
        </w:rPr>
        <w:t>s</w:t>
      </w:r>
      <w:r w:rsidR="00206B29" w:rsidRPr="00845FB7">
        <w:rPr>
          <w:rFonts w:eastAsia="Roboto" w:cstheme="majorBidi"/>
          <w:szCs w:val="20"/>
          <w:lang w:val="en-GB"/>
        </w:rPr>
        <w:t xml:space="preserve"> 16, 23, 24</w:t>
      </w:r>
    </w:p>
    <w:p w14:paraId="492CCCE0" w14:textId="4E21396A" w:rsidR="00206B29" w:rsidRPr="00845FB7" w:rsidRDefault="00206B29" w:rsidP="7EAA2ABE">
      <w:pPr>
        <w:spacing w:after="60"/>
        <w:rPr>
          <w:rFonts w:eastAsia="DengXian" w:cstheme="majorBidi"/>
          <w:lang w:val="en-GB"/>
        </w:rPr>
      </w:pPr>
      <w:r w:rsidRPr="00845FB7">
        <w:rPr>
          <w:rFonts w:eastAsia="Roboto" w:cstheme="majorBidi"/>
          <w:b/>
          <w:bCs/>
          <w:lang w:val="en-GB"/>
        </w:rPr>
        <w:t>COP decision</w:t>
      </w:r>
      <w:r w:rsidR="00AA3466" w:rsidRPr="00845FB7">
        <w:rPr>
          <w:rFonts w:eastAsia="Roboto" w:cstheme="majorBidi"/>
          <w:b/>
          <w:bCs/>
          <w:lang w:val="en-GB"/>
        </w:rPr>
        <w:t>(</w:t>
      </w:r>
      <w:r w:rsidRPr="00845FB7">
        <w:rPr>
          <w:rFonts w:eastAsia="Roboto" w:cstheme="majorBidi"/>
          <w:b/>
          <w:bCs/>
          <w:lang w:val="en-GB"/>
        </w:rPr>
        <w:t>s</w:t>
      </w:r>
      <w:r w:rsidR="00AA3466" w:rsidRPr="00845FB7">
        <w:rPr>
          <w:rFonts w:eastAsia="Roboto" w:cstheme="majorBidi"/>
          <w:b/>
          <w:bCs/>
          <w:lang w:val="en-GB"/>
        </w:rPr>
        <w:t>)</w:t>
      </w:r>
      <w:r w:rsidRPr="00845FB7">
        <w:rPr>
          <w:rFonts w:eastAsia="Roboto" w:cstheme="majorBidi"/>
          <w:lang w:val="en-GB"/>
        </w:rPr>
        <w:t>: MC-1/11, MC-3/11</w:t>
      </w:r>
      <w:r w:rsidR="00F0599A" w:rsidRPr="00845FB7">
        <w:rPr>
          <w:rFonts w:eastAsia="Roboto" w:cstheme="majorBidi"/>
          <w:lang w:val="en-GB"/>
        </w:rPr>
        <w:t xml:space="preserve">, </w:t>
      </w:r>
      <w:r w:rsidR="00234BBF" w:rsidRPr="00845FB7">
        <w:rPr>
          <w:rFonts w:eastAsia="Roboto" w:cstheme="majorBidi"/>
          <w:lang w:val="en-GB"/>
        </w:rPr>
        <w:t xml:space="preserve">MC-4/9, </w:t>
      </w:r>
      <w:r w:rsidR="009B7CC2" w:rsidRPr="00845FB7">
        <w:rPr>
          <w:rFonts w:eastAsia="Roboto" w:cstheme="majorBidi"/>
          <w:lang w:val="en-GB"/>
        </w:rPr>
        <w:t>MC-4/1</w:t>
      </w:r>
      <w:r w:rsidR="4E04A0B0" w:rsidRPr="00845FB7">
        <w:rPr>
          <w:rFonts w:eastAsia="Roboto" w:cstheme="majorBidi"/>
          <w:lang w:val="en-GB"/>
        </w:rPr>
        <w:t>, MC-5/18</w:t>
      </w:r>
      <w:r w:rsidR="3398E074" w:rsidRPr="00845FB7">
        <w:rPr>
          <w:rFonts w:eastAsia="Roboto" w:cstheme="majorBidi"/>
          <w:lang w:val="en-GB"/>
        </w:rPr>
        <w:t>, MC-5/19</w:t>
      </w:r>
    </w:p>
    <w:p w14:paraId="56BC9620" w14:textId="1D49E6A9" w:rsidR="00206B29" w:rsidRPr="00845FB7" w:rsidRDefault="00206B29" w:rsidP="00206B29">
      <w:pPr>
        <w:pStyle w:val="Heading3"/>
        <w:rPr>
          <w:sz w:val="24"/>
          <w:lang w:val="en-GB"/>
        </w:rPr>
      </w:pPr>
      <w:r w:rsidRPr="00845FB7">
        <w:rPr>
          <w:sz w:val="24"/>
          <w:lang w:val="en-GB"/>
        </w:rPr>
        <w:t>Background and rationale</w:t>
      </w:r>
    </w:p>
    <w:p w14:paraId="1BD820EB" w14:textId="77777777" w:rsidR="00206B29" w:rsidRPr="00845FB7" w:rsidRDefault="00206B29" w:rsidP="00BD36F8">
      <w:pPr>
        <w:spacing w:after="120"/>
        <w:rPr>
          <w:rFonts w:eastAsia="DengXian" w:cstheme="majorBidi"/>
          <w:szCs w:val="20"/>
          <w:lang w:val="en-GB"/>
        </w:rPr>
      </w:pPr>
      <w:r w:rsidRPr="00845FB7">
        <w:rPr>
          <w:rFonts w:cstheme="majorBidi"/>
          <w:szCs w:val="20"/>
          <w:lang w:val="en-GB"/>
        </w:rPr>
        <w:t xml:space="preserve">International cooperation and coordination with relevant bodies aim to enhance the effectiveness of the implementation of the Convention by ensuring consistency and coherence, sharing experiences and approaches, and increasing the efficient use of resources and expertise. </w:t>
      </w:r>
    </w:p>
    <w:p w14:paraId="4D73A24D" w14:textId="77777777" w:rsidR="00206B29" w:rsidRPr="00845FB7" w:rsidRDefault="00206B29" w:rsidP="00BD36F8">
      <w:pPr>
        <w:spacing w:after="120"/>
        <w:rPr>
          <w:rFonts w:eastAsia="DengXian" w:cstheme="majorBidi"/>
          <w:szCs w:val="20"/>
          <w:lang w:val="en-GB"/>
        </w:rPr>
      </w:pPr>
      <w:r w:rsidRPr="00845FB7">
        <w:rPr>
          <w:rFonts w:cstheme="majorBidi"/>
          <w:szCs w:val="20"/>
          <w:lang w:val="en-GB"/>
        </w:rPr>
        <w:t xml:space="preserve">Article 16 of the Convention states that the Conference of the Parties, in considering health-related issues or activities, should: (a) Consult and collaborate with the World Health Organization, the International Labour Organization and other relevant intergovernmental organizations, as appropriate; and (b) Promote cooperation and exchange of information with the World Health Organization, the International Labour Organization and other relevant intergovernmental organizations, as appropriate. </w:t>
      </w:r>
    </w:p>
    <w:p w14:paraId="68263006" w14:textId="77777777" w:rsidR="00206B29" w:rsidRPr="00845FB7" w:rsidRDefault="00206B29" w:rsidP="00BD36F8">
      <w:pPr>
        <w:spacing w:after="120"/>
        <w:rPr>
          <w:rFonts w:eastAsia="DengXian" w:cstheme="majorBidi"/>
          <w:szCs w:val="20"/>
          <w:lang w:val="en-GB"/>
        </w:rPr>
      </w:pPr>
      <w:r w:rsidRPr="00845FB7">
        <w:rPr>
          <w:rFonts w:cstheme="majorBidi"/>
          <w:szCs w:val="20"/>
          <w:lang w:val="en-GB"/>
        </w:rPr>
        <w:t xml:space="preserve">Article 23 of the Convention sets out that the Conference of Parties shall also cooperate, where appropriate, with competent international organisations and inter-governmental and non-governmental bodies. </w:t>
      </w:r>
    </w:p>
    <w:p w14:paraId="1C0D3E08" w14:textId="4B31243F" w:rsidR="00206B29" w:rsidRPr="00845FB7" w:rsidRDefault="00206B29" w:rsidP="00BD36F8">
      <w:pPr>
        <w:spacing w:after="120"/>
        <w:rPr>
          <w:rFonts w:eastAsia="DengXian" w:cstheme="majorBidi"/>
          <w:szCs w:val="20"/>
          <w:lang w:val="en-GB"/>
        </w:rPr>
      </w:pPr>
      <w:r w:rsidRPr="00845FB7">
        <w:rPr>
          <w:rFonts w:cstheme="majorBidi"/>
          <w:szCs w:val="20"/>
          <w:lang w:val="en-GB"/>
        </w:rPr>
        <w:t xml:space="preserve">Article 24 indicates that the </w:t>
      </w:r>
      <w:r w:rsidR="00BA395D" w:rsidRPr="00845FB7">
        <w:rPr>
          <w:rFonts w:cstheme="majorBidi"/>
          <w:szCs w:val="20"/>
          <w:lang w:val="en-GB"/>
        </w:rPr>
        <w:t>S</w:t>
      </w:r>
      <w:r w:rsidRPr="00845FB7">
        <w:rPr>
          <w:rFonts w:cstheme="majorBidi"/>
          <w:szCs w:val="20"/>
          <w:lang w:val="en-GB"/>
        </w:rPr>
        <w:t xml:space="preserve">ecretariat shall coordinate as appropriate with </w:t>
      </w:r>
      <w:r w:rsidR="00F17302" w:rsidRPr="00845FB7">
        <w:rPr>
          <w:rFonts w:cstheme="majorBidi"/>
          <w:szCs w:val="20"/>
          <w:lang w:val="en-GB"/>
        </w:rPr>
        <w:t>s</w:t>
      </w:r>
      <w:r w:rsidRPr="00845FB7">
        <w:rPr>
          <w:rFonts w:cstheme="majorBidi"/>
          <w:szCs w:val="20"/>
          <w:lang w:val="en-GB"/>
        </w:rPr>
        <w:t xml:space="preserve">ecretariats of relevant international bodies, particularly with other chemicals and waste conventions. </w:t>
      </w:r>
    </w:p>
    <w:p w14:paraId="5B12E68E" w14:textId="752535BB" w:rsidR="00B56984" w:rsidRPr="00845FB7" w:rsidRDefault="00692311" w:rsidP="7EAA2ABE">
      <w:pPr>
        <w:spacing w:after="120"/>
        <w:rPr>
          <w:color w:val="000000" w:themeColor="text1"/>
          <w:lang w:val="en-GB"/>
        </w:rPr>
      </w:pPr>
      <w:r w:rsidRPr="00845FB7">
        <w:rPr>
          <w:rFonts w:cstheme="majorBidi"/>
          <w:lang w:val="en-GB"/>
        </w:rPr>
        <w:t xml:space="preserve">In decision </w:t>
      </w:r>
      <w:r w:rsidR="00206B29" w:rsidRPr="00845FB7">
        <w:rPr>
          <w:rFonts w:cstheme="majorBidi"/>
          <w:lang w:val="en-GB"/>
        </w:rPr>
        <w:t>MC-4/12</w:t>
      </w:r>
      <w:r w:rsidRPr="00845FB7">
        <w:rPr>
          <w:rFonts w:cstheme="majorBidi"/>
          <w:lang w:val="en-GB"/>
        </w:rPr>
        <w:t xml:space="preserve">, the COP </w:t>
      </w:r>
      <w:r w:rsidR="00936033" w:rsidRPr="00845FB7">
        <w:rPr>
          <w:color w:val="000000" w:themeColor="text1"/>
          <w:lang w:val="en-GB"/>
        </w:rPr>
        <w:t>requested</w:t>
      </w:r>
      <w:r w:rsidR="004B1B52" w:rsidRPr="00845FB7">
        <w:rPr>
          <w:color w:val="000000" w:themeColor="text1"/>
          <w:lang w:val="en-GB"/>
        </w:rPr>
        <w:t xml:space="preserve">, </w:t>
      </w:r>
      <w:r w:rsidR="004B1B52" w:rsidRPr="00845FB7">
        <w:rPr>
          <w:i/>
          <w:iCs/>
          <w:color w:val="000000" w:themeColor="text1"/>
          <w:lang w:val="en-GB"/>
        </w:rPr>
        <w:t>inter alia</w:t>
      </w:r>
      <w:r w:rsidR="004B1B52" w:rsidRPr="00845FB7">
        <w:rPr>
          <w:color w:val="000000" w:themeColor="text1"/>
          <w:lang w:val="en-GB"/>
        </w:rPr>
        <w:t xml:space="preserve">, </w:t>
      </w:r>
      <w:r w:rsidR="00936033" w:rsidRPr="00845FB7">
        <w:rPr>
          <w:color w:val="000000" w:themeColor="text1"/>
          <w:lang w:val="en-GB"/>
        </w:rPr>
        <w:t xml:space="preserve"> </w:t>
      </w:r>
      <w:r w:rsidR="004B0034">
        <w:rPr>
          <w:color w:val="000000" w:themeColor="text1"/>
          <w:lang w:val="en-GB"/>
        </w:rPr>
        <w:t>t</w:t>
      </w:r>
      <w:r w:rsidR="00206B29" w:rsidRPr="00845FB7">
        <w:rPr>
          <w:color w:val="000000" w:themeColor="text1"/>
          <w:lang w:val="en-GB"/>
        </w:rPr>
        <w:t xml:space="preserve">he Secretariat to continue gathering knowledge about, raising awareness of and demonstrating, the contribution of the implementation of the Minamata Convention to other relevant international regulations and policies, including those related to pollution, biodiversity and climate change, and to prepare, subject to the availability of resources, a report, including possible recommendations, on how the Convention could contribute to the </w:t>
      </w:r>
      <w:r w:rsidR="00B56984" w:rsidRPr="00845FB7">
        <w:rPr>
          <w:color w:val="000000" w:themeColor="text1"/>
          <w:lang w:val="en-GB"/>
        </w:rPr>
        <w:t>Kunming-Montreal Gl</w:t>
      </w:r>
      <w:r w:rsidR="00206B29" w:rsidRPr="00845FB7">
        <w:rPr>
          <w:color w:val="000000" w:themeColor="text1"/>
          <w:lang w:val="en-GB"/>
        </w:rPr>
        <w:t xml:space="preserve">obal </w:t>
      </w:r>
      <w:r w:rsidR="00B56984" w:rsidRPr="00845FB7">
        <w:rPr>
          <w:color w:val="000000" w:themeColor="text1"/>
          <w:lang w:val="en-GB"/>
        </w:rPr>
        <w:t>B</w:t>
      </w:r>
      <w:r w:rsidR="00206B29" w:rsidRPr="00845FB7">
        <w:rPr>
          <w:color w:val="000000" w:themeColor="text1"/>
          <w:lang w:val="en-GB"/>
        </w:rPr>
        <w:t xml:space="preserve">iodiversity </w:t>
      </w:r>
      <w:r w:rsidR="00B56984" w:rsidRPr="00845FB7">
        <w:rPr>
          <w:color w:val="000000" w:themeColor="text1"/>
          <w:lang w:val="en-GB"/>
        </w:rPr>
        <w:t>F</w:t>
      </w:r>
      <w:r w:rsidR="00206B29" w:rsidRPr="00845FB7">
        <w:rPr>
          <w:color w:val="000000" w:themeColor="text1"/>
          <w:lang w:val="en-GB"/>
        </w:rPr>
        <w:t>ramework</w:t>
      </w:r>
      <w:r w:rsidR="00B56984" w:rsidRPr="00845FB7">
        <w:rPr>
          <w:color w:val="000000" w:themeColor="text1"/>
          <w:lang w:val="en-GB"/>
        </w:rPr>
        <w:t xml:space="preserve">. </w:t>
      </w:r>
    </w:p>
    <w:p w14:paraId="4E7F97A9" w14:textId="7115D855" w:rsidR="00692311" w:rsidRPr="00845FB7" w:rsidRDefault="00BE6118" w:rsidP="7EAA2ABE">
      <w:pPr>
        <w:spacing w:after="120"/>
        <w:rPr>
          <w:rFonts w:cstheme="majorBidi"/>
          <w:lang w:val="en-GB"/>
        </w:rPr>
      </w:pPr>
      <w:r w:rsidRPr="00845FB7">
        <w:rPr>
          <w:color w:val="000000" w:themeColor="text1"/>
          <w:lang w:val="en-GB"/>
        </w:rPr>
        <w:t xml:space="preserve">In decision </w:t>
      </w:r>
      <w:r w:rsidR="00B56984" w:rsidRPr="00845FB7">
        <w:rPr>
          <w:color w:val="000000" w:themeColor="text1"/>
          <w:lang w:val="en-GB"/>
        </w:rPr>
        <w:t>MC-</w:t>
      </w:r>
      <w:r w:rsidR="005C4C99" w:rsidRPr="00845FB7">
        <w:rPr>
          <w:color w:val="000000" w:themeColor="text1"/>
          <w:lang w:val="en-GB"/>
        </w:rPr>
        <w:t>5-18</w:t>
      </w:r>
      <w:r w:rsidRPr="00845FB7">
        <w:rPr>
          <w:color w:val="000000" w:themeColor="text1"/>
          <w:lang w:val="en-GB"/>
        </w:rPr>
        <w:t xml:space="preserve"> the COP</w:t>
      </w:r>
      <w:r w:rsidR="00692311" w:rsidRPr="00845FB7">
        <w:rPr>
          <w:color w:val="000000" w:themeColor="text1"/>
          <w:lang w:val="en-GB"/>
        </w:rPr>
        <w:t xml:space="preserve"> requested </w:t>
      </w:r>
      <w:r w:rsidR="5E38C5FD" w:rsidRPr="00845FB7">
        <w:rPr>
          <w:rFonts w:eastAsia="Roboto" w:cs="Roboto"/>
          <w:szCs w:val="20"/>
          <w:lang w:val="en-GB"/>
        </w:rPr>
        <w:t xml:space="preserve">the Secretariat to continue to enhance cooperation and coordination with the </w:t>
      </w:r>
      <w:r w:rsidR="00F17302" w:rsidRPr="00845FB7">
        <w:rPr>
          <w:rFonts w:eastAsia="Roboto" w:cs="Roboto"/>
          <w:szCs w:val="20"/>
          <w:lang w:val="en-GB"/>
        </w:rPr>
        <w:t>S</w:t>
      </w:r>
      <w:r w:rsidR="5E38C5FD" w:rsidRPr="00845FB7">
        <w:rPr>
          <w:rFonts w:eastAsia="Roboto" w:cs="Roboto"/>
          <w:szCs w:val="20"/>
          <w:lang w:val="en-GB"/>
        </w:rPr>
        <w:t>ecretariat of the Global Framework on Chemicals – For a Planet Free of Harm from Chemicals and Waste to ensure mutual support for the implementation of the Minamata Convention and the Global Framework on Chemicals and to develop a proposal for activities providing such mutual support, to be included in the programme of work to be considered by the Conference of the Parties at its sixth meeting</w:t>
      </w:r>
      <w:r w:rsidR="00206B29" w:rsidRPr="00845FB7">
        <w:rPr>
          <w:rFonts w:cstheme="majorBidi"/>
          <w:lang w:val="en-GB"/>
        </w:rPr>
        <w:t>.</w:t>
      </w:r>
    </w:p>
    <w:p w14:paraId="4311894E" w14:textId="697EF3B8" w:rsidR="00206B29" w:rsidRPr="00845FB7" w:rsidRDefault="00692311" w:rsidP="7EAA2ABE">
      <w:pPr>
        <w:spacing w:after="120"/>
        <w:rPr>
          <w:rFonts w:cstheme="majorBidi"/>
          <w:szCs w:val="20"/>
          <w:lang w:val="en-GB"/>
        </w:rPr>
      </w:pPr>
      <w:r w:rsidRPr="00845FB7">
        <w:rPr>
          <w:rFonts w:cstheme="majorBidi"/>
          <w:lang w:val="en-GB"/>
        </w:rPr>
        <w:t>In decision</w:t>
      </w:r>
      <w:r w:rsidR="00AE7FF8" w:rsidRPr="00845FB7">
        <w:rPr>
          <w:rFonts w:cstheme="majorBidi"/>
          <w:lang w:val="en-GB"/>
        </w:rPr>
        <w:t xml:space="preserve"> MC-</w:t>
      </w:r>
      <w:r w:rsidR="4FE6A9A7" w:rsidRPr="00845FB7">
        <w:rPr>
          <w:rFonts w:cstheme="majorBidi"/>
          <w:lang w:val="en-GB"/>
        </w:rPr>
        <w:t>5</w:t>
      </w:r>
      <w:r w:rsidR="00AE7FF8" w:rsidRPr="00845FB7">
        <w:rPr>
          <w:rFonts w:cstheme="majorBidi"/>
          <w:lang w:val="en-GB"/>
        </w:rPr>
        <w:t>/</w:t>
      </w:r>
      <w:r w:rsidR="1209B16C" w:rsidRPr="00845FB7">
        <w:rPr>
          <w:rFonts w:cstheme="majorBidi"/>
          <w:lang w:val="en-GB"/>
        </w:rPr>
        <w:t>1</w:t>
      </w:r>
      <w:r w:rsidR="0060779B" w:rsidRPr="00845FB7">
        <w:rPr>
          <w:rFonts w:cstheme="majorBidi"/>
          <w:lang w:val="en-GB"/>
        </w:rPr>
        <w:t>9</w:t>
      </w:r>
      <w:r w:rsidR="00206B29" w:rsidRPr="00845FB7">
        <w:rPr>
          <w:rFonts w:cstheme="majorBidi"/>
          <w:lang w:val="en-GB"/>
        </w:rPr>
        <w:t xml:space="preserve"> </w:t>
      </w:r>
      <w:r w:rsidR="00184067" w:rsidRPr="00845FB7">
        <w:rPr>
          <w:rFonts w:cstheme="majorBidi"/>
          <w:lang w:val="en-GB"/>
        </w:rPr>
        <w:t xml:space="preserve">on enhanced cooperation between the </w:t>
      </w:r>
      <w:r w:rsidR="00CE462A" w:rsidRPr="00845FB7">
        <w:rPr>
          <w:rFonts w:cstheme="majorBidi"/>
          <w:lang w:val="en-GB"/>
        </w:rPr>
        <w:t>S</w:t>
      </w:r>
      <w:r w:rsidR="00184067" w:rsidRPr="00845FB7">
        <w:rPr>
          <w:rFonts w:cstheme="majorBidi"/>
          <w:lang w:val="en-GB"/>
        </w:rPr>
        <w:t xml:space="preserve">ecretariat of the Minamata Convention on </w:t>
      </w:r>
      <w:r w:rsidR="00184067" w:rsidRPr="00845FB7">
        <w:rPr>
          <w:rFonts w:cstheme="majorBidi"/>
          <w:szCs w:val="20"/>
          <w:lang w:val="en-GB"/>
        </w:rPr>
        <w:t xml:space="preserve">Mercury and the </w:t>
      </w:r>
      <w:r w:rsidR="00F17302" w:rsidRPr="00845FB7">
        <w:rPr>
          <w:rFonts w:cstheme="majorBidi"/>
          <w:szCs w:val="20"/>
          <w:lang w:val="en-GB"/>
        </w:rPr>
        <w:t>S</w:t>
      </w:r>
      <w:r w:rsidR="00184067" w:rsidRPr="00845FB7">
        <w:rPr>
          <w:rFonts w:cstheme="majorBidi"/>
          <w:szCs w:val="20"/>
          <w:lang w:val="en-GB"/>
        </w:rPr>
        <w:t>ecretariat of the Basel, Rotterdam and Stockholm conventions</w:t>
      </w:r>
      <w:r w:rsidRPr="00845FB7">
        <w:rPr>
          <w:rFonts w:cstheme="majorBidi"/>
          <w:szCs w:val="20"/>
          <w:lang w:val="en-GB"/>
        </w:rPr>
        <w:t xml:space="preserve">, the COP </w:t>
      </w:r>
      <w:r w:rsidR="00206B29" w:rsidRPr="00845FB7">
        <w:rPr>
          <w:rFonts w:cstheme="majorBidi"/>
          <w:szCs w:val="20"/>
          <w:lang w:val="en-GB"/>
        </w:rPr>
        <w:t>request</w:t>
      </w:r>
      <w:r w:rsidR="00EA0158" w:rsidRPr="00845FB7">
        <w:rPr>
          <w:rFonts w:cstheme="majorBidi"/>
          <w:szCs w:val="20"/>
          <w:lang w:val="en-GB"/>
        </w:rPr>
        <w:t>ed</w:t>
      </w:r>
      <w:r w:rsidR="00206B29" w:rsidRPr="00845FB7">
        <w:rPr>
          <w:rFonts w:cstheme="majorBidi"/>
          <w:szCs w:val="20"/>
          <w:lang w:val="en-GB"/>
        </w:rPr>
        <w:t xml:space="preserve"> the </w:t>
      </w:r>
      <w:r w:rsidR="00515FE2" w:rsidRPr="00845FB7">
        <w:rPr>
          <w:rFonts w:cstheme="majorBidi"/>
          <w:szCs w:val="20"/>
          <w:lang w:val="en-GB"/>
        </w:rPr>
        <w:t xml:space="preserve">Executive Secretary </w:t>
      </w:r>
      <w:r w:rsidR="00206B29" w:rsidRPr="00845FB7">
        <w:rPr>
          <w:rFonts w:cstheme="majorBidi"/>
          <w:szCs w:val="20"/>
          <w:lang w:val="en-GB"/>
        </w:rPr>
        <w:t>to continue to cooperate as appropriate on relevant administrative, programmatic, technical assistance and technical matters.</w:t>
      </w:r>
    </w:p>
    <w:p w14:paraId="0D8ED7DF" w14:textId="5AF36B66" w:rsidR="002D06F2" w:rsidRPr="00845FB7" w:rsidRDefault="007E21CD">
      <w:pPr>
        <w:jc w:val="left"/>
        <w:rPr>
          <w:rFonts w:eastAsiaTheme="majorEastAsia" w:cstheme="majorBidi"/>
          <w:b/>
          <w:sz w:val="24"/>
          <w:szCs w:val="24"/>
          <w:lang w:val="en-GB"/>
          <w14:textOutline w14:w="9525" w14:cap="rnd" w14:cmpd="sng" w14:algn="ctr">
            <w14:noFill/>
            <w14:prstDash w14:val="solid"/>
            <w14:bevel/>
          </w14:textOutline>
        </w:rPr>
      </w:pPr>
      <w:r w:rsidRPr="00845FB7">
        <w:rPr>
          <w:szCs w:val="20"/>
          <w:lang w:val="en-GB"/>
        </w:rPr>
        <w:lastRenderedPageBreak/>
        <w:t>The Science-policy panel on Chemicals, Waste and Pollution was established by the Intergovernmental Meeting, and it can be expected the COP will establish a close cooperation with the Plenary of the Panel.</w:t>
      </w:r>
    </w:p>
    <w:p w14:paraId="12CD4B5B" w14:textId="3A4BEB4E" w:rsidR="00206B29" w:rsidRPr="00845FB7" w:rsidRDefault="00206B29" w:rsidP="00206B29">
      <w:pPr>
        <w:pStyle w:val="Heading3"/>
        <w:rPr>
          <w:sz w:val="24"/>
          <w:lang w:val="en-GB"/>
        </w:rPr>
      </w:pPr>
      <w:r w:rsidRPr="00845FB7">
        <w:rPr>
          <w:sz w:val="24"/>
          <w:lang w:val="en-GB"/>
        </w:rPr>
        <w:t>Outcomes and activities</w:t>
      </w:r>
    </w:p>
    <w:p w14:paraId="68D0A99D" w14:textId="7F0D5AC2" w:rsidR="00206B29" w:rsidRPr="00845FB7" w:rsidRDefault="00206B29" w:rsidP="00BD36F8">
      <w:pPr>
        <w:pStyle w:val="Heading2"/>
        <w:spacing w:before="360" w:after="120"/>
        <w:rPr>
          <w:sz w:val="28"/>
          <w:szCs w:val="28"/>
          <w:lang w:val="en-GB"/>
        </w:rPr>
      </w:pPr>
      <w:r w:rsidRPr="00845FB7">
        <w:rPr>
          <w:sz w:val="28"/>
          <w:szCs w:val="28"/>
          <w:lang w:val="en-GB"/>
        </w:rPr>
        <w:t>Component 1</w:t>
      </w:r>
      <w:r w:rsidR="009F64A5" w:rsidRPr="00845FB7">
        <w:rPr>
          <w:sz w:val="28"/>
          <w:szCs w:val="28"/>
          <w:lang w:val="en-GB"/>
        </w:rPr>
        <w:t>2</w:t>
      </w:r>
      <w:r w:rsidRPr="00845FB7">
        <w:rPr>
          <w:sz w:val="28"/>
          <w:szCs w:val="28"/>
          <w:lang w:val="en-GB"/>
        </w:rPr>
        <w:t>.1. Cooperation on the broader sustainable development and environment agenda</w:t>
      </w:r>
    </w:p>
    <w:p w14:paraId="2807D7C9" w14:textId="77777777" w:rsidR="00206B29" w:rsidRPr="00845FB7" w:rsidRDefault="00206B29" w:rsidP="00BD36F8">
      <w:pPr>
        <w:spacing w:before="240"/>
        <w:rPr>
          <w:rFonts w:cstheme="majorBidi"/>
          <w:b/>
          <w:bCs/>
          <w:szCs w:val="20"/>
          <w:lang w:val="en-GB" w:eastAsia="en-GB"/>
        </w:rPr>
      </w:pPr>
      <w:r w:rsidRPr="00845FB7">
        <w:rPr>
          <w:rFonts w:cstheme="majorBidi"/>
          <w:b/>
          <w:bCs/>
          <w:szCs w:val="20"/>
          <w:lang w:val="en-GB" w:eastAsia="en-GB"/>
        </w:rPr>
        <w:t>OUTCOMES</w:t>
      </w:r>
    </w:p>
    <w:p w14:paraId="4FEDF523" w14:textId="129F24EF" w:rsidR="00206B29" w:rsidRPr="00845FB7" w:rsidRDefault="00206B29" w:rsidP="7EAA2ABE">
      <w:pPr>
        <w:spacing w:after="60"/>
        <w:rPr>
          <w:rFonts w:eastAsia="DengXian" w:cstheme="majorBidi"/>
          <w:lang w:val="en-GB"/>
        </w:rPr>
      </w:pPr>
      <w:r w:rsidRPr="00845FB7">
        <w:rPr>
          <w:rFonts w:eastAsia="DengXian" w:cstheme="majorBidi"/>
          <w:lang w:val="en-GB"/>
        </w:rPr>
        <w:t xml:space="preserve">The </w:t>
      </w:r>
      <w:r w:rsidR="00CE462A" w:rsidRPr="00845FB7">
        <w:rPr>
          <w:rFonts w:eastAsia="DengXian" w:cstheme="majorBidi"/>
          <w:lang w:val="en-GB"/>
        </w:rPr>
        <w:t>S</w:t>
      </w:r>
      <w:r w:rsidRPr="00845FB7">
        <w:rPr>
          <w:rFonts w:eastAsia="DengXian" w:cstheme="majorBidi"/>
          <w:lang w:val="en-GB"/>
        </w:rPr>
        <w:t>ecretariat foresees a range of activities which encompass promoting knowledge on mercury issues and the Minamata Convention in the UN system, including at the High Level Political Forum (HLPF), bringing Minamata Convention issues into the UN Environment Programme’s processes including UNEA, the UNEP Senior Management Team meetings extended to Multilateral Environmental Agreement (MEA), the MEA Information and Knowledge Management Initiative, as well as to the implementation of the UNEP Programme of Work 202</w:t>
      </w:r>
      <w:r w:rsidR="1BFE4FA2" w:rsidRPr="00845FB7">
        <w:rPr>
          <w:rFonts w:eastAsia="DengXian" w:cstheme="majorBidi"/>
          <w:lang w:val="en-GB"/>
        </w:rPr>
        <w:t>5</w:t>
      </w:r>
      <w:r w:rsidRPr="00845FB7">
        <w:rPr>
          <w:rFonts w:eastAsia="DengXian" w:cstheme="majorBidi"/>
          <w:lang w:val="en-GB"/>
        </w:rPr>
        <w:t>-202</w:t>
      </w:r>
      <w:r w:rsidR="1BFA345A" w:rsidRPr="00845FB7">
        <w:rPr>
          <w:rFonts w:eastAsia="DengXian" w:cstheme="majorBidi"/>
          <w:lang w:val="en-GB"/>
        </w:rPr>
        <w:t>6</w:t>
      </w:r>
      <w:r w:rsidRPr="00845FB7">
        <w:rPr>
          <w:rFonts w:eastAsia="DengXian" w:cstheme="majorBidi"/>
          <w:lang w:val="en-GB"/>
        </w:rPr>
        <w:t xml:space="preserve"> and Medium Term Strategy 202</w:t>
      </w:r>
      <w:r w:rsidR="17559857" w:rsidRPr="00845FB7">
        <w:rPr>
          <w:rFonts w:eastAsia="DengXian" w:cstheme="majorBidi"/>
          <w:lang w:val="en-GB"/>
        </w:rPr>
        <w:t>6</w:t>
      </w:r>
      <w:r w:rsidRPr="00845FB7">
        <w:rPr>
          <w:rFonts w:eastAsia="DengXian" w:cstheme="majorBidi"/>
          <w:lang w:val="en-GB"/>
        </w:rPr>
        <w:t>-202</w:t>
      </w:r>
      <w:r w:rsidR="2DF27989" w:rsidRPr="00845FB7">
        <w:rPr>
          <w:rFonts w:eastAsia="DengXian" w:cstheme="majorBidi"/>
          <w:lang w:val="en-GB"/>
        </w:rPr>
        <w:t>9</w:t>
      </w:r>
      <w:r w:rsidRPr="00845FB7">
        <w:rPr>
          <w:rFonts w:eastAsia="DengXian" w:cstheme="majorBidi"/>
          <w:lang w:val="en-GB"/>
        </w:rPr>
        <w:t xml:space="preserve">, the Montevideo Programme for the Development and Periodic Review of Environmental Law, and participating and contributing to the UN Environment Management Group (EMG). </w:t>
      </w:r>
    </w:p>
    <w:p w14:paraId="15B9E71B" w14:textId="416718ED" w:rsidR="0015094D" w:rsidRPr="00845FB7" w:rsidRDefault="0015094D" w:rsidP="7EAA2ABE">
      <w:pPr>
        <w:spacing w:after="60"/>
        <w:rPr>
          <w:rFonts w:eastAsia="DengXian" w:cstheme="majorBidi"/>
          <w:lang w:val="en-GB"/>
        </w:rPr>
      </w:pPr>
      <w:r w:rsidRPr="00845FB7">
        <w:rPr>
          <w:rFonts w:eastAsia="DengXian" w:cstheme="majorBidi"/>
          <w:lang w:val="en-GB"/>
        </w:rPr>
        <w:t>Furthermore, the Secretariat will cooperate with the secretariats of other MEAs, including C</w:t>
      </w:r>
      <w:r w:rsidR="00CA4AA3" w:rsidRPr="00845FB7">
        <w:rPr>
          <w:rFonts w:eastAsia="DengXian" w:cstheme="majorBidi"/>
          <w:lang w:val="en-GB"/>
        </w:rPr>
        <w:t>onvention on Biological Diversity</w:t>
      </w:r>
      <w:r w:rsidRPr="00845FB7">
        <w:rPr>
          <w:rFonts w:eastAsia="DengXian" w:cstheme="majorBidi"/>
          <w:lang w:val="en-GB"/>
        </w:rPr>
        <w:t xml:space="preserve">, </w:t>
      </w:r>
      <w:r w:rsidR="00CA4AA3" w:rsidRPr="00845FB7">
        <w:rPr>
          <w:rFonts w:eastAsia="DengXian" w:cstheme="majorBidi"/>
          <w:lang w:val="en-GB"/>
        </w:rPr>
        <w:t xml:space="preserve">Convention on Migratory Species, </w:t>
      </w:r>
      <w:r w:rsidRPr="00845FB7">
        <w:rPr>
          <w:rFonts w:eastAsia="DengXian" w:cstheme="majorBidi"/>
          <w:lang w:val="en-GB"/>
        </w:rPr>
        <w:t>Ramsar Convention, UN</w:t>
      </w:r>
      <w:r w:rsidR="008C0993" w:rsidRPr="00845FB7">
        <w:rPr>
          <w:rFonts w:eastAsia="DengXian" w:cstheme="majorBidi"/>
          <w:lang w:val="en-GB"/>
        </w:rPr>
        <w:t xml:space="preserve"> Convention to Co</w:t>
      </w:r>
      <w:r w:rsidR="00F91974" w:rsidRPr="00845FB7">
        <w:rPr>
          <w:rFonts w:eastAsia="DengXian" w:cstheme="majorBidi"/>
          <w:lang w:val="en-GB"/>
        </w:rPr>
        <w:t>mb</w:t>
      </w:r>
      <w:r w:rsidR="008C0993" w:rsidRPr="00845FB7">
        <w:rPr>
          <w:rFonts w:eastAsia="DengXian" w:cstheme="majorBidi"/>
          <w:lang w:val="en-GB"/>
        </w:rPr>
        <w:t xml:space="preserve">at Desertification and UN </w:t>
      </w:r>
      <w:r w:rsidR="00F91974" w:rsidRPr="00845FB7">
        <w:rPr>
          <w:rFonts w:eastAsia="DengXian" w:cstheme="majorBidi"/>
          <w:lang w:val="en-GB"/>
        </w:rPr>
        <w:t>Framework C</w:t>
      </w:r>
      <w:r w:rsidR="008C0993" w:rsidRPr="00845FB7">
        <w:rPr>
          <w:rFonts w:eastAsia="DengXian" w:cstheme="majorBidi"/>
          <w:lang w:val="en-GB"/>
        </w:rPr>
        <w:t xml:space="preserve">onvention on </w:t>
      </w:r>
      <w:r w:rsidR="00F91974" w:rsidRPr="00845FB7">
        <w:rPr>
          <w:rFonts w:eastAsia="DengXian" w:cstheme="majorBidi"/>
          <w:lang w:val="en-GB"/>
        </w:rPr>
        <w:t>C</w:t>
      </w:r>
      <w:r w:rsidR="008C0993" w:rsidRPr="00845FB7">
        <w:rPr>
          <w:rFonts w:eastAsia="DengXian" w:cstheme="majorBidi"/>
          <w:lang w:val="en-GB"/>
        </w:rPr>
        <w:t>limate Change.</w:t>
      </w:r>
    </w:p>
    <w:p w14:paraId="76E2259D" w14:textId="77777777" w:rsidR="00206B29" w:rsidRPr="00845FB7" w:rsidRDefault="00206B29" w:rsidP="00BD36F8">
      <w:pPr>
        <w:spacing w:before="240"/>
        <w:rPr>
          <w:rFonts w:cstheme="majorBidi"/>
          <w:b/>
          <w:bCs/>
          <w:szCs w:val="20"/>
          <w:lang w:val="en-GB" w:eastAsia="en-GB"/>
        </w:rPr>
      </w:pPr>
      <w:r w:rsidRPr="00845FB7">
        <w:rPr>
          <w:rFonts w:cstheme="majorBidi"/>
          <w:b/>
          <w:bCs/>
          <w:szCs w:val="20"/>
          <w:lang w:val="en-GB" w:eastAsia="en-GB"/>
        </w:rPr>
        <w:t>ACTIVITIES</w:t>
      </w:r>
    </w:p>
    <w:p w14:paraId="5CC9F96F" w14:textId="7E58A569" w:rsidR="00206B29" w:rsidRPr="00845FB7" w:rsidRDefault="00206B29" w:rsidP="7EAA2ABE">
      <w:pPr>
        <w:pStyle w:val="ListParagraph"/>
        <w:numPr>
          <w:ilvl w:val="0"/>
          <w:numId w:val="3"/>
        </w:numPr>
        <w:spacing w:after="60"/>
        <w:rPr>
          <w:rFonts w:cstheme="majorBidi"/>
          <w:lang w:val="en-GB" w:eastAsia="en-GB"/>
        </w:rPr>
      </w:pPr>
      <w:r w:rsidRPr="00845FB7">
        <w:rPr>
          <w:rFonts w:cstheme="majorBidi"/>
          <w:lang w:val="en-GB" w:eastAsia="en-GB"/>
        </w:rPr>
        <w:t>Participate in and contribute to meetings and processes on sustainable development and the environment, including UNEA</w:t>
      </w:r>
      <w:r w:rsidR="04CEC6E8" w:rsidRPr="00845FB7">
        <w:rPr>
          <w:rFonts w:cstheme="majorBidi"/>
          <w:lang w:val="en-GB" w:eastAsia="en-GB"/>
        </w:rPr>
        <w:t>7</w:t>
      </w:r>
      <w:r w:rsidRPr="00845FB7">
        <w:rPr>
          <w:rFonts w:cstheme="majorBidi"/>
          <w:lang w:val="en-GB" w:eastAsia="en-GB"/>
        </w:rPr>
        <w:t xml:space="preserve"> and HLPF (staff costs).</w:t>
      </w:r>
    </w:p>
    <w:p w14:paraId="109086AC" w14:textId="476C1680" w:rsidR="00C84C12" w:rsidRPr="00845FB7" w:rsidRDefault="00C84C12" w:rsidP="00BD36F8">
      <w:pPr>
        <w:pStyle w:val="ListParagraph"/>
        <w:numPr>
          <w:ilvl w:val="0"/>
          <w:numId w:val="3"/>
        </w:numPr>
        <w:spacing w:after="60"/>
        <w:rPr>
          <w:rFonts w:cstheme="majorBidi"/>
          <w:szCs w:val="20"/>
          <w:lang w:val="en-GB" w:eastAsia="en-GB"/>
        </w:rPr>
      </w:pPr>
      <w:r w:rsidRPr="00845FB7">
        <w:rPr>
          <w:rFonts w:cstheme="majorBidi"/>
          <w:szCs w:val="20"/>
          <w:lang w:val="en-GB"/>
        </w:rPr>
        <w:t xml:space="preserve">Contribute to work of other bodies on climate change and biodiversity as contributions from the chemicals and waste cluster and targeted studies </w:t>
      </w:r>
      <w:r w:rsidRPr="00845FB7">
        <w:rPr>
          <w:rFonts w:cstheme="majorBidi"/>
          <w:szCs w:val="20"/>
          <w:lang w:val="en-GB" w:eastAsia="en-GB"/>
        </w:rPr>
        <w:t xml:space="preserve">to increase the recognition of the contribution the Convention makes to implementation of </w:t>
      </w:r>
      <w:r w:rsidR="00695C76" w:rsidRPr="00845FB7">
        <w:rPr>
          <w:rFonts w:cstheme="majorBidi"/>
          <w:szCs w:val="20"/>
          <w:lang w:val="en-GB" w:eastAsia="en-GB"/>
        </w:rPr>
        <w:t>global goals on biodiversity and climate change and a</w:t>
      </w:r>
      <w:r w:rsidRPr="00845FB7">
        <w:rPr>
          <w:rFonts w:cstheme="majorBidi"/>
          <w:szCs w:val="20"/>
          <w:lang w:val="en-GB" w:eastAsia="en-GB"/>
        </w:rPr>
        <w:t xml:space="preserve"> broader environmental agenda.</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4508"/>
        <w:gridCol w:w="4508"/>
      </w:tblGrid>
      <w:tr w:rsidR="00206B29" w:rsidRPr="00845FB7" w14:paraId="3F0636CD" w14:textId="77777777" w:rsidTr="00983115">
        <w:tc>
          <w:tcPr>
            <w:tcW w:w="4508" w:type="dxa"/>
          </w:tcPr>
          <w:p w14:paraId="1799FBE4" w14:textId="51A5AE77" w:rsidR="00206B29" w:rsidRPr="00845FB7" w:rsidRDefault="00206B29"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096129EE" w14:textId="77777777" w:rsidR="00206B29" w:rsidRPr="00845FB7" w:rsidRDefault="00206B29" w:rsidP="00BD36F8">
            <w:pPr>
              <w:pStyle w:val="ListParagraph"/>
              <w:numPr>
                <w:ilvl w:val="0"/>
                <w:numId w:val="5"/>
              </w:numPr>
              <w:spacing w:after="60"/>
              <w:rPr>
                <w:rFonts w:cstheme="majorBidi"/>
                <w:szCs w:val="20"/>
                <w:lang w:val="en-GB" w:eastAsia="en-GB"/>
              </w:rPr>
            </w:pPr>
            <w:r w:rsidRPr="00845FB7">
              <w:rPr>
                <w:rFonts w:eastAsia="DengXian" w:cstheme="majorBidi"/>
                <w:szCs w:val="20"/>
                <w:lang w:val="en-GB" w:eastAsia="en-GB"/>
              </w:rPr>
              <w:t>Mercury pollution is addressed in broader sustainable development and environmental agenda in a synergistic manner.</w:t>
            </w:r>
          </w:p>
          <w:p w14:paraId="5A1E9759" w14:textId="70D362AD" w:rsidR="00206B29" w:rsidRPr="00845FB7" w:rsidRDefault="00E850CE" w:rsidP="00BD36F8">
            <w:pPr>
              <w:pStyle w:val="ListParagraph"/>
              <w:numPr>
                <w:ilvl w:val="0"/>
                <w:numId w:val="5"/>
              </w:numPr>
              <w:spacing w:after="60"/>
              <w:rPr>
                <w:b/>
                <w:bCs/>
                <w:lang w:val="en-GB" w:eastAsia="en-GB"/>
              </w:rPr>
            </w:pPr>
            <w:r w:rsidRPr="00845FB7">
              <w:rPr>
                <w:rFonts w:cstheme="majorBidi"/>
                <w:szCs w:val="20"/>
                <w:lang w:val="en-GB" w:eastAsia="en-GB"/>
              </w:rPr>
              <w:t xml:space="preserve">Publications demonstrating the </w:t>
            </w:r>
            <w:r w:rsidR="00E756AA" w:rsidRPr="00845FB7">
              <w:rPr>
                <w:rFonts w:cstheme="majorBidi"/>
                <w:szCs w:val="20"/>
                <w:lang w:val="en-GB" w:eastAsia="en-GB"/>
              </w:rPr>
              <w:t xml:space="preserve">relevance and </w:t>
            </w:r>
            <w:r w:rsidRPr="00845FB7">
              <w:rPr>
                <w:rFonts w:cstheme="majorBidi"/>
                <w:szCs w:val="20"/>
                <w:lang w:val="en-GB" w:eastAsia="en-GB"/>
              </w:rPr>
              <w:t xml:space="preserve">contribution of the Minamata Convention to </w:t>
            </w:r>
            <w:r w:rsidR="00E756AA" w:rsidRPr="00845FB7">
              <w:rPr>
                <w:rFonts w:cstheme="majorBidi"/>
                <w:szCs w:val="20"/>
                <w:lang w:val="en-GB" w:eastAsia="en-GB"/>
              </w:rPr>
              <w:t>biodiversity</w:t>
            </w:r>
          </w:p>
        </w:tc>
        <w:tc>
          <w:tcPr>
            <w:tcW w:w="4508" w:type="dxa"/>
          </w:tcPr>
          <w:p w14:paraId="59AECC34" w14:textId="66F1CC1C" w:rsidR="00206B29" w:rsidRPr="00845FB7" w:rsidRDefault="00206B29"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2EE5C012" w14:textId="19F200D8" w:rsidR="00206B29" w:rsidRPr="00845FB7" w:rsidRDefault="00206B29" w:rsidP="00BD36F8">
            <w:pPr>
              <w:pStyle w:val="ListParagraph"/>
              <w:numPr>
                <w:ilvl w:val="0"/>
                <w:numId w:val="4"/>
              </w:numPr>
              <w:spacing w:after="60"/>
              <w:rPr>
                <w:rFonts w:cstheme="majorBidi"/>
                <w:szCs w:val="20"/>
                <w:lang w:val="en-GB" w:eastAsia="en-GB"/>
              </w:rPr>
            </w:pPr>
            <w:r w:rsidRPr="00845FB7">
              <w:rPr>
                <w:rFonts w:eastAsia="DengXian" w:cstheme="majorBidi"/>
                <w:szCs w:val="20"/>
                <w:lang w:val="en-GB" w:eastAsia="en-GB"/>
              </w:rPr>
              <w:t>Reports of relevant meetings and processes.</w:t>
            </w:r>
          </w:p>
        </w:tc>
      </w:tr>
    </w:tbl>
    <w:p w14:paraId="6C711C27" w14:textId="2AE90D9B" w:rsidR="00206B29" w:rsidRPr="00845FB7" w:rsidRDefault="00206B29" w:rsidP="00BD36F8">
      <w:pPr>
        <w:pStyle w:val="Heading2"/>
        <w:spacing w:before="360" w:after="120"/>
        <w:rPr>
          <w:sz w:val="28"/>
          <w:szCs w:val="28"/>
          <w:lang w:val="en-GB"/>
        </w:rPr>
      </w:pPr>
      <w:r w:rsidRPr="00845FB7">
        <w:rPr>
          <w:sz w:val="28"/>
          <w:szCs w:val="28"/>
          <w:lang w:val="en-GB"/>
        </w:rPr>
        <w:t>Component 1</w:t>
      </w:r>
      <w:r w:rsidR="009F64A5" w:rsidRPr="00845FB7">
        <w:rPr>
          <w:sz w:val="28"/>
          <w:szCs w:val="28"/>
          <w:lang w:val="en-GB"/>
        </w:rPr>
        <w:t>2</w:t>
      </w:r>
      <w:r w:rsidRPr="00845FB7">
        <w:rPr>
          <w:sz w:val="28"/>
          <w:szCs w:val="28"/>
          <w:lang w:val="en-GB"/>
        </w:rPr>
        <w:t>.2. Cooperation within the chemicals and waste cluster</w:t>
      </w:r>
    </w:p>
    <w:p w14:paraId="4A520186" w14:textId="77777777" w:rsidR="00206B29" w:rsidRPr="00845FB7" w:rsidRDefault="00206B29" w:rsidP="00BD36F8">
      <w:pPr>
        <w:spacing w:before="240"/>
        <w:rPr>
          <w:rFonts w:cstheme="majorBidi"/>
          <w:b/>
          <w:bCs/>
          <w:szCs w:val="20"/>
          <w:lang w:val="en-GB" w:eastAsia="en-GB"/>
        </w:rPr>
      </w:pPr>
      <w:r w:rsidRPr="00845FB7">
        <w:rPr>
          <w:rFonts w:cstheme="majorBidi"/>
          <w:b/>
          <w:bCs/>
          <w:szCs w:val="20"/>
          <w:lang w:val="en-GB" w:eastAsia="en-GB"/>
        </w:rPr>
        <w:t>OUTCOMES</w:t>
      </w:r>
    </w:p>
    <w:p w14:paraId="7CE4467C" w14:textId="18A7FC4D" w:rsidR="00206B29" w:rsidRPr="00845FB7" w:rsidRDefault="00206B29" w:rsidP="7EAA2ABE">
      <w:pPr>
        <w:spacing w:after="60"/>
        <w:rPr>
          <w:rFonts w:eastAsia="DengXian" w:cstheme="majorBidi"/>
          <w:lang w:val="en-GB"/>
        </w:rPr>
      </w:pPr>
      <w:r w:rsidRPr="00845FB7">
        <w:rPr>
          <w:rFonts w:eastAsia="Roboto" w:cstheme="majorBidi"/>
          <w:lang w:val="en-GB"/>
        </w:rPr>
        <w:t xml:space="preserve">The </w:t>
      </w:r>
      <w:r w:rsidR="00AA5779" w:rsidRPr="00845FB7">
        <w:rPr>
          <w:rFonts w:eastAsia="Roboto" w:cstheme="majorBidi"/>
          <w:lang w:val="en-GB"/>
        </w:rPr>
        <w:t>S</w:t>
      </w:r>
      <w:r w:rsidRPr="00845FB7">
        <w:rPr>
          <w:rFonts w:eastAsia="Roboto" w:cstheme="majorBidi"/>
          <w:lang w:val="en-GB"/>
        </w:rPr>
        <w:t xml:space="preserve">ecretariat will continue to promote knowledge of mercury issues in the chemicals and waste cluster, cooperate and collaborate with the Basel, Rotterdam and Stockholm conventions and </w:t>
      </w:r>
      <w:r w:rsidR="00AA5779" w:rsidRPr="00845FB7">
        <w:rPr>
          <w:rFonts w:eastAsia="Roboto" w:cstheme="majorBidi"/>
          <w:lang w:val="en-GB"/>
        </w:rPr>
        <w:t>its S</w:t>
      </w:r>
      <w:r w:rsidRPr="00845FB7">
        <w:rPr>
          <w:rFonts w:eastAsia="Roboto" w:cstheme="majorBidi"/>
          <w:lang w:val="en-GB"/>
        </w:rPr>
        <w:t xml:space="preserve">ecretariat, </w:t>
      </w:r>
      <w:r w:rsidR="739D8D7C" w:rsidRPr="00845FB7">
        <w:rPr>
          <w:rFonts w:eastAsia="Roboto" w:cs="Roboto"/>
          <w:szCs w:val="20"/>
          <w:lang w:val="en-GB"/>
        </w:rPr>
        <w:t xml:space="preserve"> </w:t>
      </w:r>
      <w:r w:rsidR="005C71C5" w:rsidRPr="00845FB7">
        <w:rPr>
          <w:rFonts w:eastAsia="Roboto" w:cs="Roboto"/>
          <w:szCs w:val="20"/>
          <w:lang w:val="en-GB"/>
        </w:rPr>
        <w:t>the Vienna Convention for the Protection of the Ozone Layer</w:t>
      </w:r>
      <w:r w:rsidR="00B605EB" w:rsidRPr="00845FB7">
        <w:rPr>
          <w:rFonts w:eastAsia="Roboto" w:cs="Roboto"/>
          <w:szCs w:val="20"/>
          <w:lang w:val="en-GB"/>
        </w:rPr>
        <w:t xml:space="preserve"> and th</w:t>
      </w:r>
      <w:r w:rsidR="005C71C5" w:rsidRPr="00845FB7">
        <w:rPr>
          <w:rFonts w:eastAsia="Roboto" w:cs="Roboto"/>
          <w:szCs w:val="20"/>
          <w:lang w:val="en-GB"/>
        </w:rPr>
        <w:t>e Montreal Protocol on Substances that Deplete the Ozone Laye</w:t>
      </w:r>
      <w:r w:rsidR="00B605EB" w:rsidRPr="00845FB7">
        <w:rPr>
          <w:rFonts w:eastAsia="Roboto" w:cs="Roboto"/>
          <w:szCs w:val="20"/>
          <w:lang w:val="en-GB"/>
        </w:rPr>
        <w:t xml:space="preserve">r and their </w:t>
      </w:r>
      <w:r w:rsidR="00F17302" w:rsidRPr="00845FB7">
        <w:rPr>
          <w:rFonts w:eastAsia="Roboto" w:cs="Roboto"/>
          <w:szCs w:val="20"/>
          <w:lang w:val="en-GB"/>
        </w:rPr>
        <w:t>S</w:t>
      </w:r>
      <w:r w:rsidR="00B605EB" w:rsidRPr="00845FB7">
        <w:rPr>
          <w:rFonts w:eastAsia="Roboto" w:cs="Roboto"/>
          <w:szCs w:val="20"/>
          <w:lang w:val="en-GB"/>
        </w:rPr>
        <w:t xml:space="preserve">ecretariat, </w:t>
      </w:r>
      <w:r w:rsidR="739D8D7C" w:rsidRPr="00845FB7">
        <w:rPr>
          <w:rFonts w:eastAsia="Roboto" w:cs="Roboto"/>
          <w:szCs w:val="20"/>
          <w:lang w:val="en-GB"/>
        </w:rPr>
        <w:t>the Global Framework on Chemicals</w:t>
      </w:r>
      <w:r w:rsidR="6E5BF5EF" w:rsidRPr="00845FB7">
        <w:rPr>
          <w:rFonts w:eastAsia="Roboto" w:cs="Roboto"/>
          <w:szCs w:val="20"/>
          <w:lang w:val="en-GB"/>
        </w:rPr>
        <w:t xml:space="preserve"> (GFC),</w:t>
      </w:r>
      <w:r w:rsidRPr="00845FB7">
        <w:rPr>
          <w:rFonts w:eastAsia="Roboto" w:cstheme="majorBidi"/>
          <w:lang w:val="en-GB"/>
        </w:rPr>
        <w:t xml:space="preserve"> the UNEP Global Mercury Partnership (GMP), the UNEP Chemicals and Waste Branch (including the Special Programme, the Osaka-based International Environmental Technology Centre), </w:t>
      </w:r>
      <w:r w:rsidR="1C96339B" w:rsidRPr="00845FB7">
        <w:rPr>
          <w:rFonts w:eastAsia="Roboto" w:cstheme="majorBidi"/>
          <w:lang w:val="en-GB"/>
        </w:rPr>
        <w:t xml:space="preserve">the </w:t>
      </w:r>
      <w:r w:rsidR="007E21CD" w:rsidRPr="00845FB7">
        <w:rPr>
          <w:rFonts w:eastAsia="Roboto" w:cs="Times New Roman"/>
          <w:color w:val="000000" w:themeColor="text1"/>
          <w:szCs w:val="20"/>
          <w:lang w:val="en-GB"/>
        </w:rPr>
        <w:t>S</w:t>
      </w:r>
      <w:r w:rsidR="1C96339B" w:rsidRPr="00845FB7">
        <w:rPr>
          <w:rFonts w:eastAsia="Roboto" w:cs="Times New Roman"/>
          <w:color w:val="000000" w:themeColor="text1"/>
          <w:szCs w:val="20"/>
          <w:lang w:val="en-GB"/>
        </w:rPr>
        <w:t>cience-</w:t>
      </w:r>
      <w:r w:rsidR="007E21CD" w:rsidRPr="00845FB7">
        <w:rPr>
          <w:rFonts w:eastAsia="Roboto" w:cs="Times New Roman"/>
          <w:color w:val="000000" w:themeColor="text1"/>
          <w:szCs w:val="20"/>
          <w:lang w:val="en-GB"/>
        </w:rPr>
        <w:t>P</w:t>
      </w:r>
      <w:r w:rsidR="1C96339B" w:rsidRPr="00845FB7">
        <w:rPr>
          <w:rFonts w:eastAsia="Roboto" w:cs="Times New Roman"/>
          <w:color w:val="000000" w:themeColor="text1"/>
          <w:szCs w:val="20"/>
          <w:lang w:val="en-GB"/>
        </w:rPr>
        <w:t xml:space="preserve">olicy </w:t>
      </w:r>
      <w:r w:rsidR="007E21CD" w:rsidRPr="00845FB7">
        <w:rPr>
          <w:rFonts w:eastAsia="Roboto" w:cs="Times New Roman"/>
          <w:color w:val="000000" w:themeColor="text1"/>
          <w:szCs w:val="20"/>
          <w:lang w:val="en-GB"/>
        </w:rPr>
        <w:t>P</w:t>
      </w:r>
      <w:r w:rsidR="1C96339B" w:rsidRPr="00845FB7">
        <w:rPr>
          <w:rFonts w:eastAsia="Roboto" w:cs="Times New Roman"/>
          <w:color w:val="000000" w:themeColor="text1"/>
          <w:szCs w:val="20"/>
          <w:lang w:val="en-GB"/>
        </w:rPr>
        <w:t xml:space="preserve">anel on </w:t>
      </w:r>
      <w:r w:rsidR="007E21CD" w:rsidRPr="00845FB7">
        <w:rPr>
          <w:rFonts w:eastAsia="Roboto" w:cs="Times New Roman"/>
          <w:color w:val="000000" w:themeColor="text1"/>
          <w:szCs w:val="20"/>
          <w:lang w:val="en-GB"/>
        </w:rPr>
        <w:t>C</w:t>
      </w:r>
      <w:r w:rsidR="1C96339B" w:rsidRPr="00845FB7">
        <w:rPr>
          <w:rFonts w:eastAsia="Roboto" w:cs="Times New Roman"/>
          <w:color w:val="000000" w:themeColor="text1"/>
          <w:szCs w:val="20"/>
          <w:lang w:val="en-GB"/>
        </w:rPr>
        <w:t xml:space="preserve">hemicals, </w:t>
      </w:r>
      <w:r w:rsidR="007E21CD" w:rsidRPr="00845FB7">
        <w:rPr>
          <w:rFonts w:eastAsia="Roboto" w:cs="Times New Roman"/>
          <w:color w:val="000000" w:themeColor="text1"/>
          <w:szCs w:val="20"/>
          <w:lang w:val="en-GB"/>
        </w:rPr>
        <w:t>W</w:t>
      </w:r>
      <w:r w:rsidR="1C96339B" w:rsidRPr="00845FB7">
        <w:rPr>
          <w:rFonts w:eastAsia="Roboto" w:cs="Times New Roman"/>
          <w:color w:val="000000" w:themeColor="text1"/>
          <w:szCs w:val="20"/>
          <w:lang w:val="en-GB"/>
        </w:rPr>
        <w:t>aste and</w:t>
      </w:r>
      <w:r w:rsidR="007E21CD" w:rsidRPr="00845FB7">
        <w:rPr>
          <w:rFonts w:eastAsia="Roboto" w:cs="Times New Roman"/>
          <w:color w:val="000000" w:themeColor="text1"/>
          <w:szCs w:val="20"/>
          <w:lang w:val="en-GB"/>
        </w:rPr>
        <w:t xml:space="preserve"> </w:t>
      </w:r>
      <w:r w:rsidR="003C25DC" w:rsidRPr="00845FB7">
        <w:rPr>
          <w:rFonts w:eastAsia="Roboto" w:cs="Times New Roman"/>
          <w:color w:val="000000" w:themeColor="text1"/>
          <w:szCs w:val="20"/>
          <w:lang w:val="en-GB"/>
        </w:rPr>
        <w:t>P</w:t>
      </w:r>
      <w:r w:rsidR="007E21CD" w:rsidRPr="00845FB7">
        <w:rPr>
          <w:rFonts w:eastAsia="Roboto" w:cs="Times New Roman"/>
          <w:color w:val="000000" w:themeColor="text1"/>
          <w:szCs w:val="20"/>
          <w:lang w:val="en-GB"/>
        </w:rPr>
        <w:t>ollution</w:t>
      </w:r>
      <w:r w:rsidR="003C25DC" w:rsidRPr="00845FB7">
        <w:rPr>
          <w:rFonts w:eastAsia="Roboto" w:cs="Times New Roman"/>
          <w:color w:val="000000" w:themeColor="text1"/>
          <w:szCs w:val="20"/>
          <w:lang w:val="en-GB"/>
        </w:rPr>
        <w:t xml:space="preserve"> (SPP)</w:t>
      </w:r>
      <w:r w:rsidR="1C96339B" w:rsidRPr="00845FB7">
        <w:rPr>
          <w:rFonts w:eastAsia="Roboto" w:cs="Times New Roman"/>
          <w:color w:val="000000" w:themeColor="text1"/>
          <w:szCs w:val="20"/>
          <w:lang w:val="en-GB"/>
        </w:rPr>
        <w:t xml:space="preserve"> , </w:t>
      </w:r>
      <w:r w:rsidRPr="00845FB7">
        <w:rPr>
          <w:rFonts w:eastAsia="Roboto" w:cstheme="majorBidi"/>
          <w:lang w:val="en-GB"/>
        </w:rPr>
        <w:t xml:space="preserve">foster close working relations with the UNEP Regional Offices on chemicals and waste matters, and with the Basel Convention regional and co-ordinating centres, and Stockholm Convention regional and sub-regional centres, cooperate and collaborate with Implementing and Executing </w:t>
      </w:r>
      <w:r w:rsidRPr="00845FB7">
        <w:rPr>
          <w:rFonts w:eastAsia="Roboto" w:cstheme="majorBidi"/>
          <w:lang w:val="en-GB"/>
        </w:rPr>
        <w:lastRenderedPageBreak/>
        <w:t xml:space="preserve">agencies and organisations, intergovernmental and non-governmental organisations dealing with chemicals and waste, as well as the Inter-Organization Programme for the Sound Management of Chemicals (IOMC) and its Mercury Group, and other related inter-agency mechanisms. </w:t>
      </w:r>
      <w:r w:rsidRPr="00845FB7">
        <w:rPr>
          <w:rFonts w:cstheme="majorBidi"/>
          <w:lang w:val="en-GB"/>
        </w:rPr>
        <w:t xml:space="preserve">The </w:t>
      </w:r>
      <w:r w:rsidR="000444B7" w:rsidRPr="00845FB7">
        <w:rPr>
          <w:rFonts w:cstheme="majorBidi"/>
          <w:lang w:val="en-GB"/>
        </w:rPr>
        <w:t>S</w:t>
      </w:r>
      <w:r w:rsidRPr="00845FB7">
        <w:rPr>
          <w:rFonts w:cstheme="majorBidi"/>
          <w:lang w:val="en-GB"/>
        </w:rPr>
        <w:t>ecretariat will continue working with the BRS conventions to promote the sound management of chemicals and waste and the understanding of the contribution the implementation of the Minamata Convention makes to the conservation and sustainable use of biological diversity as well as to climate change mitigation and adaptation.</w:t>
      </w:r>
    </w:p>
    <w:p w14:paraId="5C710BA4" w14:textId="77777777" w:rsidR="00206B29" w:rsidRPr="00845FB7" w:rsidRDefault="00206B29" w:rsidP="00BD36F8">
      <w:pPr>
        <w:spacing w:before="240"/>
        <w:rPr>
          <w:rFonts w:cstheme="majorBidi"/>
          <w:b/>
          <w:bCs/>
          <w:szCs w:val="20"/>
          <w:lang w:val="en-GB" w:eastAsia="en-GB"/>
        </w:rPr>
      </w:pPr>
      <w:r w:rsidRPr="00845FB7">
        <w:rPr>
          <w:rFonts w:cstheme="majorBidi"/>
          <w:b/>
          <w:bCs/>
          <w:szCs w:val="20"/>
          <w:lang w:val="en-GB" w:eastAsia="en-GB"/>
        </w:rPr>
        <w:t>ACTIVITIES</w:t>
      </w:r>
    </w:p>
    <w:p w14:paraId="77D87182" w14:textId="36D4082E" w:rsidR="00206B29" w:rsidRPr="00845FB7" w:rsidRDefault="00206B29" w:rsidP="7EAA2ABE">
      <w:pPr>
        <w:pStyle w:val="ListParagraph"/>
        <w:numPr>
          <w:ilvl w:val="0"/>
          <w:numId w:val="3"/>
        </w:numPr>
        <w:spacing w:after="60"/>
        <w:rPr>
          <w:rFonts w:cstheme="majorBidi"/>
          <w:lang w:val="en-GB" w:eastAsia="en-GB"/>
        </w:rPr>
      </w:pPr>
      <w:r w:rsidRPr="00845FB7">
        <w:rPr>
          <w:rFonts w:cstheme="majorBidi"/>
          <w:lang w:val="en-GB"/>
        </w:rPr>
        <w:t xml:space="preserve">Participate in and contribute to meetings within the chemicals and waste cluster, including the Basel, Rotterdam and Stockholm Convention COPs, International Conference on Chemicals Management, </w:t>
      </w:r>
      <w:r w:rsidR="0AA48EA1" w:rsidRPr="00845FB7">
        <w:rPr>
          <w:rFonts w:cstheme="majorBidi"/>
          <w:lang w:val="en-GB"/>
        </w:rPr>
        <w:t xml:space="preserve">GFC meetings, </w:t>
      </w:r>
      <w:r w:rsidR="37DEA42E" w:rsidRPr="00845FB7">
        <w:rPr>
          <w:rFonts w:cstheme="majorBidi"/>
          <w:lang w:val="en-GB"/>
        </w:rPr>
        <w:t xml:space="preserve">SPP meetings, </w:t>
      </w:r>
      <w:r w:rsidRPr="00845FB7">
        <w:rPr>
          <w:rFonts w:cstheme="majorBidi"/>
          <w:lang w:val="en-GB"/>
        </w:rPr>
        <w:t xml:space="preserve">IOMC meetings and GMP, including PAG (staff costs); </w:t>
      </w:r>
    </w:p>
    <w:p w14:paraId="7C55CC99" w14:textId="68FF9DDF" w:rsidR="00206B29" w:rsidRPr="00845FB7" w:rsidRDefault="00206B29" w:rsidP="00BD36F8">
      <w:pPr>
        <w:pStyle w:val="ListParagraph"/>
        <w:numPr>
          <w:ilvl w:val="0"/>
          <w:numId w:val="3"/>
        </w:numPr>
        <w:spacing w:after="60"/>
        <w:rPr>
          <w:lang w:val="en-GB" w:eastAsia="en-GB"/>
        </w:rPr>
      </w:pPr>
      <w:r w:rsidRPr="00845FB7">
        <w:rPr>
          <w:rFonts w:cstheme="majorBidi"/>
          <w:szCs w:val="20"/>
          <w:lang w:val="en-GB"/>
        </w:rPr>
        <w:t>Contribute to initiatives on the sound management of chemicals and waste (staff costs)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4508"/>
        <w:gridCol w:w="4508"/>
      </w:tblGrid>
      <w:tr w:rsidR="00206B29" w:rsidRPr="00845FB7" w14:paraId="4883B8AE" w14:textId="77777777" w:rsidTr="00983115">
        <w:tc>
          <w:tcPr>
            <w:tcW w:w="4508" w:type="dxa"/>
          </w:tcPr>
          <w:p w14:paraId="23CC300D" w14:textId="4326D0F3" w:rsidR="001E2324" w:rsidRPr="00845FB7" w:rsidRDefault="001E2324" w:rsidP="00BD36F8">
            <w:pPr>
              <w:spacing w:before="240" w:after="120"/>
              <w:ind w:left="363"/>
              <w:rPr>
                <w:rFonts w:cstheme="majorBidi"/>
                <w:b/>
                <w:bCs/>
                <w:lang w:val="en-GB" w:eastAsia="en-GB"/>
              </w:rPr>
            </w:pPr>
            <w:r w:rsidRPr="00845FB7">
              <w:rPr>
                <w:rFonts w:cstheme="majorBidi"/>
                <w:b/>
                <w:bCs/>
                <w:lang w:val="en-GB" w:eastAsia="en-GB"/>
              </w:rPr>
              <w:t xml:space="preserve">INDICATORS OF </w:t>
            </w:r>
            <w:r w:rsidRPr="00845FB7">
              <w:rPr>
                <w:rFonts w:cstheme="majorBidi"/>
                <w:b/>
                <w:bCs/>
                <w:szCs w:val="20"/>
                <w:lang w:val="en-GB" w:eastAsia="en-GB"/>
              </w:rPr>
              <w:t>ACHIEVEMENT</w:t>
            </w:r>
          </w:p>
          <w:p w14:paraId="5BAA8457" w14:textId="76865C8D" w:rsidR="00206B29" w:rsidRPr="00845FB7" w:rsidRDefault="001E2324" w:rsidP="00BD36F8">
            <w:pPr>
              <w:pStyle w:val="ListParagraph"/>
              <w:numPr>
                <w:ilvl w:val="0"/>
                <w:numId w:val="5"/>
              </w:numPr>
              <w:spacing w:after="60"/>
              <w:rPr>
                <w:szCs w:val="20"/>
                <w:lang w:val="en-GB" w:eastAsia="en-GB"/>
              </w:rPr>
            </w:pPr>
            <w:r w:rsidRPr="00845FB7">
              <w:rPr>
                <w:rFonts w:cstheme="majorBidi"/>
                <w:lang w:val="en-GB"/>
              </w:rPr>
              <w:t>Mercury pollution is addressed in the international initiatives on the sound management of chemicals and waste</w:t>
            </w:r>
            <w:r w:rsidRPr="00845FB7">
              <w:rPr>
                <w:lang w:val="en-GB"/>
              </w:rPr>
              <w:t>.</w:t>
            </w:r>
          </w:p>
        </w:tc>
        <w:tc>
          <w:tcPr>
            <w:tcW w:w="4508" w:type="dxa"/>
          </w:tcPr>
          <w:p w14:paraId="24227B5D" w14:textId="4E64A6EA" w:rsidR="00206B29" w:rsidRPr="00845FB7" w:rsidRDefault="00206B29"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59E361B2" w14:textId="77777777" w:rsidR="00206B29" w:rsidRPr="00845FB7" w:rsidRDefault="00206B29" w:rsidP="00BD36F8">
            <w:pPr>
              <w:pStyle w:val="ListParagraph"/>
              <w:numPr>
                <w:ilvl w:val="0"/>
                <w:numId w:val="4"/>
              </w:numPr>
              <w:spacing w:after="60"/>
              <w:rPr>
                <w:rFonts w:cstheme="majorBidi"/>
                <w:szCs w:val="20"/>
                <w:lang w:val="en-GB" w:eastAsia="en-GB"/>
              </w:rPr>
            </w:pPr>
            <w:r w:rsidRPr="00845FB7">
              <w:rPr>
                <w:rFonts w:cstheme="majorBidi"/>
                <w:szCs w:val="20"/>
                <w:lang w:val="en-GB"/>
              </w:rPr>
              <w:t xml:space="preserve">Reports of relevant meetings and processes. </w:t>
            </w:r>
          </w:p>
          <w:p w14:paraId="28B1CFF5" w14:textId="776B7CAC" w:rsidR="00206B29" w:rsidRPr="00845FB7" w:rsidRDefault="00206B29" w:rsidP="00BD36F8">
            <w:pPr>
              <w:pStyle w:val="ListParagraph"/>
              <w:numPr>
                <w:ilvl w:val="0"/>
                <w:numId w:val="4"/>
              </w:numPr>
              <w:spacing w:after="60"/>
              <w:rPr>
                <w:rFonts w:cstheme="majorBidi"/>
                <w:szCs w:val="20"/>
                <w:lang w:val="en-GB" w:eastAsia="en-GB"/>
              </w:rPr>
            </w:pPr>
            <w:r w:rsidRPr="00845FB7">
              <w:rPr>
                <w:rFonts w:cstheme="majorBidi"/>
                <w:szCs w:val="20"/>
                <w:lang w:val="en-GB"/>
              </w:rPr>
              <w:t>Reports to the Conference of the Parties.</w:t>
            </w:r>
          </w:p>
        </w:tc>
      </w:tr>
    </w:tbl>
    <w:p w14:paraId="0050D16B" w14:textId="2079F1BA" w:rsidR="00206B29" w:rsidRPr="00845FB7" w:rsidRDefault="00206B29" w:rsidP="00BD36F8">
      <w:pPr>
        <w:pStyle w:val="Heading2"/>
        <w:spacing w:before="360" w:after="120"/>
        <w:rPr>
          <w:sz w:val="28"/>
          <w:szCs w:val="28"/>
          <w:lang w:val="en-GB"/>
        </w:rPr>
      </w:pPr>
      <w:r w:rsidRPr="00845FB7">
        <w:rPr>
          <w:sz w:val="28"/>
          <w:szCs w:val="28"/>
          <w:lang w:val="en-GB"/>
        </w:rPr>
        <w:t>Component 1</w:t>
      </w:r>
      <w:r w:rsidR="009F64A5" w:rsidRPr="00845FB7">
        <w:rPr>
          <w:sz w:val="28"/>
          <w:szCs w:val="28"/>
          <w:lang w:val="en-GB"/>
        </w:rPr>
        <w:t>2</w:t>
      </w:r>
      <w:r w:rsidRPr="00845FB7">
        <w:rPr>
          <w:sz w:val="28"/>
          <w:szCs w:val="28"/>
          <w:lang w:val="en-GB"/>
        </w:rPr>
        <w:t>.3. Other cooperation and coordination</w:t>
      </w:r>
    </w:p>
    <w:p w14:paraId="377EA00E" w14:textId="77777777" w:rsidR="00206B29" w:rsidRPr="00845FB7" w:rsidRDefault="00206B29" w:rsidP="00BD36F8">
      <w:pPr>
        <w:spacing w:before="240"/>
        <w:rPr>
          <w:rFonts w:cstheme="majorBidi"/>
          <w:b/>
          <w:bCs/>
          <w:szCs w:val="20"/>
          <w:lang w:val="en-GB" w:eastAsia="en-GB"/>
        </w:rPr>
      </w:pPr>
      <w:r w:rsidRPr="00845FB7">
        <w:rPr>
          <w:rFonts w:cstheme="majorBidi"/>
          <w:b/>
          <w:bCs/>
          <w:szCs w:val="20"/>
          <w:lang w:val="en-GB" w:eastAsia="en-GB"/>
        </w:rPr>
        <w:t>OUTCOMES</w:t>
      </w:r>
    </w:p>
    <w:p w14:paraId="0FCF1D0C" w14:textId="151180AB" w:rsidR="00206B29" w:rsidRPr="00845FB7" w:rsidRDefault="00206B29" w:rsidP="7EAA2ABE">
      <w:pPr>
        <w:spacing w:after="60"/>
        <w:rPr>
          <w:rFonts w:eastAsia="Roboto" w:cstheme="majorBidi"/>
          <w:lang w:val="en-GB"/>
        </w:rPr>
      </w:pPr>
      <w:r w:rsidRPr="00845FB7">
        <w:rPr>
          <w:rFonts w:eastAsia="Roboto" w:cstheme="majorBidi"/>
          <w:lang w:val="en-GB"/>
        </w:rPr>
        <w:t xml:space="preserve">The </w:t>
      </w:r>
      <w:r w:rsidR="001357EF" w:rsidRPr="00845FB7">
        <w:rPr>
          <w:rFonts w:eastAsia="Roboto" w:cstheme="majorBidi"/>
          <w:lang w:val="en-GB"/>
        </w:rPr>
        <w:t>S</w:t>
      </w:r>
      <w:r w:rsidRPr="00845FB7">
        <w:rPr>
          <w:rFonts w:eastAsia="Roboto" w:cstheme="majorBidi"/>
          <w:lang w:val="en-GB"/>
        </w:rPr>
        <w:t xml:space="preserve">ecretariat will continue its cooperation and coordination with organisations that have areas of common or related interests with the Convention to share experiences and establish synergies, including with the World Health Organization, the International Labour Organization, </w:t>
      </w:r>
      <w:r w:rsidR="00AE20CC" w:rsidRPr="00845FB7">
        <w:rPr>
          <w:rFonts w:eastAsia="Roboto" w:cstheme="majorBidi"/>
          <w:lang w:val="en-GB"/>
        </w:rPr>
        <w:t xml:space="preserve">Office of the High Commissioner for </w:t>
      </w:r>
      <w:r w:rsidR="00B25274" w:rsidRPr="00845FB7">
        <w:rPr>
          <w:rFonts w:eastAsia="Roboto" w:cstheme="majorBidi"/>
          <w:lang w:val="en-GB"/>
        </w:rPr>
        <w:t>Human</w:t>
      </w:r>
      <w:r w:rsidR="00AE20CC" w:rsidRPr="00845FB7">
        <w:rPr>
          <w:rFonts w:eastAsia="Roboto" w:cstheme="majorBidi"/>
          <w:lang w:val="en-GB"/>
        </w:rPr>
        <w:t xml:space="preserve"> Rights, </w:t>
      </w:r>
      <w:r w:rsidRPr="00845FB7">
        <w:rPr>
          <w:rFonts w:eastAsia="Roboto" w:cstheme="majorBidi"/>
          <w:lang w:val="en-GB"/>
        </w:rPr>
        <w:t xml:space="preserve">the UNECE Convention on Access to Information, Public Participation in decision-making and Access to Justice in Environmental Matters (Aarhus Convention), </w:t>
      </w:r>
      <w:r w:rsidR="005F7DE2" w:rsidRPr="00845FB7">
        <w:rPr>
          <w:rFonts w:eastAsia="Roboto" w:cstheme="majorBidi"/>
          <w:lang w:val="en-GB"/>
        </w:rPr>
        <w:t>the Regional Agreement on Access to Information, Public Participation and Justice in Environmental Matters in Latin America and the Caribbean (the Escazú Agreement )</w:t>
      </w:r>
      <w:r w:rsidR="00E44603">
        <w:rPr>
          <w:rFonts w:eastAsia="Roboto" w:cstheme="majorBidi"/>
          <w:lang w:val="en-GB"/>
        </w:rPr>
        <w:t xml:space="preserve"> </w:t>
      </w:r>
      <w:r w:rsidRPr="00845FB7">
        <w:rPr>
          <w:rFonts w:eastAsia="Roboto" w:cstheme="majorBidi"/>
          <w:lang w:val="en-GB"/>
        </w:rPr>
        <w:t xml:space="preserve">the Green Customs Initiative, the World Customs Organization, Regional Sea Convention and Action Plans, International Conference </w:t>
      </w:r>
      <w:r w:rsidR="00722352" w:rsidRPr="00845FB7">
        <w:rPr>
          <w:rFonts w:eastAsia="Roboto" w:cstheme="majorBidi"/>
          <w:lang w:val="en-GB"/>
        </w:rPr>
        <w:t xml:space="preserve">on Mercury </w:t>
      </w:r>
      <w:r w:rsidRPr="00845FB7">
        <w:rPr>
          <w:rFonts w:eastAsia="Roboto" w:cstheme="majorBidi"/>
          <w:lang w:val="en-GB"/>
        </w:rPr>
        <w:t xml:space="preserve">as a Global Pollutant, and potentially others. Moreover, the </w:t>
      </w:r>
      <w:r w:rsidR="00290739" w:rsidRPr="00845FB7">
        <w:rPr>
          <w:rFonts w:eastAsia="Roboto" w:cstheme="majorBidi"/>
          <w:lang w:val="en-GB"/>
        </w:rPr>
        <w:t>S</w:t>
      </w:r>
      <w:r w:rsidRPr="00845FB7">
        <w:rPr>
          <w:rFonts w:eastAsia="Roboto" w:cstheme="majorBidi"/>
          <w:lang w:val="en-GB"/>
        </w:rPr>
        <w:t xml:space="preserve">ecretariat </w:t>
      </w:r>
      <w:r w:rsidR="0D02730F" w:rsidRPr="00845FB7">
        <w:rPr>
          <w:rFonts w:eastAsia="Roboto" w:cstheme="majorBidi"/>
          <w:lang w:val="en-GB"/>
        </w:rPr>
        <w:t xml:space="preserve">is supporting a </w:t>
      </w:r>
      <w:r w:rsidR="00722352" w:rsidRPr="00845FB7">
        <w:rPr>
          <w:rFonts w:eastAsia="Roboto" w:cstheme="majorBidi"/>
          <w:lang w:val="en-GB"/>
        </w:rPr>
        <w:t>broadened</w:t>
      </w:r>
      <w:r w:rsidRPr="00845FB7">
        <w:rPr>
          <w:rFonts w:eastAsia="Roboto" w:cstheme="majorBidi"/>
          <w:lang w:val="en-GB"/>
        </w:rPr>
        <w:t xml:space="preserve"> engagement </w:t>
      </w:r>
      <w:r w:rsidR="00C63DF6" w:rsidRPr="00845FB7">
        <w:rPr>
          <w:rFonts w:eastAsia="Roboto" w:cstheme="majorBidi"/>
          <w:lang w:val="en-GB"/>
        </w:rPr>
        <w:t xml:space="preserve">of </w:t>
      </w:r>
      <w:r w:rsidRPr="00845FB7">
        <w:rPr>
          <w:rFonts w:eastAsia="Roboto" w:cstheme="majorBidi"/>
          <w:lang w:val="en-GB"/>
        </w:rPr>
        <w:t>Indigenous Peoples</w:t>
      </w:r>
      <w:r w:rsidR="00722352" w:rsidRPr="00845FB7">
        <w:rPr>
          <w:rFonts w:eastAsia="Roboto" w:cstheme="majorBidi"/>
          <w:lang w:val="en-GB"/>
        </w:rPr>
        <w:t>, in</w:t>
      </w:r>
      <w:r w:rsidR="00C63DF6" w:rsidRPr="00845FB7">
        <w:rPr>
          <w:rFonts w:eastAsia="Roboto" w:cstheme="majorBidi"/>
          <w:lang w:val="en-GB"/>
        </w:rPr>
        <w:t xml:space="preserve"> </w:t>
      </w:r>
      <w:r w:rsidR="00722352" w:rsidRPr="00845FB7">
        <w:rPr>
          <w:rFonts w:eastAsia="Roboto" w:cstheme="majorBidi"/>
          <w:lang w:val="en-GB"/>
        </w:rPr>
        <w:t>line with decision MC-5/1</w:t>
      </w:r>
      <w:r w:rsidR="00FB6A3F">
        <w:rPr>
          <w:rFonts w:eastAsia="Roboto" w:cstheme="majorBidi"/>
          <w:lang w:val="en-GB"/>
        </w:rPr>
        <w:t>,</w:t>
      </w:r>
      <w:r w:rsidRPr="00845FB7">
        <w:rPr>
          <w:rFonts w:eastAsia="Roboto" w:cstheme="majorBidi"/>
          <w:lang w:val="en-GB"/>
        </w:rPr>
        <w:t xml:space="preserve"> </w:t>
      </w:r>
      <w:r w:rsidR="57773077" w:rsidRPr="00845FB7">
        <w:rPr>
          <w:rFonts w:eastAsia="Roboto" w:cstheme="majorBidi"/>
          <w:lang w:val="en-GB"/>
        </w:rPr>
        <w:t xml:space="preserve">and </w:t>
      </w:r>
      <w:r w:rsidR="00722352" w:rsidRPr="00845FB7">
        <w:rPr>
          <w:rFonts w:eastAsia="Roboto" w:cstheme="majorBidi"/>
          <w:lang w:val="en-GB"/>
        </w:rPr>
        <w:t>w</w:t>
      </w:r>
      <w:r w:rsidR="57773077" w:rsidRPr="00845FB7">
        <w:rPr>
          <w:rFonts w:eastAsia="Roboto" w:cstheme="majorBidi"/>
          <w:lang w:val="en-GB"/>
        </w:rPr>
        <w:t>omen’s groups</w:t>
      </w:r>
      <w:r w:rsidR="00FB6A3F">
        <w:rPr>
          <w:rFonts w:eastAsia="Roboto" w:cstheme="majorBidi"/>
          <w:lang w:val="en-GB"/>
        </w:rPr>
        <w:t>,</w:t>
      </w:r>
      <w:r w:rsidR="57773077" w:rsidRPr="00845FB7">
        <w:rPr>
          <w:rFonts w:eastAsia="Roboto" w:cstheme="majorBidi"/>
          <w:lang w:val="en-GB"/>
        </w:rPr>
        <w:t xml:space="preserve"> </w:t>
      </w:r>
      <w:r w:rsidR="003B624F" w:rsidRPr="00845FB7">
        <w:rPr>
          <w:rFonts w:eastAsia="Roboto" w:cstheme="majorBidi"/>
          <w:lang w:val="en-GB"/>
        </w:rPr>
        <w:t xml:space="preserve">through </w:t>
      </w:r>
      <w:r w:rsidR="00D42498" w:rsidRPr="00845FB7">
        <w:rPr>
          <w:rFonts w:eastAsia="Roboto" w:cstheme="majorBidi"/>
          <w:lang w:val="en-GB"/>
        </w:rPr>
        <w:t>the creation of the</w:t>
      </w:r>
      <w:r w:rsidR="003B624F" w:rsidRPr="00845FB7">
        <w:rPr>
          <w:rFonts w:eastAsia="Roboto" w:cstheme="majorBidi"/>
          <w:lang w:val="en-GB"/>
        </w:rPr>
        <w:t xml:space="preserve"> Indigenous Peoples </w:t>
      </w:r>
      <w:r w:rsidR="00D42498" w:rsidRPr="00845FB7">
        <w:rPr>
          <w:rFonts w:eastAsia="Roboto" w:cstheme="majorBidi"/>
          <w:lang w:val="en-GB"/>
        </w:rPr>
        <w:t>Platform</w:t>
      </w:r>
      <w:r w:rsidRPr="00845FB7">
        <w:rPr>
          <w:rFonts w:eastAsia="Roboto" w:cstheme="majorBidi"/>
          <w:lang w:val="en-GB"/>
        </w:rPr>
        <w:t xml:space="preserve"> </w:t>
      </w:r>
      <w:r w:rsidR="0FD250C0" w:rsidRPr="00845FB7">
        <w:rPr>
          <w:rFonts w:eastAsia="Roboto" w:cstheme="majorBidi"/>
          <w:lang w:val="en-GB"/>
        </w:rPr>
        <w:t xml:space="preserve">and its support to the Women’s </w:t>
      </w:r>
      <w:r w:rsidR="6B0E1DA9" w:rsidRPr="00845FB7">
        <w:rPr>
          <w:rFonts w:eastAsia="Roboto" w:cstheme="majorBidi"/>
          <w:lang w:val="en-GB"/>
        </w:rPr>
        <w:t>C</w:t>
      </w:r>
      <w:r w:rsidR="0FD250C0" w:rsidRPr="00845FB7">
        <w:rPr>
          <w:rFonts w:eastAsia="Roboto" w:cstheme="majorBidi"/>
          <w:lang w:val="en-GB"/>
        </w:rPr>
        <w:t xml:space="preserve">aucus </w:t>
      </w:r>
      <w:r w:rsidRPr="00845FB7">
        <w:rPr>
          <w:rFonts w:eastAsia="Roboto" w:cstheme="majorBidi"/>
          <w:lang w:val="en-GB"/>
        </w:rPr>
        <w:t xml:space="preserve">to identify concrete areas to enhance coordination to support the implementation of the Convention. </w:t>
      </w:r>
      <w:r w:rsidR="00C63DF6" w:rsidRPr="00845FB7">
        <w:rPr>
          <w:rFonts w:eastAsia="Roboto" w:cstheme="majorBidi"/>
          <w:lang w:val="en-GB"/>
        </w:rPr>
        <w:t xml:space="preserve">The Secretariat </w:t>
      </w:r>
      <w:r w:rsidR="00E50A36" w:rsidRPr="00845FB7">
        <w:rPr>
          <w:rFonts w:eastAsia="Roboto" w:cstheme="majorBidi"/>
          <w:lang w:val="en-GB"/>
        </w:rPr>
        <w:t>has also been invited to take part in the Inter-Agency Support Group on Indigenous Issues (IASG) co-chaired by the UN Department of Economic and Social Affairs (UN DESA).</w:t>
      </w:r>
    </w:p>
    <w:p w14:paraId="1799FCB3" w14:textId="77777777" w:rsidR="00206B29" w:rsidRPr="00845FB7" w:rsidRDefault="00206B29" w:rsidP="00BD36F8">
      <w:pPr>
        <w:spacing w:before="240"/>
        <w:rPr>
          <w:rFonts w:cstheme="majorBidi"/>
          <w:b/>
          <w:bCs/>
          <w:szCs w:val="20"/>
          <w:lang w:val="en-GB" w:eastAsia="en-GB"/>
        </w:rPr>
      </w:pPr>
      <w:r w:rsidRPr="00845FB7">
        <w:rPr>
          <w:rFonts w:cstheme="majorBidi"/>
          <w:b/>
          <w:bCs/>
          <w:szCs w:val="20"/>
          <w:lang w:val="en-GB" w:eastAsia="en-GB"/>
        </w:rPr>
        <w:t>ACTIVITIES</w:t>
      </w:r>
    </w:p>
    <w:p w14:paraId="0980205E" w14:textId="7FD2E239" w:rsidR="00206B29" w:rsidRPr="00845FB7" w:rsidRDefault="00206B29" w:rsidP="00BD36F8">
      <w:pPr>
        <w:pStyle w:val="ListParagraph"/>
        <w:numPr>
          <w:ilvl w:val="0"/>
          <w:numId w:val="3"/>
        </w:numPr>
        <w:spacing w:after="60"/>
        <w:rPr>
          <w:rFonts w:cstheme="majorBidi"/>
          <w:szCs w:val="20"/>
          <w:lang w:val="en-GB" w:eastAsia="en-GB"/>
        </w:rPr>
      </w:pPr>
      <w:r w:rsidRPr="00845FB7">
        <w:rPr>
          <w:rFonts w:cstheme="majorBidi"/>
          <w:szCs w:val="20"/>
          <w:lang w:val="en-GB"/>
        </w:rPr>
        <w:t>Cooperate with relevant organizations, including those mentioned above, to coordinate joint initiatives, participate in relevant meetings and liaise on relevant processes that contribute to the implementation and overall objective of the Convention</w:t>
      </w:r>
      <w:r w:rsidR="00375CEB" w:rsidRPr="00845FB7">
        <w:rPr>
          <w:rFonts w:cstheme="majorBidi"/>
          <w:szCs w:val="20"/>
          <w:lang w:val="en-GB"/>
        </w:rPr>
        <w:t xml:space="preserve"> </w:t>
      </w:r>
      <w:r w:rsidRPr="00845FB7">
        <w:rPr>
          <w:rFonts w:cstheme="majorBidi"/>
          <w:szCs w:val="20"/>
          <w:lang w:val="en-GB"/>
        </w:rPr>
        <w:t>(staff costs)</w:t>
      </w:r>
      <w:r w:rsidR="00375CEB" w:rsidRPr="00845FB7">
        <w:rPr>
          <w:rFonts w:cstheme="majorBidi"/>
          <w:szCs w:val="20"/>
          <w:lang w:val="en-GB"/>
        </w:rPr>
        <w:t>;</w:t>
      </w:r>
    </w:p>
    <w:p w14:paraId="5D2DD6EE" w14:textId="6D1C75DB" w:rsidR="00206B29" w:rsidRPr="00845FB7" w:rsidRDefault="00206B29" w:rsidP="7EAA2ABE">
      <w:pPr>
        <w:pStyle w:val="ListParagraph"/>
        <w:numPr>
          <w:ilvl w:val="0"/>
          <w:numId w:val="3"/>
        </w:numPr>
        <w:spacing w:after="60"/>
        <w:rPr>
          <w:rFonts w:eastAsiaTheme="majorEastAsia" w:cstheme="majorBidi"/>
          <w:lang w:val="en-GB" w:eastAsia="en-GB"/>
        </w:rPr>
      </w:pPr>
      <w:r w:rsidRPr="00845FB7">
        <w:rPr>
          <w:rFonts w:cstheme="majorBidi"/>
          <w:lang w:val="en-GB" w:eastAsia="en-GB"/>
        </w:rPr>
        <w:t xml:space="preserve">Cooperation with Indigenous </w:t>
      </w:r>
      <w:r w:rsidR="003B2F02">
        <w:rPr>
          <w:rFonts w:cstheme="majorBidi"/>
          <w:lang w:val="en-GB" w:eastAsia="en-GB"/>
        </w:rPr>
        <w:t>P</w:t>
      </w:r>
      <w:r w:rsidR="008E55A5" w:rsidRPr="00845FB7">
        <w:rPr>
          <w:rFonts w:cstheme="majorBidi"/>
          <w:lang w:val="en-GB" w:eastAsia="en-GB"/>
        </w:rPr>
        <w:t>eoples</w:t>
      </w:r>
      <w:r w:rsidRPr="00845FB7">
        <w:rPr>
          <w:rFonts w:cstheme="majorBidi"/>
          <w:lang w:val="en-GB" w:eastAsia="en-GB"/>
        </w:rPr>
        <w:t xml:space="preserve">, </w:t>
      </w:r>
      <w:proofErr w:type="gramStart"/>
      <w:r w:rsidRPr="00845FB7">
        <w:rPr>
          <w:rFonts w:cstheme="majorBidi"/>
          <w:lang w:val="en-GB" w:eastAsia="en-GB"/>
        </w:rPr>
        <w:t>in particular through</w:t>
      </w:r>
      <w:proofErr w:type="gramEnd"/>
      <w:r w:rsidRPr="00845FB7">
        <w:rPr>
          <w:rFonts w:cstheme="majorBidi"/>
          <w:lang w:val="en-GB" w:eastAsia="en-GB"/>
        </w:rPr>
        <w:t xml:space="preserve"> the Indigenous Peoples </w:t>
      </w:r>
      <w:r w:rsidR="008E55A5" w:rsidRPr="00845FB7">
        <w:rPr>
          <w:rFonts w:cstheme="majorBidi"/>
          <w:lang w:val="en-GB" w:eastAsia="en-GB"/>
        </w:rPr>
        <w:t>Platform</w:t>
      </w:r>
      <w:r w:rsidR="002F3F7E">
        <w:rPr>
          <w:rFonts w:cstheme="majorBidi"/>
          <w:lang w:val="en-GB" w:eastAsia="en-GB"/>
        </w:rPr>
        <w:t xml:space="preserve">, Expert Mechanism </w:t>
      </w:r>
      <w:r w:rsidR="00DC0FAA">
        <w:rPr>
          <w:rFonts w:cstheme="majorBidi"/>
          <w:lang w:val="en-GB" w:eastAsia="en-GB"/>
        </w:rPr>
        <w:t>on the Rights of Indigenous Peoples,</w:t>
      </w:r>
      <w:r w:rsidR="008E55A5" w:rsidRPr="00845FB7">
        <w:rPr>
          <w:rFonts w:cstheme="majorBidi"/>
          <w:lang w:val="en-GB" w:eastAsia="en-GB"/>
        </w:rPr>
        <w:t xml:space="preserve"> </w:t>
      </w:r>
      <w:r w:rsidR="006E67E9" w:rsidRPr="00845FB7">
        <w:rPr>
          <w:rFonts w:cstheme="majorBidi"/>
          <w:lang w:val="en-GB" w:eastAsia="en-GB"/>
        </w:rPr>
        <w:t xml:space="preserve">and other relevant processes </w:t>
      </w:r>
      <w:r w:rsidRPr="00845FB7">
        <w:rPr>
          <w:rFonts w:cstheme="majorBidi"/>
          <w:lang w:val="en-GB" w:eastAsia="en-GB"/>
        </w:rPr>
        <w:t>(staff costs)</w:t>
      </w:r>
      <w:r w:rsidR="00375CEB" w:rsidRPr="00845FB7">
        <w:rPr>
          <w:rFonts w:cstheme="majorBidi"/>
          <w:lang w:val="en-GB" w:eastAsia="en-GB"/>
        </w:rPr>
        <w:t>;</w:t>
      </w:r>
    </w:p>
    <w:p w14:paraId="2CBADB70" w14:textId="39C56C2E" w:rsidR="29E18BA7" w:rsidRPr="00845FB7" w:rsidRDefault="29E18BA7" w:rsidP="7EAA2ABE">
      <w:pPr>
        <w:pStyle w:val="ListParagraph"/>
        <w:numPr>
          <w:ilvl w:val="0"/>
          <w:numId w:val="3"/>
        </w:numPr>
        <w:spacing w:after="60"/>
        <w:rPr>
          <w:rFonts w:eastAsiaTheme="majorEastAsia" w:cstheme="majorBidi"/>
          <w:lang w:val="en-GB" w:eastAsia="en-GB"/>
        </w:rPr>
      </w:pPr>
      <w:r w:rsidRPr="00845FB7">
        <w:rPr>
          <w:rFonts w:eastAsiaTheme="majorEastAsia" w:cstheme="majorBidi"/>
          <w:lang w:val="en-GB" w:eastAsia="en-GB"/>
        </w:rPr>
        <w:t xml:space="preserve">Cooperate with women’s groups, including through the </w:t>
      </w:r>
      <w:r w:rsidR="42D51BC0" w:rsidRPr="00845FB7">
        <w:rPr>
          <w:rFonts w:eastAsiaTheme="majorEastAsia" w:cstheme="majorBidi"/>
          <w:lang w:val="en-GB" w:eastAsia="en-GB"/>
        </w:rPr>
        <w:t>W</w:t>
      </w:r>
      <w:r w:rsidRPr="00845FB7">
        <w:rPr>
          <w:rFonts w:eastAsiaTheme="majorEastAsia" w:cstheme="majorBidi"/>
          <w:lang w:val="en-GB" w:eastAsia="en-GB"/>
        </w:rPr>
        <w:t xml:space="preserve">omen's </w:t>
      </w:r>
      <w:r w:rsidR="54227548" w:rsidRPr="00845FB7">
        <w:rPr>
          <w:rFonts w:eastAsiaTheme="majorEastAsia" w:cstheme="majorBidi"/>
          <w:lang w:val="en-GB" w:eastAsia="en-GB"/>
        </w:rPr>
        <w:t>C</w:t>
      </w:r>
      <w:r w:rsidRPr="00845FB7">
        <w:rPr>
          <w:rFonts w:eastAsiaTheme="majorEastAsia" w:cstheme="majorBidi"/>
          <w:lang w:val="en-GB" w:eastAsia="en-GB"/>
        </w:rPr>
        <w:t>aucus for the Minamata Convention</w:t>
      </w:r>
      <w:r w:rsidR="00311ED8" w:rsidRPr="00845FB7">
        <w:rPr>
          <w:rFonts w:eastAsiaTheme="majorEastAsia" w:cstheme="majorBidi"/>
          <w:lang w:val="en-GB" w:eastAsia="en-GB"/>
        </w:rPr>
        <w:t>;</w:t>
      </w:r>
    </w:p>
    <w:p w14:paraId="5C30F447" w14:textId="3CDF2147" w:rsidR="00206B29" w:rsidRPr="00845FB7" w:rsidRDefault="00206B29" w:rsidP="00BD36F8">
      <w:pPr>
        <w:pStyle w:val="ListParagraph"/>
        <w:numPr>
          <w:ilvl w:val="0"/>
          <w:numId w:val="3"/>
        </w:numPr>
        <w:spacing w:after="60"/>
        <w:rPr>
          <w:rFonts w:eastAsia="DengXian" w:cstheme="majorBidi"/>
          <w:szCs w:val="20"/>
          <w:lang w:val="en-GB" w:eastAsia="en-GB"/>
        </w:rPr>
      </w:pPr>
      <w:r w:rsidRPr="00845FB7">
        <w:rPr>
          <w:rFonts w:eastAsia="DengXian" w:cstheme="majorBidi"/>
          <w:szCs w:val="20"/>
          <w:lang w:val="en-GB" w:eastAsia="en-GB"/>
        </w:rPr>
        <w:t>Cooperate with relevant partners in an exploratory analysis of the socio-economic impacts of mercury in the environment</w:t>
      </w:r>
      <w:r w:rsidR="009D26F2" w:rsidRPr="00845FB7">
        <w:rPr>
          <w:rFonts w:eastAsia="DengXian" w:cstheme="majorBidi"/>
          <w:szCs w:val="20"/>
          <w:lang w:val="en-GB" w:eastAsia="en-GB"/>
        </w:rPr>
        <w:t xml:space="preserve"> (subject to availability of funds)</w:t>
      </w:r>
      <w:r w:rsidRPr="00845FB7">
        <w:rPr>
          <w:rFonts w:eastAsia="DengXian" w:cstheme="majorBidi"/>
          <w:szCs w:val="20"/>
          <w:lang w:val="en-GB" w:eastAsia="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ook w:val="04A0" w:firstRow="1" w:lastRow="0" w:firstColumn="1" w:lastColumn="0" w:noHBand="0" w:noVBand="1"/>
      </w:tblPr>
      <w:tblGrid>
        <w:gridCol w:w="4508"/>
        <w:gridCol w:w="4508"/>
      </w:tblGrid>
      <w:tr w:rsidR="00206B29" w:rsidRPr="00845FB7" w14:paraId="5088C356" w14:textId="77777777" w:rsidTr="00983115">
        <w:tc>
          <w:tcPr>
            <w:tcW w:w="4508" w:type="dxa"/>
          </w:tcPr>
          <w:p w14:paraId="0361836C" w14:textId="71E98C28" w:rsidR="00206B29" w:rsidRPr="00845FB7" w:rsidRDefault="00206B29" w:rsidP="00B25274">
            <w:pPr>
              <w:keepNext/>
              <w:spacing w:before="240" w:after="120"/>
              <w:ind w:left="363"/>
              <w:rPr>
                <w:rFonts w:cstheme="majorBidi"/>
                <w:b/>
                <w:bCs/>
                <w:szCs w:val="20"/>
                <w:lang w:val="en-GB" w:eastAsia="en-GB"/>
              </w:rPr>
            </w:pPr>
            <w:r w:rsidRPr="00845FB7">
              <w:rPr>
                <w:rFonts w:cstheme="majorBidi"/>
                <w:b/>
                <w:bCs/>
                <w:szCs w:val="20"/>
                <w:lang w:val="en-GB" w:eastAsia="en-GB"/>
              </w:rPr>
              <w:lastRenderedPageBreak/>
              <w:t>INDICATORS OF ACHIEVEMENT</w:t>
            </w:r>
          </w:p>
          <w:p w14:paraId="2BC5B99E" w14:textId="71F0175D" w:rsidR="00206B29" w:rsidRPr="00845FB7" w:rsidRDefault="00206B29" w:rsidP="00B25274">
            <w:pPr>
              <w:pStyle w:val="ListParagraph"/>
              <w:keepNext/>
              <w:numPr>
                <w:ilvl w:val="0"/>
                <w:numId w:val="5"/>
              </w:numPr>
              <w:spacing w:after="60"/>
              <w:rPr>
                <w:rFonts w:cstheme="majorBidi"/>
                <w:b/>
                <w:bCs/>
                <w:szCs w:val="20"/>
                <w:lang w:val="en-GB" w:eastAsia="en-GB"/>
              </w:rPr>
            </w:pPr>
            <w:r w:rsidRPr="00845FB7">
              <w:rPr>
                <w:rFonts w:cstheme="majorBidi"/>
                <w:szCs w:val="20"/>
                <w:lang w:val="en-GB"/>
              </w:rPr>
              <w:t>Mercury pollution is addressed in a synergistic manner across different organizations and initiatives.</w:t>
            </w:r>
          </w:p>
        </w:tc>
        <w:tc>
          <w:tcPr>
            <w:tcW w:w="4508" w:type="dxa"/>
          </w:tcPr>
          <w:p w14:paraId="3F0506B1" w14:textId="2F0A7323" w:rsidR="00206B29" w:rsidRPr="00845FB7" w:rsidRDefault="00206B29" w:rsidP="00B25274">
            <w:pPr>
              <w:keepNext/>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78B84700" w14:textId="1948E7F9" w:rsidR="00206B29" w:rsidRPr="00845FB7" w:rsidRDefault="00206B29" w:rsidP="00B25274">
            <w:pPr>
              <w:pStyle w:val="ListParagraph"/>
              <w:keepNext/>
              <w:numPr>
                <w:ilvl w:val="0"/>
                <w:numId w:val="4"/>
              </w:numPr>
              <w:spacing w:after="60"/>
              <w:rPr>
                <w:rFonts w:cstheme="majorBidi"/>
                <w:szCs w:val="20"/>
                <w:lang w:val="en-GB" w:eastAsia="en-GB"/>
              </w:rPr>
            </w:pPr>
            <w:r w:rsidRPr="00845FB7">
              <w:rPr>
                <w:rFonts w:cstheme="majorBidi"/>
                <w:szCs w:val="20"/>
                <w:lang w:val="en-GB"/>
              </w:rPr>
              <w:t>Reports of relevant meetings and processes.</w:t>
            </w:r>
          </w:p>
        </w:tc>
      </w:tr>
    </w:tbl>
    <w:p w14:paraId="29BA894B" w14:textId="514705F0" w:rsidR="00206B29" w:rsidRPr="00845FB7" w:rsidRDefault="00206B29" w:rsidP="00206B29">
      <w:pPr>
        <w:pStyle w:val="Heading3"/>
        <w:rPr>
          <w:sz w:val="24"/>
          <w:lang w:val="en-GB"/>
        </w:rPr>
      </w:pPr>
      <w:r w:rsidRPr="00845FB7">
        <w:rPr>
          <w:sz w:val="24"/>
          <w:lang w:val="en-GB"/>
        </w:rPr>
        <w:t>Partners</w:t>
      </w:r>
    </w:p>
    <w:p w14:paraId="7431CDEC" w14:textId="77777777" w:rsidR="00206B29" w:rsidRPr="00845FB7" w:rsidRDefault="00206B29" w:rsidP="00BD36F8">
      <w:pPr>
        <w:spacing w:after="60" w:line="276" w:lineRule="auto"/>
        <w:rPr>
          <w:rFonts w:cstheme="majorBidi"/>
          <w:szCs w:val="20"/>
          <w:lang w:val="en-GB"/>
        </w:rPr>
      </w:pPr>
      <w:r w:rsidRPr="00845FB7">
        <w:rPr>
          <w:rFonts w:eastAsia="DengXian" w:cstheme="majorBidi"/>
          <w:szCs w:val="20"/>
          <w:lang w:val="en-GB"/>
        </w:rPr>
        <w:t>Various partners including UN agencies, other intergovernmental organizations, non-governmental organizations.</w:t>
      </w:r>
    </w:p>
    <w:p w14:paraId="35B5C21C" w14:textId="4AFDA73D" w:rsidR="00206B29" w:rsidRPr="00845FB7" w:rsidRDefault="00206B29" w:rsidP="00206B29">
      <w:pPr>
        <w:pStyle w:val="Heading3"/>
        <w:rPr>
          <w:sz w:val="24"/>
          <w:lang w:val="en-GB"/>
        </w:rPr>
      </w:pPr>
      <w:r w:rsidRPr="00845FB7">
        <w:rPr>
          <w:sz w:val="24"/>
          <w:lang w:val="en-GB"/>
        </w:rPr>
        <w:t>Socio-economic aspects</w:t>
      </w:r>
    </w:p>
    <w:p w14:paraId="18E46AE4" w14:textId="77777777" w:rsidR="00206B29" w:rsidRPr="00845FB7" w:rsidRDefault="00206B29" w:rsidP="00BD36F8">
      <w:pPr>
        <w:spacing w:after="120" w:line="276" w:lineRule="auto"/>
        <w:rPr>
          <w:rFonts w:eastAsia="DengXian"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w:t>
      </w:r>
      <w:r w:rsidRPr="00845FB7">
        <w:rPr>
          <w:rFonts w:eastAsia="Roboto" w:cstheme="majorBidi"/>
          <w:szCs w:val="20"/>
          <w:lang w:val="en-GB"/>
        </w:rPr>
        <w:t>International cooperation and coordination under the Convention addresses the following targets set out in the 2030 Agenda for Sustainable development:</w:t>
      </w:r>
    </w:p>
    <w:p w14:paraId="0DE56195" w14:textId="77777777" w:rsidR="00206B29" w:rsidRPr="00845FB7" w:rsidRDefault="00206B29" w:rsidP="00BD36F8">
      <w:pPr>
        <w:pStyle w:val="ListParagraph"/>
        <w:numPr>
          <w:ilvl w:val="0"/>
          <w:numId w:val="4"/>
        </w:numPr>
        <w:spacing w:after="120" w:line="276" w:lineRule="auto"/>
        <w:rPr>
          <w:rFonts w:cstheme="majorBidi"/>
          <w:szCs w:val="20"/>
          <w:lang w:val="en-GB"/>
        </w:rPr>
      </w:pPr>
      <w:r w:rsidRPr="00845FB7">
        <w:rPr>
          <w:rFonts w:cstheme="majorBidi"/>
          <w:szCs w:val="20"/>
          <w:lang w:val="en-GB"/>
        </w:rPr>
        <w:t>Target 3.9: By 2030, substantially reduce the number of deaths and illnesses from hazardous chemicals and air, water and soil pollution and contamination</w:t>
      </w:r>
    </w:p>
    <w:p w14:paraId="33DD3FCF" w14:textId="77777777" w:rsidR="00206B29" w:rsidRPr="00845FB7" w:rsidRDefault="00206B29" w:rsidP="00BD36F8">
      <w:pPr>
        <w:pStyle w:val="ListParagraph"/>
        <w:numPr>
          <w:ilvl w:val="0"/>
          <w:numId w:val="4"/>
        </w:numPr>
        <w:spacing w:after="120" w:line="276" w:lineRule="auto"/>
        <w:rPr>
          <w:rFonts w:cstheme="majorBidi"/>
          <w:szCs w:val="20"/>
          <w:lang w:val="en-GB"/>
        </w:rPr>
      </w:pPr>
      <w:r w:rsidRPr="00845FB7">
        <w:rPr>
          <w:rFonts w:cstheme="majorBidi"/>
          <w:szCs w:val="20"/>
          <w:lang w:val="en-GB"/>
        </w:rPr>
        <w:t>Target 6.3: By 2030, improve water quality by reducing pollution, eliminating dumping and minimizing release of hazardous chemicals and materials, halving the proportion of untreated wastewater and substantially increasing recycling and safe reuse globally</w:t>
      </w:r>
    </w:p>
    <w:p w14:paraId="49E5C842" w14:textId="77777777" w:rsidR="00206B29" w:rsidRPr="00845FB7" w:rsidRDefault="00206B29" w:rsidP="00BD36F8">
      <w:pPr>
        <w:pStyle w:val="ListParagraph"/>
        <w:numPr>
          <w:ilvl w:val="0"/>
          <w:numId w:val="4"/>
        </w:numPr>
        <w:spacing w:after="120" w:line="276" w:lineRule="auto"/>
        <w:rPr>
          <w:rFonts w:cstheme="majorBidi"/>
          <w:szCs w:val="20"/>
          <w:lang w:val="en-GB"/>
        </w:rPr>
      </w:pPr>
      <w:r w:rsidRPr="00845FB7">
        <w:rPr>
          <w:rFonts w:cstheme="majorBidi"/>
          <w:szCs w:val="20"/>
          <w:lang w:val="en-GB"/>
        </w:rPr>
        <w:t xml:space="preserve">Target 12.4: By 2020, achieve the environmentally sound management of chemicals and all wastes throughout their life cycle, in accordance with agreed international frameworks, and significantly reduce their release to air, water and soil </w:t>
      </w:r>
      <w:proofErr w:type="gramStart"/>
      <w:r w:rsidRPr="00845FB7">
        <w:rPr>
          <w:rFonts w:cstheme="majorBidi"/>
          <w:szCs w:val="20"/>
          <w:lang w:val="en-GB"/>
        </w:rPr>
        <w:t>in order to</w:t>
      </w:r>
      <w:proofErr w:type="gramEnd"/>
      <w:r w:rsidRPr="00845FB7">
        <w:rPr>
          <w:rFonts w:cstheme="majorBidi"/>
          <w:szCs w:val="20"/>
          <w:lang w:val="en-GB"/>
        </w:rPr>
        <w:t xml:space="preserve"> minimize their adverse impacts on human health and the environment.</w:t>
      </w:r>
    </w:p>
    <w:p w14:paraId="0F406093" w14:textId="55306410" w:rsidR="00206B29" w:rsidRPr="00845FB7" w:rsidRDefault="00B0262D" w:rsidP="7EAA2ABE">
      <w:pPr>
        <w:spacing w:after="120" w:line="276" w:lineRule="auto"/>
        <w:rPr>
          <w:rFonts w:cstheme="majorBidi"/>
          <w:lang w:val="en-GB"/>
        </w:rPr>
      </w:pPr>
      <w:r w:rsidRPr="00845FB7">
        <w:rPr>
          <w:rFonts w:cstheme="majorBidi"/>
          <w:b/>
          <w:bCs/>
          <w:lang w:val="en-GB"/>
        </w:rPr>
        <w:t>Groups disproportionally affected by mercury pollution</w:t>
      </w:r>
      <w:r w:rsidR="00206B29" w:rsidRPr="00845FB7">
        <w:rPr>
          <w:rFonts w:cstheme="majorBidi"/>
          <w:b/>
          <w:bCs/>
          <w:lang w:val="en-GB"/>
        </w:rPr>
        <w:t xml:space="preserve">: </w:t>
      </w:r>
      <w:r w:rsidR="00206B29" w:rsidRPr="00845FB7">
        <w:rPr>
          <w:rFonts w:cstheme="majorBidi"/>
          <w:lang w:val="en-GB"/>
        </w:rPr>
        <w:t xml:space="preserve">International cooperation activities will give due consideration to populations </w:t>
      </w:r>
      <w:r w:rsidR="10EC56C0" w:rsidRPr="00845FB7">
        <w:rPr>
          <w:rFonts w:cstheme="majorBidi"/>
          <w:lang w:val="en-GB"/>
        </w:rPr>
        <w:t xml:space="preserve">vulnerable </w:t>
      </w:r>
      <w:r w:rsidR="00700027" w:rsidRPr="00845FB7">
        <w:rPr>
          <w:rFonts w:cstheme="majorBidi"/>
          <w:lang w:val="en-GB"/>
        </w:rPr>
        <w:t>to mercury exposure</w:t>
      </w:r>
      <w:r w:rsidR="10EC56C0" w:rsidRPr="00845FB7">
        <w:rPr>
          <w:rFonts w:cstheme="majorBidi"/>
          <w:lang w:val="en-GB"/>
        </w:rPr>
        <w:t xml:space="preserve"> </w:t>
      </w:r>
      <w:r w:rsidR="00206B29" w:rsidRPr="00845FB7">
        <w:rPr>
          <w:rFonts w:cstheme="majorBidi"/>
          <w:lang w:val="en-GB"/>
        </w:rPr>
        <w:t xml:space="preserve"> Activity 1</w:t>
      </w:r>
      <w:r w:rsidR="007C0772" w:rsidRPr="00845FB7">
        <w:rPr>
          <w:rFonts w:cstheme="majorBidi"/>
          <w:lang w:val="en-GB"/>
        </w:rPr>
        <w:t>2</w:t>
      </w:r>
      <w:r w:rsidR="00206B29" w:rsidRPr="00845FB7">
        <w:rPr>
          <w:rFonts w:cstheme="majorBidi"/>
          <w:lang w:val="en-GB"/>
        </w:rPr>
        <w:t xml:space="preserve"> will be linked to </w:t>
      </w:r>
      <w:r w:rsidR="276A1C8C" w:rsidRPr="00845FB7">
        <w:rPr>
          <w:rFonts w:cstheme="majorBidi"/>
          <w:lang w:val="en-GB"/>
        </w:rPr>
        <w:t>major groups related</w:t>
      </w:r>
      <w:r w:rsidR="001F348D" w:rsidRPr="00845FB7">
        <w:rPr>
          <w:rFonts w:cstheme="majorBidi"/>
          <w:lang w:val="en-GB"/>
        </w:rPr>
        <w:t xml:space="preserve"> </w:t>
      </w:r>
      <w:r w:rsidR="00206B29" w:rsidRPr="00845FB7">
        <w:rPr>
          <w:rFonts w:cstheme="majorBidi"/>
          <w:lang w:val="en-GB"/>
        </w:rPr>
        <w:t>activities under Component 14</w:t>
      </w:r>
      <w:r w:rsidR="4177793D" w:rsidRPr="00845FB7">
        <w:rPr>
          <w:rFonts w:cstheme="majorBidi"/>
          <w:lang w:val="en-GB"/>
        </w:rPr>
        <w:t xml:space="preserve">.4 </w:t>
      </w:r>
      <w:r w:rsidR="00206B29" w:rsidRPr="00845FB7">
        <w:rPr>
          <w:rFonts w:cstheme="majorBidi"/>
          <w:lang w:val="en-GB"/>
        </w:rPr>
        <w:t>of the programme of work with the objective of promoting a multi-stakeholder approach to raise awareness of the linkages between mercury exposure, the effects on human health and the environment, and differences in risks and impact</w:t>
      </w:r>
      <w:r w:rsidR="55A81EC6" w:rsidRPr="00845FB7">
        <w:rPr>
          <w:rFonts w:cstheme="majorBidi"/>
          <w:lang w:val="en-GB"/>
        </w:rPr>
        <w:t xml:space="preserve"> between men and women</w:t>
      </w:r>
      <w:r w:rsidR="00206B29" w:rsidRPr="00845FB7">
        <w:rPr>
          <w:rFonts w:cstheme="majorBidi"/>
          <w:lang w:val="en-GB"/>
        </w:rPr>
        <w:t>.</w:t>
      </w:r>
    </w:p>
    <w:p w14:paraId="33C59DA7" w14:textId="16ACE2D7" w:rsidR="00206B29" w:rsidRPr="00845FB7" w:rsidRDefault="00206B29" w:rsidP="00BD36F8">
      <w:pPr>
        <w:spacing w:after="120" w:line="276" w:lineRule="auto"/>
        <w:rPr>
          <w:rFonts w:cstheme="majorBidi"/>
          <w:szCs w:val="20"/>
          <w:highlight w:val="yellow"/>
          <w:lang w:val="en-GB"/>
        </w:rPr>
      </w:pPr>
      <w:r w:rsidRPr="00845FB7">
        <w:rPr>
          <w:rFonts w:cstheme="majorBidi"/>
          <w:b/>
          <w:bCs/>
          <w:szCs w:val="20"/>
          <w:lang w:val="en-GB"/>
        </w:rPr>
        <w:t xml:space="preserve">Integrated Approach: </w:t>
      </w:r>
      <w:r w:rsidRPr="00845FB7">
        <w:rPr>
          <w:rFonts w:cstheme="majorBidi"/>
          <w:szCs w:val="20"/>
          <w:lang w:val="en-GB"/>
        </w:rPr>
        <w:t xml:space="preserve">All three parts of this activity contribute to </w:t>
      </w:r>
      <w:proofErr w:type="spellStart"/>
      <w:r w:rsidRPr="00845FB7">
        <w:rPr>
          <w:rFonts w:cstheme="majorBidi"/>
          <w:szCs w:val="20"/>
          <w:lang w:val="en-GB"/>
        </w:rPr>
        <w:t>catalyzing</w:t>
      </w:r>
      <w:proofErr w:type="spellEnd"/>
      <w:r w:rsidRPr="00845FB7">
        <w:rPr>
          <w:rFonts w:cstheme="majorBidi"/>
          <w:szCs w:val="20"/>
          <w:lang w:val="en-GB"/>
        </w:rPr>
        <w:t xml:space="preserve"> coordination among relevant stakeholders within </w:t>
      </w:r>
      <w:r w:rsidR="0064009E" w:rsidRPr="00845FB7">
        <w:rPr>
          <w:rFonts w:cstheme="majorBidi"/>
          <w:szCs w:val="20"/>
          <w:lang w:val="en-GB"/>
        </w:rPr>
        <w:t>P</w:t>
      </w:r>
      <w:r w:rsidRPr="00845FB7">
        <w:rPr>
          <w:rFonts w:cstheme="majorBidi"/>
          <w:szCs w:val="20"/>
          <w:lang w:val="en-GB"/>
        </w:rPr>
        <w:t>arties, including civil society and private sector, as relevant, for an improved implementation and compliance with the Convention.</w:t>
      </w:r>
    </w:p>
    <w:p w14:paraId="3F3DD6A0" w14:textId="77777777" w:rsidR="00206B29" w:rsidRPr="00845FB7" w:rsidRDefault="00206B29" w:rsidP="00206B29">
      <w:pPr>
        <w:pStyle w:val="Heading3"/>
        <w:rPr>
          <w:highlight w:val="yellow"/>
          <w:lang w:val="en-GB"/>
        </w:rPr>
        <w:sectPr w:rsidR="00206B29" w:rsidRPr="00845FB7" w:rsidSect="00906D6E">
          <w:headerReference w:type="default" r:id="rId72"/>
          <w:headerReference w:type="first" r:id="rId73"/>
          <w:footerReference w:type="first" r:id="rId74"/>
          <w:pgSz w:w="11906" w:h="16838" w:code="9"/>
          <w:pgMar w:top="907" w:right="992" w:bottom="1418" w:left="1418" w:header="539" w:footer="975" w:gutter="0"/>
          <w:cols w:space="708"/>
          <w:titlePg/>
          <w:docGrid w:linePitch="360"/>
        </w:sectPr>
      </w:pPr>
    </w:p>
    <w:p w14:paraId="425F927D" w14:textId="2E91BE79" w:rsidR="00206B29" w:rsidRPr="00845FB7" w:rsidRDefault="00206B29" w:rsidP="00206B29">
      <w:pPr>
        <w:pStyle w:val="Heading3"/>
        <w:rPr>
          <w:sz w:val="24"/>
          <w:highlight w:val="yellow"/>
          <w:lang w:val="en-GB"/>
        </w:rPr>
      </w:pPr>
      <w:r w:rsidRPr="00845FB7">
        <w:rPr>
          <w:sz w:val="24"/>
          <w:lang w:val="en-GB"/>
        </w:rPr>
        <w:lastRenderedPageBreak/>
        <w:t>Resources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8"/>
        <w:gridCol w:w="845"/>
        <w:gridCol w:w="709"/>
        <w:gridCol w:w="980"/>
        <w:gridCol w:w="717"/>
        <w:gridCol w:w="717"/>
        <w:gridCol w:w="933"/>
        <w:gridCol w:w="709"/>
        <w:gridCol w:w="802"/>
        <w:gridCol w:w="1168"/>
        <w:gridCol w:w="717"/>
        <w:gridCol w:w="717"/>
        <w:gridCol w:w="1076"/>
      </w:tblGrid>
      <w:tr w:rsidR="00A002A5" w:rsidRPr="00677B75" w14:paraId="54DABDEF" w14:textId="77777777" w:rsidTr="00BD36F8">
        <w:trPr>
          <w:trHeight w:val="296"/>
        </w:trPr>
        <w:tc>
          <w:tcPr>
            <w:tcW w:w="1081" w:type="pct"/>
            <w:vMerge w:val="restart"/>
            <w:noWrap/>
            <w:tcMar>
              <w:top w:w="15" w:type="dxa"/>
              <w:left w:w="108" w:type="dxa"/>
              <w:bottom w:w="15" w:type="dxa"/>
              <w:right w:w="108" w:type="dxa"/>
            </w:tcMar>
            <w:vAlign w:val="center"/>
            <w:hideMark/>
          </w:tcPr>
          <w:p w14:paraId="6783A17F" w14:textId="77777777"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Activity/Output</w:t>
            </w:r>
          </w:p>
        </w:tc>
        <w:tc>
          <w:tcPr>
            <w:tcW w:w="1908" w:type="pct"/>
            <w:gridSpan w:val="6"/>
            <w:noWrap/>
            <w:tcMar>
              <w:top w:w="15" w:type="dxa"/>
              <w:left w:w="108" w:type="dxa"/>
              <w:bottom w:w="15" w:type="dxa"/>
              <w:right w:w="108" w:type="dxa"/>
            </w:tcMar>
            <w:vAlign w:val="center"/>
            <w:hideMark/>
          </w:tcPr>
          <w:p w14:paraId="3FD7680B" w14:textId="13AA60DB"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5</w:t>
            </w:r>
            <w:r w:rsidR="00375CEB" w:rsidRPr="00677B75">
              <w:rPr>
                <w:rFonts w:cstheme="majorBidi"/>
                <w:b/>
                <w:bCs/>
                <w:color w:val="000000"/>
                <w:sz w:val="16"/>
                <w:szCs w:val="16"/>
                <w:lang w:val="en-GB"/>
              </w:rPr>
              <w:t xml:space="preserve"> per cent</w:t>
            </w:r>
            <w:r w:rsidRPr="00677B75">
              <w:rPr>
                <w:rFonts w:cstheme="majorBidi"/>
                <w:b/>
                <w:bCs/>
                <w:color w:val="000000"/>
                <w:sz w:val="16"/>
                <w:szCs w:val="16"/>
                <w:lang w:val="en-GB"/>
              </w:rPr>
              <w:t xml:space="preserve"> scenario (</w:t>
            </w:r>
            <w:r w:rsidR="00E2051A" w:rsidRPr="00677B75">
              <w:rPr>
                <w:rFonts w:cstheme="majorBidi"/>
                <w:b/>
                <w:bCs/>
                <w:color w:val="000000"/>
                <w:sz w:val="16"/>
                <w:szCs w:val="16"/>
                <w:lang w:val="en-GB"/>
              </w:rPr>
              <w:t>2026–2027</w:t>
            </w:r>
            <w:r w:rsidRPr="00677B75">
              <w:rPr>
                <w:rFonts w:cstheme="majorBidi"/>
                <w:b/>
                <w:bCs/>
                <w:color w:val="000000"/>
                <w:sz w:val="16"/>
                <w:szCs w:val="16"/>
                <w:lang w:val="en-GB"/>
              </w:rPr>
              <w:t>)</w:t>
            </w:r>
          </w:p>
        </w:tc>
        <w:tc>
          <w:tcPr>
            <w:tcW w:w="2011" w:type="pct"/>
            <w:gridSpan w:val="6"/>
            <w:noWrap/>
            <w:tcMar>
              <w:top w:w="15" w:type="dxa"/>
              <w:left w:w="108" w:type="dxa"/>
              <w:bottom w:w="15" w:type="dxa"/>
              <w:right w:w="108" w:type="dxa"/>
            </w:tcMar>
            <w:vAlign w:val="center"/>
            <w:hideMark/>
          </w:tcPr>
          <w:p w14:paraId="45BF3ED8" w14:textId="18A6FD2A"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Zero nominal growth scenario (</w:t>
            </w:r>
            <w:r w:rsidR="00E2051A" w:rsidRPr="00677B75">
              <w:rPr>
                <w:rFonts w:cstheme="majorBidi"/>
                <w:b/>
                <w:bCs/>
                <w:color w:val="000000"/>
                <w:sz w:val="16"/>
                <w:szCs w:val="16"/>
                <w:lang w:val="en-GB"/>
              </w:rPr>
              <w:t>2026–2027</w:t>
            </w:r>
            <w:r w:rsidRPr="00677B75">
              <w:rPr>
                <w:rFonts w:cstheme="majorBidi"/>
                <w:b/>
                <w:bCs/>
                <w:color w:val="000000"/>
                <w:sz w:val="16"/>
                <w:szCs w:val="16"/>
                <w:lang w:val="en-GB"/>
              </w:rPr>
              <w:t>)</w:t>
            </w:r>
          </w:p>
        </w:tc>
      </w:tr>
      <w:tr w:rsidR="000348DE" w:rsidRPr="00677B75" w14:paraId="1B730D31" w14:textId="77777777" w:rsidTr="00BD36F8">
        <w:trPr>
          <w:trHeight w:val="296"/>
        </w:trPr>
        <w:tc>
          <w:tcPr>
            <w:tcW w:w="1081" w:type="pct"/>
            <w:vMerge/>
            <w:vAlign w:val="center"/>
            <w:hideMark/>
          </w:tcPr>
          <w:p w14:paraId="66B54F04" w14:textId="77777777" w:rsidR="00206B29" w:rsidRPr="00677B75" w:rsidRDefault="00206B29" w:rsidP="00983115">
            <w:pPr>
              <w:rPr>
                <w:rFonts w:cstheme="majorBidi"/>
                <w:b/>
                <w:bCs/>
                <w:color w:val="000000"/>
                <w:sz w:val="16"/>
                <w:szCs w:val="16"/>
                <w:lang w:val="en-GB"/>
              </w:rPr>
            </w:pPr>
          </w:p>
        </w:tc>
        <w:tc>
          <w:tcPr>
            <w:tcW w:w="983" w:type="pct"/>
            <w:gridSpan w:val="3"/>
            <w:tcMar>
              <w:top w:w="15" w:type="dxa"/>
              <w:left w:w="108" w:type="dxa"/>
              <w:bottom w:w="15" w:type="dxa"/>
              <w:right w:w="108" w:type="dxa"/>
            </w:tcMar>
            <w:vAlign w:val="center"/>
            <w:hideMark/>
          </w:tcPr>
          <w:p w14:paraId="54A53A72" w14:textId="2679871B"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General </w:t>
            </w:r>
            <w:r w:rsidR="00813BE0" w:rsidRPr="00677B75">
              <w:rPr>
                <w:rFonts w:cstheme="majorBidi"/>
                <w:b/>
                <w:bCs/>
                <w:color w:val="000000"/>
                <w:sz w:val="16"/>
                <w:szCs w:val="16"/>
                <w:lang w:val="en-GB"/>
              </w:rPr>
              <w:t>t</w:t>
            </w:r>
            <w:r w:rsidRPr="00677B75">
              <w:rPr>
                <w:rFonts w:cstheme="majorBidi"/>
                <w:b/>
                <w:bCs/>
                <w:color w:val="000000"/>
                <w:sz w:val="16"/>
                <w:szCs w:val="16"/>
                <w:lang w:val="en-GB"/>
              </w:rPr>
              <w:t xml:space="preserve">rust </w:t>
            </w:r>
            <w:r w:rsidR="00813BE0" w:rsidRPr="00677B75">
              <w:rPr>
                <w:rFonts w:cstheme="majorBidi"/>
                <w:b/>
                <w:bCs/>
                <w:color w:val="000000"/>
                <w:sz w:val="16"/>
                <w:szCs w:val="16"/>
                <w:lang w:val="en-GB"/>
              </w:rPr>
              <w:t>f</w:t>
            </w:r>
            <w:r w:rsidRPr="00677B75">
              <w:rPr>
                <w:rFonts w:cstheme="majorBidi"/>
                <w:b/>
                <w:bCs/>
                <w:color w:val="000000"/>
                <w:sz w:val="16"/>
                <w:szCs w:val="16"/>
                <w:lang w:val="en-GB"/>
              </w:rPr>
              <w:t>und</w:t>
            </w:r>
          </w:p>
        </w:tc>
        <w:tc>
          <w:tcPr>
            <w:tcW w:w="926" w:type="pct"/>
            <w:gridSpan w:val="3"/>
            <w:tcMar>
              <w:top w:w="15" w:type="dxa"/>
              <w:left w:w="108" w:type="dxa"/>
              <w:bottom w:w="15" w:type="dxa"/>
              <w:right w:w="108" w:type="dxa"/>
            </w:tcMar>
            <w:vAlign w:val="center"/>
            <w:hideMark/>
          </w:tcPr>
          <w:p w14:paraId="61C01A21" w14:textId="3D6ADF95"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Special </w:t>
            </w:r>
            <w:r w:rsidR="00813BE0" w:rsidRPr="00677B75">
              <w:rPr>
                <w:rFonts w:cstheme="majorBidi"/>
                <w:b/>
                <w:bCs/>
                <w:color w:val="000000"/>
                <w:sz w:val="16"/>
                <w:szCs w:val="16"/>
                <w:lang w:val="en-GB"/>
              </w:rPr>
              <w:t>t</w:t>
            </w:r>
            <w:r w:rsidRPr="00677B75">
              <w:rPr>
                <w:rFonts w:cstheme="majorBidi"/>
                <w:b/>
                <w:bCs/>
                <w:color w:val="000000"/>
                <w:sz w:val="16"/>
                <w:szCs w:val="16"/>
                <w:lang w:val="en-GB"/>
              </w:rPr>
              <w:t xml:space="preserve">rust </w:t>
            </w:r>
            <w:r w:rsidR="00813BE0" w:rsidRPr="00677B75">
              <w:rPr>
                <w:rFonts w:cstheme="majorBidi"/>
                <w:b/>
                <w:bCs/>
                <w:color w:val="000000"/>
                <w:sz w:val="16"/>
                <w:szCs w:val="16"/>
                <w:lang w:val="en-GB"/>
              </w:rPr>
              <w:t>f</w:t>
            </w:r>
            <w:r w:rsidRPr="00677B75">
              <w:rPr>
                <w:rFonts w:cstheme="majorBidi"/>
                <w:b/>
                <w:bCs/>
                <w:color w:val="000000"/>
                <w:sz w:val="16"/>
                <w:szCs w:val="16"/>
                <w:lang w:val="en-GB"/>
              </w:rPr>
              <w:t>und</w:t>
            </w:r>
          </w:p>
        </w:tc>
        <w:tc>
          <w:tcPr>
            <w:tcW w:w="1034" w:type="pct"/>
            <w:gridSpan w:val="3"/>
            <w:tcMar>
              <w:top w:w="15" w:type="dxa"/>
              <w:left w:w="108" w:type="dxa"/>
              <w:bottom w:w="15" w:type="dxa"/>
              <w:right w:w="108" w:type="dxa"/>
            </w:tcMar>
            <w:vAlign w:val="center"/>
            <w:hideMark/>
          </w:tcPr>
          <w:p w14:paraId="21B7415A" w14:textId="7F6F2D0A"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General </w:t>
            </w:r>
            <w:r w:rsidR="00813BE0" w:rsidRPr="00677B75">
              <w:rPr>
                <w:rFonts w:cstheme="majorBidi"/>
                <w:b/>
                <w:bCs/>
                <w:color w:val="000000"/>
                <w:sz w:val="16"/>
                <w:szCs w:val="16"/>
                <w:lang w:val="en-GB"/>
              </w:rPr>
              <w:t>t</w:t>
            </w:r>
            <w:r w:rsidRPr="00677B75">
              <w:rPr>
                <w:rFonts w:cstheme="majorBidi"/>
                <w:b/>
                <w:bCs/>
                <w:color w:val="000000"/>
                <w:sz w:val="16"/>
                <w:szCs w:val="16"/>
                <w:lang w:val="en-GB"/>
              </w:rPr>
              <w:t xml:space="preserve">rust </w:t>
            </w:r>
            <w:r w:rsidR="00813BE0" w:rsidRPr="00677B75">
              <w:rPr>
                <w:rFonts w:cstheme="majorBidi"/>
                <w:b/>
                <w:bCs/>
                <w:color w:val="000000"/>
                <w:sz w:val="16"/>
                <w:szCs w:val="16"/>
                <w:lang w:val="en-GB"/>
              </w:rPr>
              <w:t>f</w:t>
            </w:r>
            <w:r w:rsidRPr="00677B75">
              <w:rPr>
                <w:rFonts w:cstheme="majorBidi"/>
                <w:b/>
                <w:bCs/>
                <w:color w:val="000000"/>
                <w:sz w:val="16"/>
                <w:szCs w:val="16"/>
                <w:lang w:val="en-GB"/>
              </w:rPr>
              <w:t>und</w:t>
            </w:r>
          </w:p>
        </w:tc>
        <w:tc>
          <w:tcPr>
            <w:tcW w:w="977" w:type="pct"/>
            <w:gridSpan w:val="3"/>
            <w:tcMar>
              <w:top w:w="15" w:type="dxa"/>
              <w:left w:w="108" w:type="dxa"/>
              <w:bottom w:w="15" w:type="dxa"/>
              <w:right w:w="108" w:type="dxa"/>
            </w:tcMar>
            <w:vAlign w:val="center"/>
            <w:hideMark/>
          </w:tcPr>
          <w:p w14:paraId="0E52D99D" w14:textId="3C2ABD4F"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Special </w:t>
            </w:r>
            <w:r w:rsidR="00813BE0" w:rsidRPr="00677B75">
              <w:rPr>
                <w:rFonts w:cstheme="majorBidi"/>
                <w:b/>
                <w:bCs/>
                <w:color w:val="000000"/>
                <w:sz w:val="16"/>
                <w:szCs w:val="16"/>
                <w:lang w:val="en-GB"/>
              </w:rPr>
              <w:t>t</w:t>
            </w:r>
            <w:r w:rsidRPr="00677B75">
              <w:rPr>
                <w:rFonts w:cstheme="majorBidi"/>
                <w:b/>
                <w:bCs/>
                <w:color w:val="000000"/>
                <w:sz w:val="16"/>
                <w:szCs w:val="16"/>
                <w:lang w:val="en-GB"/>
              </w:rPr>
              <w:t xml:space="preserve">rust </w:t>
            </w:r>
            <w:r w:rsidR="00813BE0" w:rsidRPr="00677B75">
              <w:rPr>
                <w:rFonts w:cstheme="majorBidi"/>
                <w:b/>
                <w:bCs/>
                <w:color w:val="000000"/>
                <w:sz w:val="16"/>
                <w:szCs w:val="16"/>
                <w:lang w:val="en-GB"/>
              </w:rPr>
              <w:t>f</w:t>
            </w:r>
            <w:r w:rsidRPr="00677B75">
              <w:rPr>
                <w:rFonts w:cstheme="majorBidi"/>
                <w:b/>
                <w:bCs/>
                <w:color w:val="000000"/>
                <w:sz w:val="16"/>
                <w:szCs w:val="16"/>
                <w:lang w:val="en-GB"/>
              </w:rPr>
              <w:t>und</w:t>
            </w:r>
          </w:p>
        </w:tc>
      </w:tr>
      <w:tr w:rsidR="00A002A5" w:rsidRPr="00677B75" w14:paraId="4BD97732" w14:textId="77777777" w:rsidTr="006F6B22">
        <w:trPr>
          <w:trHeight w:val="532"/>
        </w:trPr>
        <w:tc>
          <w:tcPr>
            <w:tcW w:w="1081" w:type="pct"/>
            <w:noWrap/>
            <w:tcMar>
              <w:top w:w="15" w:type="dxa"/>
              <w:left w:w="108" w:type="dxa"/>
              <w:bottom w:w="15" w:type="dxa"/>
              <w:right w:w="108" w:type="dxa"/>
            </w:tcMar>
            <w:vAlign w:val="center"/>
            <w:hideMark/>
          </w:tcPr>
          <w:p w14:paraId="27CDCA46" w14:textId="77777777" w:rsidR="00206B29" w:rsidRPr="00677B75" w:rsidRDefault="00206B29" w:rsidP="00983115">
            <w:pPr>
              <w:rPr>
                <w:rFonts w:cstheme="majorBidi"/>
                <w:b/>
                <w:bCs/>
                <w:color w:val="000000"/>
                <w:sz w:val="16"/>
                <w:szCs w:val="16"/>
                <w:lang w:val="en-GB"/>
              </w:rPr>
            </w:pPr>
          </w:p>
        </w:tc>
        <w:tc>
          <w:tcPr>
            <w:tcW w:w="328" w:type="pct"/>
            <w:tcMar>
              <w:top w:w="15" w:type="dxa"/>
              <w:left w:w="108" w:type="dxa"/>
              <w:bottom w:w="15" w:type="dxa"/>
              <w:right w:w="108" w:type="dxa"/>
            </w:tcMar>
            <w:vAlign w:val="center"/>
            <w:hideMark/>
          </w:tcPr>
          <w:p w14:paraId="1CD59F1F" w14:textId="49DCE4BD" w:rsidR="00206B29" w:rsidRPr="00677B75" w:rsidRDefault="009A67E8" w:rsidP="00983115">
            <w:pPr>
              <w:jc w:val="center"/>
              <w:rPr>
                <w:rFonts w:cstheme="majorBidi"/>
                <w:b/>
                <w:bCs/>
                <w:color w:val="000000"/>
                <w:sz w:val="16"/>
                <w:szCs w:val="16"/>
                <w:lang w:val="en-GB"/>
              </w:rPr>
            </w:pPr>
            <w:r w:rsidRPr="00677B75">
              <w:rPr>
                <w:rFonts w:cstheme="majorBidi"/>
                <w:b/>
                <w:bCs/>
                <w:color w:val="000000"/>
                <w:sz w:val="16"/>
                <w:szCs w:val="16"/>
                <w:lang w:val="en-GB"/>
              </w:rPr>
              <w:t>2026</w:t>
            </w:r>
          </w:p>
        </w:tc>
        <w:tc>
          <w:tcPr>
            <w:tcW w:w="281" w:type="pct"/>
            <w:tcMar>
              <w:top w:w="15" w:type="dxa"/>
              <w:left w:w="108" w:type="dxa"/>
              <w:bottom w:w="15" w:type="dxa"/>
              <w:right w:w="108" w:type="dxa"/>
            </w:tcMar>
            <w:vAlign w:val="center"/>
            <w:hideMark/>
          </w:tcPr>
          <w:p w14:paraId="4A462ADF" w14:textId="6F078A19" w:rsidR="00206B29" w:rsidRPr="00677B75" w:rsidRDefault="009A67E8" w:rsidP="00983115">
            <w:pPr>
              <w:jc w:val="center"/>
              <w:rPr>
                <w:rFonts w:cstheme="majorBidi"/>
                <w:b/>
                <w:bCs/>
                <w:color w:val="000000"/>
                <w:sz w:val="16"/>
                <w:szCs w:val="16"/>
                <w:lang w:val="en-GB"/>
              </w:rPr>
            </w:pPr>
            <w:r w:rsidRPr="00677B75">
              <w:rPr>
                <w:rFonts w:cstheme="majorBidi"/>
                <w:b/>
                <w:bCs/>
                <w:color w:val="000000"/>
                <w:sz w:val="16"/>
                <w:szCs w:val="16"/>
                <w:lang w:val="en-GB"/>
              </w:rPr>
              <w:t>2027</w:t>
            </w:r>
          </w:p>
        </w:tc>
        <w:tc>
          <w:tcPr>
            <w:tcW w:w="375" w:type="pct"/>
            <w:tcMar>
              <w:top w:w="15" w:type="dxa"/>
              <w:left w:w="108" w:type="dxa"/>
              <w:bottom w:w="15" w:type="dxa"/>
              <w:right w:w="108" w:type="dxa"/>
            </w:tcMar>
            <w:vAlign w:val="center"/>
            <w:hideMark/>
          </w:tcPr>
          <w:p w14:paraId="00E79936" w14:textId="2C15CD09"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Total </w:t>
            </w:r>
            <w:r w:rsidRPr="00677B75">
              <w:rPr>
                <w:rFonts w:cstheme="majorBidi"/>
                <w:b/>
                <w:bCs/>
                <w:color w:val="000000"/>
                <w:sz w:val="16"/>
                <w:szCs w:val="16"/>
                <w:lang w:val="en-GB"/>
              </w:rPr>
              <w:br/>
              <w:t>(</w:t>
            </w:r>
            <w:r w:rsidR="00E2051A" w:rsidRPr="00677B75">
              <w:rPr>
                <w:rFonts w:cstheme="majorBidi"/>
                <w:b/>
                <w:bCs/>
                <w:color w:val="000000"/>
                <w:sz w:val="16"/>
                <w:szCs w:val="16"/>
                <w:lang w:val="en-GB"/>
              </w:rPr>
              <w:t>2026–2027</w:t>
            </w:r>
            <w:r w:rsidRPr="00677B75">
              <w:rPr>
                <w:rFonts w:cstheme="majorBidi"/>
                <w:b/>
                <w:bCs/>
                <w:color w:val="000000"/>
                <w:sz w:val="16"/>
                <w:szCs w:val="16"/>
                <w:lang w:val="en-GB"/>
              </w:rPr>
              <w:t>)</w:t>
            </w:r>
          </w:p>
        </w:tc>
        <w:tc>
          <w:tcPr>
            <w:tcW w:w="281" w:type="pct"/>
            <w:tcMar>
              <w:top w:w="15" w:type="dxa"/>
              <w:left w:w="108" w:type="dxa"/>
              <w:bottom w:w="15" w:type="dxa"/>
              <w:right w:w="108" w:type="dxa"/>
            </w:tcMar>
            <w:vAlign w:val="center"/>
            <w:hideMark/>
          </w:tcPr>
          <w:p w14:paraId="4FED6B2F" w14:textId="20EE8AD0" w:rsidR="00206B29" w:rsidRPr="00677B75" w:rsidRDefault="00122083" w:rsidP="00983115">
            <w:pPr>
              <w:jc w:val="center"/>
              <w:rPr>
                <w:rFonts w:cstheme="majorBidi"/>
                <w:b/>
                <w:bCs/>
                <w:color w:val="000000"/>
                <w:sz w:val="16"/>
                <w:szCs w:val="16"/>
                <w:lang w:val="en-GB"/>
              </w:rPr>
            </w:pPr>
            <w:r w:rsidRPr="00677B75">
              <w:rPr>
                <w:rFonts w:cstheme="majorBidi"/>
                <w:b/>
                <w:bCs/>
                <w:color w:val="000000"/>
                <w:sz w:val="16"/>
                <w:szCs w:val="16"/>
                <w:lang w:val="en-GB"/>
              </w:rPr>
              <w:t>2026</w:t>
            </w:r>
          </w:p>
        </w:tc>
        <w:tc>
          <w:tcPr>
            <w:tcW w:w="270" w:type="pct"/>
            <w:tcMar>
              <w:top w:w="15" w:type="dxa"/>
              <w:left w:w="108" w:type="dxa"/>
              <w:bottom w:w="15" w:type="dxa"/>
              <w:right w:w="108" w:type="dxa"/>
            </w:tcMar>
            <w:vAlign w:val="center"/>
            <w:hideMark/>
          </w:tcPr>
          <w:p w14:paraId="6235B740" w14:textId="510A813F" w:rsidR="00206B29" w:rsidRPr="00677B75" w:rsidRDefault="00122083" w:rsidP="00983115">
            <w:pPr>
              <w:jc w:val="center"/>
              <w:rPr>
                <w:rFonts w:cstheme="majorBidi"/>
                <w:b/>
                <w:bCs/>
                <w:color w:val="000000"/>
                <w:sz w:val="16"/>
                <w:szCs w:val="16"/>
                <w:lang w:val="en-GB"/>
              </w:rPr>
            </w:pPr>
            <w:r w:rsidRPr="00677B75">
              <w:rPr>
                <w:rFonts w:cstheme="majorBidi"/>
                <w:b/>
                <w:bCs/>
                <w:color w:val="000000"/>
                <w:sz w:val="16"/>
                <w:szCs w:val="16"/>
                <w:lang w:val="en-GB"/>
              </w:rPr>
              <w:t>2027</w:t>
            </w:r>
          </w:p>
        </w:tc>
        <w:tc>
          <w:tcPr>
            <w:tcW w:w="375" w:type="pct"/>
            <w:tcMar>
              <w:top w:w="15" w:type="dxa"/>
              <w:left w:w="108" w:type="dxa"/>
              <w:bottom w:w="15" w:type="dxa"/>
              <w:right w:w="108" w:type="dxa"/>
            </w:tcMar>
            <w:vAlign w:val="center"/>
            <w:hideMark/>
          </w:tcPr>
          <w:p w14:paraId="41C3FB00" w14:textId="32064E12"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Total </w:t>
            </w:r>
            <w:r w:rsidRPr="00677B75">
              <w:rPr>
                <w:rFonts w:cstheme="majorBidi"/>
                <w:b/>
                <w:bCs/>
                <w:color w:val="000000"/>
                <w:sz w:val="16"/>
                <w:szCs w:val="16"/>
                <w:lang w:val="en-GB"/>
              </w:rPr>
              <w:br/>
              <w:t>(</w:t>
            </w:r>
            <w:r w:rsidR="00E2051A" w:rsidRPr="00677B75">
              <w:rPr>
                <w:rFonts w:cstheme="majorBidi"/>
                <w:b/>
                <w:bCs/>
                <w:color w:val="000000"/>
                <w:sz w:val="16"/>
                <w:szCs w:val="16"/>
                <w:lang w:val="en-GB"/>
              </w:rPr>
              <w:t>2026–2027</w:t>
            </w:r>
            <w:r w:rsidRPr="00677B75">
              <w:rPr>
                <w:rFonts w:cstheme="majorBidi"/>
                <w:b/>
                <w:bCs/>
                <w:color w:val="000000"/>
                <w:sz w:val="16"/>
                <w:szCs w:val="16"/>
                <w:lang w:val="en-GB"/>
              </w:rPr>
              <w:t>)</w:t>
            </w:r>
          </w:p>
        </w:tc>
        <w:tc>
          <w:tcPr>
            <w:tcW w:w="281" w:type="pct"/>
            <w:tcMar>
              <w:top w:w="15" w:type="dxa"/>
              <w:left w:w="108" w:type="dxa"/>
              <w:bottom w:w="15" w:type="dxa"/>
              <w:right w:w="108" w:type="dxa"/>
            </w:tcMar>
            <w:vAlign w:val="center"/>
            <w:hideMark/>
          </w:tcPr>
          <w:p w14:paraId="1681064B" w14:textId="4A063FB9" w:rsidR="00206B29" w:rsidRPr="00677B75" w:rsidRDefault="00122083" w:rsidP="00983115">
            <w:pPr>
              <w:jc w:val="center"/>
              <w:rPr>
                <w:rFonts w:cstheme="majorBidi"/>
                <w:b/>
                <w:bCs/>
                <w:color w:val="000000"/>
                <w:sz w:val="16"/>
                <w:szCs w:val="16"/>
                <w:lang w:val="en-GB"/>
              </w:rPr>
            </w:pPr>
            <w:r w:rsidRPr="00677B75">
              <w:rPr>
                <w:rFonts w:cstheme="majorBidi"/>
                <w:b/>
                <w:bCs/>
                <w:color w:val="000000"/>
                <w:sz w:val="16"/>
                <w:szCs w:val="16"/>
                <w:lang w:val="en-GB"/>
              </w:rPr>
              <w:t>2026</w:t>
            </w:r>
          </w:p>
        </w:tc>
        <w:tc>
          <w:tcPr>
            <w:tcW w:w="313" w:type="pct"/>
            <w:tcMar>
              <w:top w:w="15" w:type="dxa"/>
              <w:left w:w="108" w:type="dxa"/>
              <w:bottom w:w="15" w:type="dxa"/>
              <w:right w:w="108" w:type="dxa"/>
            </w:tcMar>
            <w:vAlign w:val="center"/>
            <w:hideMark/>
          </w:tcPr>
          <w:p w14:paraId="6EDB362C" w14:textId="1BBDDE5A" w:rsidR="00206B29" w:rsidRPr="00677B75" w:rsidRDefault="00122083" w:rsidP="00983115">
            <w:pPr>
              <w:jc w:val="center"/>
              <w:rPr>
                <w:rFonts w:cstheme="majorBidi"/>
                <w:b/>
                <w:bCs/>
                <w:color w:val="000000"/>
                <w:sz w:val="16"/>
                <w:szCs w:val="16"/>
                <w:lang w:val="en-GB"/>
              </w:rPr>
            </w:pPr>
            <w:r w:rsidRPr="00677B75">
              <w:rPr>
                <w:rFonts w:cstheme="majorBidi"/>
                <w:b/>
                <w:bCs/>
                <w:color w:val="000000"/>
                <w:sz w:val="16"/>
                <w:szCs w:val="16"/>
                <w:lang w:val="en-GB"/>
              </w:rPr>
              <w:t>2027</w:t>
            </w:r>
          </w:p>
        </w:tc>
        <w:tc>
          <w:tcPr>
            <w:tcW w:w="440" w:type="pct"/>
            <w:tcMar>
              <w:top w:w="15" w:type="dxa"/>
              <w:left w:w="108" w:type="dxa"/>
              <w:bottom w:w="15" w:type="dxa"/>
              <w:right w:w="108" w:type="dxa"/>
            </w:tcMar>
            <w:vAlign w:val="center"/>
            <w:hideMark/>
          </w:tcPr>
          <w:p w14:paraId="6ABA2866" w14:textId="5DF301D7"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Total </w:t>
            </w:r>
            <w:r w:rsidRPr="00677B75">
              <w:rPr>
                <w:rFonts w:cstheme="majorBidi"/>
                <w:b/>
                <w:bCs/>
                <w:color w:val="000000"/>
                <w:sz w:val="16"/>
                <w:szCs w:val="16"/>
                <w:lang w:val="en-GB"/>
              </w:rPr>
              <w:br/>
              <w:t>(</w:t>
            </w:r>
            <w:r w:rsidR="00E2051A" w:rsidRPr="00677B75">
              <w:rPr>
                <w:rFonts w:cstheme="majorBidi"/>
                <w:b/>
                <w:bCs/>
                <w:color w:val="000000"/>
                <w:sz w:val="16"/>
                <w:szCs w:val="16"/>
                <w:lang w:val="en-GB"/>
              </w:rPr>
              <w:t>2026–2027</w:t>
            </w:r>
            <w:r w:rsidRPr="00677B75">
              <w:rPr>
                <w:rFonts w:cstheme="majorBidi"/>
                <w:b/>
                <w:bCs/>
                <w:color w:val="000000"/>
                <w:sz w:val="16"/>
                <w:szCs w:val="16"/>
                <w:lang w:val="en-GB"/>
              </w:rPr>
              <w:t>)</w:t>
            </w:r>
          </w:p>
        </w:tc>
        <w:tc>
          <w:tcPr>
            <w:tcW w:w="270" w:type="pct"/>
            <w:tcMar>
              <w:top w:w="15" w:type="dxa"/>
              <w:left w:w="108" w:type="dxa"/>
              <w:bottom w:w="15" w:type="dxa"/>
              <w:right w:w="108" w:type="dxa"/>
            </w:tcMar>
            <w:vAlign w:val="center"/>
            <w:hideMark/>
          </w:tcPr>
          <w:p w14:paraId="02ACB8FC" w14:textId="6C4D0497" w:rsidR="00206B29" w:rsidRPr="00677B75" w:rsidRDefault="00122083" w:rsidP="00983115">
            <w:pPr>
              <w:jc w:val="center"/>
              <w:rPr>
                <w:rFonts w:cstheme="majorBidi"/>
                <w:b/>
                <w:bCs/>
                <w:color w:val="000000"/>
                <w:sz w:val="16"/>
                <w:szCs w:val="16"/>
                <w:lang w:val="en-GB"/>
              </w:rPr>
            </w:pPr>
            <w:r w:rsidRPr="00677B75">
              <w:rPr>
                <w:rFonts w:cstheme="majorBidi"/>
                <w:b/>
                <w:bCs/>
                <w:color w:val="000000"/>
                <w:sz w:val="16"/>
                <w:szCs w:val="16"/>
                <w:lang w:val="en-GB"/>
              </w:rPr>
              <w:t>2026</w:t>
            </w:r>
          </w:p>
        </w:tc>
        <w:tc>
          <w:tcPr>
            <w:tcW w:w="270" w:type="pct"/>
            <w:tcMar>
              <w:top w:w="15" w:type="dxa"/>
              <w:left w:w="108" w:type="dxa"/>
              <w:bottom w:w="15" w:type="dxa"/>
              <w:right w:w="108" w:type="dxa"/>
            </w:tcMar>
            <w:vAlign w:val="center"/>
            <w:hideMark/>
          </w:tcPr>
          <w:p w14:paraId="37414C8D" w14:textId="59021749" w:rsidR="00206B29" w:rsidRPr="00677B75" w:rsidRDefault="00122083" w:rsidP="00983115">
            <w:pPr>
              <w:jc w:val="center"/>
              <w:rPr>
                <w:rFonts w:cstheme="majorBidi"/>
                <w:b/>
                <w:bCs/>
                <w:color w:val="000000"/>
                <w:sz w:val="16"/>
                <w:szCs w:val="16"/>
                <w:lang w:val="en-GB"/>
              </w:rPr>
            </w:pPr>
            <w:r w:rsidRPr="00677B75">
              <w:rPr>
                <w:rFonts w:cstheme="majorBidi"/>
                <w:b/>
                <w:bCs/>
                <w:color w:val="000000"/>
                <w:sz w:val="16"/>
                <w:szCs w:val="16"/>
                <w:lang w:val="en-GB"/>
              </w:rPr>
              <w:t>2027</w:t>
            </w:r>
          </w:p>
        </w:tc>
        <w:tc>
          <w:tcPr>
            <w:tcW w:w="437" w:type="pct"/>
            <w:tcMar>
              <w:top w:w="15" w:type="dxa"/>
              <w:left w:w="108" w:type="dxa"/>
              <w:bottom w:w="15" w:type="dxa"/>
              <w:right w:w="108" w:type="dxa"/>
            </w:tcMar>
            <w:vAlign w:val="center"/>
            <w:hideMark/>
          </w:tcPr>
          <w:p w14:paraId="5F228F1F" w14:textId="19D21B38" w:rsidR="00206B29" w:rsidRPr="00677B75" w:rsidRDefault="00206B29" w:rsidP="00983115">
            <w:pPr>
              <w:jc w:val="center"/>
              <w:rPr>
                <w:rFonts w:cstheme="majorBidi"/>
                <w:b/>
                <w:bCs/>
                <w:color w:val="000000"/>
                <w:sz w:val="16"/>
                <w:szCs w:val="16"/>
                <w:lang w:val="en-GB"/>
              </w:rPr>
            </w:pPr>
            <w:r w:rsidRPr="00677B75">
              <w:rPr>
                <w:rFonts w:cstheme="majorBidi"/>
                <w:b/>
                <w:bCs/>
                <w:color w:val="000000"/>
                <w:sz w:val="16"/>
                <w:szCs w:val="16"/>
                <w:lang w:val="en-GB"/>
              </w:rPr>
              <w:t xml:space="preserve">Total </w:t>
            </w:r>
            <w:r w:rsidRPr="00677B75">
              <w:rPr>
                <w:rFonts w:cstheme="majorBidi"/>
                <w:b/>
                <w:bCs/>
                <w:color w:val="000000"/>
                <w:sz w:val="16"/>
                <w:szCs w:val="16"/>
                <w:lang w:val="en-GB"/>
              </w:rPr>
              <w:br/>
              <w:t>(</w:t>
            </w:r>
            <w:r w:rsidR="00E2051A" w:rsidRPr="00677B75">
              <w:rPr>
                <w:rFonts w:cstheme="majorBidi"/>
                <w:b/>
                <w:bCs/>
                <w:color w:val="000000"/>
                <w:sz w:val="16"/>
                <w:szCs w:val="16"/>
                <w:lang w:val="en-GB"/>
              </w:rPr>
              <w:t>2026–2027</w:t>
            </w:r>
            <w:r w:rsidRPr="00677B75">
              <w:rPr>
                <w:rFonts w:cstheme="majorBidi"/>
                <w:b/>
                <w:bCs/>
                <w:color w:val="000000"/>
                <w:sz w:val="16"/>
                <w:szCs w:val="16"/>
                <w:lang w:val="en-GB"/>
              </w:rPr>
              <w:t>)</w:t>
            </w:r>
          </w:p>
        </w:tc>
      </w:tr>
      <w:tr w:rsidR="00E353D7" w:rsidRPr="00677B75" w14:paraId="6B005D37" w14:textId="77777777" w:rsidTr="00BD36F8">
        <w:trPr>
          <w:trHeight w:val="296"/>
        </w:trPr>
        <w:tc>
          <w:tcPr>
            <w:tcW w:w="5000" w:type="pct"/>
            <w:gridSpan w:val="13"/>
            <w:noWrap/>
            <w:tcMar>
              <w:top w:w="15" w:type="dxa"/>
              <w:left w:w="108" w:type="dxa"/>
              <w:bottom w:w="15" w:type="dxa"/>
              <w:right w:w="108" w:type="dxa"/>
            </w:tcMar>
            <w:vAlign w:val="center"/>
          </w:tcPr>
          <w:p w14:paraId="4D9868FC" w14:textId="706737C2" w:rsidR="00E353D7" w:rsidRPr="00677B75" w:rsidRDefault="00E353D7" w:rsidP="00837146">
            <w:pPr>
              <w:rPr>
                <w:rFonts w:cstheme="majorBidi"/>
                <w:b/>
                <w:bCs/>
                <w:color w:val="000000" w:themeColor="text1"/>
                <w:sz w:val="16"/>
                <w:szCs w:val="16"/>
                <w:lang w:val="en-GB"/>
              </w:rPr>
            </w:pPr>
            <w:r w:rsidRPr="00677B75">
              <w:rPr>
                <w:rFonts w:cstheme="majorBidi"/>
                <w:b/>
                <w:bCs/>
                <w:color w:val="000000" w:themeColor="text1"/>
                <w:sz w:val="16"/>
                <w:szCs w:val="16"/>
                <w:lang w:val="en-GB"/>
              </w:rPr>
              <w:t>12</w:t>
            </w:r>
            <w:r w:rsidR="00341136" w:rsidRPr="00677B75">
              <w:rPr>
                <w:rFonts w:cstheme="majorBidi"/>
                <w:b/>
                <w:bCs/>
                <w:color w:val="000000" w:themeColor="text1"/>
                <w:sz w:val="16"/>
                <w:szCs w:val="16"/>
                <w:lang w:val="en-GB"/>
              </w:rPr>
              <w:t>. International cooperation and coordination</w:t>
            </w:r>
          </w:p>
        </w:tc>
      </w:tr>
      <w:tr w:rsidR="00837146" w:rsidRPr="00677B75" w14:paraId="5AE675DA" w14:textId="77777777" w:rsidTr="00BD36F8">
        <w:trPr>
          <w:trHeight w:val="296"/>
        </w:trPr>
        <w:tc>
          <w:tcPr>
            <w:tcW w:w="5000" w:type="pct"/>
            <w:gridSpan w:val="13"/>
            <w:noWrap/>
            <w:tcMar>
              <w:top w:w="15" w:type="dxa"/>
              <w:left w:w="108" w:type="dxa"/>
              <w:bottom w:w="15" w:type="dxa"/>
              <w:right w:w="108" w:type="dxa"/>
            </w:tcMar>
            <w:vAlign w:val="center"/>
            <w:hideMark/>
          </w:tcPr>
          <w:p w14:paraId="70BE9852" w14:textId="1CF7E7BE" w:rsidR="00837146" w:rsidRPr="00677B75" w:rsidRDefault="00837146" w:rsidP="00837146">
            <w:pPr>
              <w:rPr>
                <w:rFonts w:cstheme="majorBidi"/>
                <w:b/>
                <w:bCs/>
                <w:color w:val="000000"/>
                <w:sz w:val="16"/>
                <w:szCs w:val="16"/>
                <w:lang w:val="en-GB"/>
              </w:rPr>
            </w:pPr>
            <w:r w:rsidRPr="00677B75">
              <w:rPr>
                <w:rFonts w:cstheme="majorBidi"/>
                <w:b/>
                <w:bCs/>
                <w:color w:val="000000" w:themeColor="text1"/>
                <w:sz w:val="16"/>
                <w:szCs w:val="16"/>
                <w:lang w:val="en-GB"/>
              </w:rPr>
              <w:t>12.</w:t>
            </w:r>
            <w:r w:rsidR="008A66F9" w:rsidRPr="00677B75">
              <w:rPr>
                <w:rFonts w:cstheme="majorBidi"/>
                <w:b/>
                <w:bCs/>
                <w:color w:val="000000" w:themeColor="text1"/>
                <w:sz w:val="16"/>
                <w:szCs w:val="16"/>
                <w:lang w:val="en-GB"/>
              </w:rPr>
              <w:t>1</w:t>
            </w:r>
            <w:r w:rsidRPr="00677B75">
              <w:rPr>
                <w:rFonts w:cstheme="majorBidi"/>
                <w:b/>
                <w:bCs/>
                <w:color w:val="000000" w:themeColor="text1"/>
                <w:sz w:val="16"/>
                <w:szCs w:val="16"/>
                <w:lang w:val="en-GB"/>
              </w:rPr>
              <w:t xml:space="preserve">. </w:t>
            </w:r>
            <w:r w:rsidR="008A66F9" w:rsidRPr="00677B75">
              <w:rPr>
                <w:rFonts w:cstheme="majorBidi"/>
                <w:b/>
                <w:bCs/>
                <w:color w:val="000000" w:themeColor="text1"/>
                <w:sz w:val="16"/>
                <w:szCs w:val="16"/>
                <w:lang w:val="en-GB"/>
              </w:rPr>
              <w:t>Cooperation on the broader sustainable development and environment agenda</w:t>
            </w:r>
          </w:p>
        </w:tc>
      </w:tr>
      <w:tr w:rsidR="00A002A5" w:rsidRPr="00677B75" w14:paraId="2D8659F8" w14:textId="77777777" w:rsidTr="00BD36F8">
        <w:trPr>
          <w:trHeight w:val="296"/>
        </w:trPr>
        <w:tc>
          <w:tcPr>
            <w:tcW w:w="1081" w:type="pct"/>
            <w:tcMar>
              <w:top w:w="15" w:type="dxa"/>
              <w:left w:w="108" w:type="dxa"/>
              <w:bottom w:w="15" w:type="dxa"/>
              <w:right w:w="108" w:type="dxa"/>
            </w:tcMar>
            <w:vAlign w:val="center"/>
            <w:hideMark/>
          </w:tcPr>
          <w:p w14:paraId="564413F8" w14:textId="353AC5E1" w:rsidR="00837146" w:rsidRPr="00677B75" w:rsidRDefault="00E238D5" w:rsidP="00837146">
            <w:pPr>
              <w:jc w:val="left"/>
              <w:rPr>
                <w:rFonts w:cstheme="majorBidi"/>
                <w:color w:val="000000"/>
                <w:sz w:val="16"/>
                <w:szCs w:val="16"/>
                <w:lang w:val="en-GB"/>
              </w:rPr>
            </w:pPr>
            <w:r w:rsidRPr="00677B75">
              <w:rPr>
                <w:rFonts w:cstheme="majorBidi"/>
                <w:color w:val="000000" w:themeColor="text1"/>
                <w:sz w:val="16"/>
                <w:szCs w:val="16"/>
                <w:lang w:val="en-GB"/>
              </w:rPr>
              <w:t>Expert support</w:t>
            </w:r>
          </w:p>
        </w:tc>
        <w:tc>
          <w:tcPr>
            <w:tcW w:w="328" w:type="pct"/>
            <w:noWrap/>
            <w:tcMar>
              <w:top w:w="15" w:type="dxa"/>
              <w:left w:w="108" w:type="dxa"/>
              <w:bottom w:w="15" w:type="dxa"/>
              <w:right w:w="108" w:type="dxa"/>
            </w:tcMar>
            <w:vAlign w:val="center"/>
          </w:tcPr>
          <w:p w14:paraId="0CBF00E4" w14:textId="608A30FE" w:rsidR="00837146" w:rsidRPr="00677B75" w:rsidRDefault="00837146" w:rsidP="00837146">
            <w:pPr>
              <w:jc w:val="right"/>
              <w:rPr>
                <w:rFonts w:cstheme="majorBidi"/>
                <w:color w:val="000000"/>
                <w:sz w:val="16"/>
                <w:szCs w:val="16"/>
                <w:lang w:val="en-GB"/>
              </w:rPr>
            </w:pPr>
          </w:p>
        </w:tc>
        <w:tc>
          <w:tcPr>
            <w:tcW w:w="281" w:type="pct"/>
            <w:noWrap/>
            <w:tcMar>
              <w:top w:w="15" w:type="dxa"/>
              <w:left w:w="108" w:type="dxa"/>
              <w:bottom w:w="15" w:type="dxa"/>
              <w:right w:w="108" w:type="dxa"/>
            </w:tcMar>
            <w:vAlign w:val="center"/>
          </w:tcPr>
          <w:p w14:paraId="1691DE9B" w14:textId="44720B30" w:rsidR="00837146" w:rsidRPr="00677B75" w:rsidRDefault="00837146" w:rsidP="00837146">
            <w:pPr>
              <w:jc w:val="right"/>
              <w:rPr>
                <w:rFonts w:eastAsia="Times New Roman" w:cstheme="majorBidi"/>
                <w:sz w:val="16"/>
                <w:szCs w:val="16"/>
                <w:lang w:val="en-GB"/>
              </w:rPr>
            </w:pPr>
          </w:p>
        </w:tc>
        <w:tc>
          <w:tcPr>
            <w:tcW w:w="375" w:type="pct"/>
            <w:noWrap/>
            <w:tcMar>
              <w:top w:w="15" w:type="dxa"/>
              <w:left w:w="108" w:type="dxa"/>
              <w:bottom w:w="15" w:type="dxa"/>
              <w:right w:w="108" w:type="dxa"/>
            </w:tcMar>
            <w:vAlign w:val="center"/>
          </w:tcPr>
          <w:p w14:paraId="7515A77D" w14:textId="3086668D" w:rsidR="00837146" w:rsidRPr="00677B75" w:rsidRDefault="00837146" w:rsidP="00837146">
            <w:pPr>
              <w:jc w:val="right"/>
              <w:rPr>
                <w:rFonts w:eastAsia="Times New Roman" w:cstheme="majorBidi"/>
                <w:b/>
                <w:bCs/>
                <w:sz w:val="16"/>
                <w:szCs w:val="16"/>
                <w:lang w:val="en-GB"/>
              </w:rPr>
            </w:pPr>
          </w:p>
        </w:tc>
        <w:tc>
          <w:tcPr>
            <w:tcW w:w="281" w:type="pct"/>
            <w:noWrap/>
            <w:tcMar>
              <w:top w:w="15" w:type="dxa"/>
              <w:left w:w="108" w:type="dxa"/>
              <w:bottom w:w="15" w:type="dxa"/>
              <w:right w:w="108" w:type="dxa"/>
            </w:tcMar>
            <w:vAlign w:val="center"/>
          </w:tcPr>
          <w:p w14:paraId="5AC755AD" w14:textId="4EA74C91" w:rsidR="00837146" w:rsidRPr="00677B75" w:rsidRDefault="00A002A5" w:rsidP="00837146">
            <w:pPr>
              <w:jc w:val="right"/>
              <w:rPr>
                <w:rFonts w:eastAsia="Times New Roman" w:cstheme="majorBidi"/>
                <w:sz w:val="16"/>
                <w:szCs w:val="16"/>
                <w:lang w:val="en-GB"/>
              </w:rPr>
            </w:pPr>
            <w:r w:rsidRPr="00677B75">
              <w:rPr>
                <w:rFonts w:eastAsia="Times New Roman" w:cstheme="majorBidi"/>
                <w:sz w:val="16"/>
                <w:szCs w:val="16"/>
                <w:lang w:val="en-GB"/>
              </w:rPr>
              <w:t>50</w:t>
            </w:r>
            <w:r w:rsidR="00D853CA" w:rsidRPr="00677B75">
              <w:rPr>
                <w:rFonts w:eastAsia="Times New Roman" w:cstheme="majorBidi"/>
                <w:sz w:val="16"/>
                <w:szCs w:val="16"/>
                <w:lang w:val="en-GB"/>
              </w:rPr>
              <w:t>,000</w:t>
            </w:r>
          </w:p>
        </w:tc>
        <w:tc>
          <w:tcPr>
            <w:tcW w:w="270" w:type="pct"/>
            <w:noWrap/>
            <w:tcMar>
              <w:top w:w="15" w:type="dxa"/>
              <w:left w:w="108" w:type="dxa"/>
              <w:bottom w:w="15" w:type="dxa"/>
              <w:right w:w="108" w:type="dxa"/>
            </w:tcMar>
            <w:vAlign w:val="center"/>
          </w:tcPr>
          <w:p w14:paraId="2C2EC403" w14:textId="47D97210" w:rsidR="00837146" w:rsidRPr="00677B75" w:rsidRDefault="00A002A5" w:rsidP="00837146">
            <w:pPr>
              <w:jc w:val="right"/>
              <w:rPr>
                <w:rFonts w:eastAsia="Times New Roman" w:cstheme="majorBidi"/>
                <w:sz w:val="16"/>
                <w:szCs w:val="16"/>
                <w:lang w:val="en-GB"/>
              </w:rPr>
            </w:pPr>
            <w:r w:rsidRPr="00677B75">
              <w:rPr>
                <w:rFonts w:eastAsia="Times New Roman" w:cstheme="majorBidi"/>
                <w:sz w:val="16"/>
                <w:szCs w:val="16"/>
                <w:lang w:val="en-GB"/>
              </w:rPr>
              <w:t>50</w:t>
            </w:r>
            <w:r w:rsidR="00B80924" w:rsidRPr="00677B75">
              <w:rPr>
                <w:rFonts w:eastAsia="Times New Roman" w:cstheme="majorBidi"/>
                <w:sz w:val="16"/>
                <w:szCs w:val="16"/>
                <w:lang w:val="en-GB"/>
              </w:rPr>
              <w:t>,000</w:t>
            </w:r>
          </w:p>
        </w:tc>
        <w:tc>
          <w:tcPr>
            <w:tcW w:w="375" w:type="pct"/>
            <w:noWrap/>
            <w:tcMar>
              <w:top w:w="15" w:type="dxa"/>
              <w:left w:w="108" w:type="dxa"/>
              <w:bottom w:w="15" w:type="dxa"/>
              <w:right w:w="108" w:type="dxa"/>
            </w:tcMar>
            <w:vAlign w:val="center"/>
          </w:tcPr>
          <w:p w14:paraId="19226BBA" w14:textId="6E24607E" w:rsidR="00837146" w:rsidRPr="00677B75" w:rsidRDefault="00736DDF" w:rsidP="00837146">
            <w:pPr>
              <w:jc w:val="right"/>
              <w:rPr>
                <w:rFonts w:eastAsia="Times New Roman" w:cstheme="majorBidi"/>
                <w:sz w:val="16"/>
                <w:szCs w:val="16"/>
                <w:lang w:val="en-GB"/>
              </w:rPr>
            </w:pPr>
            <w:r w:rsidRPr="00677B75">
              <w:rPr>
                <w:rFonts w:eastAsia="Times New Roman" w:cstheme="majorBidi"/>
                <w:sz w:val="16"/>
                <w:szCs w:val="16"/>
                <w:lang w:val="en-GB"/>
              </w:rPr>
              <w:t>10</w:t>
            </w:r>
            <w:r w:rsidR="00B80924" w:rsidRPr="00677B75">
              <w:rPr>
                <w:rFonts w:eastAsia="Times New Roman" w:cstheme="majorBidi"/>
                <w:sz w:val="16"/>
                <w:szCs w:val="16"/>
                <w:lang w:val="en-GB"/>
              </w:rPr>
              <w:t>0,000</w:t>
            </w:r>
          </w:p>
        </w:tc>
        <w:tc>
          <w:tcPr>
            <w:tcW w:w="281" w:type="pct"/>
            <w:noWrap/>
            <w:tcMar>
              <w:top w:w="15" w:type="dxa"/>
              <w:left w:w="108" w:type="dxa"/>
              <w:bottom w:w="15" w:type="dxa"/>
              <w:right w:w="108" w:type="dxa"/>
            </w:tcMar>
            <w:vAlign w:val="center"/>
          </w:tcPr>
          <w:p w14:paraId="588B80BB" w14:textId="0496A7D4" w:rsidR="00837146" w:rsidRPr="00677B75" w:rsidRDefault="00837146" w:rsidP="00837146">
            <w:pPr>
              <w:jc w:val="right"/>
              <w:rPr>
                <w:rFonts w:eastAsia="Times New Roman" w:cstheme="majorBidi"/>
                <w:sz w:val="16"/>
                <w:szCs w:val="16"/>
                <w:lang w:val="en-GB"/>
              </w:rPr>
            </w:pPr>
          </w:p>
        </w:tc>
        <w:tc>
          <w:tcPr>
            <w:tcW w:w="313" w:type="pct"/>
            <w:noWrap/>
            <w:tcMar>
              <w:top w:w="15" w:type="dxa"/>
              <w:left w:w="108" w:type="dxa"/>
              <w:bottom w:w="15" w:type="dxa"/>
              <w:right w:w="108" w:type="dxa"/>
            </w:tcMar>
            <w:vAlign w:val="center"/>
          </w:tcPr>
          <w:p w14:paraId="7AD66EAE" w14:textId="52F122D8" w:rsidR="00837146" w:rsidRPr="00677B75" w:rsidRDefault="00837146" w:rsidP="00837146">
            <w:pPr>
              <w:jc w:val="right"/>
              <w:rPr>
                <w:rFonts w:eastAsia="Times New Roman" w:cstheme="majorBidi"/>
                <w:sz w:val="16"/>
                <w:szCs w:val="16"/>
                <w:lang w:val="en-GB"/>
              </w:rPr>
            </w:pPr>
          </w:p>
        </w:tc>
        <w:tc>
          <w:tcPr>
            <w:tcW w:w="440" w:type="pct"/>
            <w:noWrap/>
            <w:tcMar>
              <w:top w:w="15" w:type="dxa"/>
              <w:left w:w="108" w:type="dxa"/>
              <w:bottom w:w="15" w:type="dxa"/>
              <w:right w:w="108" w:type="dxa"/>
            </w:tcMar>
            <w:vAlign w:val="center"/>
          </w:tcPr>
          <w:p w14:paraId="0F6106DE" w14:textId="22B132C7" w:rsidR="00837146" w:rsidRPr="00677B75" w:rsidRDefault="00837146"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18513DA8" w14:textId="3F087D98" w:rsidR="00837146" w:rsidRPr="00677B75" w:rsidRDefault="000348DE" w:rsidP="00837146">
            <w:pPr>
              <w:jc w:val="right"/>
              <w:rPr>
                <w:rFonts w:eastAsia="Times New Roman" w:cstheme="majorBidi"/>
                <w:sz w:val="16"/>
                <w:szCs w:val="16"/>
                <w:lang w:val="en-GB"/>
              </w:rPr>
            </w:pPr>
            <w:r w:rsidRPr="00677B75">
              <w:rPr>
                <w:rFonts w:eastAsia="Times New Roman" w:cstheme="majorBidi"/>
                <w:sz w:val="16"/>
                <w:szCs w:val="16"/>
                <w:lang w:val="en-GB"/>
              </w:rPr>
              <w:t>50</w:t>
            </w:r>
            <w:r w:rsidR="00736DDF" w:rsidRPr="00677B75">
              <w:rPr>
                <w:rFonts w:eastAsia="Times New Roman" w:cstheme="majorBidi"/>
                <w:sz w:val="16"/>
                <w:szCs w:val="16"/>
                <w:lang w:val="en-GB"/>
              </w:rPr>
              <w:t>,000</w:t>
            </w:r>
          </w:p>
        </w:tc>
        <w:tc>
          <w:tcPr>
            <w:tcW w:w="270" w:type="pct"/>
            <w:noWrap/>
            <w:tcMar>
              <w:top w:w="15" w:type="dxa"/>
              <w:left w:w="108" w:type="dxa"/>
              <w:bottom w:w="15" w:type="dxa"/>
              <w:right w:w="108" w:type="dxa"/>
            </w:tcMar>
            <w:vAlign w:val="center"/>
          </w:tcPr>
          <w:p w14:paraId="7FB702AF" w14:textId="269DD300" w:rsidR="00837146" w:rsidRPr="00677B75" w:rsidRDefault="000348DE" w:rsidP="00837146">
            <w:pPr>
              <w:jc w:val="right"/>
              <w:rPr>
                <w:rFonts w:eastAsia="Times New Roman" w:cstheme="majorBidi"/>
                <w:sz w:val="16"/>
                <w:szCs w:val="16"/>
                <w:highlight w:val="yellow"/>
                <w:lang w:val="en-GB"/>
              </w:rPr>
            </w:pPr>
            <w:r w:rsidRPr="00677B75">
              <w:rPr>
                <w:rFonts w:eastAsia="Times New Roman" w:cstheme="majorBidi"/>
                <w:sz w:val="16"/>
                <w:szCs w:val="16"/>
                <w:lang w:val="en-GB"/>
              </w:rPr>
              <w:t>50</w:t>
            </w:r>
            <w:r w:rsidR="00B80924" w:rsidRPr="00677B75">
              <w:rPr>
                <w:rFonts w:eastAsia="Times New Roman" w:cstheme="majorBidi"/>
                <w:sz w:val="16"/>
                <w:szCs w:val="16"/>
                <w:lang w:val="en-GB"/>
              </w:rPr>
              <w:t>,000</w:t>
            </w:r>
          </w:p>
        </w:tc>
        <w:tc>
          <w:tcPr>
            <w:tcW w:w="437" w:type="pct"/>
            <w:noWrap/>
            <w:tcMar>
              <w:top w:w="15" w:type="dxa"/>
              <w:left w:w="108" w:type="dxa"/>
              <w:bottom w:w="15" w:type="dxa"/>
              <w:right w:w="108" w:type="dxa"/>
            </w:tcMar>
            <w:vAlign w:val="center"/>
          </w:tcPr>
          <w:p w14:paraId="2AEEFDAB" w14:textId="2B3BD280" w:rsidR="00837146" w:rsidRPr="00677B75" w:rsidRDefault="003F7124" w:rsidP="00837146">
            <w:pPr>
              <w:jc w:val="right"/>
              <w:rPr>
                <w:rFonts w:eastAsia="Times New Roman" w:cstheme="majorBidi"/>
                <w:sz w:val="16"/>
                <w:szCs w:val="16"/>
                <w:highlight w:val="yellow"/>
                <w:lang w:val="en-GB"/>
              </w:rPr>
            </w:pPr>
            <w:r w:rsidRPr="00677B75">
              <w:rPr>
                <w:rFonts w:eastAsia="Times New Roman" w:cstheme="majorBidi"/>
                <w:sz w:val="16"/>
                <w:szCs w:val="16"/>
                <w:lang w:val="en-GB"/>
              </w:rPr>
              <w:t>10</w:t>
            </w:r>
            <w:r w:rsidR="00B80924" w:rsidRPr="00677B75">
              <w:rPr>
                <w:rFonts w:eastAsia="Times New Roman" w:cstheme="majorBidi"/>
                <w:sz w:val="16"/>
                <w:szCs w:val="16"/>
                <w:lang w:val="en-GB"/>
              </w:rPr>
              <w:t>0,000</w:t>
            </w:r>
          </w:p>
        </w:tc>
      </w:tr>
      <w:tr w:rsidR="00A002A5" w:rsidRPr="00677B75" w14:paraId="13821696" w14:textId="77777777" w:rsidTr="00BD36F8">
        <w:trPr>
          <w:trHeight w:val="296"/>
        </w:trPr>
        <w:tc>
          <w:tcPr>
            <w:tcW w:w="1081" w:type="pct"/>
            <w:noWrap/>
            <w:tcMar>
              <w:top w:w="15" w:type="dxa"/>
              <w:left w:w="108" w:type="dxa"/>
              <w:bottom w:w="15" w:type="dxa"/>
              <w:right w:w="108" w:type="dxa"/>
            </w:tcMar>
            <w:vAlign w:val="center"/>
            <w:hideMark/>
          </w:tcPr>
          <w:p w14:paraId="16365890" w14:textId="77777777" w:rsidR="00837146" w:rsidRPr="00677B75" w:rsidRDefault="00837146" w:rsidP="00837146">
            <w:pPr>
              <w:jc w:val="right"/>
              <w:rPr>
                <w:rFonts w:cstheme="majorBidi"/>
                <w:b/>
                <w:bCs/>
                <w:color w:val="000000"/>
                <w:sz w:val="16"/>
                <w:szCs w:val="16"/>
                <w:lang w:val="en-GB"/>
              </w:rPr>
            </w:pPr>
            <w:r w:rsidRPr="00677B75">
              <w:rPr>
                <w:rFonts w:cstheme="majorBidi"/>
                <w:b/>
                <w:bCs/>
                <w:color w:val="000000"/>
                <w:sz w:val="16"/>
                <w:szCs w:val="16"/>
                <w:lang w:val="en-GB"/>
              </w:rPr>
              <w:t>Component total</w:t>
            </w:r>
          </w:p>
        </w:tc>
        <w:tc>
          <w:tcPr>
            <w:tcW w:w="328" w:type="pct"/>
            <w:noWrap/>
            <w:tcMar>
              <w:top w:w="15" w:type="dxa"/>
              <w:left w:w="108" w:type="dxa"/>
              <w:bottom w:w="15" w:type="dxa"/>
              <w:right w:w="108" w:type="dxa"/>
            </w:tcMar>
            <w:vAlign w:val="center"/>
          </w:tcPr>
          <w:p w14:paraId="3DF03B25" w14:textId="3107466E" w:rsidR="00837146" w:rsidRPr="00677B75" w:rsidRDefault="00837146" w:rsidP="00837146">
            <w:pPr>
              <w:jc w:val="right"/>
              <w:rPr>
                <w:rFonts w:cstheme="majorBidi"/>
                <w:b/>
                <w:bCs/>
                <w:color w:val="000000"/>
                <w:sz w:val="16"/>
                <w:szCs w:val="16"/>
                <w:lang w:val="en-GB"/>
              </w:rPr>
            </w:pPr>
          </w:p>
        </w:tc>
        <w:tc>
          <w:tcPr>
            <w:tcW w:w="281" w:type="pct"/>
            <w:noWrap/>
            <w:tcMar>
              <w:top w:w="15" w:type="dxa"/>
              <w:left w:w="108" w:type="dxa"/>
              <w:bottom w:w="15" w:type="dxa"/>
              <w:right w:w="108" w:type="dxa"/>
            </w:tcMar>
            <w:vAlign w:val="center"/>
          </w:tcPr>
          <w:p w14:paraId="4419C213" w14:textId="662418A9" w:rsidR="00837146" w:rsidRPr="00677B75" w:rsidRDefault="00837146" w:rsidP="00837146">
            <w:pPr>
              <w:jc w:val="right"/>
              <w:rPr>
                <w:rFonts w:eastAsia="Times New Roman" w:cstheme="majorBidi"/>
                <w:b/>
                <w:bCs/>
                <w:sz w:val="16"/>
                <w:szCs w:val="16"/>
                <w:lang w:val="en-GB"/>
              </w:rPr>
            </w:pPr>
          </w:p>
        </w:tc>
        <w:tc>
          <w:tcPr>
            <w:tcW w:w="375" w:type="pct"/>
            <w:noWrap/>
            <w:tcMar>
              <w:top w:w="15" w:type="dxa"/>
              <w:left w:w="108" w:type="dxa"/>
              <w:bottom w:w="15" w:type="dxa"/>
              <w:right w:w="108" w:type="dxa"/>
            </w:tcMar>
            <w:vAlign w:val="center"/>
          </w:tcPr>
          <w:p w14:paraId="2B371F42" w14:textId="7F25B0D7" w:rsidR="00837146" w:rsidRPr="00677B75" w:rsidRDefault="00837146" w:rsidP="00837146">
            <w:pPr>
              <w:jc w:val="right"/>
              <w:rPr>
                <w:rFonts w:eastAsia="Times New Roman" w:cstheme="majorBidi"/>
                <w:b/>
                <w:bCs/>
                <w:sz w:val="16"/>
                <w:szCs w:val="16"/>
                <w:lang w:val="en-GB"/>
              </w:rPr>
            </w:pPr>
          </w:p>
        </w:tc>
        <w:tc>
          <w:tcPr>
            <w:tcW w:w="281" w:type="pct"/>
            <w:noWrap/>
            <w:tcMar>
              <w:top w:w="15" w:type="dxa"/>
              <w:left w:w="108" w:type="dxa"/>
              <w:bottom w:w="15" w:type="dxa"/>
              <w:right w:w="108" w:type="dxa"/>
            </w:tcMar>
            <w:vAlign w:val="center"/>
          </w:tcPr>
          <w:p w14:paraId="7CB6DDF8" w14:textId="78878FAB" w:rsidR="00837146" w:rsidRPr="00677B75" w:rsidRDefault="00A002A5" w:rsidP="00837146">
            <w:pPr>
              <w:jc w:val="right"/>
              <w:rPr>
                <w:rFonts w:eastAsia="Times New Roman" w:cstheme="majorBidi"/>
                <w:b/>
                <w:bCs/>
                <w:sz w:val="16"/>
                <w:szCs w:val="16"/>
                <w:lang w:val="en-GB"/>
              </w:rPr>
            </w:pPr>
            <w:r w:rsidRPr="00677B75">
              <w:rPr>
                <w:rFonts w:eastAsia="Times New Roman" w:cstheme="majorBidi"/>
                <w:b/>
                <w:bCs/>
                <w:sz w:val="16"/>
                <w:szCs w:val="16"/>
                <w:lang w:val="en-GB"/>
              </w:rPr>
              <w:t>50</w:t>
            </w:r>
            <w:r w:rsidR="00736DDF" w:rsidRPr="00677B75">
              <w:rPr>
                <w:rFonts w:eastAsia="Times New Roman" w:cstheme="majorBidi"/>
                <w:b/>
                <w:bCs/>
                <w:sz w:val="16"/>
                <w:szCs w:val="16"/>
                <w:lang w:val="en-GB"/>
              </w:rPr>
              <w:t>,000</w:t>
            </w:r>
          </w:p>
        </w:tc>
        <w:tc>
          <w:tcPr>
            <w:tcW w:w="270" w:type="pct"/>
            <w:noWrap/>
            <w:tcMar>
              <w:top w:w="15" w:type="dxa"/>
              <w:left w:w="108" w:type="dxa"/>
              <w:bottom w:w="15" w:type="dxa"/>
              <w:right w:w="108" w:type="dxa"/>
            </w:tcMar>
            <w:vAlign w:val="center"/>
          </w:tcPr>
          <w:p w14:paraId="0E6E7FBD" w14:textId="30508634" w:rsidR="00837146" w:rsidRPr="00677B75" w:rsidRDefault="00A002A5" w:rsidP="00837146">
            <w:pPr>
              <w:jc w:val="right"/>
              <w:rPr>
                <w:rFonts w:cstheme="majorBidi"/>
                <w:b/>
                <w:bCs/>
                <w:color w:val="000000"/>
                <w:sz w:val="16"/>
                <w:szCs w:val="16"/>
                <w:lang w:val="en-GB"/>
              </w:rPr>
            </w:pPr>
            <w:r w:rsidRPr="00677B75">
              <w:rPr>
                <w:rFonts w:cstheme="majorBidi"/>
                <w:b/>
                <w:bCs/>
                <w:color w:val="000000"/>
                <w:sz w:val="16"/>
                <w:szCs w:val="16"/>
                <w:lang w:val="en-GB"/>
              </w:rPr>
              <w:t>50</w:t>
            </w:r>
            <w:r w:rsidR="00B80924" w:rsidRPr="00677B75">
              <w:rPr>
                <w:rFonts w:cstheme="majorBidi"/>
                <w:b/>
                <w:bCs/>
                <w:color w:val="000000"/>
                <w:sz w:val="16"/>
                <w:szCs w:val="16"/>
                <w:lang w:val="en-GB"/>
              </w:rPr>
              <w:t>,000</w:t>
            </w:r>
          </w:p>
        </w:tc>
        <w:tc>
          <w:tcPr>
            <w:tcW w:w="375" w:type="pct"/>
            <w:noWrap/>
            <w:tcMar>
              <w:top w:w="15" w:type="dxa"/>
              <w:left w:w="108" w:type="dxa"/>
              <w:bottom w:w="15" w:type="dxa"/>
              <w:right w:w="108" w:type="dxa"/>
            </w:tcMar>
            <w:vAlign w:val="center"/>
          </w:tcPr>
          <w:p w14:paraId="402726E3" w14:textId="2765FB92" w:rsidR="00837146" w:rsidRPr="00677B75" w:rsidRDefault="00736DDF" w:rsidP="00837146">
            <w:pPr>
              <w:jc w:val="right"/>
              <w:rPr>
                <w:rFonts w:cstheme="majorBidi"/>
                <w:b/>
                <w:bCs/>
                <w:color w:val="000000"/>
                <w:sz w:val="16"/>
                <w:szCs w:val="16"/>
                <w:lang w:val="en-GB"/>
              </w:rPr>
            </w:pPr>
            <w:r w:rsidRPr="00677B75">
              <w:rPr>
                <w:rFonts w:cstheme="majorBidi"/>
                <w:b/>
                <w:bCs/>
                <w:color w:val="000000"/>
                <w:sz w:val="16"/>
                <w:szCs w:val="16"/>
                <w:lang w:val="en-GB"/>
              </w:rPr>
              <w:t>10</w:t>
            </w:r>
            <w:r w:rsidR="00B80924" w:rsidRPr="00677B75">
              <w:rPr>
                <w:rFonts w:cstheme="majorBidi"/>
                <w:b/>
                <w:bCs/>
                <w:color w:val="000000"/>
                <w:sz w:val="16"/>
                <w:szCs w:val="16"/>
                <w:lang w:val="en-GB"/>
              </w:rPr>
              <w:t>0,000</w:t>
            </w:r>
          </w:p>
        </w:tc>
        <w:tc>
          <w:tcPr>
            <w:tcW w:w="281" w:type="pct"/>
            <w:noWrap/>
            <w:tcMar>
              <w:top w:w="15" w:type="dxa"/>
              <w:left w:w="108" w:type="dxa"/>
              <w:bottom w:w="15" w:type="dxa"/>
              <w:right w:w="108" w:type="dxa"/>
            </w:tcMar>
            <w:vAlign w:val="center"/>
          </w:tcPr>
          <w:p w14:paraId="390BB944" w14:textId="0E70D32E" w:rsidR="00837146" w:rsidRPr="00677B75" w:rsidRDefault="00837146" w:rsidP="00837146">
            <w:pPr>
              <w:jc w:val="right"/>
              <w:rPr>
                <w:rFonts w:cstheme="majorBidi"/>
                <w:b/>
                <w:bCs/>
                <w:color w:val="000000"/>
                <w:sz w:val="16"/>
                <w:szCs w:val="16"/>
                <w:lang w:val="en-GB"/>
              </w:rPr>
            </w:pPr>
          </w:p>
        </w:tc>
        <w:tc>
          <w:tcPr>
            <w:tcW w:w="313" w:type="pct"/>
            <w:noWrap/>
            <w:tcMar>
              <w:top w:w="15" w:type="dxa"/>
              <w:left w:w="108" w:type="dxa"/>
              <w:bottom w:w="15" w:type="dxa"/>
              <w:right w:w="108" w:type="dxa"/>
            </w:tcMar>
            <w:vAlign w:val="center"/>
          </w:tcPr>
          <w:p w14:paraId="11CF47A3" w14:textId="07D28A72" w:rsidR="00837146" w:rsidRPr="00677B75" w:rsidRDefault="00837146" w:rsidP="00837146">
            <w:pPr>
              <w:jc w:val="right"/>
              <w:rPr>
                <w:rFonts w:eastAsia="Times New Roman" w:cstheme="majorBidi"/>
                <w:b/>
                <w:bCs/>
                <w:sz w:val="16"/>
                <w:szCs w:val="16"/>
                <w:lang w:val="en-GB"/>
              </w:rPr>
            </w:pPr>
          </w:p>
        </w:tc>
        <w:tc>
          <w:tcPr>
            <w:tcW w:w="440" w:type="pct"/>
            <w:noWrap/>
            <w:tcMar>
              <w:top w:w="15" w:type="dxa"/>
              <w:left w:w="108" w:type="dxa"/>
              <w:bottom w:w="15" w:type="dxa"/>
              <w:right w:w="108" w:type="dxa"/>
            </w:tcMar>
            <w:vAlign w:val="center"/>
          </w:tcPr>
          <w:p w14:paraId="57FBFB33" w14:textId="19623599" w:rsidR="00837146" w:rsidRPr="00677B75" w:rsidRDefault="00837146"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78E0BC33" w14:textId="0E74AE7A" w:rsidR="00837146" w:rsidRPr="00677B75" w:rsidRDefault="000348DE" w:rsidP="00837146">
            <w:pPr>
              <w:jc w:val="right"/>
              <w:rPr>
                <w:rFonts w:eastAsia="Times New Roman" w:cstheme="majorBidi"/>
                <w:b/>
                <w:bCs/>
                <w:sz w:val="16"/>
                <w:szCs w:val="16"/>
                <w:lang w:val="en-GB"/>
              </w:rPr>
            </w:pPr>
            <w:r w:rsidRPr="00677B75">
              <w:rPr>
                <w:rFonts w:eastAsia="Times New Roman" w:cstheme="majorBidi"/>
                <w:b/>
                <w:bCs/>
                <w:sz w:val="16"/>
                <w:szCs w:val="16"/>
                <w:lang w:val="en-GB"/>
              </w:rPr>
              <w:t>50</w:t>
            </w:r>
            <w:r w:rsidR="003F7124" w:rsidRPr="00677B75">
              <w:rPr>
                <w:rFonts w:eastAsia="Times New Roman" w:cstheme="majorBidi"/>
                <w:b/>
                <w:bCs/>
                <w:sz w:val="16"/>
                <w:szCs w:val="16"/>
                <w:lang w:val="en-GB"/>
              </w:rPr>
              <w:t>,000</w:t>
            </w:r>
          </w:p>
        </w:tc>
        <w:tc>
          <w:tcPr>
            <w:tcW w:w="270" w:type="pct"/>
            <w:noWrap/>
            <w:tcMar>
              <w:top w:w="15" w:type="dxa"/>
              <w:left w:w="108" w:type="dxa"/>
              <w:bottom w:w="15" w:type="dxa"/>
              <w:right w:w="108" w:type="dxa"/>
            </w:tcMar>
            <w:vAlign w:val="center"/>
          </w:tcPr>
          <w:p w14:paraId="60A0E736" w14:textId="6B08FCE0" w:rsidR="00837146" w:rsidRPr="00677B75" w:rsidRDefault="000348DE" w:rsidP="00837146">
            <w:pPr>
              <w:jc w:val="right"/>
              <w:rPr>
                <w:rFonts w:eastAsia="Times New Roman" w:cstheme="majorBidi"/>
                <w:b/>
                <w:bCs/>
                <w:sz w:val="16"/>
                <w:szCs w:val="16"/>
                <w:highlight w:val="yellow"/>
                <w:lang w:val="en-GB"/>
              </w:rPr>
            </w:pPr>
            <w:r w:rsidRPr="00677B75">
              <w:rPr>
                <w:rFonts w:cstheme="majorBidi"/>
                <w:b/>
                <w:bCs/>
                <w:color w:val="000000"/>
                <w:sz w:val="16"/>
                <w:szCs w:val="16"/>
                <w:lang w:val="en-GB"/>
              </w:rPr>
              <w:t>50</w:t>
            </w:r>
            <w:r w:rsidR="00B80924" w:rsidRPr="00677B75">
              <w:rPr>
                <w:rFonts w:cstheme="majorBidi"/>
                <w:b/>
                <w:bCs/>
                <w:color w:val="000000"/>
                <w:sz w:val="16"/>
                <w:szCs w:val="16"/>
                <w:lang w:val="en-GB"/>
              </w:rPr>
              <w:t>,000</w:t>
            </w:r>
          </w:p>
        </w:tc>
        <w:tc>
          <w:tcPr>
            <w:tcW w:w="437" w:type="pct"/>
            <w:noWrap/>
            <w:tcMar>
              <w:top w:w="15" w:type="dxa"/>
              <w:left w:w="108" w:type="dxa"/>
              <w:bottom w:w="15" w:type="dxa"/>
              <w:right w:w="108" w:type="dxa"/>
            </w:tcMar>
            <w:vAlign w:val="center"/>
          </w:tcPr>
          <w:p w14:paraId="17D2F808" w14:textId="3E39A78F" w:rsidR="00837146" w:rsidRPr="00677B75" w:rsidRDefault="003F7124" w:rsidP="00837146">
            <w:pPr>
              <w:jc w:val="right"/>
              <w:rPr>
                <w:rFonts w:eastAsia="Times New Roman" w:cstheme="majorBidi"/>
                <w:b/>
                <w:bCs/>
                <w:sz w:val="16"/>
                <w:szCs w:val="16"/>
                <w:highlight w:val="yellow"/>
                <w:lang w:val="en-GB"/>
              </w:rPr>
            </w:pPr>
            <w:r w:rsidRPr="00677B75">
              <w:rPr>
                <w:rFonts w:cstheme="majorBidi"/>
                <w:b/>
                <w:bCs/>
                <w:color w:val="000000"/>
                <w:sz w:val="16"/>
                <w:szCs w:val="16"/>
                <w:lang w:val="en-GB"/>
              </w:rPr>
              <w:t>10</w:t>
            </w:r>
            <w:r w:rsidR="00B80924" w:rsidRPr="00677B75">
              <w:rPr>
                <w:rFonts w:cstheme="majorBidi"/>
                <w:b/>
                <w:bCs/>
                <w:color w:val="000000"/>
                <w:sz w:val="16"/>
                <w:szCs w:val="16"/>
                <w:lang w:val="en-GB"/>
              </w:rPr>
              <w:t>0,000</w:t>
            </w:r>
          </w:p>
        </w:tc>
      </w:tr>
      <w:tr w:rsidR="000348DE" w:rsidRPr="00677B75" w14:paraId="33CC6389" w14:textId="77777777" w:rsidTr="00BD36F8">
        <w:trPr>
          <w:trHeight w:val="296"/>
        </w:trPr>
        <w:tc>
          <w:tcPr>
            <w:tcW w:w="1081" w:type="pct"/>
            <w:noWrap/>
            <w:tcMar>
              <w:top w:w="15" w:type="dxa"/>
              <w:left w:w="108" w:type="dxa"/>
              <w:bottom w:w="15" w:type="dxa"/>
              <w:right w:w="108" w:type="dxa"/>
            </w:tcMar>
            <w:vAlign w:val="center"/>
          </w:tcPr>
          <w:p w14:paraId="3663BB90" w14:textId="140727CB" w:rsidR="007C4878" w:rsidRPr="00677B75" w:rsidRDefault="00E17B1E" w:rsidP="00837146">
            <w:pPr>
              <w:jc w:val="right"/>
              <w:rPr>
                <w:rFonts w:cstheme="majorBidi"/>
                <w:b/>
                <w:bCs/>
                <w:color w:val="000000"/>
                <w:sz w:val="16"/>
                <w:szCs w:val="16"/>
                <w:lang w:val="en-GB"/>
              </w:rPr>
            </w:pPr>
            <w:r w:rsidRPr="00677B75">
              <w:rPr>
                <w:rFonts w:cstheme="majorBidi"/>
                <w:b/>
                <w:bCs/>
                <w:color w:val="000000"/>
                <w:sz w:val="16"/>
                <w:szCs w:val="16"/>
                <w:lang w:val="en-GB"/>
              </w:rPr>
              <w:t>12.2. Cooperation within the chemicals and waste cluster</w:t>
            </w:r>
          </w:p>
        </w:tc>
        <w:tc>
          <w:tcPr>
            <w:tcW w:w="328" w:type="pct"/>
            <w:noWrap/>
            <w:tcMar>
              <w:top w:w="15" w:type="dxa"/>
              <w:left w:w="108" w:type="dxa"/>
              <w:bottom w:w="15" w:type="dxa"/>
              <w:right w:w="108" w:type="dxa"/>
            </w:tcMar>
            <w:vAlign w:val="center"/>
          </w:tcPr>
          <w:p w14:paraId="2B1F4434" w14:textId="77777777" w:rsidR="007C4878" w:rsidRPr="00677B75" w:rsidRDefault="007C4878" w:rsidP="00837146">
            <w:pPr>
              <w:jc w:val="right"/>
              <w:rPr>
                <w:rFonts w:cstheme="majorBidi"/>
                <w:b/>
                <w:bCs/>
                <w:color w:val="000000"/>
                <w:sz w:val="16"/>
                <w:szCs w:val="16"/>
                <w:lang w:val="en-GB"/>
              </w:rPr>
            </w:pPr>
          </w:p>
        </w:tc>
        <w:tc>
          <w:tcPr>
            <w:tcW w:w="281" w:type="pct"/>
            <w:noWrap/>
            <w:tcMar>
              <w:top w:w="15" w:type="dxa"/>
              <w:left w:w="108" w:type="dxa"/>
              <w:bottom w:w="15" w:type="dxa"/>
              <w:right w:w="108" w:type="dxa"/>
            </w:tcMar>
            <w:vAlign w:val="center"/>
          </w:tcPr>
          <w:p w14:paraId="69883DE7" w14:textId="77777777" w:rsidR="007C4878" w:rsidRPr="00677B75" w:rsidRDefault="007C4878" w:rsidP="00837146">
            <w:pPr>
              <w:jc w:val="right"/>
              <w:rPr>
                <w:rFonts w:eastAsia="Times New Roman" w:cstheme="majorBidi"/>
                <w:b/>
                <w:bCs/>
                <w:sz w:val="16"/>
                <w:szCs w:val="16"/>
                <w:lang w:val="en-GB"/>
              </w:rPr>
            </w:pPr>
          </w:p>
        </w:tc>
        <w:tc>
          <w:tcPr>
            <w:tcW w:w="375" w:type="pct"/>
            <w:noWrap/>
            <w:tcMar>
              <w:top w:w="15" w:type="dxa"/>
              <w:left w:w="108" w:type="dxa"/>
              <w:bottom w:w="15" w:type="dxa"/>
              <w:right w:w="108" w:type="dxa"/>
            </w:tcMar>
            <w:vAlign w:val="center"/>
          </w:tcPr>
          <w:p w14:paraId="2ABBBDE8" w14:textId="77777777" w:rsidR="007C4878" w:rsidRPr="00677B75" w:rsidRDefault="007C4878" w:rsidP="00837146">
            <w:pPr>
              <w:jc w:val="right"/>
              <w:rPr>
                <w:rFonts w:eastAsia="Times New Roman" w:cstheme="majorBidi"/>
                <w:b/>
                <w:bCs/>
                <w:sz w:val="16"/>
                <w:szCs w:val="16"/>
                <w:lang w:val="en-GB"/>
              </w:rPr>
            </w:pPr>
          </w:p>
        </w:tc>
        <w:tc>
          <w:tcPr>
            <w:tcW w:w="281" w:type="pct"/>
            <w:noWrap/>
            <w:tcMar>
              <w:top w:w="15" w:type="dxa"/>
              <w:left w:w="108" w:type="dxa"/>
              <w:bottom w:w="15" w:type="dxa"/>
              <w:right w:w="108" w:type="dxa"/>
            </w:tcMar>
            <w:vAlign w:val="center"/>
          </w:tcPr>
          <w:p w14:paraId="7F7131D6" w14:textId="77777777" w:rsidR="007C4878" w:rsidRPr="00677B75" w:rsidRDefault="007C4878"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3491E6AA" w14:textId="77777777" w:rsidR="007C4878" w:rsidRPr="00677B75" w:rsidRDefault="007C4878" w:rsidP="00837146">
            <w:pPr>
              <w:jc w:val="right"/>
              <w:rPr>
                <w:rFonts w:cstheme="majorBidi"/>
                <w:b/>
                <w:bCs/>
                <w:color w:val="000000"/>
                <w:sz w:val="16"/>
                <w:szCs w:val="16"/>
                <w:lang w:val="en-GB"/>
              </w:rPr>
            </w:pPr>
          </w:p>
        </w:tc>
        <w:tc>
          <w:tcPr>
            <w:tcW w:w="375" w:type="pct"/>
            <w:noWrap/>
            <w:tcMar>
              <w:top w:w="15" w:type="dxa"/>
              <w:left w:w="108" w:type="dxa"/>
              <w:bottom w:w="15" w:type="dxa"/>
              <w:right w:w="108" w:type="dxa"/>
            </w:tcMar>
            <w:vAlign w:val="center"/>
          </w:tcPr>
          <w:p w14:paraId="5C4ACE6A" w14:textId="77777777" w:rsidR="007C4878" w:rsidRPr="00677B75" w:rsidRDefault="007C4878" w:rsidP="00837146">
            <w:pPr>
              <w:jc w:val="right"/>
              <w:rPr>
                <w:rFonts w:cstheme="majorBidi"/>
                <w:b/>
                <w:bCs/>
                <w:color w:val="000000"/>
                <w:sz w:val="16"/>
                <w:szCs w:val="16"/>
                <w:lang w:val="en-GB"/>
              </w:rPr>
            </w:pPr>
          </w:p>
        </w:tc>
        <w:tc>
          <w:tcPr>
            <w:tcW w:w="281" w:type="pct"/>
            <w:noWrap/>
            <w:tcMar>
              <w:top w:w="15" w:type="dxa"/>
              <w:left w:w="108" w:type="dxa"/>
              <w:bottom w:w="15" w:type="dxa"/>
              <w:right w:w="108" w:type="dxa"/>
            </w:tcMar>
            <w:vAlign w:val="center"/>
          </w:tcPr>
          <w:p w14:paraId="3CDD9D5D" w14:textId="77777777" w:rsidR="007C4878" w:rsidRPr="00677B75" w:rsidRDefault="007C4878" w:rsidP="00837146">
            <w:pPr>
              <w:jc w:val="right"/>
              <w:rPr>
                <w:rFonts w:cstheme="majorBidi"/>
                <w:b/>
                <w:bCs/>
                <w:color w:val="000000"/>
                <w:sz w:val="16"/>
                <w:szCs w:val="16"/>
                <w:lang w:val="en-GB"/>
              </w:rPr>
            </w:pPr>
          </w:p>
        </w:tc>
        <w:tc>
          <w:tcPr>
            <w:tcW w:w="313" w:type="pct"/>
            <w:noWrap/>
            <w:tcMar>
              <w:top w:w="15" w:type="dxa"/>
              <w:left w:w="108" w:type="dxa"/>
              <w:bottom w:w="15" w:type="dxa"/>
              <w:right w:w="108" w:type="dxa"/>
            </w:tcMar>
            <w:vAlign w:val="center"/>
          </w:tcPr>
          <w:p w14:paraId="1CEABEFF" w14:textId="77777777" w:rsidR="007C4878" w:rsidRPr="00677B75" w:rsidRDefault="007C4878" w:rsidP="00837146">
            <w:pPr>
              <w:jc w:val="right"/>
              <w:rPr>
                <w:rFonts w:eastAsia="Times New Roman" w:cstheme="majorBidi"/>
                <w:b/>
                <w:bCs/>
                <w:sz w:val="16"/>
                <w:szCs w:val="16"/>
                <w:lang w:val="en-GB"/>
              </w:rPr>
            </w:pPr>
          </w:p>
        </w:tc>
        <w:tc>
          <w:tcPr>
            <w:tcW w:w="440" w:type="pct"/>
            <w:noWrap/>
            <w:tcMar>
              <w:top w:w="15" w:type="dxa"/>
              <w:left w:w="108" w:type="dxa"/>
              <w:bottom w:w="15" w:type="dxa"/>
              <w:right w:w="108" w:type="dxa"/>
            </w:tcMar>
            <w:vAlign w:val="center"/>
          </w:tcPr>
          <w:p w14:paraId="74ADF7AD" w14:textId="77777777" w:rsidR="007C4878" w:rsidRPr="00677B75" w:rsidRDefault="007C4878"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5103AD25" w14:textId="77777777" w:rsidR="007C4878" w:rsidRPr="00677B75" w:rsidRDefault="007C4878"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151643AE" w14:textId="77777777" w:rsidR="007C4878" w:rsidRPr="00677B75" w:rsidRDefault="007C4878" w:rsidP="00837146">
            <w:pPr>
              <w:jc w:val="right"/>
              <w:rPr>
                <w:rFonts w:cstheme="majorBidi"/>
                <w:b/>
                <w:bCs/>
                <w:color w:val="000000"/>
                <w:sz w:val="16"/>
                <w:szCs w:val="16"/>
                <w:lang w:val="en-GB"/>
              </w:rPr>
            </w:pPr>
          </w:p>
        </w:tc>
        <w:tc>
          <w:tcPr>
            <w:tcW w:w="437" w:type="pct"/>
            <w:noWrap/>
            <w:tcMar>
              <w:top w:w="15" w:type="dxa"/>
              <w:left w:w="108" w:type="dxa"/>
              <w:bottom w:w="15" w:type="dxa"/>
              <w:right w:w="108" w:type="dxa"/>
            </w:tcMar>
            <w:vAlign w:val="center"/>
          </w:tcPr>
          <w:p w14:paraId="122F1885" w14:textId="77777777" w:rsidR="007C4878" w:rsidRPr="00677B75" w:rsidRDefault="007C4878" w:rsidP="00837146">
            <w:pPr>
              <w:jc w:val="right"/>
              <w:rPr>
                <w:rFonts w:cstheme="majorBidi"/>
                <w:b/>
                <w:bCs/>
                <w:color w:val="000000"/>
                <w:sz w:val="16"/>
                <w:szCs w:val="16"/>
                <w:lang w:val="en-GB"/>
              </w:rPr>
            </w:pPr>
          </w:p>
        </w:tc>
      </w:tr>
      <w:tr w:rsidR="000348DE" w:rsidRPr="00677B75" w14:paraId="614BA8D1" w14:textId="77777777" w:rsidTr="00BD36F8">
        <w:trPr>
          <w:trHeight w:val="296"/>
        </w:trPr>
        <w:tc>
          <w:tcPr>
            <w:tcW w:w="1081" w:type="pct"/>
            <w:noWrap/>
            <w:tcMar>
              <w:top w:w="15" w:type="dxa"/>
              <w:left w:w="108" w:type="dxa"/>
              <w:bottom w:w="15" w:type="dxa"/>
              <w:right w:w="108" w:type="dxa"/>
            </w:tcMar>
            <w:vAlign w:val="center"/>
          </w:tcPr>
          <w:p w14:paraId="4D2A3938" w14:textId="760ACBED" w:rsidR="007C4878" w:rsidRPr="00677B75" w:rsidRDefault="00E17B1E" w:rsidP="002A243F">
            <w:pPr>
              <w:jc w:val="left"/>
              <w:rPr>
                <w:rFonts w:cstheme="majorBidi"/>
                <w:b/>
                <w:bCs/>
                <w:color w:val="000000"/>
                <w:sz w:val="16"/>
                <w:szCs w:val="16"/>
                <w:lang w:val="en-GB"/>
              </w:rPr>
            </w:pPr>
            <w:r w:rsidRPr="00677B75">
              <w:rPr>
                <w:rFonts w:cstheme="majorBidi"/>
                <w:b/>
                <w:bCs/>
                <w:color w:val="000000"/>
                <w:sz w:val="16"/>
                <w:szCs w:val="16"/>
                <w:lang w:val="en-GB"/>
              </w:rPr>
              <w:t>12.3. Other cooperation and coordination</w:t>
            </w:r>
          </w:p>
        </w:tc>
        <w:tc>
          <w:tcPr>
            <w:tcW w:w="328" w:type="pct"/>
            <w:noWrap/>
            <w:tcMar>
              <w:top w:w="15" w:type="dxa"/>
              <w:left w:w="108" w:type="dxa"/>
              <w:bottom w:w="15" w:type="dxa"/>
              <w:right w:w="108" w:type="dxa"/>
            </w:tcMar>
            <w:vAlign w:val="center"/>
          </w:tcPr>
          <w:p w14:paraId="67E1E9E4" w14:textId="77777777" w:rsidR="007C4878" w:rsidRPr="00677B75" w:rsidRDefault="007C4878" w:rsidP="00837146">
            <w:pPr>
              <w:jc w:val="right"/>
              <w:rPr>
                <w:rFonts w:cstheme="majorBidi"/>
                <w:b/>
                <w:bCs/>
                <w:color w:val="000000"/>
                <w:sz w:val="16"/>
                <w:szCs w:val="16"/>
                <w:lang w:val="en-GB"/>
              </w:rPr>
            </w:pPr>
          </w:p>
        </w:tc>
        <w:tc>
          <w:tcPr>
            <w:tcW w:w="281" w:type="pct"/>
            <w:noWrap/>
            <w:tcMar>
              <w:top w:w="15" w:type="dxa"/>
              <w:left w:w="108" w:type="dxa"/>
              <w:bottom w:w="15" w:type="dxa"/>
              <w:right w:w="108" w:type="dxa"/>
            </w:tcMar>
            <w:vAlign w:val="center"/>
          </w:tcPr>
          <w:p w14:paraId="60D6B3C8" w14:textId="77777777" w:rsidR="007C4878" w:rsidRPr="00677B75" w:rsidRDefault="007C4878" w:rsidP="00837146">
            <w:pPr>
              <w:jc w:val="right"/>
              <w:rPr>
                <w:rFonts w:eastAsia="Times New Roman" w:cstheme="majorBidi"/>
                <w:b/>
                <w:bCs/>
                <w:sz w:val="16"/>
                <w:szCs w:val="16"/>
                <w:lang w:val="en-GB"/>
              </w:rPr>
            </w:pPr>
          </w:p>
        </w:tc>
        <w:tc>
          <w:tcPr>
            <w:tcW w:w="375" w:type="pct"/>
            <w:noWrap/>
            <w:tcMar>
              <w:top w:w="15" w:type="dxa"/>
              <w:left w:w="108" w:type="dxa"/>
              <w:bottom w:w="15" w:type="dxa"/>
              <w:right w:w="108" w:type="dxa"/>
            </w:tcMar>
            <w:vAlign w:val="center"/>
          </w:tcPr>
          <w:p w14:paraId="27BBE556" w14:textId="77777777" w:rsidR="007C4878" w:rsidRPr="00677B75" w:rsidRDefault="007C4878" w:rsidP="00837146">
            <w:pPr>
              <w:jc w:val="right"/>
              <w:rPr>
                <w:rFonts w:eastAsia="Times New Roman" w:cstheme="majorBidi"/>
                <w:b/>
                <w:bCs/>
                <w:sz w:val="16"/>
                <w:szCs w:val="16"/>
                <w:lang w:val="en-GB"/>
              </w:rPr>
            </w:pPr>
          </w:p>
        </w:tc>
        <w:tc>
          <w:tcPr>
            <w:tcW w:w="281" w:type="pct"/>
            <w:noWrap/>
            <w:tcMar>
              <w:top w:w="15" w:type="dxa"/>
              <w:left w:w="108" w:type="dxa"/>
              <w:bottom w:w="15" w:type="dxa"/>
              <w:right w:w="108" w:type="dxa"/>
            </w:tcMar>
            <w:vAlign w:val="center"/>
          </w:tcPr>
          <w:p w14:paraId="6E59DA5F" w14:textId="77777777" w:rsidR="007C4878" w:rsidRPr="00677B75" w:rsidRDefault="007C4878"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081B6F51" w14:textId="77777777" w:rsidR="007C4878" w:rsidRPr="00677B75" w:rsidRDefault="007C4878" w:rsidP="00837146">
            <w:pPr>
              <w:jc w:val="right"/>
              <w:rPr>
                <w:rFonts w:cstheme="majorBidi"/>
                <w:b/>
                <w:bCs/>
                <w:color w:val="000000"/>
                <w:sz w:val="16"/>
                <w:szCs w:val="16"/>
                <w:lang w:val="en-GB"/>
              </w:rPr>
            </w:pPr>
          </w:p>
        </w:tc>
        <w:tc>
          <w:tcPr>
            <w:tcW w:w="375" w:type="pct"/>
            <w:noWrap/>
            <w:tcMar>
              <w:top w:w="15" w:type="dxa"/>
              <w:left w:w="108" w:type="dxa"/>
              <w:bottom w:w="15" w:type="dxa"/>
              <w:right w:w="108" w:type="dxa"/>
            </w:tcMar>
            <w:vAlign w:val="center"/>
          </w:tcPr>
          <w:p w14:paraId="1F8A3332" w14:textId="77777777" w:rsidR="007C4878" w:rsidRPr="00677B75" w:rsidRDefault="007C4878" w:rsidP="00837146">
            <w:pPr>
              <w:jc w:val="right"/>
              <w:rPr>
                <w:rFonts w:cstheme="majorBidi"/>
                <w:b/>
                <w:bCs/>
                <w:color w:val="000000"/>
                <w:sz w:val="16"/>
                <w:szCs w:val="16"/>
                <w:lang w:val="en-GB"/>
              </w:rPr>
            </w:pPr>
          </w:p>
        </w:tc>
        <w:tc>
          <w:tcPr>
            <w:tcW w:w="281" w:type="pct"/>
            <w:noWrap/>
            <w:tcMar>
              <w:top w:w="15" w:type="dxa"/>
              <w:left w:w="108" w:type="dxa"/>
              <w:bottom w:w="15" w:type="dxa"/>
              <w:right w:w="108" w:type="dxa"/>
            </w:tcMar>
            <w:vAlign w:val="center"/>
          </w:tcPr>
          <w:p w14:paraId="13DAC48E" w14:textId="77777777" w:rsidR="007C4878" w:rsidRPr="00677B75" w:rsidRDefault="007C4878" w:rsidP="00837146">
            <w:pPr>
              <w:jc w:val="right"/>
              <w:rPr>
                <w:rFonts w:cstheme="majorBidi"/>
                <w:b/>
                <w:bCs/>
                <w:color w:val="000000"/>
                <w:sz w:val="16"/>
                <w:szCs w:val="16"/>
                <w:lang w:val="en-GB"/>
              </w:rPr>
            </w:pPr>
          </w:p>
        </w:tc>
        <w:tc>
          <w:tcPr>
            <w:tcW w:w="313" w:type="pct"/>
            <w:noWrap/>
            <w:tcMar>
              <w:top w:w="15" w:type="dxa"/>
              <w:left w:w="108" w:type="dxa"/>
              <w:bottom w:w="15" w:type="dxa"/>
              <w:right w:w="108" w:type="dxa"/>
            </w:tcMar>
            <w:vAlign w:val="center"/>
          </w:tcPr>
          <w:p w14:paraId="4AB348B0" w14:textId="77777777" w:rsidR="007C4878" w:rsidRPr="00677B75" w:rsidRDefault="007C4878" w:rsidP="00837146">
            <w:pPr>
              <w:jc w:val="right"/>
              <w:rPr>
                <w:rFonts w:eastAsia="Times New Roman" w:cstheme="majorBidi"/>
                <w:b/>
                <w:bCs/>
                <w:sz w:val="16"/>
                <w:szCs w:val="16"/>
                <w:lang w:val="en-GB"/>
              </w:rPr>
            </w:pPr>
          </w:p>
        </w:tc>
        <w:tc>
          <w:tcPr>
            <w:tcW w:w="440" w:type="pct"/>
            <w:noWrap/>
            <w:tcMar>
              <w:top w:w="15" w:type="dxa"/>
              <w:left w:w="108" w:type="dxa"/>
              <w:bottom w:w="15" w:type="dxa"/>
              <w:right w:w="108" w:type="dxa"/>
            </w:tcMar>
            <w:vAlign w:val="center"/>
          </w:tcPr>
          <w:p w14:paraId="5AF85E41" w14:textId="77777777" w:rsidR="007C4878" w:rsidRPr="00677B75" w:rsidRDefault="007C4878"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0544C70C" w14:textId="77777777" w:rsidR="007C4878" w:rsidRPr="00677B75" w:rsidRDefault="007C4878" w:rsidP="00837146">
            <w:pPr>
              <w:jc w:val="right"/>
              <w:rPr>
                <w:rFonts w:eastAsia="Times New Roman" w:cstheme="majorBidi"/>
                <w:b/>
                <w:bCs/>
                <w:sz w:val="16"/>
                <w:szCs w:val="16"/>
                <w:lang w:val="en-GB"/>
              </w:rPr>
            </w:pPr>
          </w:p>
        </w:tc>
        <w:tc>
          <w:tcPr>
            <w:tcW w:w="270" w:type="pct"/>
            <w:noWrap/>
            <w:tcMar>
              <w:top w:w="15" w:type="dxa"/>
              <w:left w:w="108" w:type="dxa"/>
              <w:bottom w:w="15" w:type="dxa"/>
              <w:right w:w="108" w:type="dxa"/>
            </w:tcMar>
            <w:vAlign w:val="center"/>
          </w:tcPr>
          <w:p w14:paraId="3A94CC42" w14:textId="77777777" w:rsidR="007C4878" w:rsidRPr="00677B75" w:rsidRDefault="007C4878" w:rsidP="00837146">
            <w:pPr>
              <w:jc w:val="right"/>
              <w:rPr>
                <w:rFonts w:cstheme="majorBidi"/>
                <w:b/>
                <w:bCs/>
                <w:color w:val="000000"/>
                <w:sz w:val="16"/>
                <w:szCs w:val="16"/>
                <w:lang w:val="en-GB"/>
              </w:rPr>
            </w:pPr>
          </w:p>
        </w:tc>
        <w:tc>
          <w:tcPr>
            <w:tcW w:w="437" w:type="pct"/>
            <w:noWrap/>
            <w:tcMar>
              <w:top w:w="15" w:type="dxa"/>
              <w:left w:w="108" w:type="dxa"/>
              <w:bottom w:w="15" w:type="dxa"/>
              <w:right w:w="108" w:type="dxa"/>
            </w:tcMar>
            <w:vAlign w:val="center"/>
          </w:tcPr>
          <w:p w14:paraId="796CE2F4" w14:textId="77777777" w:rsidR="007C4878" w:rsidRPr="00677B75" w:rsidRDefault="007C4878" w:rsidP="00837146">
            <w:pPr>
              <w:jc w:val="right"/>
              <w:rPr>
                <w:rFonts w:cstheme="majorBidi"/>
                <w:b/>
                <w:bCs/>
                <w:color w:val="000000"/>
                <w:sz w:val="16"/>
                <w:szCs w:val="16"/>
                <w:lang w:val="en-GB"/>
              </w:rPr>
            </w:pPr>
          </w:p>
        </w:tc>
      </w:tr>
      <w:tr w:rsidR="00A002A5" w:rsidRPr="00677B75" w14:paraId="4A294833" w14:textId="77777777" w:rsidTr="00BD36F8">
        <w:trPr>
          <w:trHeight w:val="382"/>
        </w:trPr>
        <w:tc>
          <w:tcPr>
            <w:tcW w:w="1081" w:type="pct"/>
            <w:noWrap/>
            <w:tcMar>
              <w:top w:w="15" w:type="dxa"/>
              <w:left w:w="108" w:type="dxa"/>
              <w:bottom w:w="15" w:type="dxa"/>
              <w:right w:w="108" w:type="dxa"/>
            </w:tcMar>
            <w:vAlign w:val="center"/>
            <w:hideMark/>
          </w:tcPr>
          <w:p w14:paraId="00A93D81" w14:textId="77777777" w:rsidR="00837146" w:rsidRPr="00677B75" w:rsidRDefault="00837146" w:rsidP="00837146">
            <w:pPr>
              <w:rPr>
                <w:rFonts w:cstheme="majorBidi"/>
                <w:b/>
                <w:bCs/>
                <w:color w:val="000000"/>
                <w:sz w:val="16"/>
                <w:szCs w:val="16"/>
                <w:lang w:val="en-GB"/>
              </w:rPr>
            </w:pPr>
            <w:r w:rsidRPr="00677B75">
              <w:rPr>
                <w:rFonts w:cstheme="majorBidi"/>
                <w:b/>
                <w:bCs/>
                <w:color w:val="000000"/>
                <w:sz w:val="16"/>
                <w:szCs w:val="16"/>
                <w:lang w:val="en-GB"/>
              </w:rPr>
              <w:t xml:space="preserve">Grand Total </w:t>
            </w:r>
          </w:p>
        </w:tc>
        <w:tc>
          <w:tcPr>
            <w:tcW w:w="328" w:type="pct"/>
            <w:noWrap/>
            <w:tcMar>
              <w:top w:w="15" w:type="dxa"/>
              <w:left w:w="108" w:type="dxa"/>
              <w:bottom w:w="15" w:type="dxa"/>
              <w:right w:w="108" w:type="dxa"/>
            </w:tcMar>
            <w:vAlign w:val="center"/>
          </w:tcPr>
          <w:p w14:paraId="77A93C80" w14:textId="44DDDD95" w:rsidR="00837146" w:rsidRPr="00677B75" w:rsidRDefault="00837146" w:rsidP="00837146">
            <w:pPr>
              <w:jc w:val="right"/>
              <w:rPr>
                <w:rFonts w:cstheme="majorBidi"/>
                <w:b/>
                <w:bCs/>
                <w:color w:val="000000"/>
                <w:sz w:val="16"/>
                <w:szCs w:val="16"/>
                <w:lang w:val="en-GB"/>
              </w:rPr>
            </w:pPr>
          </w:p>
        </w:tc>
        <w:tc>
          <w:tcPr>
            <w:tcW w:w="281" w:type="pct"/>
            <w:noWrap/>
            <w:tcMar>
              <w:top w:w="15" w:type="dxa"/>
              <w:left w:w="108" w:type="dxa"/>
              <w:bottom w:w="15" w:type="dxa"/>
              <w:right w:w="108" w:type="dxa"/>
            </w:tcMar>
            <w:vAlign w:val="center"/>
          </w:tcPr>
          <w:p w14:paraId="3282F503" w14:textId="11D2FEA3" w:rsidR="00837146" w:rsidRPr="00677B75" w:rsidRDefault="00837146" w:rsidP="00837146">
            <w:pPr>
              <w:jc w:val="right"/>
              <w:rPr>
                <w:rFonts w:cstheme="majorBidi"/>
                <w:b/>
                <w:bCs/>
                <w:color w:val="000000"/>
                <w:sz w:val="16"/>
                <w:szCs w:val="16"/>
                <w:lang w:val="en-GB"/>
              </w:rPr>
            </w:pPr>
          </w:p>
        </w:tc>
        <w:tc>
          <w:tcPr>
            <w:tcW w:w="375" w:type="pct"/>
            <w:noWrap/>
            <w:tcMar>
              <w:top w:w="15" w:type="dxa"/>
              <w:left w:w="108" w:type="dxa"/>
              <w:bottom w:w="15" w:type="dxa"/>
              <w:right w:w="108" w:type="dxa"/>
            </w:tcMar>
            <w:vAlign w:val="center"/>
          </w:tcPr>
          <w:p w14:paraId="64FE3281" w14:textId="0E8A85A8" w:rsidR="00837146" w:rsidRPr="00677B75" w:rsidRDefault="00837146" w:rsidP="00837146">
            <w:pPr>
              <w:jc w:val="right"/>
              <w:rPr>
                <w:rFonts w:cstheme="majorBidi"/>
                <w:b/>
                <w:bCs/>
                <w:color w:val="000000"/>
                <w:sz w:val="16"/>
                <w:szCs w:val="16"/>
                <w:lang w:val="en-GB"/>
              </w:rPr>
            </w:pPr>
          </w:p>
        </w:tc>
        <w:tc>
          <w:tcPr>
            <w:tcW w:w="281" w:type="pct"/>
            <w:noWrap/>
            <w:tcMar>
              <w:top w:w="15" w:type="dxa"/>
              <w:left w:w="108" w:type="dxa"/>
              <w:bottom w:w="15" w:type="dxa"/>
              <w:right w:w="108" w:type="dxa"/>
            </w:tcMar>
            <w:vAlign w:val="center"/>
          </w:tcPr>
          <w:p w14:paraId="06E46478" w14:textId="7C38A4EA" w:rsidR="00837146" w:rsidRPr="00677B75" w:rsidRDefault="000348DE" w:rsidP="00837146">
            <w:pPr>
              <w:jc w:val="right"/>
              <w:rPr>
                <w:rFonts w:cstheme="majorBidi"/>
                <w:b/>
                <w:bCs/>
                <w:color w:val="000000"/>
                <w:sz w:val="16"/>
                <w:szCs w:val="16"/>
                <w:lang w:val="en-GB"/>
              </w:rPr>
            </w:pPr>
            <w:r w:rsidRPr="00677B75">
              <w:rPr>
                <w:rFonts w:cstheme="majorBidi"/>
                <w:b/>
                <w:bCs/>
                <w:color w:val="000000"/>
                <w:sz w:val="16"/>
                <w:szCs w:val="16"/>
                <w:lang w:val="en-GB"/>
              </w:rPr>
              <w:t>50</w:t>
            </w:r>
            <w:r w:rsidR="00736DDF" w:rsidRPr="00677B75">
              <w:rPr>
                <w:rFonts w:cstheme="majorBidi"/>
                <w:b/>
                <w:bCs/>
                <w:color w:val="000000"/>
                <w:sz w:val="16"/>
                <w:szCs w:val="16"/>
                <w:lang w:val="en-GB"/>
              </w:rPr>
              <w:t>,000</w:t>
            </w:r>
          </w:p>
        </w:tc>
        <w:tc>
          <w:tcPr>
            <w:tcW w:w="270" w:type="pct"/>
            <w:noWrap/>
            <w:tcMar>
              <w:top w:w="15" w:type="dxa"/>
              <w:left w:w="108" w:type="dxa"/>
              <w:bottom w:w="15" w:type="dxa"/>
              <w:right w:w="108" w:type="dxa"/>
            </w:tcMar>
            <w:vAlign w:val="center"/>
          </w:tcPr>
          <w:p w14:paraId="02EF0EC3" w14:textId="0B8B312E" w:rsidR="00837146" w:rsidRPr="00677B75" w:rsidRDefault="000348DE" w:rsidP="00837146">
            <w:pPr>
              <w:jc w:val="right"/>
              <w:rPr>
                <w:rFonts w:cstheme="majorBidi"/>
                <w:b/>
                <w:bCs/>
                <w:color w:val="000000"/>
                <w:sz w:val="16"/>
                <w:szCs w:val="16"/>
                <w:lang w:val="en-GB"/>
              </w:rPr>
            </w:pPr>
            <w:r w:rsidRPr="00677B75">
              <w:rPr>
                <w:rFonts w:cstheme="majorBidi"/>
                <w:b/>
                <w:bCs/>
                <w:color w:val="000000"/>
                <w:sz w:val="16"/>
                <w:szCs w:val="16"/>
                <w:lang w:val="en-GB"/>
              </w:rPr>
              <w:t>50</w:t>
            </w:r>
            <w:r w:rsidR="00B80924" w:rsidRPr="00677B75">
              <w:rPr>
                <w:rFonts w:cstheme="majorBidi"/>
                <w:b/>
                <w:bCs/>
                <w:color w:val="000000"/>
                <w:sz w:val="16"/>
                <w:szCs w:val="16"/>
                <w:lang w:val="en-GB"/>
              </w:rPr>
              <w:t>,000</w:t>
            </w:r>
          </w:p>
        </w:tc>
        <w:tc>
          <w:tcPr>
            <w:tcW w:w="375" w:type="pct"/>
            <w:noWrap/>
            <w:tcMar>
              <w:top w:w="15" w:type="dxa"/>
              <w:left w:w="108" w:type="dxa"/>
              <w:bottom w:w="15" w:type="dxa"/>
              <w:right w:w="108" w:type="dxa"/>
            </w:tcMar>
            <w:vAlign w:val="center"/>
          </w:tcPr>
          <w:p w14:paraId="2816070A" w14:textId="0352202B" w:rsidR="00837146" w:rsidRPr="00677B75" w:rsidRDefault="00736DDF" w:rsidP="00837146">
            <w:pPr>
              <w:jc w:val="right"/>
              <w:rPr>
                <w:rFonts w:cstheme="majorBidi"/>
                <w:b/>
                <w:bCs/>
                <w:color w:val="000000"/>
                <w:sz w:val="16"/>
                <w:szCs w:val="16"/>
                <w:lang w:val="en-GB"/>
              </w:rPr>
            </w:pPr>
            <w:r w:rsidRPr="00677B75">
              <w:rPr>
                <w:rFonts w:cstheme="majorBidi"/>
                <w:b/>
                <w:bCs/>
                <w:color w:val="000000"/>
                <w:sz w:val="16"/>
                <w:szCs w:val="16"/>
                <w:lang w:val="en-GB"/>
              </w:rPr>
              <w:t>10</w:t>
            </w:r>
            <w:r w:rsidR="00B80924" w:rsidRPr="00677B75">
              <w:rPr>
                <w:rFonts w:cstheme="majorBidi"/>
                <w:b/>
                <w:bCs/>
                <w:color w:val="000000"/>
                <w:sz w:val="16"/>
                <w:szCs w:val="16"/>
                <w:lang w:val="en-GB"/>
              </w:rPr>
              <w:t>0,000</w:t>
            </w:r>
          </w:p>
        </w:tc>
        <w:tc>
          <w:tcPr>
            <w:tcW w:w="281" w:type="pct"/>
            <w:noWrap/>
            <w:tcMar>
              <w:top w:w="15" w:type="dxa"/>
              <w:left w:w="108" w:type="dxa"/>
              <w:bottom w:w="15" w:type="dxa"/>
              <w:right w:w="108" w:type="dxa"/>
            </w:tcMar>
            <w:vAlign w:val="center"/>
          </w:tcPr>
          <w:p w14:paraId="7018C6F3" w14:textId="00A8B644" w:rsidR="00837146" w:rsidRPr="00677B75" w:rsidRDefault="00837146" w:rsidP="00837146">
            <w:pPr>
              <w:jc w:val="right"/>
              <w:rPr>
                <w:rFonts w:cstheme="majorBidi"/>
                <w:b/>
                <w:bCs/>
                <w:color w:val="000000"/>
                <w:sz w:val="16"/>
                <w:szCs w:val="16"/>
                <w:highlight w:val="yellow"/>
                <w:lang w:val="en-GB"/>
              </w:rPr>
            </w:pPr>
          </w:p>
        </w:tc>
        <w:tc>
          <w:tcPr>
            <w:tcW w:w="313" w:type="pct"/>
            <w:noWrap/>
            <w:tcMar>
              <w:top w:w="15" w:type="dxa"/>
              <w:left w:w="108" w:type="dxa"/>
              <w:bottom w:w="15" w:type="dxa"/>
              <w:right w:w="108" w:type="dxa"/>
            </w:tcMar>
            <w:vAlign w:val="center"/>
          </w:tcPr>
          <w:p w14:paraId="01955197" w14:textId="3315DFF4" w:rsidR="00837146" w:rsidRPr="00677B75" w:rsidRDefault="00837146" w:rsidP="00837146">
            <w:pPr>
              <w:jc w:val="right"/>
              <w:rPr>
                <w:rFonts w:cstheme="majorBidi"/>
                <w:b/>
                <w:bCs/>
                <w:color w:val="000000"/>
                <w:sz w:val="16"/>
                <w:szCs w:val="16"/>
                <w:highlight w:val="yellow"/>
                <w:lang w:val="en-GB"/>
              </w:rPr>
            </w:pPr>
          </w:p>
        </w:tc>
        <w:tc>
          <w:tcPr>
            <w:tcW w:w="440" w:type="pct"/>
            <w:noWrap/>
            <w:tcMar>
              <w:top w:w="15" w:type="dxa"/>
              <w:left w:w="108" w:type="dxa"/>
              <w:bottom w:w="15" w:type="dxa"/>
              <w:right w:w="108" w:type="dxa"/>
            </w:tcMar>
            <w:vAlign w:val="center"/>
          </w:tcPr>
          <w:p w14:paraId="5867C454" w14:textId="340BF326" w:rsidR="00837146" w:rsidRPr="00677B75" w:rsidRDefault="00837146" w:rsidP="00837146">
            <w:pPr>
              <w:jc w:val="right"/>
              <w:rPr>
                <w:rFonts w:cstheme="majorBidi"/>
                <w:b/>
                <w:bCs/>
                <w:color w:val="000000"/>
                <w:sz w:val="16"/>
                <w:szCs w:val="16"/>
                <w:lang w:val="en-GB"/>
              </w:rPr>
            </w:pPr>
          </w:p>
        </w:tc>
        <w:tc>
          <w:tcPr>
            <w:tcW w:w="270" w:type="pct"/>
            <w:noWrap/>
            <w:tcMar>
              <w:top w:w="15" w:type="dxa"/>
              <w:left w:w="108" w:type="dxa"/>
              <w:bottom w:w="15" w:type="dxa"/>
              <w:right w:w="108" w:type="dxa"/>
            </w:tcMar>
            <w:vAlign w:val="center"/>
          </w:tcPr>
          <w:p w14:paraId="1FE3A662" w14:textId="354A07EA" w:rsidR="00837146" w:rsidRPr="00677B75" w:rsidRDefault="000348DE" w:rsidP="00837146">
            <w:pPr>
              <w:jc w:val="right"/>
              <w:rPr>
                <w:rFonts w:cstheme="majorBidi"/>
                <w:b/>
                <w:bCs/>
                <w:color w:val="000000"/>
                <w:sz w:val="16"/>
                <w:szCs w:val="16"/>
                <w:lang w:val="en-GB"/>
              </w:rPr>
            </w:pPr>
            <w:r w:rsidRPr="00677B75">
              <w:rPr>
                <w:rFonts w:cstheme="majorBidi"/>
                <w:b/>
                <w:bCs/>
                <w:color w:val="000000"/>
                <w:sz w:val="16"/>
                <w:szCs w:val="16"/>
                <w:lang w:val="en-GB"/>
              </w:rPr>
              <w:t>50</w:t>
            </w:r>
            <w:r w:rsidR="003F7124" w:rsidRPr="00677B75">
              <w:rPr>
                <w:rFonts w:cstheme="majorBidi"/>
                <w:b/>
                <w:bCs/>
                <w:color w:val="000000"/>
                <w:sz w:val="16"/>
                <w:szCs w:val="16"/>
                <w:lang w:val="en-GB"/>
              </w:rPr>
              <w:t>,000</w:t>
            </w:r>
          </w:p>
        </w:tc>
        <w:tc>
          <w:tcPr>
            <w:tcW w:w="270" w:type="pct"/>
            <w:noWrap/>
            <w:tcMar>
              <w:top w:w="15" w:type="dxa"/>
              <w:left w:w="108" w:type="dxa"/>
              <w:bottom w:w="15" w:type="dxa"/>
              <w:right w:w="108" w:type="dxa"/>
            </w:tcMar>
            <w:vAlign w:val="center"/>
          </w:tcPr>
          <w:p w14:paraId="7B72B0B3" w14:textId="13160501" w:rsidR="00837146" w:rsidRPr="00677B75" w:rsidRDefault="000348DE" w:rsidP="00837146">
            <w:pPr>
              <w:jc w:val="right"/>
              <w:rPr>
                <w:rFonts w:cstheme="majorBidi"/>
                <w:b/>
                <w:bCs/>
                <w:color w:val="000000"/>
                <w:sz w:val="16"/>
                <w:szCs w:val="16"/>
                <w:highlight w:val="yellow"/>
                <w:lang w:val="en-GB"/>
              </w:rPr>
            </w:pPr>
            <w:r w:rsidRPr="00677B75">
              <w:rPr>
                <w:rFonts w:cstheme="majorBidi"/>
                <w:b/>
                <w:bCs/>
                <w:color w:val="000000"/>
                <w:sz w:val="16"/>
                <w:szCs w:val="16"/>
                <w:lang w:val="en-GB"/>
              </w:rPr>
              <w:t>50</w:t>
            </w:r>
            <w:r w:rsidR="00B80924" w:rsidRPr="00677B75">
              <w:rPr>
                <w:rFonts w:cstheme="majorBidi"/>
                <w:b/>
                <w:bCs/>
                <w:color w:val="000000"/>
                <w:sz w:val="16"/>
                <w:szCs w:val="16"/>
                <w:lang w:val="en-GB"/>
              </w:rPr>
              <w:t>,000</w:t>
            </w:r>
          </w:p>
        </w:tc>
        <w:tc>
          <w:tcPr>
            <w:tcW w:w="437" w:type="pct"/>
            <w:noWrap/>
            <w:tcMar>
              <w:top w:w="15" w:type="dxa"/>
              <w:left w:w="108" w:type="dxa"/>
              <w:bottom w:w="15" w:type="dxa"/>
              <w:right w:w="108" w:type="dxa"/>
            </w:tcMar>
            <w:vAlign w:val="center"/>
          </w:tcPr>
          <w:p w14:paraId="79F1BE95" w14:textId="2E77F3AD" w:rsidR="00837146" w:rsidRPr="00677B75" w:rsidRDefault="003F7124" w:rsidP="00837146">
            <w:pPr>
              <w:jc w:val="right"/>
              <w:rPr>
                <w:rFonts w:cstheme="majorBidi"/>
                <w:b/>
                <w:bCs/>
                <w:color w:val="000000"/>
                <w:sz w:val="16"/>
                <w:szCs w:val="16"/>
                <w:highlight w:val="yellow"/>
                <w:lang w:val="en-GB"/>
              </w:rPr>
            </w:pPr>
            <w:r w:rsidRPr="00677B75">
              <w:rPr>
                <w:rFonts w:cstheme="majorBidi"/>
                <w:b/>
                <w:bCs/>
                <w:color w:val="000000"/>
                <w:sz w:val="16"/>
                <w:szCs w:val="16"/>
                <w:lang w:val="en-GB"/>
              </w:rPr>
              <w:t>10</w:t>
            </w:r>
            <w:r w:rsidR="00B80924" w:rsidRPr="00677B75">
              <w:rPr>
                <w:rFonts w:cstheme="majorBidi"/>
                <w:b/>
                <w:bCs/>
                <w:color w:val="000000"/>
                <w:sz w:val="16"/>
                <w:szCs w:val="16"/>
                <w:lang w:val="en-GB"/>
              </w:rPr>
              <w:t>0,000</w:t>
            </w:r>
          </w:p>
        </w:tc>
      </w:tr>
    </w:tbl>
    <w:p w14:paraId="2CC39FED" w14:textId="44B51DE7" w:rsidR="00206B29" w:rsidRPr="00845FB7" w:rsidRDefault="00206B29" w:rsidP="00206B29">
      <w:pPr>
        <w:pStyle w:val="Heading3"/>
        <w:rPr>
          <w:sz w:val="24"/>
          <w:lang w:val="en-GB"/>
        </w:rPr>
      </w:pPr>
      <w:r w:rsidRPr="00845FB7">
        <w:rPr>
          <w:sz w:val="24"/>
          <w:lang w:val="en-GB"/>
        </w:rPr>
        <w:t>Overview of resources</w:t>
      </w:r>
    </w:p>
    <w:tbl>
      <w:tblPr>
        <w:tblStyle w:val="TableGridLight"/>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1697"/>
        <w:gridCol w:w="1671"/>
        <w:gridCol w:w="1683"/>
      </w:tblGrid>
      <w:tr w:rsidR="00206B29" w:rsidRPr="00845FB7" w14:paraId="1C338827" w14:textId="77777777" w:rsidTr="00BD36F8">
        <w:trPr>
          <w:trHeight w:val="340"/>
        </w:trPr>
        <w:tc>
          <w:tcPr>
            <w:tcW w:w="0" w:type="auto"/>
            <w:noWrap/>
            <w:vAlign w:val="center"/>
            <w:hideMark/>
          </w:tcPr>
          <w:p w14:paraId="67DB00F1" w14:textId="77777777" w:rsidR="00206B29" w:rsidRPr="00845FB7" w:rsidRDefault="00206B29" w:rsidP="00983115">
            <w:pPr>
              <w:rPr>
                <w:rFonts w:cstheme="majorBidi"/>
                <w:b/>
                <w:bCs/>
                <w:sz w:val="18"/>
                <w:szCs w:val="18"/>
                <w:lang w:val="en-GB"/>
              </w:rPr>
            </w:pPr>
            <w:r w:rsidRPr="00845FB7">
              <w:rPr>
                <w:rFonts w:cstheme="majorBidi"/>
                <w:b/>
                <w:bCs/>
                <w:sz w:val="18"/>
                <w:szCs w:val="18"/>
                <w:lang w:val="en-GB"/>
              </w:rPr>
              <w:t>Budget</w:t>
            </w:r>
          </w:p>
        </w:tc>
        <w:tc>
          <w:tcPr>
            <w:tcW w:w="0" w:type="auto"/>
            <w:vAlign w:val="center"/>
            <w:hideMark/>
          </w:tcPr>
          <w:p w14:paraId="57C00015" w14:textId="52D4B03F" w:rsidR="00206B29" w:rsidRPr="00845FB7" w:rsidRDefault="00206B29" w:rsidP="00983115">
            <w:pPr>
              <w:jc w:val="center"/>
              <w:rPr>
                <w:rFonts w:cstheme="majorBidi"/>
                <w:b/>
                <w:bCs/>
                <w:sz w:val="18"/>
                <w:szCs w:val="18"/>
                <w:lang w:val="en-GB"/>
              </w:rPr>
            </w:pPr>
            <w:r w:rsidRPr="00845FB7">
              <w:rPr>
                <w:rFonts w:cstheme="majorBidi"/>
                <w:b/>
                <w:bCs/>
                <w:sz w:val="18"/>
                <w:szCs w:val="18"/>
                <w:lang w:val="en-GB"/>
              </w:rPr>
              <w:t xml:space="preserve">General </w:t>
            </w:r>
            <w:r w:rsidR="00813BE0" w:rsidRPr="00845FB7">
              <w:rPr>
                <w:rFonts w:cstheme="majorBidi"/>
                <w:b/>
                <w:bCs/>
                <w:sz w:val="18"/>
                <w:szCs w:val="18"/>
                <w:lang w:val="en-GB"/>
              </w:rPr>
              <w:t>t</w:t>
            </w:r>
            <w:r w:rsidRPr="00845FB7">
              <w:rPr>
                <w:rFonts w:cstheme="majorBidi"/>
                <w:b/>
                <w:bCs/>
                <w:sz w:val="18"/>
                <w:szCs w:val="18"/>
                <w:lang w:val="en-GB"/>
              </w:rPr>
              <w:t xml:space="preserve">rust </w:t>
            </w:r>
            <w:r w:rsidR="00813BE0" w:rsidRPr="00845FB7">
              <w:rPr>
                <w:rFonts w:cstheme="majorBidi"/>
                <w:b/>
                <w:bCs/>
                <w:sz w:val="18"/>
                <w:szCs w:val="18"/>
                <w:lang w:val="en-GB"/>
              </w:rPr>
              <w:t>f</w:t>
            </w:r>
            <w:r w:rsidRPr="00845FB7">
              <w:rPr>
                <w:rFonts w:cstheme="majorBidi"/>
                <w:b/>
                <w:bCs/>
                <w:sz w:val="18"/>
                <w:szCs w:val="18"/>
                <w:lang w:val="en-GB"/>
              </w:rPr>
              <w:t>und</w:t>
            </w:r>
          </w:p>
        </w:tc>
        <w:tc>
          <w:tcPr>
            <w:tcW w:w="0" w:type="auto"/>
            <w:vAlign w:val="center"/>
            <w:hideMark/>
          </w:tcPr>
          <w:p w14:paraId="7BCFF9FF" w14:textId="1B34D0A5" w:rsidR="00206B29" w:rsidRPr="00845FB7" w:rsidRDefault="00206B29" w:rsidP="00983115">
            <w:pPr>
              <w:jc w:val="center"/>
              <w:rPr>
                <w:rFonts w:cstheme="majorBidi"/>
                <w:b/>
                <w:bCs/>
                <w:sz w:val="18"/>
                <w:szCs w:val="18"/>
                <w:lang w:val="en-GB"/>
              </w:rPr>
            </w:pPr>
            <w:r w:rsidRPr="00845FB7">
              <w:rPr>
                <w:rFonts w:cstheme="majorBidi"/>
                <w:b/>
                <w:bCs/>
                <w:sz w:val="18"/>
                <w:szCs w:val="18"/>
                <w:lang w:val="en-GB"/>
              </w:rPr>
              <w:t xml:space="preserve">Special </w:t>
            </w:r>
            <w:r w:rsidR="00813BE0" w:rsidRPr="00845FB7">
              <w:rPr>
                <w:rFonts w:cstheme="majorBidi"/>
                <w:b/>
                <w:bCs/>
                <w:sz w:val="18"/>
                <w:szCs w:val="18"/>
                <w:lang w:val="en-GB"/>
              </w:rPr>
              <w:t>t</w:t>
            </w:r>
            <w:r w:rsidRPr="00845FB7">
              <w:rPr>
                <w:rFonts w:cstheme="majorBidi"/>
                <w:b/>
                <w:bCs/>
                <w:sz w:val="18"/>
                <w:szCs w:val="18"/>
                <w:lang w:val="en-GB"/>
              </w:rPr>
              <w:t xml:space="preserve">rust </w:t>
            </w:r>
            <w:r w:rsidR="00813BE0" w:rsidRPr="00845FB7">
              <w:rPr>
                <w:rFonts w:cstheme="majorBidi"/>
                <w:b/>
                <w:bCs/>
                <w:sz w:val="18"/>
                <w:szCs w:val="18"/>
                <w:lang w:val="en-GB"/>
              </w:rPr>
              <w:t>f</w:t>
            </w:r>
            <w:r w:rsidRPr="00845FB7">
              <w:rPr>
                <w:rFonts w:cstheme="majorBidi"/>
                <w:b/>
                <w:bCs/>
                <w:sz w:val="18"/>
                <w:szCs w:val="18"/>
                <w:lang w:val="en-GB"/>
              </w:rPr>
              <w:t>und</w:t>
            </w:r>
          </w:p>
        </w:tc>
        <w:tc>
          <w:tcPr>
            <w:tcW w:w="0" w:type="auto"/>
            <w:vAlign w:val="center"/>
            <w:hideMark/>
          </w:tcPr>
          <w:p w14:paraId="74B699B4" w14:textId="1E395FAD" w:rsidR="00206B29" w:rsidRPr="00845FB7" w:rsidRDefault="00206B29" w:rsidP="00983115">
            <w:pPr>
              <w:jc w:val="center"/>
              <w:rPr>
                <w:rFonts w:cstheme="majorBidi"/>
                <w:b/>
                <w:bCs/>
                <w:sz w:val="18"/>
                <w:szCs w:val="18"/>
                <w:lang w:val="en-GB"/>
              </w:rPr>
            </w:pPr>
            <w:r w:rsidRPr="00845FB7">
              <w:rPr>
                <w:rFonts w:cstheme="majorBidi"/>
                <w:b/>
                <w:bCs/>
                <w:sz w:val="18"/>
                <w:szCs w:val="18"/>
                <w:lang w:val="en-GB"/>
              </w:rPr>
              <w:t xml:space="preserve">Total </w:t>
            </w:r>
            <w:r w:rsidR="00813BE0" w:rsidRPr="00845FB7">
              <w:rPr>
                <w:rFonts w:cstheme="majorBidi"/>
                <w:b/>
                <w:bCs/>
                <w:sz w:val="18"/>
                <w:szCs w:val="18"/>
                <w:lang w:val="en-GB"/>
              </w:rPr>
              <w:t>c</w:t>
            </w:r>
            <w:r w:rsidRPr="00845FB7">
              <w:rPr>
                <w:rFonts w:cstheme="majorBidi"/>
                <w:b/>
                <w:bCs/>
                <w:sz w:val="18"/>
                <w:szCs w:val="18"/>
                <w:lang w:val="en-GB"/>
              </w:rPr>
              <w:t>ontribution</w:t>
            </w:r>
          </w:p>
        </w:tc>
      </w:tr>
      <w:tr w:rsidR="00206B29" w:rsidRPr="00845FB7" w14:paraId="0D64F524" w14:textId="77777777" w:rsidTr="00BD36F8">
        <w:trPr>
          <w:trHeight w:val="340"/>
        </w:trPr>
        <w:tc>
          <w:tcPr>
            <w:tcW w:w="0" w:type="auto"/>
            <w:noWrap/>
            <w:vAlign w:val="center"/>
            <w:hideMark/>
          </w:tcPr>
          <w:p w14:paraId="7FFAFA15" w14:textId="74ABD415" w:rsidR="00206B29" w:rsidRPr="00845FB7" w:rsidRDefault="009437C1" w:rsidP="00983115">
            <w:pPr>
              <w:jc w:val="left"/>
              <w:rPr>
                <w:rFonts w:cstheme="majorBidi"/>
                <w:sz w:val="18"/>
                <w:szCs w:val="18"/>
                <w:lang w:val="en-GB"/>
              </w:rPr>
            </w:pPr>
            <w:r w:rsidRPr="00845FB7">
              <w:rPr>
                <w:rFonts w:cstheme="majorBidi"/>
                <w:sz w:val="18"/>
                <w:szCs w:val="18"/>
                <w:lang w:val="en-GB"/>
              </w:rPr>
              <w:t>2024</w:t>
            </w:r>
            <w:r w:rsidR="00206B29" w:rsidRPr="00845FB7">
              <w:rPr>
                <w:rFonts w:cstheme="majorBidi"/>
                <w:sz w:val="18"/>
                <w:szCs w:val="18"/>
                <w:lang w:val="en-GB"/>
              </w:rPr>
              <w:t>-</w:t>
            </w:r>
            <w:r w:rsidRPr="00845FB7">
              <w:rPr>
                <w:rFonts w:cstheme="majorBidi"/>
                <w:sz w:val="18"/>
                <w:szCs w:val="18"/>
                <w:lang w:val="en-GB"/>
              </w:rPr>
              <w:t xml:space="preserve">2025 </w:t>
            </w:r>
            <w:r w:rsidR="00206B29" w:rsidRPr="00845FB7">
              <w:rPr>
                <w:rFonts w:cstheme="majorBidi"/>
                <w:sz w:val="18"/>
                <w:szCs w:val="18"/>
                <w:lang w:val="en-GB"/>
              </w:rPr>
              <w:t>approved</w:t>
            </w:r>
          </w:p>
        </w:tc>
        <w:tc>
          <w:tcPr>
            <w:tcW w:w="0" w:type="auto"/>
            <w:noWrap/>
            <w:vAlign w:val="center"/>
          </w:tcPr>
          <w:p w14:paraId="5A59077D" w14:textId="16BBBE45" w:rsidR="00206B29" w:rsidRPr="00845FB7" w:rsidRDefault="00206B29" w:rsidP="00983115">
            <w:pPr>
              <w:jc w:val="right"/>
              <w:rPr>
                <w:rFonts w:cstheme="majorBidi"/>
                <w:sz w:val="18"/>
                <w:szCs w:val="18"/>
                <w:lang w:val="en-GB"/>
              </w:rPr>
            </w:pPr>
          </w:p>
        </w:tc>
        <w:tc>
          <w:tcPr>
            <w:tcW w:w="0" w:type="auto"/>
            <w:noWrap/>
            <w:vAlign w:val="center"/>
          </w:tcPr>
          <w:p w14:paraId="24813D06" w14:textId="24D7CAA6" w:rsidR="00206B29" w:rsidRPr="00845FB7" w:rsidRDefault="00DA0ADD" w:rsidP="00983115">
            <w:pPr>
              <w:jc w:val="right"/>
              <w:rPr>
                <w:rFonts w:cstheme="majorBidi"/>
                <w:sz w:val="18"/>
                <w:szCs w:val="18"/>
                <w:lang w:val="en-GB"/>
              </w:rPr>
            </w:pPr>
            <w:r w:rsidRPr="00845FB7">
              <w:rPr>
                <w:rFonts w:cstheme="majorBidi"/>
                <w:sz w:val="18"/>
                <w:szCs w:val="18"/>
                <w:lang w:val="en-GB"/>
              </w:rPr>
              <w:t>100</w:t>
            </w:r>
            <w:r w:rsidR="00E60BF3" w:rsidRPr="00845FB7">
              <w:rPr>
                <w:rFonts w:cstheme="majorBidi"/>
                <w:sz w:val="18"/>
                <w:szCs w:val="18"/>
                <w:lang w:val="en-GB"/>
              </w:rPr>
              <w:t>,000</w:t>
            </w:r>
          </w:p>
        </w:tc>
        <w:tc>
          <w:tcPr>
            <w:tcW w:w="0" w:type="auto"/>
            <w:noWrap/>
            <w:vAlign w:val="center"/>
            <w:hideMark/>
          </w:tcPr>
          <w:p w14:paraId="0D0ED744" w14:textId="4FEEDAD2" w:rsidR="00206B29" w:rsidRPr="00845FB7" w:rsidRDefault="00DA0ADD" w:rsidP="00983115">
            <w:pPr>
              <w:jc w:val="right"/>
              <w:rPr>
                <w:rFonts w:cstheme="majorBidi"/>
                <w:sz w:val="18"/>
                <w:szCs w:val="18"/>
                <w:lang w:val="en-GB"/>
              </w:rPr>
            </w:pPr>
            <w:r w:rsidRPr="00845FB7">
              <w:rPr>
                <w:rFonts w:cstheme="majorBidi"/>
                <w:sz w:val="18"/>
                <w:szCs w:val="18"/>
                <w:lang w:val="en-GB"/>
              </w:rPr>
              <w:t>100</w:t>
            </w:r>
            <w:r w:rsidR="00E60BF3" w:rsidRPr="00845FB7">
              <w:rPr>
                <w:rFonts w:cstheme="majorBidi"/>
                <w:sz w:val="18"/>
                <w:szCs w:val="18"/>
                <w:lang w:val="en-GB"/>
              </w:rPr>
              <w:t>,000</w:t>
            </w:r>
          </w:p>
        </w:tc>
      </w:tr>
      <w:tr w:rsidR="00206B29" w:rsidRPr="00845FB7" w14:paraId="17483EE4" w14:textId="77777777" w:rsidTr="00BD36F8">
        <w:trPr>
          <w:trHeight w:val="340"/>
        </w:trPr>
        <w:tc>
          <w:tcPr>
            <w:tcW w:w="0" w:type="auto"/>
            <w:vAlign w:val="center"/>
            <w:hideMark/>
          </w:tcPr>
          <w:p w14:paraId="751D2AB6" w14:textId="20D1A22A" w:rsidR="00206B29" w:rsidRPr="00845FB7" w:rsidRDefault="00E2051A" w:rsidP="00983115">
            <w:pPr>
              <w:jc w:val="left"/>
              <w:rPr>
                <w:rFonts w:cstheme="majorBidi"/>
                <w:sz w:val="18"/>
                <w:szCs w:val="18"/>
                <w:lang w:val="en-GB"/>
              </w:rPr>
            </w:pPr>
            <w:r w:rsidRPr="00845FB7">
              <w:rPr>
                <w:rFonts w:cstheme="majorBidi"/>
                <w:sz w:val="18"/>
                <w:szCs w:val="18"/>
                <w:lang w:val="en-GB"/>
              </w:rPr>
              <w:t>2026–2027</w:t>
            </w:r>
            <w:r w:rsidR="009437C1" w:rsidRPr="00845FB7">
              <w:rPr>
                <w:rFonts w:cstheme="majorBidi"/>
                <w:sz w:val="18"/>
                <w:szCs w:val="18"/>
                <w:lang w:val="en-GB"/>
              </w:rPr>
              <w:t xml:space="preserve"> </w:t>
            </w:r>
            <w:r w:rsidR="00206B29" w:rsidRPr="00845FB7">
              <w:rPr>
                <w:rFonts w:cstheme="majorBidi"/>
                <w:sz w:val="18"/>
                <w:szCs w:val="18"/>
                <w:lang w:val="en-GB"/>
              </w:rPr>
              <w:t xml:space="preserve">requested in </w:t>
            </w:r>
            <w:r w:rsidR="00813BE0" w:rsidRPr="00845FB7">
              <w:rPr>
                <w:rFonts w:cstheme="majorBidi"/>
                <w:sz w:val="18"/>
                <w:szCs w:val="18"/>
                <w:lang w:val="en-GB"/>
              </w:rPr>
              <w:t xml:space="preserve">the </w:t>
            </w:r>
            <w:r w:rsidR="00206B29" w:rsidRPr="00845FB7">
              <w:rPr>
                <w:rFonts w:cstheme="majorBidi"/>
                <w:sz w:val="18"/>
                <w:szCs w:val="18"/>
                <w:lang w:val="en-GB"/>
              </w:rPr>
              <w:t>5</w:t>
            </w:r>
            <w:r w:rsidR="00813BE0" w:rsidRPr="00845FB7">
              <w:rPr>
                <w:rFonts w:cstheme="majorBidi"/>
                <w:sz w:val="18"/>
                <w:szCs w:val="18"/>
                <w:lang w:val="en-GB"/>
              </w:rPr>
              <w:t xml:space="preserve"> per cent</w:t>
            </w:r>
            <w:r w:rsidR="00206B29" w:rsidRPr="00845FB7">
              <w:rPr>
                <w:rFonts w:cstheme="majorBidi"/>
                <w:sz w:val="18"/>
                <w:szCs w:val="18"/>
                <w:lang w:val="en-GB"/>
              </w:rPr>
              <w:t xml:space="preserve"> scenario</w:t>
            </w:r>
          </w:p>
        </w:tc>
        <w:tc>
          <w:tcPr>
            <w:tcW w:w="0" w:type="auto"/>
            <w:noWrap/>
            <w:vAlign w:val="center"/>
          </w:tcPr>
          <w:p w14:paraId="7AFC70A4" w14:textId="4ACBF5C9" w:rsidR="00206B29" w:rsidRPr="00845FB7" w:rsidRDefault="00206B29" w:rsidP="00983115">
            <w:pPr>
              <w:jc w:val="right"/>
              <w:rPr>
                <w:rFonts w:cstheme="majorBidi"/>
                <w:b/>
                <w:bCs/>
                <w:sz w:val="18"/>
                <w:szCs w:val="18"/>
                <w:lang w:val="en-GB"/>
              </w:rPr>
            </w:pPr>
          </w:p>
        </w:tc>
        <w:tc>
          <w:tcPr>
            <w:tcW w:w="0" w:type="auto"/>
            <w:noWrap/>
            <w:vAlign w:val="center"/>
          </w:tcPr>
          <w:p w14:paraId="417A2C67" w14:textId="0DA0F3DE" w:rsidR="00206B29" w:rsidRPr="00845FB7" w:rsidRDefault="00E60BF3" w:rsidP="00983115">
            <w:pPr>
              <w:jc w:val="right"/>
              <w:rPr>
                <w:rFonts w:cstheme="majorBidi"/>
                <w:b/>
                <w:bCs/>
                <w:sz w:val="18"/>
                <w:szCs w:val="18"/>
                <w:lang w:val="en-GB"/>
              </w:rPr>
            </w:pPr>
            <w:r w:rsidRPr="00845FB7">
              <w:rPr>
                <w:rFonts w:cstheme="majorBidi"/>
                <w:b/>
                <w:bCs/>
                <w:color w:val="000000"/>
                <w:sz w:val="18"/>
                <w:szCs w:val="18"/>
                <w:lang w:val="en-GB"/>
              </w:rPr>
              <w:t>10</w:t>
            </w:r>
            <w:r w:rsidR="00E863B3" w:rsidRPr="00845FB7">
              <w:rPr>
                <w:rFonts w:cstheme="majorBidi"/>
                <w:b/>
                <w:bCs/>
                <w:color w:val="000000"/>
                <w:sz w:val="18"/>
                <w:szCs w:val="18"/>
                <w:lang w:val="en-GB"/>
              </w:rPr>
              <w:t>0,000</w:t>
            </w:r>
          </w:p>
        </w:tc>
        <w:tc>
          <w:tcPr>
            <w:tcW w:w="0" w:type="auto"/>
            <w:noWrap/>
            <w:vAlign w:val="center"/>
            <w:hideMark/>
          </w:tcPr>
          <w:p w14:paraId="070649C2" w14:textId="22D30F5B" w:rsidR="00206B29" w:rsidRPr="00845FB7" w:rsidRDefault="00E60BF3" w:rsidP="00983115">
            <w:pPr>
              <w:jc w:val="right"/>
              <w:rPr>
                <w:rFonts w:cstheme="majorBidi"/>
                <w:b/>
                <w:bCs/>
                <w:sz w:val="18"/>
                <w:szCs w:val="18"/>
                <w:lang w:val="en-GB"/>
              </w:rPr>
            </w:pPr>
            <w:r w:rsidRPr="00845FB7">
              <w:rPr>
                <w:rFonts w:cstheme="majorBidi"/>
                <w:b/>
                <w:bCs/>
                <w:color w:val="000000"/>
                <w:sz w:val="18"/>
                <w:szCs w:val="18"/>
                <w:lang w:val="en-GB"/>
              </w:rPr>
              <w:t>10</w:t>
            </w:r>
            <w:r w:rsidR="00E863B3" w:rsidRPr="00845FB7">
              <w:rPr>
                <w:rFonts w:cstheme="majorBidi"/>
                <w:b/>
                <w:bCs/>
                <w:color w:val="000000"/>
                <w:sz w:val="18"/>
                <w:szCs w:val="18"/>
                <w:lang w:val="en-GB"/>
              </w:rPr>
              <w:t>0,000</w:t>
            </w:r>
          </w:p>
        </w:tc>
      </w:tr>
      <w:tr w:rsidR="00206B29" w:rsidRPr="00845FB7" w14:paraId="5FDC74F5" w14:textId="77777777" w:rsidTr="00BD36F8">
        <w:trPr>
          <w:trHeight w:val="340"/>
        </w:trPr>
        <w:tc>
          <w:tcPr>
            <w:tcW w:w="0" w:type="auto"/>
            <w:vAlign w:val="center"/>
            <w:hideMark/>
          </w:tcPr>
          <w:p w14:paraId="49A17922" w14:textId="2BB0220E" w:rsidR="00206B29" w:rsidRPr="00845FB7" w:rsidRDefault="00E2051A" w:rsidP="00983115">
            <w:pPr>
              <w:jc w:val="left"/>
              <w:rPr>
                <w:rFonts w:cstheme="majorBidi"/>
                <w:sz w:val="18"/>
                <w:szCs w:val="18"/>
                <w:lang w:val="en-GB"/>
              </w:rPr>
            </w:pPr>
            <w:r w:rsidRPr="00845FB7">
              <w:rPr>
                <w:rFonts w:cstheme="majorBidi"/>
                <w:sz w:val="18"/>
                <w:szCs w:val="18"/>
                <w:lang w:val="en-GB"/>
              </w:rPr>
              <w:t>2026–2027</w:t>
            </w:r>
            <w:r w:rsidR="009437C1" w:rsidRPr="00845FB7">
              <w:rPr>
                <w:rFonts w:cstheme="majorBidi"/>
                <w:sz w:val="18"/>
                <w:szCs w:val="18"/>
                <w:lang w:val="en-GB"/>
              </w:rPr>
              <w:t xml:space="preserve"> </w:t>
            </w:r>
            <w:r w:rsidR="00206B29" w:rsidRPr="00845FB7">
              <w:rPr>
                <w:rFonts w:cstheme="majorBidi"/>
                <w:sz w:val="18"/>
                <w:szCs w:val="18"/>
                <w:lang w:val="en-GB"/>
              </w:rPr>
              <w:t xml:space="preserve">requested in </w:t>
            </w:r>
            <w:r w:rsidR="00813BE0" w:rsidRPr="00845FB7">
              <w:rPr>
                <w:rFonts w:cstheme="majorBidi"/>
                <w:sz w:val="18"/>
                <w:szCs w:val="18"/>
                <w:lang w:val="en-GB"/>
              </w:rPr>
              <w:t>the z</w:t>
            </w:r>
            <w:r w:rsidR="00206B29" w:rsidRPr="00845FB7">
              <w:rPr>
                <w:rFonts w:cstheme="majorBidi"/>
                <w:sz w:val="18"/>
                <w:szCs w:val="18"/>
                <w:lang w:val="en-GB"/>
              </w:rPr>
              <w:t>ero nominal growth scenario</w:t>
            </w:r>
          </w:p>
        </w:tc>
        <w:tc>
          <w:tcPr>
            <w:tcW w:w="0" w:type="auto"/>
            <w:noWrap/>
            <w:vAlign w:val="center"/>
          </w:tcPr>
          <w:p w14:paraId="52B0F20E" w14:textId="1600ECC1" w:rsidR="00206B29" w:rsidRPr="00845FB7" w:rsidRDefault="00206B29" w:rsidP="00983115">
            <w:pPr>
              <w:jc w:val="right"/>
              <w:rPr>
                <w:rFonts w:cstheme="majorBidi"/>
                <w:b/>
                <w:bCs/>
                <w:sz w:val="18"/>
                <w:szCs w:val="18"/>
                <w:lang w:val="en-GB"/>
              </w:rPr>
            </w:pPr>
          </w:p>
        </w:tc>
        <w:tc>
          <w:tcPr>
            <w:tcW w:w="0" w:type="auto"/>
            <w:noWrap/>
            <w:vAlign w:val="center"/>
          </w:tcPr>
          <w:p w14:paraId="6942E1B8" w14:textId="3C8761A9" w:rsidR="00206B29" w:rsidRPr="00845FB7" w:rsidRDefault="00E60BF3" w:rsidP="00983115">
            <w:pPr>
              <w:jc w:val="right"/>
              <w:rPr>
                <w:rFonts w:cstheme="majorBidi"/>
                <w:b/>
                <w:bCs/>
                <w:sz w:val="18"/>
                <w:szCs w:val="18"/>
                <w:lang w:val="en-GB"/>
              </w:rPr>
            </w:pPr>
            <w:r w:rsidRPr="00845FB7">
              <w:rPr>
                <w:rFonts w:eastAsia="Times New Roman" w:cstheme="majorBidi"/>
                <w:b/>
                <w:bCs/>
                <w:sz w:val="18"/>
                <w:szCs w:val="18"/>
                <w:lang w:val="en-GB"/>
              </w:rPr>
              <w:t>10</w:t>
            </w:r>
            <w:r w:rsidR="00E863B3" w:rsidRPr="00845FB7">
              <w:rPr>
                <w:rFonts w:eastAsia="Times New Roman" w:cstheme="majorBidi"/>
                <w:b/>
                <w:bCs/>
                <w:sz w:val="18"/>
                <w:szCs w:val="18"/>
                <w:lang w:val="en-GB"/>
              </w:rPr>
              <w:t>0,000</w:t>
            </w:r>
          </w:p>
        </w:tc>
        <w:tc>
          <w:tcPr>
            <w:tcW w:w="0" w:type="auto"/>
            <w:noWrap/>
            <w:vAlign w:val="center"/>
            <w:hideMark/>
          </w:tcPr>
          <w:p w14:paraId="45DA397E" w14:textId="60FA5DF9" w:rsidR="00206B29" w:rsidRPr="00845FB7" w:rsidRDefault="00A73842" w:rsidP="00983115">
            <w:pPr>
              <w:jc w:val="right"/>
              <w:rPr>
                <w:rFonts w:cstheme="majorBidi"/>
                <w:b/>
                <w:bCs/>
                <w:sz w:val="18"/>
                <w:szCs w:val="18"/>
                <w:lang w:val="en-GB"/>
              </w:rPr>
            </w:pPr>
            <w:r w:rsidRPr="00845FB7">
              <w:rPr>
                <w:rFonts w:eastAsia="Times New Roman" w:cstheme="majorBidi"/>
                <w:b/>
                <w:bCs/>
                <w:sz w:val="18"/>
                <w:szCs w:val="18"/>
                <w:lang w:val="en-GB"/>
              </w:rPr>
              <w:t>10</w:t>
            </w:r>
            <w:r w:rsidR="00E863B3" w:rsidRPr="00845FB7">
              <w:rPr>
                <w:rFonts w:eastAsia="Times New Roman" w:cstheme="majorBidi"/>
                <w:b/>
                <w:bCs/>
                <w:sz w:val="18"/>
                <w:szCs w:val="18"/>
                <w:lang w:val="en-GB"/>
              </w:rPr>
              <w:t>0,000</w:t>
            </w:r>
          </w:p>
        </w:tc>
      </w:tr>
    </w:tbl>
    <w:p w14:paraId="277FC135" w14:textId="77777777" w:rsidR="00206B29" w:rsidRPr="00845FB7" w:rsidRDefault="00206B29" w:rsidP="00206B29">
      <w:pPr>
        <w:rPr>
          <w:rFonts w:cstheme="majorBidi"/>
          <w:szCs w:val="20"/>
          <w:highlight w:val="yellow"/>
          <w:lang w:val="en-GB"/>
        </w:rPr>
        <w:sectPr w:rsidR="00206B29" w:rsidRPr="00845FB7" w:rsidSect="00BD36F8">
          <w:type w:val="continuous"/>
          <w:pgSz w:w="16838" w:h="11906" w:orient="landscape" w:code="9"/>
          <w:pgMar w:top="907" w:right="992" w:bottom="1418" w:left="1418" w:header="539" w:footer="975" w:gutter="0"/>
          <w:cols w:space="708"/>
          <w:titlePg/>
          <w:docGrid w:linePitch="360"/>
        </w:sectPr>
      </w:pPr>
    </w:p>
    <w:p w14:paraId="69C12452" w14:textId="27345262" w:rsidR="003F02D2" w:rsidRPr="00845FB7" w:rsidRDefault="003F02D2" w:rsidP="003F02D2">
      <w:pPr>
        <w:pStyle w:val="Heading2"/>
        <w:rPr>
          <w:rFonts w:cstheme="majorBidi"/>
          <w:color w:val="FFC000"/>
          <w:sz w:val="36"/>
          <w:szCs w:val="36"/>
          <w:lang w:val="en-GB"/>
        </w:rPr>
      </w:pPr>
      <w:r w:rsidRPr="00845FB7">
        <w:rPr>
          <w:rFonts w:cstheme="majorBidi"/>
          <w:color w:val="FFC000"/>
          <w:sz w:val="36"/>
          <w:szCs w:val="36"/>
          <w:lang w:val="en-GB"/>
        </w:rPr>
        <w:lastRenderedPageBreak/>
        <w:t>Activity 1</w:t>
      </w:r>
      <w:r w:rsidR="00717C55" w:rsidRPr="00845FB7">
        <w:rPr>
          <w:rFonts w:cstheme="majorBidi"/>
          <w:color w:val="FFC000"/>
          <w:sz w:val="36"/>
          <w:szCs w:val="36"/>
          <w:lang w:val="en-GB"/>
        </w:rPr>
        <w:t>3</w:t>
      </w:r>
      <w:r w:rsidRPr="00845FB7">
        <w:rPr>
          <w:rFonts w:cstheme="majorBidi"/>
          <w:color w:val="FFC000"/>
          <w:sz w:val="36"/>
          <w:szCs w:val="36"/>
          <w:lang w:val="en-GB"/>
        </w:rPr>
        <w:t>. Financial resources and mechanism</w:t>
      </w:r>
    </w:p>
    <w:p w14:paraId="319B4DA9" w14:textId="4E961FCA" w:rsidR="003F02D2" w:rsidRPr="00845FB7" w:rsidRDefault="003F02D2" w:rsidP="003F02D2">
      <w:pPr>
        <w:pStyle w:val="Heading3"/>
        <w:rPr>
          <w:sz w:val="24"/>
          <w:lang w:val="en-GB"/>
        </w:rPr>
      </w:pPr>
      <w:r w:rsidRPr="00845FB7">
        <w:rPr>
          <w:sz w:val="24"/>
          <w:lang w:val="en-GB"/>
        </w:rPr>
        <w:t>Budget</w:t>
      </w:r>
    </w:p>
    <w:p w14:paraId="2DFF0724" w14:textId="1F66D073" w:rsidR="003F02D2" w:rsidRPr="00845FB7" w:rsidRDefault="003F02D2" w:rsidP="003F02D2">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5303AD"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5303AD" w:rsidRPr="00845FB7">
        <w:rPr>
          <w:rFonts w:cstheme="majorBidi"/>
          <w:szCs w:val="20"/>
          <w:lang w:val="en-GB"/>
        </w:rPr>
        <w:t>Special Trust Fund</w:t>
      </w:r>
    </w:p>
    <w:p w14:paraId="2BC1B324" w14:textId="0469B83B" w:rsidR="003F02D2" w:rsidRPr="00845FB7" w:rsidRDefault="003F02D2" w:rsidP="003F02D2">
      <w:pPr>
        <w:pStyle w:val="Heading3"/>
        <w:rPr>
          <w:sz w:val="24"/>
          <w:lang w:val="en-GB"/>
        </w:rPr>
      </w:pPr>
      <w:r w:rsidRPr="00845FB7">
        <w:rPr>
          <w:sz w:val="24"/>
          <w:lang w:val="en-GB"/>
        </w:rPr>
        <w:t>Reference</w:t>
      </w:r>
    </w:p>
    <w:p w14:paraId="794807D4" w14:textId="12E5ABE1" w:rsidR="008434CD" w:rsidRPr="00845FB7" w:rsidRDefault="008434CD" w:rsidP="22024433">
      <w:pPr>
        <w:spacing w:after="60"/>
        <w:ind w:left="2552" w:hanging="2552"/>
        <w:rPr>
          <w:rFonts w:cstheme="majorBidi"/>
          <w:lang w:val="en-GB"/>
        </w:rPr>
      </w:pPr>
      <w:r w:rsidRPr="00845FB7">
        <w:rPr>
          <w:rFonts w:cstheme="majorBidi"/>
          <w:b/>
          <w:bCs/>
          <w:lang w:val="en-GB"/>
        </w:rPr>
        <w:t>UNEP/MC/COP.6/9:</w:t>
      </w:r>
      <w:r w:rsidRPr="00845FB7">
        <w:rPr>
          <w:lang w:val="en-GB"/>
        </w:rPr>
        <w:tab/>
      </w:r>
      <w:r w:rsidR="000748E1" w:rsidRPr="00845FB7">
        <w:rPr>
          <w:rFonts w:cstheme="majorBidi"/>
          <w:lang w:val="en-GB"/>
        </w:rPr>
        <w:t>Matters for consideration by the Conference of the Parties pursuant to decision MC-5/11 on the review of the financial mechanism</w:t>
      </w:r>
    </w:p>
    <w:p w14:paraId="4102355C" w14:textId="3C7B9F0B" w:rsidR="003F02D2" w:rsidRPr="00845FB7" w:rsidRDefault="003F02D2" w:rsidP="00BD36F8">
      <w:pPr>
        <w:spacing w:after="60"/>
        <w:ind w:left="2552" w:hanging="2552"/>
        <w:rPr>
          <w:rFonts w:cstheme="majorBidi"/>
          <w:lang w:val="en-GB"/>
        </w:rPr>
      </w:pPr>
      <w:r w:rsidRPr="00845FB7">
        <w:rPr>
          <w:rFonts w:cstheme="majorBidi"/>
          <w:b/>
          <w:bCs/>
          <w:lang w:val="en-GB"/>
        </w:rPr>
        <w:t>UNEP/MC/COP.</w:t>
      </w:r>
      <w:r w:rsidR="00E770E4" w:rsidRPr="00845FB7">
        <w:rPr>
          <w:rFonts w:cstheme="majorBidi"/>
          <w:b/>
          <w:bCs/>
          <w:lang w:val="en-GB"/>
        </w:rPr>
        <w:t>6</w:t>
      </w:r>
      <w:r w:rsidRPr="00845FB7">
        <w:rPr>
          <w:rFonts w:cstheme="majorBidi"/>
          <w:b/>
          <w:bCs/>
          <w:lang w:val="en-GB"/>
        </w:rPr>
        <w:t>/</w:t>
      </w:r>
      <w:r w:rsidR="004134D0" w:rsidRPr="00845FB7">
        <w:rPr>
          <w:rFonts w:cstheme="majorBidi"/>
          <w:b/>
          <w:bCs/>
          <w:lang w:val="en-GB"/>
        </w:rPr>
        <w:t>10</w:t>
      </w:r>
      <w:r w:rsidRPr="00845FB7">
        <w:rPr>
          <w:rFonts w:cstheme="majorBidi"/>
          <w:b/>
          <w:bCs/>
          <w:lang w:val="en-GB"/>
        </w:rPr>
        <w:t>:</w:t>
      </w:r>
      <w:r w:rsidR="003B4029" w:rsidRPr="00845FB7">
        <w:rPr>
          <w:lang w:val="en-GB"/>
        </w:rPr>
        <w:tab/>
      </w:r>
      <w:r w:rsidR="004134D0" w:rsidRPr="00845FB7">
        <w:rPr>
          <w:rFonts w:cstheme="majorBidi"/>
          <w:lang w:val="en-GB"/>
        </w:rPr>
        <w:t>Update on matters related to the Global Environment Facility</w:t>
      </w:r>
    </w:p>
    <w:p w14:paraId="0CC5D6A1" w14:textId="7545A55F" w:rsidR="003F02D2" w:rsidRPr="00845FB7" w:rsidRDefault="003F02D2" w:rsidP="00BD36F8">
      <w:pPr>
        <w:spacing w:after="60"/>
        <w:ind w:left="2552" w:hanging="2552"/>
        <w:rPr>
          <w:rFonts w:cstheme="majorBidi"/>
          <w:szCs w:val="20"/>
          <w:lang w:val="en-GB"/>
        </w:rPr>
      </w:pPr>
      <w:r w:rsidRPr="00845FB7">
        <w:rPr>
          <w:rFonts w:cstheme="majorBidi"/>
          <w:b/>
          <w:bCs/>
          <w:szCs w:val="20"/>
          <w:lang w:val="en-GB"/>
        </w:rPr>
        <w:t>UNEP/MC/COP.</w:t>
      </w:r>
      <w:r w:rsidR="00E770E4" w:rsidRPr="00845FB7">
        <w:rPr>
          <w:rFonts w:cstheme="majorBidi"/>
          <w:b/>
          <w:bCs/>
          <w:szCs w:val="20"/>
          <w:lang w:val="en-GB"/>
        </w:rPr>
        <w:t>6</w:t>
      </w:r>
      <w:r w:rsidRPr="00845FB7">
        <w:rPr>
          <w:rFonts w:cstheme="majorBidi"/>
          <w:b/>
          <w:bCs/>
          <w:szCs w:val="20"/>
          <w:lang w:val="en-GB"/>
        </w:rPr>
        <w:t>/10</w:t>
      </w:r>
      <w:r w:rsidR="004134D0" w:rsidRPr="00845FB7">
        <w:rPr>
          <w:rFonts w:cstheme="majorBidi"/>
          <w:b/>
          <w:bCs/>
          <w:szCs w:val="20"/>
          <w:lang w:val="en-GB"/>
        </w:rPr>
        <w:t>/Add.1</w:t>
      </w:r>
      <w:r w:rsidRPr="00845FB7">
        <w:rPr>
          <w:rFonts w:cstheme="majorBidi"/>
          <w:b/>
          <w:bCs/>
          <w:szCs w:val="20"/>
          <w:lang w:val="en-GB"/>
        </w:rPr>
        <w:t>:</w:t>
      </w:r>
      <w:r w:rsidR="003B4029" w:rsidRPr="00845FB7">
        <w:rPr>
          <w:rFonts w:cstheme="majorBidi"/>
          <w:szCs w:val="20"/>
          <w:lang w:val="en-GB"/>
        </w:rPr>
        <w:tab/>
      </w:r>
      <w:r w:rsidR="004134D0" w:rsidRPr="00845FB7">
        <w:rPr>
          <w:rFonts w:cstheme="majorBidi"/>
          <w:szCs w:val="20"/>
          <w:lang w:val="en-GB"/>
        </w:rPr>
        <w:t xml:space="preserve">Executive summary of the report of the Council of the Global Environment Facility to the Conference of the Parties at its </w:t>
      </w:r>
      <w:r w:rsidR="00E770E4" w:rsidRPr="00845FB7">
        <w:rPr>
          <w:rFonts w:cstheme="majorBidi"/>
          <w:szCs w:val="20"/>
          <w:lang w:val="en-GB"/>
        </w:rPr>
        <w:t xml:space="preserve">sixth </w:t>
      </w:r>
      <w:r w:rsidR="00A26826" w:rsidRPr="00845FB7">
        <w:rPr>
          <w:rFonts w:cstheme="majorBidi"/>
          <w:szCs w:val="20"/>
          <w:lang w:val="en-GB"/>
        </w:rPr>
        <w:t>meeting</w:t>
      </w:r>
    </w:p>
    <w:p w14:paraId="1CC7878D" w14:textId="5FD96F9C" w:rsidR="003F02D2" w:rsidRPr="00845FB7" w:rsidRDefault="003F02D2" w:rsidP="22024433">
      <w:pPr>
        <w:spacing w:after="60"/>
        <w:ind w:left="2552" w:hanging="2552"/>
        <w:rPr>
          <w:rFonts w:cstheme="majorBidi"/>
          <w:lang w:val="en-GB"/>
        </w:rPr>
      </w:pPr>
      <w:r w:rsidRPr="00845FB7">
        <w:rPr>
          <w:rFonts w:cstheme="majorBidi"/>
          <w:b/>
          <w:bCs/>
          <w:lang w:val="en-GB"/>
        </w:rPr>
        <w:t>UNEP/MC/COP.</w:t>
      </w:r>
      <w:r w:rsidR="00E770E4" w:rsidRPr="00845FB7">
        <w:rPr>
          <w:rFonts w:cstheme="majorBidi"/>
          <w:b/>
          <w:bCs/>
          <w:lang w:val="en-GB"/>
        </w:rPr>
        <w:t>6</w:t>
      </w:r>
      <w:r w:rsidRPr="00845FB7">
        <w:rPr>
          <w:rFonts w:cstheme="majorBidi"/>
          <w:b/>
          <w:bCs/>
          <w:lang w:val="en-GB"/>
        </w:rPr>
        <w:t>/I</w:t>
      </w:r>
      <w:r w:rsidR="00C5371E" w:rsidRPr="00845FB7">
        <w:rPr>
          <w:rFonts w:cstheme="majorBidi"/>
          <w:b/>
          <w:bCs/>
          <w:lang w:val="en-GB"/>
        </w:rPr>
        <w:t>NF/</w:t>
      </w:r>
      <w:r w:rsidR="00E770E4" w:rsidRPr="00845FB7">
        <w:rPr>
          <w:rFonts w:cstheme="majorBidi"/>
          <w:b/>
          <w:bCs/>
          <w:lang w:val="en-GB"/>
        </w:rPr>
        <w:t>13</w:t>
      </w:r>
      <w:r w:rsidRPr="00845FB7">
        <w:rPr>
          <w:rFonts w:cstheme="majorBidi"/>
          <w:b/>
          <w:bCs/>
          <w:lang w:val="en-GB"/>
        </w:rPr>
        <w:t>:</w:t>
      </w:r>
      <w:r w:rsidRPr="00845FB7">
        <w:rPr>
          <w:rFonts w:cstheme="majorBidi"/>
          <w:lang w:val="en-GB"/>
        </w:rPr>
        <w:t xml:space="preserve"> </w:t>
      </w:r>
      <w:r w:rsidRPr="00845FB7">
        <w:rPr>
          <w:lang w:val="en-GB"/>
        </w:rPr>
        <w:tab/>
      </w:r>
      <w:r w:rsidRPr="00845FB7">
        <w:rPr>
          <w:rFonts w:cstheme="majorBidi"/>
          <w:lang w:val="en-GB"/>
        </w:rPr>
        <w:t xml:space="preserve">Report of the </w:t>
      </w:r>
      <w:r w:rsidR="003C36B7" w:rsidRPr="00845FB7">
        <w:rPr>
          <w:rFonts w:cstheme="majorBidi"/>
          <w:lang w:val="en-GB"/>
        </w:rPr>
        <w:t xml:space="preserve">Council of the </w:t>
      </w:r>
      <w:r w:rsidRPr="00845FB7">
        <w:rPr>
          <w:rFonts w:cstheme="majorBidi"/>
          <w:lang w:val="en-GB"/>
        </w:rPr>
        <w:t xml:space="preserve">Global Environment </w:t>
      </w:r>
      <w:r w:rsidR="0A5D321C" w:rsidRPr="00845FB7">
        <w:rPr>
          <w:rFonts w:cstheme="majorBidi"/>
          <w:lang w:val="en-GB"/>
        </w:rPr>
        <w:t>F</w:t>
      </w:r>
      <w:r w:rsidRPr="00845FB7">
        <w:rPr>
          <w:rFonts w:cstheme="majorBidi"/>
          <w:lang w:val="en-GB"/>
        </w:rPr>
        <w:t xml:space="preserve">acility to the Conference of the Parties </w:t>
      </w:r>
      <w:r w:rsidR="00A26826" w:rsidRPr="00845FB7">
        <w:rPr>
          <w:rFonts w:cstheme="majorBidi"/>
          <w:lang w:val="en-GB"/>
        </w:rPr>
        <w:t xml:space="preserve">at its </w:t>
      </w:r>
      <w:r w:rsidR="00E770E4" w:rsidRPr="00845FB7">
        <w:rPr>
          <w:rFonts w:cstheme="majorBidi"/>
          <w:lang w:val="en-GB"/>
        </w:rPr>
        <w:t xml:space="preserve">sixth </w:t>
      </w:r>
      <w:r w:rsidR="00A26826" w:rsidRPr="00845FB7">
        <w:rPr>
          <w:rFonts w:cstheme="majorBidi"/>
          <w:lang w:val="en-GB"/>
        </w:rPr>
        <w:t>meeting</w:t>
      </w:r>
    </w:p>
    <w:p w14:paraId="6173DA36" w14:textId="273B5696" w:rsidR="0009117F" w:rsidRPr="00845FB7" w:rsidRDefault="0009117F" w:rsidP="0009117F">
      <w:pPr>
        <w:spacing w:after="60"/>
        <w:ind w:left="2552" w:hanging="2552"/>
        <w:rPr>
          <w:rFonts w:cstheme="majorBidi"/>
          <w:szCs w:val="20"/>
          <w:lang w:val="en-GB"/>
        </w:rPr>
      </w:pPr>
      <w:r w:rsidRPr="00845FB7">
        <w:rPr>
          <w:rFonts w:cstheme="majorBidi"/>
          <w:b/>
          <w:bCs/>
          <w:szCs w:val="20"/>
          <w:lang w:val="en-GB"/>
        </w:rPr>
        <w:t>UNEP/MC/COP.6/INF/14:</w:t>
      </w:r>
      <w:r w:rsidRPr="00845FB7">
        <w:rPr>
          <w:rFonts w:cstheme="majorBidi"/>
          <w:szCs w:val="20"/>
          <w:lang w:val="en-GB"/>
        </w:rPr>
        <w:t xml:space="preserve"> </w:t>
      </w:r>
      <w:r w:rsidRPr="00845FB7">
        <w:rPr>
          <w:rFonts w:cstheme="majorBidi"/>
          <w:szCs w:val="20"/>
          <w:lang w:val="en-GB"/>
        </w:rPr>
        <w:tab/>
      </w:r>
      <w:r w:rsidR="00965423" w:rsidRPr="00845FB7">
        <w:rPr>
          <w:lang w:val="en-GB"/>
        </w:rPr>
        <w:t>The ninth replenishment</w:t>
      </w:r>
      <w:r w:rsidRPr="00845FB7">
        <w:rPr>
          <w:lang w:val="en-GB"/>
        </w:rPr>
        <w:t xml:space="preserve"> of the Global Environment </w:t>
      </w:r>
      <w:r w:rsidR="00965423" w:rsidRPr="00845FB7">
        <w:rPr>
          <w:lang w:val="en-GB"/>
        </w:rPr>
        <w:t xml:space="preserve">Facility trust fund: </w:t>
      </w:r>
      <w:r w:rsidR="00035348" w:rsidRPr="00845FB7">
        <w:rPr>
          <w:lang w:val="en-GB"/>
        </w:rPr>
        <w:t>draft strategic positioning and programming directions</w:t>
      </w:r>
    </w:p>
    <w:p w14:paraId="2DA7F461" w14:textId="72DE1D42" w:rsidR="003F02D2" w:rsidRPr="00845FB7" w:rsidRDefault="003F02D2" w:rsidP="22024433">
      <w:pPr>
        <w:spacing w:after="60"/>
        <w:ind w:left="2552" w:hanging="2552"/>
        <w:rPr>
          <w:rFonts w:cstheme="majorBidi"/>
          <w:lang w:val="en-GB"/>
        </w:rPr>
      </w:pPr>
      <w:r w:rsidRPr="00845FB7">
        <w:rPr>
          <w:rFonts w:cstheme="majorBidi"/>
          <w:b/>
          <w:bCs/>
          <w:lang w:val="en-GB"/>
        </w:rPr>
        <w:t>UNEP/MC/COP.</w:t>
      </w:r>
      <w:r w:rsidR="00E770E4" w:rsidRPr="00845FB7">
        <w:rPr>
          <w:rFonts w:cstheme="majorBidi"/>
          <w:b/>
          <w:bCs/>
          <w:lang w:val="en-GB"/>
        </w:rPr>
        <w:t>6</w:t>
      </w:r>
      <w:r w:rsidRPr="00845FB7">
        <w:rPr>
          <w:rFonts w:cstheme="majorBidi"/>
          <w:b/>
          <w:bCs/>
          <w:lang w:val="en-GB"/>
        </w:rPr>
        <w:t>/</w:t>
      </w:r>
      <w:r w:rsidR="00403310" w:rsidRPr="00845FB7">
        <w:rPr>
          <w:rFonts w:cstheme="majorBidi"/>
          <w:b/>
          <w:bCs/>
          <w:lang w:val="en-GB"/>
        </w:rPr>
        <w:t>11</w:t>
      </w:r>
      <w:r w:rsidRPr="00845FB7">
        <w:rPr>
          <w:rFonts w:cstheme="majorBidi"/>
          <w:b/>
          <w:bCs/>
          <w:lang w:val="en-GB"/>
        </w:rPr>
        <w:t>:</w:t>
      </w:r>
      <w:r w:rsidRPr="00845FB7">
        <w:rPr>
          <w:lang w:val="en-GB"/>
        </w:rPr>
        <w:tab/>
      </w:r>
      <w:r w:rsidR="00403310" w:rsidRPr="00845FB7">
        <w:rPr>
          <w:rFonts w:cstheme="majorBidi"/>
          <w:lang w:val="en-GB"/>
        </w:rPr>
        <w:t xml:space="preserve">Overall report on the </w:t>
      </w:r>
      <w:r w:rsidRPr="00845FB7">
        <w:rPr>
          <w:rFonts w:cstheme="majorBidi"/>
          <w:lang w:val="en-GB"/>
        </w:rPr>
        <w:t>Specific International Programme</w:t>
      </w:r>
      <w:r w:rsidR="00403310" w:rsidRPr="00845FB7">
        <w:rPr>
          <w:rFonts w:cstheme="majorBidi"/>
          <w:lang w:val="en-GB"/>
        </w:rPr>
        <w:t xml:space="preserve"> to Support Capacity-</w:t>
      </w:r>
      <w:r w:rsidR="002D34C3" w:rsidRPr="00845FB7">
        <w:rPr>
          <w:rFonts w:cstheme="majorBidi"/>
          <w:lang w:val="en-GB"/>
        </w:rPr>
        <w:t>B</w:t>
      </w:r>
      <w:r w:rsidR="00403310" w:rsidRPr="00845FB7">
        <w:rPr>
          <w:rFonts w:cstheme="majorBidi"/>
          <w:lang w:val="en-GB"/>
        </w:rPr>
        <w:t>uilding and Technical Assistance</w:t>
      </w:r>
    </w:p>
    <w:p w14:paraId="6995B4B0" w14:textId="04B165B2" w:rsidR="00C5371E" w:rsidRPr="00845FB7" w:rsidRDefault="00C5371E" w:rsidP="00BD36F8">
      <w:pPr>
        <w:spacing w:after="60"/>
        <w:ind w:left="2552" w:hanging="2552"/>
        <w:rPr>
          <w:rFonts w:cstheme="majorBidi"/>
          <w:szCs w:val="20"/>
          <w:lang w:val="en-GB"/>
        </w:rPr>
      </w:pPr>
      <w:r w:rsidRPr="00845FB7">
        <w:rPr>
          <w:rFonts w:cstheme="majorBidi"/>
          <w:b/>
          <w:bCs/>
          <w:szCs w:val="20"/>
          <w:lang w:val="en-GB"/>
        </w:rPr>
        <w:t>UNEP/MC/COP.</w:t>
      </w:r>
      <w:r w:rsidR="00E770E4" w:rsidRPr="00845FB7">
        <w:rPr>
          <w:rFonts w:cstheme="majorBidi"/>
          <w:b/>
          <w:bCs/>
          <w:szCs w:val="20"/>
          <w:lang w:val="en-GB"/>
        </w:rPr>
        <w:t>6</w:t>
      </w:r>
      <w:r w:rsidRPr="00845FB7">
        <w:rPr>
          <w:rFonts w:cstheme="majorBidi"/>
          <w:b/>
          <w:bCs/>
          <w:szCs w:val="20"/>
          <w:lang w:val="en-GB"/>
        </w:rPr>
        <w:t>/INF/15</w:t>
      </w:r>
      <w:r w:rsidR="00583592" w:rsidRPr="00845FB7">
        <w:rPr>
          <w:rFonts w:cstheme="majorBidi"/>
          <w:b/>
          <w:bCs/>
          <w:szCs w:val="20"/>
          <w:lang w:val="en-GB"/>
        </w:rPr>
        <w:t>:</w:t>
      </w:r>
      <w:r w:rsidR="003B4029" w:rsidRPr="00845FB7">
        <w:rPr>
          <w:rFonts w:cstheme="majorBidi"/>
          <w:szCs w:val="20"/>
          <w:lang w:val="en-GB"/>
        </w:rPr>
        <w:tab/>
      </w:r>
      <w:r w:rsidR="00BB4EBB" w:rsidRPr="00845FB7">
        <w:rPr>
          <w:rFonts w:cstheme="majorBidi"/>
          <w:szCs w:val="20"/>
          <w:lang w:val="en-GB"/>
        </w:rPr>
        <w:t>Reports of the ninth and tenth meetings of Governing Board of the Specific International Programme to Support Capacity</w:t>
      </w:r>
      <w:r w:rsidR="003679F9" w:rsidRPr="00845FB7">
        <w:rPr>
          <w:rFonts w:cstheme="majorBidi"/>
          <w:szCs w:val="20"/>
          <w:lang w:val="en-GB"/>
        </w:rPr>
        <w:t>-</w:t>
      </w:r>
      <w:r w:rsidR="00BB4EBB" w:rsidRPr="00845FB7">
        <w:rPr>
          <w:rFonts w:cstheme="majorBidi"/>
          <w:szCs w:val="20"/>
          <w:lang w:val="en-GB"/>
        </w:rPr>
        <w:t>Building and Technical Assistance</w:t>
      </w:r>
    </w:p>
    <w:p w14:paraId="3E667F21" w14:textId="5495CB70" w:rsidR="00F15163" w:rsidRPr="00845FB7" w:rsidRDefault="002D34C3" w:rsidP="00F15163">
      <w:pPr>
        <w:spacing w:after="60"/>
        <w:ind w:left="2552" w:hanging="2552"/>
        <w:rPr>
          <w:rFonts w:cstheme="majorBidi"/>
          <w:szCs w:val="20"/>
          <w:lang w:val="en-GB"/>
        </w:rPr>
      </w:pPr>
      <w:r w:rsidRPr="00845FB7">
        <w:rPr>
          <w:rFonts w:cstheme="majorBidi"/>
          <w:b/>
          <w:bCs/>
          <w:szCs w:val="20"/>
          <w:lang w:val="en-GB"/>
        </w:rPr>
        <w:t>UNEP/MC/COP.</w:t>
      </w:r>
      <w:r w:rsidR="00E770E4" w:rsidRPr="00845FB7">
        <w:rPr>
          <w:rFonts w:cstheme="majorBidi"/>
          <w:b/>
          <w:bCs/>
          <w:szCs w:val="20"/>
          <w:lang w:val="en-GB"/>
        </w:rPr>
        <w:t>6</w:t>
      </w:r>
      <w:r w:rsidRPr="00845FB7">
        <w:rPr>
          <w:rFonts w:cstheme="majorBidi"/>
          <w:b/>
          <w:bCs/>
          <w:szCs w:val="20"/>
          <w:lang w:val="en-GB"/>
        </w:rPr>
        <w:t>/INF/16:</w:t>
      </w:r>
      <w:r w:rsidR="003B4029" w:rsidRPr="00845FB7">
        <w:rPr>
          <w:rFonts w:cstheme="majorBidi"/>
          <w:szCs w:val="20"/>
          <w:lang w:val="en-GB"/>
        </w:rPr>
        <w:tab/>
      </w:r>
      <w:r w:rsidR="001A4B62" w:rsidRPr="00845FB7">
        <w:rPr>
          <w:rFonts w:cstheme="majorBidi"/>
          <w:szCs w:val="20"/>
          <w:lang w:val="en-GB"/>
        </w:rPr>
        <w:t>Activities of the Special Programme to support institutional strengthening at the national level for implementation of the Basel, Rotterdam and Stockholm conventions, the Minamata Convention and the Strategic Approach to International Chemicals Management</w:t>
      </w:r>
    </w:p>
    <w:p w14:paraId="56874B16" w14:textId="63990724" w:rsidR="000D2471" w:rsidRPr="00845FB7" w:rsidRDefault="000D2471" w:rsidP="00BD36F8">
      <w:pPr>
        <w:spacing w:after="60"/>
        <w:ind w:left="2552" w:hanging="2552"/>
        <w:rPr>
          <w:lang w:val="en-GB"/>
        </w:rPr>
      </w:pPr>
      <w:r w:rsidRPr="00845FB7">
        <w:rPr>
          <w:rFonts w:cstheme="majorBidi"/>
          <w:b/>
          <w:bCs/>
          <w:szCs w:val="20"/>
          <w:lang w:val="en-GB"/>
        </w:rPr>
        <w:t>UNEP/MC/COP.6/INF/1</w:t>
      </w:r>
      <w:r w:rsidR="005B1CD6" w:rsidRPr="00845FB7">
        <w:rPr>
          <w:rFonts w:cstheme="majorBidi"/>
          <w:b/>
          <w:bCs/>
          <w:szCs w:val="20"/>
          <w:lang w:val="en-GB"/>
        </w:rPr>
        <w:t>7</w:t>
      </w:r>
      <w:r w:rsidRPr="00845FB7">
        <w:rPr>
          <w:rFonts w:cstheme="majorBidi"/>
          <w:b/>
          <w:bCs/>
          <w:szCs w:val="20"/>
          <w:lang w:val="en-GB"/>
        </w:rPr>
        <w:t>:</w:t>
      </w:r>
      <w:r w:rsidRPr="00845FB7">
        <w:rPr>
          <w:rFonts w:cstheme="majorBidi"/>
          <w:b/>
          <w:bCs/>
          <w:szCs w:val="20"/>
          <w:lang w:val="en-GB"/>
        </w:rPr>
        <w:tab/>
      </w:r>
      <w:r w:rsidRPr="00845FB7">
        <w:rPr>
          <w:lang w:val="en-GB"/>
        </w:rPr>
        <w:t>Information on the Global Framework on Chemicals fund</w:t>
      </w:r>
    </w:p>
    <w:p w14:paraId="6282E54A" w14:textId="1829CDF1" w:rsidR="00F15163" w:rsidRPr="00845FB7" w:rsidRDefault="00F15163" w:rsidP="00F15163">
      <w:pPr>
        <w:spacing w:after="60"/>
        <w:ind w:left="2552" w:hanging="2552"/>
        <w:rPr>
          <w:rFonts w:cstheme="majorBidi"/>
          <w:szCs w:val="20"/>
          <w:lang w:val="en-GB"/>
        </w:rPr>
      </w:pPr>
      <w:r w:rsidRPr="00845FB7">
        <w:rPr>
          <w:rFonts w:cstheme="majorBidi"/>
          <w:b/>
          <w:bCs/>
          <w:szCs w:val="20"/>
          <w:lang w:val="en-GB"/>
        </w:rPr>
        <w:t>UNEP/MC/COP.6/INF/40:</w:t>
      </w:r>
      <w:r w:rsidRPr="00845FB7">
        <w:rPr>
          <w:rFonts w:cstheme="majorBidi"/>
          <w:szCs w:val="20"/>
          <w:lang w:val="en-GB"/>
        </w:rPr>
        <w:tab/>
        <w:t>Draft analysis of expected funding needs and related staffing needs for the Specific International Programme</w:t>
      </w:r>
    </w:p>
    <w:p w14:paraId="4CFC39DA" w14:textId="4F3B976C" w:rsidR="00AF6DE1" w:rsidRPr="00845FB7" w:rsidRDefault="00237E83" w:rsidP="00BD36F8">
      <w:pPr>
        <w:spacing w:after="60"/>
        <w:ind w:left="2552" w:hanging="2552"/>
        <w:rPr>
          <w:rFonts w:cstheme="majorBidi"/>
          <w:szCs w:val="20"/>
          <w:lang w:val="en-GB"/>
        </w:rPr>
      </w:pPr>
      <w:r w:rsidRPr="00845FB7">
        <w:rPr>
          <w:rFonts w:cstheme="majorBidi"/>
          <w:b/>
          <w:bCs/>
          <w:szCs w:val="20"/>
          <w:lang w:val="en-GB"/>
        </w:rPr>
        <w:t>UNEP/MC/COP.</w:t>
      </w:r>
      <w:r w:rsidR="00E770E4" w:rsidRPr="00845FB7">
        <w:rPr>
          <w:rFonts w:cstheme="majorBidi"/>
          <w:b/>
          <w:bCs/>
          <w:szCs w:val="20"/>
          <w:lang w:val="en-GB"/>
        </w:rPr>
        <w:t>6</w:t>
      </w:r>
      <w:r w:rsidRPr="00845FB7">
        <w:rPr>
          <w:rFonts w:cstheme="majorBidi"/>
          <w:b/>
          <w:bCs/>
          <w:szCs w:val="20"/>
          <w:lang w:val="en-GB"/>
        </w:rPr>
        <w:t>/12:</w:t>
      </w:r>
      <w:r w:rsidR="003B4029" w:rsidRPr="00845FB7">
        <w:rPr>
          <w:rFonts w:cstheme="majorBidi"/>
          <w:szCs w:val="20"/>
          <w:lang w:val="en-GB"/>
        </w:rPr>
        <w:tab/>
      </w:r>
      <w:r w:rsidR="00340CF3" w:rsidRPr="00845FB7">
        <w:rPr>
          <w:rFonts w:cstheme="majorBidi"/>
          <w:szCs w:val="20"/>
          <w:lang w:val="en-GB"/>
        </w:rPr>
        <w:t>Draft terms of reference for the third r</w:t>
      </w:r>
      <w:r w:rsidRPr="00845FB7">
        <w:rPr>
          <w:rFonts w:cstheme="majorBidi"/>
          <w:szCs w:val="20"/>
          <w:lang w:val="en-GB"/>
        </w:rPr>
        <w:t>eview of the financial mechanism</w:t>
      </w:r>
    </w:p>
    <w:p w14:paraId="160C26BC" w14:textId="55CBC95D" w:rsidR="005B1CD6" w:rsidRPr="00845FB7" w:rsidRDefault="00237E83" w:rsidP="00C959FA">
      <w:pPr>
        <w:spacing w:after="60"/>
        <w:ind w:left="2552" w:hanging="2552"/>
        <w:rPr>
          <w:rFonts w:cstheme="majorBidi"/>
          <w:szCs w:val="20"/>
          <w:lang w:val="en-GB"/>
        </w:rPr>
      </w:pPr>
      <w:r w:rsidRPr="00845FB7">
        <w:rPr>
          <w:rFonts w:cstheme="majorBidi"/>
          <w:b/>
          <w:bCs/>
          <w:szCs w:val="20"/>
          <w:lang w:val="en-GB"/>
        </w:rPr>
        <w:t>UNEP/MC/COP.</w:t>
      </w:r>
      <w:r w:rsidR="005B1CD6" w:rsidRPr="00845FB7">
        <w:rPr>
          <w:rFonts w:cstheme="majorBidi"/>
          <w:b/>
          <w:bCs/>
          <w:szCs w:val="20"/>
          <w:lang w:val="en-GB"/>
        </w:rPr>
        <w:t>6/13:</w:t>
      </w:r>
      <w:r w:rsidR="005B1CD6" w:rsidRPr="00845FB7">
        <w:rPr>
          <w:rFonts w:cstheme="majorBidi"/>
          <w:b/>
          <w:bCs/>
          <w:szCs w:val="20"/>
          <w:lang w:val="en-GB"/>
        </w:rPr>
        <w:tab/>
      </w:r>
      <w:r w:rsidR="00C959FA" w:rsidRPr="00845FB7">
        <w:rPr>
          <w:rFonts w:cstheme="majorBidi"/>
          <w:szCs w:val="20"/>
          <w:lang w:val="en-GB"/>
        </w:rPr>
        <w:t>I</w:t>
      </w:r>
      <w:r w:rsidR="00C959FA" w:rsidRPr="00845FB7">
        <w:rPr>
          <w:lang w:val="en-GB"/>
        </w:rPr>
        <w:t xml:space="preserve">mplementation of activities pursuant to decision MC-5/12 and </w:t>
      </w:r>
      <w:r w:rsidR="002B40E4" w:rsidRPr="00845FB7">
        <w:rPr>
          <w:lang w:val="en-GB"/>
        </w:rPr>
        <w:t>A</w:t>
      </w:r>
      <w:r w:rsidR="00C959FA" w:rsidRPr="00845FB7">
        <w:rPr>
          <w:lang w:val="en-GB"/>
        </w:rPr>
        <w:t>rticle 14 on capacity-building, technical assistance and technology transfer</w:t>
      </w:r>
    </w:p>
    <w:p w14:paraId="3894C983" w14:textId="370A8E87" w:rsidR="002D34C3" w:rsidRPr="00845FB7" w:rsidRDefault="0010131C" w:rsidP="00A537D1">
      <w:pPr>
        <w:spacing w:after="60"/>
        <w:ind w:left="2552" w:hanging="2552"/>
        <w:rPr>
          <w:rFonts w:cstheme="majorBidi"/>
          <w:szCs w:val="20"/>
          <w:lang w:val="en-GB"/>
        </w:rPr>
      </w:pPr>
      <w:r w:rsidRPr="00845FB7">
        <w:rPr>
          <w:rFonts w:cstheme="majorBidi"/>
          <w:b/>
          <w:bCs/>
          <w:szCs w:val="20"/>
          <w:lang w:val="en-GB"/>
        </w:rPr>
        <w:t>UNEP/MC/COP.</w:t>
      </w:r>
      <w:r w:rsidR="00E770E4" w:rsidRPr="00845FB7">
        <w:rPr>
          <w:rFonts w:cstheme="majorBidi"/>
          <w:b/>
          <w:bCs/>
          <w:szCs w:val="20"/>
          <w:lang w:val="en-GB"/>
        </w:rPr>
        <w:t>6</w:t>
      </w:r>
      <w:r w:rsidRPr="00845FB7">
        <w:rPr>
          <w:rFonts w:cstheme="majorBidi"/>
          <w:b/>
          <w:bCs/>
          <w:szCs w:val="20"/>
          <w:lang w:val="en-GB"/>
        </w:rPr>
        <w:t>/INF/18:</w:t>
      </w:r>
      <w:r w:rsidR="003B4029" w:rsidRPr="00845FB7">
        <w:rPr>
          <w:rFonts w:cstheme="majorBidi"/>
          <w:szCs w:val="20"/>
          <w:lang w:val="en-GB"/>
        </w:rPr>
        <w:tab/>
      </w:r>
      <w:r w:rsidR="00A537D1" w:rsidRPr="00845FB7">
        <w:rPr>
          <w:rFonts w:cstheme="majorBidi"/>
          <w:szCs w:val="20"/>
          <w:lang w:val="en-GB"/>
        </w:rPr>
        <w:t>Desk study on the overview of environmentally sound alternative technologies under the Minamata Convention on Mercury</w:t>
      </w:r>
      <w:r w:rsidR="00A537D1" w:rsidRPr="00845FB7" w:rsidDel="00A537D1">
        <w:rPr>
          <w:rFonts w:cstheme="majorBidi"/>
          <w:szCs w:val="20"/>
          <w:lang w:val="en-GB"/>
        </w:rPr>
        <w:t xml:space="preserve"> </w:t>
      </w:r>
    </w:p>
    <w:p w14:paraId="1F570402" w14:textId="5EDA40C9" w:rsidR="003F02D2" w:rsidRPr="00845FB7" w:rsidRDefault="003F02D2" w:rsidP="003F02D2">
      <w:pPr>
        <w:pStyle w:val="Heading3"/>
        <w:rPr>
          <w:sz w:val="24"/>
          <w:lang w:val="en-GB"/>
        </w:rPr>
      </w:pPr>
      <w:r w:rsidRPr="00845FB7">
        <w:rPr>
          <w:sz w:val="24"/>
          <w:lang w:val="en-GB"/>
        </w:rPr>
        <w:t>Mandate</w:t>
      </w:r>
    </w:p>
    <w:p w14:paraId="6841813D" w14:textId="396B7023" w:rsidR="003F02D2" w:rsidRPr="00845FB7" w:rsidRDefault="004C4230" w:rsidP="00BD36F8">
      <w:pPr>
        <w:spacing w:after="60" w:line="276" w:lineRule="auto"/>
        <w:rPr>
          <w:rFonts w:cstheme="majorBidi"/>
          <w:szCs w:val="20"/>
          <w:lang w:val="en-GB"/>
        </w:rPr>
      </w:pPr>
      <w:r w:rsidRPr="00845FB7">
        <w:rPr>
          <w:rFonts w:cstheme="majorBidi"/>
          <w:b/>
          <w:bCs/>
          <w:szCs w:val="20"/>
          <w:lang w:val="en-GB"/>
        </w:rPr>
        <w:t>Convention</w:t>
      </w:r>
      <w:r w:rsidRPr="00845FB7">
        <w:rPr>
          <w:rFonts w:cstheme="majorBidi"/>
          <w:szCs w:val="20"/>
          <w:lang w:val="en-GB"/>
        </w:rPr>
        <w:t>:</w:t>
      </w:r>
      <w:r w:rsidR="003F02D2" w:rsidRPr="00845FB7">
        <w:rPr>
          <w:rFonts w:cstheme="majorBidi"/>
          <w:szCs w:val="20"/>
          <w:lang w:val="en-GB"/>
        </w:rPr>
        <w:t xml:space="preserve"> </w:t>
      </w:r>
      <w:r w:rsidR="002B40E4" w:rsidRPr="00845FB7">
        <w:rPr>
          <w:rFonts w:cstheme="majorBidi"/>
          <w:szCs w:val="20"/>
          <w:lang w:val="en-GB"/>
        </w:rPr>
        <w:t>A</w:t>
      </w:r>
      <w:r w:rsidR="003F02D2" w:rsidRPr="00845FB7">
        <w:rPr>
          <w:rFonts w:cstheme="majorBidi"/>
          <w:szCs w:val="20"/>
          <w:lang w:val="en-GB"/>
        </w:rPr>
        <w:t>rticle 13</w:t>
      </w:r>
    </w:p>
    <w:p w14:paraId="3407EA10" w14:textId="6E24079B" w:rsidR="003F02D2" w:rsidRPr="00845FB7" w:rsidRDefault="003F02D2" w:rsidP="00BD36F8">
      <w:pPr>
        <w:spacing w:after="60" w:line="276" w:lineRule="auto"/>
        <w:rPr>
          <w:rFonts w:cstheme="majorBidi"/>
          <w:szCs w:val="20"/>
          <w:lang w:val="en-GB"/>
        </w:rPr>
      </w:pPr>
      <w:r w:rsidRPr="00845FB7">
        <w:rPr>
          <w:rFonts w:cstheme="majorBidi"/>
          <w:b/>
          <w:bCs/>
          <w:szCs w:val="20"/>
          <w:lang w:val="en-GB"/>
        </w:rPr>
        <w:t xml:space="preserve">COP </w:t>
      </w:r>
      <w:r w:rsidR="004C4230" w:rsidRPr="00845FB7">
        <w:rPr>
          <w:rFonts w:cstheme="majorBidi"/>
          <w:b/>
          <w:bCs/>
          <w:szCs w:val="20"/>
          <w:lang w:val="en-GB"/>
        </w:rPr>
        <w:t>decision</w:t>
      </w:r>
      <w:r w:rsidR="00711B75" w:rsidRPr="00845FB7">
        <w:rPr>
          <w:rFonts w:cstheme="majorBidi"/>
          <w:b/>
          <w:bCs/>
          <w:szCs w:val="20"/>
          <w:lang w:val="en-GB"/>
        </w:rPr>
        <w:t>(</w:t>
      </w:r>
      <w:r w:rsidR="004C4230" w:rsidRPr="00845FB7">
        <w:rPr>
          <w:rFonts w:cstheme="majorBidi"/>
          <w:b/>
          <w:bCs/>
          <w:szCs w:val="20"/>
          <w:lang w:val="en-GB"/>
        </w:rPr>
        <w:t>s</w:t>
      </w:r>
      <w:r w:rsidR="00711B75" w:rsidRPr="00845FB7">
        <w:rPr>
          <w:rFonts w:cstheme="majorBidi"/>
          <w:b/>
          <w:bCs/>
          <w:szCs w:val="20"/>
          <w:lang w:val="en-GB"/>
        </w:rPr>
        <w:t>)</w:t>
      </w:r>
      <w:r w:rsidR="004C4230" w:rsidRPr="00845FB7">
        <w:rPr>
          <w:rFonts w:cstheme="majorBidi"/>
          <w:szCs w:val="20"/>
          <w:lang w:val="en-GB"/>
        </w:rPr>
        <w:t>:</w:t>
      </w:r>
      <w:r w:rsidRPr="00845FB7">
        <w:rPr>
          <w:rFonts w:cstheme="majorBidi"/>
          <w:szCs w:val="20"/>
          <w:lang w:val="en-GB"/>
        </w:rPr>
        <w:t xml:space="preserve"> MC-1/5, MC-1/6, MC-3/7</w:t>
      </w:r>
      <w:r w:rsidR="00583592" w:rsidRPr="00845FB7">
        <w:rPr>
          <w:rFonts w:cstheme="majorBidi"/>
          <w:szCs w:val="20"/>
          <w:lang w:val="en-GB"/>
        </w:rPr>
        <w:t>, MC-4/7</w:t>
      </w:r>
      <w:r w:rsidR="00840C25" w:rsidRPr="00845FB7">
        <w:rPr>
          <w:rFonts w:cstheme="majorBidi"/>
          <w:szCs w:val="20"/>
          <w:lang w:val="en-GB"/>
        </w:rPr>
        <w:t>, MC-5/11</w:t>
      </w:r>
      <w:r w:rsidR="0075188D" w:rsidRPr="00845FB7">
        <w:rPr>
          <w:rFonts w:cstheme="majorBidi"/>
          <w:szCs w:val="20"/>
          <w:lang w:val="en-GB"/>
        </w:rPr>
        <w:t>, MC-5/12</w:t>
      </w:r>
    </w:p>
    <w:p w14:paraId="76F7A3E5" w14:textId="3CC634DD" w:rsidR="003F02D2" w:rsidRPr="00845FB7" w:rsidRDefault="003F02D2" w:rsidP="003F02D2">
      <w:pPr>
        <w:pStyle w:val="Heading3"/>
        <w:rPr>
          <w:sz w:val="24"/>
          <w:lang w:val="en-GB"/>
        </w:rPr>
      </w:pPr>
      <w:r w:rsidRPr="00845FB7">
        <w:rPr>
          <w:sz w:val="24"/>
          <w:lang w:val="en-GB"/>
        </w:rPr>
        <w:t>Background and rationale</w:t>
      </w:r>
    </w:p>
    <w:p w14:paraId="15577B5C" w14:textId="2BFEDB63" w:rsidR="003F02D2" w:rsidRPr="00845FB7" w:rsidRDefault="003F02D2" w:rsidP="00BD36F8">
      <w:pPr>
        <w:spacing w:after="120" w:line="276" w:lineRule="auto"/>
        <w:rPr>
          <w:rFonts w:cstheme="majorBidi"/>
          <w:szCs w:val="20"/>
          <w:lang w:val="en-GB"/>
        </w:rPr>
      </w:pPr>
      <w:r w:rsidRPr="00845FB7">
        <w:rPr>
          <w:rFonts w:cstheme="majorBidi"/>
          <w:szCs w:val="20"/>
          <w:lang w:val="en-GB"/>
        </w:rPr>
        <w:t xml:space="preserve">In paragraph 5 of Article 13, on the financial resources and mechanism, the Minamata Convention on Mercury defines a mechanism for the provision of adequate, predictable and timely financial resources to support developing-country </w:t>
      </w:r>
      <w:r w:rsidR="00972C2B" w:rsidRPr="00845FB7">
        <w:rPr>
          <w:rFonts w:cstheme="majorBidi"/>
          <w:szCs w:val="20"/>
          <w:lang w:val="en-GB"/>
        </w:rPr>
        <w:t>P</w:t>
      </w:r>
      <w:r w:rsidRPr="00845FB7">
        <w:rPr>
          <w:rFonts w:cstheme="majorBidi"/>
          <w:szCs w:val="20"/>
          <w:lang w:val="en-GB"/>
        </w:rPr>
        <w:t xml:space="preserve">arties and </w:t>
      </w:r>
      <w:r w:rsidR="00972C2B" w:rsidRPr="00845FB7">
        <w:rPr>
          <w:rFonts w:cstheme="majorBidi"/>
          <w:szCs w:val="20"/>
          <w:lang w:val="en-GB"/>
        </w:rPr>
        <w:t>P</w:t>
      </w:r>
      <w:r w:rsidRPr="00845FB7">
        <w:rPr>
          <w:rFonts w:cstheme="majorBidi"/>
          <w:szCs w:val="20"/>
          <w:lang w:val="en-GB"/>
        </w:rPr>
        <w:t xml:space="preserve">arties with economies in transition in implementing their obligations under the Convention. According to the Convention, the mechanism includes the Global </w:t>
      </w:r>
      <w:r w:rsidRPr="00845FB7">
        <w:rPr>
          <w:rFonts w:cstheme="majorBidi"/>
          <w:szCs w:val="20"/>
          <w:lang w:val="en-GB"/>
        </w:rPr>
        <w:lastRenderedPageBreak/>
        <w:t xml:space="preserve">Environment Facility Trust Fund and the Specific International Programme to Support Capacity-Building and Technical Assistance. </w:t>
      </w:r>
    </w:p>
    <w:p w14:paraId="1C55825A" w14:textId="512116FE" w:rsidR="002E2DC6" w:rsidRPr="00845FB7" w:rsidRDefault="002E2DC6" w:rsidP="00BD36F8">
      <w:pPr>
        <w:spacing w:after="120" w:line="276" w:lineRule="auto"/>
        <w:rPr>
          <w:rFonts w:cstheme="majorBidi"/>
          <w:b/>
          <w:bCs/>
          <w:szCs w:val="20"/>
          <w:lang w:val="en-GB"/>
        </w:rPr>
      </w:pPr>
      <w:r w:rsidRPr="00845FB7">
        <w:rPr>
          <w:rFonts w:cstheme="majorBidi"/>
          <w:b/>
          <w:bCs/>
          <w:szCs w:val="20"/>
          <w:lang w:val="en-GB"/>
        </w:rPr>
        <w:t xml:space="preserve">Financial resources </w:t>
      </w:r>
    </w:p>
    <w:p w14:paraId="36FBD2D4" w14:textId="58BE967F" w:rsidR="002E2DC6" w:rsidRPr="00845FB7" w:rsidRDefault="002E2DC6" w:rsidP="00BD36F8">
      <w:pPr>
        <w:spacing w:after="120" w:line="276" w:lineRule="auto"/>
        <w:rPr>
          <w:rFonts w:cstheme="majorBidi"/>
          <w:szCs w:val="20"/>
          <w:lang w:val="en-GB"/>
        </w:rPr>
      </w:pPr>
      <w:r w:rsidRPr="00845FB7">
        <w:rPr>
          <w:rFonts w:cstheme="majorBidi"/>
          <w:szCs w:val="20"/>
          <w:lang w:val="en-GB"/>
        </w:rPr>
        <w:t xml:space="preserve">Paragraph 1 of Article 13 states each Party undertakes to provide, within its capabilities, resources in respect of those national activities that are intended to implement the Convention, and that financial resources intended to implement the Convention may include domestic funding through relevant policies, development strategies and national budgets, and bilateral and multilateral funding, as well as private sector involvement. In the </w:t>
      </w:r>
      <w:r w:rsidR="00E2051A" w:rsidRPr="00845FB7">
        <w:rPr>
          <w:rFonts w:cstheme="majorBidi"/>
          <w:szCs w:val="20"/>
          <w:lang w:val="en-GB"/>
        </w:rPr>
        <w:t>2026–2027</w:t>
      </w:r>
      <w:r w:rsidRPr="00845FB7">
        <w:rPr>
          <w:rFonts w:cstheme="majorBidi"/>
          <w:szCs w:val="20"/>
          <w:lang w:val="en-GB"/>
        </w:rPr>
        <w:t xml:space="preserve"> biennium, the Secretariat, subject to available resources, will undertake a mapping analysis of current and potential sour</w:t>
      </w:r>
      <w:r w:rsidR="002749E6" w:rsidRPr="00845FB7">
        <w:rPr>
          <w:rFonts w:cstheme="majorBidi"/>
          <w:szCs w:val="20"/>
          <w:lang w:val="en-GB"/>
        </w:rPr>
        <w:t>c</w:t>
      </w:r>
      <w:r w:rsidRPr="00845FB7">
        <w:rPr>
          <w:rFonts w:cstheme="majorBidi"/>
          <w:szCs w:val="20"/>
          <w:lang w:val="en-GB"/>
        </w:rPr>
        <w:t xml:space="preserve">es of support from bilateral, multilateral, regional and private sector sources, with a particular focus on needs and challenges identified in national reporting and by the Implementation and Compliance Committee. The Secretariat will further promote the exchange of this information among </w:t>
      </w:r>
      <w:r w:rsidR="00AE24F8" w:rsidRPr="00845FB7">
        <w:rPr>
          <w:rFonts w:cstheme="majorBidi"/>
          <w:szCs w:val="20"/>
          <w:lang w:val="en-GB"/>
        </w:rPr>
        <w:t>P</w:t>
      </w:r>
      <w:r w:rsidRPr="00845FB7">
        <w:rPr>
          <w:rFonts w:cstheme="majorBidi"/>
          <w:szCs w:val="20"/>
          <w:lang w:val="en-GB"/>
        </w:rPr>
        <w:t>arties through webinars, regional meetings, case studies, and other communication efforts as appropriate.</w:t>
      </w:r>
    </w:p>
    <w:p w14:paraId="66655EAF" w14:textId="13840C23" w:rsidR="009B1870" w:rsidRPr="00845FB7" w:rsidRDefault="002E2DC6" w:rsidP="474A5AB6">
      <w:pPr>
        <w:spacing w:after="120" w:line="276" w:lineRule="auto"/>
        <w:rPr>
          <w:rFonts w:cstheme="majorBidi"/>
          <w:lang w:val="en-GB"/>
        </w:rPr>
      </w:pPr>
      <w:r w:rsidRPr="00845FB7">
        <w:rPr>
          <w:rFonts w:cstheme="majorBidi"/>
          <w:lang w:val="en-GB"/>
        </w:rPr>
        <w:t xml:space="preserve">In addition to the financial mechanism defined in the Convention and described above, implementation support to countries is provided though </w:t>
      </w:r>
      <w:r w:rsidR="00234CAD" w:rsidRPr="00845FB7">
        <w:rPr>
          <w:rFonts w:cstheme="majorBidi"/>
          <w:lang w:val="en-GB"/>
        </w:rPr>
        <w:t xml:space="preserve">(a) </w:t>
      </w:r>
      <w:r w:rsidRPr="00845FB7">
        <w:rPr>
          <w:rFonts w:cstheme="majorBidi"/>
          <w:lang w:val="en-GB"/>
        </w:rPr>
        <w:t xml:space="preserve">the Special Programme on Institutional Strengthening for the Chemicals Cluster as established by the first UN Environment Assembly, </w:t>
      </w:r>
      <w:r w:rsidR="00DC3714" w:rsidRPr="00845FB7">
        <w:rPr>
          <w:rFonts w:cstheme="majorBidi"/>
          <w:lang w:val="en-GB"/>
        </w:rPr>
        <w:t>and</w:t>
      </w:r>
      <w:r w:rsidR="00097122" w:rsidRPr="00845FB7">
        <w:rPr>
          <w:rFonts w:cstheme="majorBidi"/>
          <w:lang w:val="en-GB"/>
        </w:rPr>
        <w:t xml:space="preserve"> </w:t>
      </w:r>
      <w:r w:rsidR="00234CAD" w:rsidRPr="00845FB7">
        <w:rPr>
          <w:rFonts w:cstheme="majorBidi"/>
          <w:lang w:val="en-GB"/>
        </w:rPr>
        <w:t xml:space="preserve">(b) </w:t>
      </w:r>
      <w:r w:rsidR="00097122" w:rsidRPr="00845FB7">
        <w:rPr>
          <w:rFonts w:cstheme="majorBidi"/>
          <w:lang w:val="en-GB"/>
        </w:rPr>
        <w:t>the Global Framework on Chemicals Fund</w:t>
      </w:r>
      <w:r w:rsidR="006F2667" w:rsidRPr="00845FB7">
        <w:rPr>
          <w:rFonts w:cstheme="majorBidi"/>
          <w:lang w:val="en-GB"/>
        </w:rPr>
        <w:t xml:space="preserve"> as established at the fifth International Conference on Chemicals Management (ICCM5)</w:t>
      </w:r>
      <w:r w:rsidR="001C076B" w:rsidRPr="00845FB7">
        <w:rPr>
          <w:rFonts w:cstheme="majorBidi"/>
          <w:lang w:val="en-GB"/>
        </w:rPr>
        <w:t>.</w:t>
      </w:r>
      <w:r w:rsidR="00611E34" w:rsidRPr="00845FB7">
        <w:rPr>
          <w:rFonts w:cstheme="majorBidi"/>
          <w:lang w:val="en-GB"/>
        </w:rPr>
        <w:t xml:space="preserve"> </w:t>
      </w:r>
      <w:r w:rsidR="001C076B" w:rsidRPr="00845FB7">
        <w:rPr>
          <w:rFonts w:cstheme="majorBidi"/>
          <w:lang w:val="en-GB"/>
        </w:rPr>
        <w:t>B</w:t>
      </w:r>
      <w:r w:rsidR="00611E34" w:rsidRPr="00845FB7">
        <w:rPr>
          <w:rFonts w:cstheme="majorBidi"/>
          <w:lang w:val="en-GB"/>
        </w:rPr>
        <w:t>oth are hosted by the Chemicals and Health Branch</w:t>
      </w:r>
      <w:r w:rsidR="00BF5A8E" w:rsidRPr="00845FB7">
        <w:rPr>
          <w:rFonts w:cstheme="majorBidi"/>
          <w:lang w:val="en-GB"/>
        </w:rPr>
        <w:t xml:space="preserve">, Industry and </w:t>
      </w:r>
      <w:r w:rsidR="00611E34" w:rsidRPr="00845FB7">
        <w:rPr>
          <w:rFonts w:cstheme="majorBidi"/>
          <w:lang w:val="en-GB"/>
        </w:rPr>
        <w:t>Economy Division</w:t>
      </w:r>
      <w:r w:rsidR="00BF5A8E" w:rsidRPr="00845FB7">
        <w:rPr>
          <w:rFonts w:cstheme="majorBidi"/>
          <w:lang w:val="en-GB"/>
        </w:rPr>
        <w:t xml:space="preserve">, </w:t>
      </w:r>
      <w:r w:rsidR="00611E34" w:rsidRPr="00845FB7">
        <w:rPr>
          <w:rFonts w:cstheme="majorBidi"/>
          <w:lang w:val="en-GB"/>
        </w:rPr>
        <w:t>United Nations Environment Programme</w:t>
      </w:r>
      <w:r w:rsidRPr="00845FB7">
        <w:rPr>
          <w:rFonts w:cstheme="majorBidi"/>
          <w:lang w:val="en-GB"/>
        </w:rPr>
        <w:t xml:space="preserve">. </w:t>
      </w:r>
    </w:p>
    <w:p w14:paraId="38F9741D" w14:textId="670BFDBA" w:rsidR="00795BCE" w:rsidRPr="00845FB7" w:rsidRDefault="002E2DC6" w:rsidP="00BD36F8">
      <w:pPr>
        <w:spacing w:after="120" w:line="276" w:lineRule="auto"/>
        <w:rPr>
          <w:rFonts w:cstheme="majorBidi"/>
          <w:szCs w:val="20"/>
          <w:lang w:val="en-GB"/>
        </w:rPr>
      </w:pPr>
      <w:r w:rsidRPr="00845FB7">
        <w:rPr>
          <w:rFonts w:cstheme="majorBidi"/>
          <w:szCs w:val="20"/>
          <w:lang w:val="en-GB"/>
        </w:rPr>
        <w:t xml:space="preserve">The Special Programme has concluded </w:t>
      </w:r>
      <w:r w:rsidR="00072392" w:rsidRPr="00845FB7">
        <w:rPr>
          <w:rFonts w:cstheme="majorBidi"/>
          <w:szCs w:val="20"/>
          <w:lang w:val="en-GB"/>
        </w:rPr>
        <w:t xml:space="preserve">eight </w:t>
      </w:r>
      <w:r w:rsidRPr="00845FB7">
        <w:rPr>
          <w:rFonts w:cstheme="majorBidi"/>
          <w:szCs w:val="20"/>
          <w:lang w:val="en-GB"/>
        </w:rPr>
        <w:t xml:space="preserve">rounds of applications since its establishment in </w:t>
      </w:r>
      <w:r w:rsidR="00A16A93" w:rsidRPr="00845FB7">
        <w:rPr>
          <w:rFonts w:cstheme="majorBidi"/>
          <w:szCs w:val="20"/>
          <w:lang w:val="en-GB"/>
        </w:rPr>
        <w:t>2015</w:t>
      </w:r>
      <w:r w:rsidR="00BC687E" w:rsidRPr="00845FB7">
        <w:rPr>
          <w:rFonts w:cstheme="majorBidi"/>
          <w:szCs w:val="20"/>
          <w:lang w:val="en-GB"/>
        </w:rPr>
        <w:t>.</w:t>
      </w:r>
      <w:r w:rsidR="00A16A93" w:rsidRPr="00845FB7">
        <w:rPr>
          <w:rFonts w:cstheme="majorBidi"/>
          <w:szCs w:val="20"/>
          <w:lang w:val="en-GB"/>
        </w:rPr>
        <w:t xml:space="preserve"> </w:t>
      </w:r>
      <w:r w:rsidR="00161809" w:rsidRPr="00845FB7">
        <w:rPr>
          <w:rFonts w:cstheme="majorBidi"/>
          <w:szCs w:val="20"/>
          <w:lang w:val="en-GB"/>
        </w:rPr>
        <w:t xml:space="preserve">The Executive Board of the Special Programme at </w:t>
      </w:r>
      <w:r w:rsidRPr="00845FB7">
        <w:rPr>
          <w:rFonts w:cstheme="majorBidi"/>
          <w:szCs w:val="20"/>
          <w:lang w:val="en-GB"/>
        </w:rPr>
        <w:t xml:space="preserve">its </w:t>
      </w:r>
      <w:r w:rsidR="000447C3" w:rsidRPr="00845FB7">
        <w:rPr>
          <w:rFonts w:cstheme="majorBidi"/>
          <w:szCs w:val="20"/>
          <w:lang w:val="en-GB"/>
        </w:rPr>
        <w:t>Ten</w:t>
      </w:r>
      <w:r w:rsidR="00C57F54" w:rsidRPr="00845FB7">
        <w:rPr>
          <w:rFonts w:cstheme="majorBidi"/>
          <w:szCs w:val="20"/>
          <w:lang w:val="en-GB"/>
        </w:rPr>
        <w:t xml:space="preserve">th meeting held in March 2025 </w:t>
      </w:r>
      <w:r w:rsidR="00BB2D25" w:rsidRPr="00845FB7">
        <w:rPr>
          <w:rFonts w:cstheme="majorBidi"/>
          <w:szCs w:val="20"/>
          <w:lang w:val="en-GB"/>
        </w:rPr>
        <w:t xml:space="preserve">approved </w:t>
      </w:r>
      <w:r w:rsidR="00685B52" w:rsidRPr="00845FB7">
        <w:rPr>
          <w:rFonts w:cstheme="majorBidi"/>
          <w:szCs w:val="20"/>
          <w:lang w:val="en-GB"/>
        </w:rPr>
        <w:t xml:space="preserve">eight </w:t>
      </w:r>
      <w:r w:rsidR="000A11E7" w:rsidRPr="00845FB7">
        <w:rPr>
          <w:rFonts w:cstheme="majorBidi"/>
          <w:szCs w:val="20"/>
          <w:lang w:val="en-GB"/>
        </w:rPr>
        <w:t xml:space="preserve">projects under the Eighth Round of applications </w:t>
      </w:r>
      <w:r w:rsidR="003D7AA8" w:rsidRPr="00845FB7">
        <w:rPr>
          <w:rFonts w:cstheme="majorBidi"/>
          <w:szCs w:val="20"/>
          <w:lang w:val="en-GB"/>
        </w:rPr>
        <w:t xml:space="preserve">subject to the identification of sufficient funding to support their implementation. The Executive Board also </w:t>
      </w:r>
      <w:r w:rsidR="00C57F54" w:rsidRPr="00845FB7">
        <w:rPr>
          <w:rFonts w:cstheme="majorBidi"/>
          <w:szCs w:val="20"/>
          <w:lang w:val="en-GB"/>
        </w:rPr>
        <w:t xml:space="preserve">decided to postpone </w:t>
      </w:r>
      <w:r w:rsidR="005342A5" w:rsidRPr="00845FB7">
        <w:rPr>
          <w:rFonts w:cstheme="majorBidi"/>
          <w:szCs w:val="20"/>
          <w:lang w:val="en-GB"/>
        </w:rPr>
        <w:t xml:space="preserve">the launch of the Ninth </w:t>
      </w:r>
      <w:r w:rsidRPr="00845FB7">
        <w:rPr>
          <w:rFonts w:cstheme="majorBidi"/>
          <w:szCs w:val="20"/>
          <w:lang w:val="en-GB"/>
        </w:rPr>
        <w:t xml:space="preserve">Round of applications </w:t>
      </w:r>
      <w:r w:rsidR="005342A5" w:rsidRPr="00845FB7">
        <w:rPr>
          <w:rFonts w:cstheme="majorBidi"/>
          <w:szCs w:val="20"/>
          <w:lang w:val="en-GB"/>
        </w:rPr>
        <w:t>due to</w:t>
      </w:r>
      <w:r w:rsidR="00A03B38" w:rsidRPr="00845FB7">
        <w:rPr>
          <w:rFonts w:cstheme="majorBidi"/>
          <w:szCs w:val="20"/>
          <w:lang w:val="en-GB"/>
        </w:rPr>
        <w:t xml:space="preserve"> lack of resources</w:t>
      </w:r>
      <w:r w:rsidRPr="00845FB7">
        <w:rPr>
          <w:rFonts w:cstheme="majorBidi"/>
          <w:szCs w:val="20"/>
          <w:lang w:val="en-GB"/>
        </w:rPr>
        <w:t>. The Secretariat engages with the Special Programme to ensure that its Executive Board and applicants have full information regarding the Convention and relevant implementation needs. This includes participating on the Special Programme’s internal task team as it reviews both submitted and revised applications</w:t>
      </w:r>
      <w:r w:rsidR="00166E97" w:rsidRPr="00845FB7">
        <w:rPr>
          <w:rFonts w:cstheme="majorBidi"/>
          <w:szCs w:val="20"/>
          <w:lang w:val="en-GB"/>
        </w:rPr>
        <w:t>;</w:t>
      </w:r>
      <w:r w:rsidRPr="00845FB7">
        <w:rPr>
          <w:rFonts w:cstheme="majorBidi"/>
          <w:szCs w:val="20"/>
          <w:lang w:val="en-GB"/>
        </w:rPr>
        <w:t xml:space="preserve"> participating in its Executive Board meetings to provide updates on the Convention and any needed clarifications; participating in application webinars</w:t>
      </w:r>
      <w:r w:rsidR="00287197" w:rsidRPr="00845FB7">
        <w:rPr>
          <w:rFonts w:cstheme="majorBidi"/>
          <w:szCs w:val="20"/>
          <w:lang w:val="en-GB"/>
        </w:rPr>
        <w:t>,</w:t>
      </w:r>
      <w:r w:rsidR="00166E97" w:rsidRPr="00845FB7">
        <w:rPr>
          <w:rFonts w:cstheme="majorBidi"/>
          <w:szCs w:val="20"/>
          <w:lang w:val="en-GB"/>
        </w:rPr>
        <w:t xml:space="preserve"> as </w:t>
      </w:r>
      <w:r w:rsidR="00BB14E4" w:rsidRPr="00845FB7">
        <w:rPr>
          <w:rFonts w:cstheme="majorBidi"/>
          <w:szCs w:val="20"/>
          <w:lang w:val="en-GB"/>
        </w:rPr>
        <w:t>relevant</w:t>
      </w:r>
      <w:r w:rsidRPr="00845FB7">
        <w:rPr>
          <w:rFonts w:cstheme="majorBidi"/>
          <w:szCs w:val="20"/>
          <w:lang w:val="en-GB"/>
        </w:rPr>
        <w:t>; and providing requested text updates to Special Programme guidance, guidelines, and information resources.</w:t>
      </w:r>
      <w:r w:rsidR="0039752D" w:rsidRPr="00845FB7">
        <w:rPr>
          <w:rFonts w:cstheme="majorBidi"/>
          <w:szCs w:val="20"/>
          <w:lang w:val="en-GB"/>
        </w:rPr>
        <w:t xml:space="preserve"> </w:t>
      </w:r>
    </w:p>
    <w:p w14:paraId="75D3D06D" w14:textId="59CD1ED9" w:rsidR="002E2DC6" w:rsidRPr="00845FB7" w:rsidRDefault="00E5079C" w:rsidP="00BD36F8">
      <w:pPr>
        <w:spacing w:after="120" w:line="276" w:lineRule="auto"/>
        <w:rPr>
          <w:rFonts w:cstheme="majorBidi"/>
          <w:szCs w:val="20"/>
          <w:lang w:val="en-GB"/>
        </w:rPr>
      </w:pPr>
      <w:r w:rsidRPr="00845FB7">
        <w:rPr>
          <w:rFonts w:cstheme="majorBidi"/>
          <w:szCs w:val="20"/>
          <w:lang w:val="en-GB"/>
        </w:rPr>
        <w:t xml:space="preserve">The Executive Board of the </w:t>
      </w:r>
      <w:r w:rsidR="0039752D" w:rsidRPr="00845FB7">
        <w:rPr>
          <w:rFonts w:cstheme="majorBidi"/>
          <w:szCs w:val="20"/>
          <w:lang w:val="en-GB"/>
        </w:rPr>
        <w:t>Global</w:t>
      </w:r>
      <w:r w:rsidR="004B025E" w:rsidRPr="00845FB7">
        <w:rPr>
          <w:rFonts w:cstheme="majorBidi"/>
          <w:szCs w:val="20"/>
          <w:lang w:val="en-GB"/>
        </w:rPr>
        <w:t xml:space="preserve"> </w:t>
      </w:r>
      <w:r w:rsidR="0039752D" w:rsidRPr="00845FB7">
        <w:rPr>
          <w:rFonts w:cstheme="majorBidi"/>
          <w:szCs w:val="20"/>
          <w:lang w:val="en-GB"/>
        </w:rPr>
        <w:t>Framework</w:t>
      </w:r>
      <w:r w:rsidR="004B025E" w:rsidRPr="00845FB7">
        <w:rPr>
          <w:rFonts w:cstheme="majorBidi"/>
          <w:szCs w:val="20"/>
          <w:lang w:val="en-GB"/>
        </w:rPr>
        <w:t xml:space="preserve"> </w:t>
      </w:r>
      <w:r w:rsidR="0039752D" w:rsidRPr="00845FB7">
        <w:rPr>
          <w:rFonts w:cstheme="majorBidi"/>
          <w:szCs w:val="20"/>
          <w:lang w:val="en-GB"/>
        </w:rPr>
        <w:t>on</w:t>
      </w:r>
      <w:r w:rsidR="004B025E" w:rsidRPr="00845FB7">
        <w:rPr>
          <w:rFonts w:cstheme="majorBidi"/>
          <w:szCs w:val="20"/>
          <w:lang w:val="en-GB"/>
        </w:rPr>
        <w:t xml:space="preserve"> </w:t>
      </w:r>
      <w:r w:rsidR="0039752D" w:rsidRPr="00845FB7">
        <w:rPr>
          <w:rFonts w:cstheme="majorBidi"/>
          <w:szCs w:val="20"/>
          <w:lang w:val="en-GB"/>
        </w:rPr>
        <w:t>Chemicals</w:t>
      </w:r>
      <w:r w:rsidR="004B025E" w:rsidRPr="00845FB7">
        <w:rPr>
          <w:rFonts w:cstheme="majorBidi"/>
          <w:szCs w:val="20"/>
          <w:lang w:val="en-GB"/>
        </w:rPr>
        <w:t xml:space="preserve"> (GFC)</w:t>
      </w:r>
      <w:r w:rsidR="0039752D" w:rsidRPr="00845FB7">
        <w:rPr>
          <w:rFonts w:cstheme="majorBidi"/>
          <w:szCs w:val="20"/>
          <w:lang w:val="en-GB"/>
        </w:rPr>
        <w:t xml:space="preserve"> Fund</w:t>
      </w:r>
      <w:r w:rsidRPr="00845FB7">
        <w:rPr>
          <w:rFonts w:cstheme="majorBidi"/>
          <w:szCs w:val="20"/>
          <w:lang w:val="en-GB"/>
        </w:rPr>
        <w:t xml:space="preserve"> </w:t>
      </w:r>
      <w:r w:rsidR="00F34AA1" w:rsidRPr="00845FB7">
        <w:rPr>
          <w:rFonts w:cstheme="majorBidi"/>
          <w:szCs w:val="20"/>
          <w:lang w:val="en-GB"/>
        </w:rPr>
        <w:t xml:space="preserve">approved four regional projects under the </w:t>
      </w:r>
      <w:r w:rsidR="00D07F94" w:rsidRPr="00845FB7">
        <w:rPr>
          <w:rFonts w:cstheme="majorBidi"/>
          <w:szCs w:val="20"/>
          <w:lang w:val="en-GB"/>
        </w:rPr>
        <w:t>F</w:t>
      </w:r>
      <w:r w:rsidR="00F34AA1" w:rsidRPr="00845FB7">
        <w:rPr>
          <w:rFonts w:cstheme="majorBidi"/>
          <w:szCs w:val="20"/>
          <w:lang w:val="en-GB"/>
        </w:rPr>
        <w:t xml:space="preserve">irst </w:t>
      </w:r>
      <w:r w:rsidR="00D07F94" w:rsidRPr="00845FB7">
        <w:rPr>
          <w:rFonts w:cstheme="majorBidi"/>
          <w:szCs w:val="20"/>
          <w:lang w:val="en-GB"/>
        </w:rPr>
        <w:t xml:space="preserve">Round of applications </w:t>
      </w:r>
      <w:r w:rsidR="00A10767" w:rsidRPr="00845FB7">
        <w:rPr>
          <w:rFonts w:cstheme="majorBidi"/>
          <w:szCs w:val="20"/>
          <w:lang w:val="en-GB"/>
        </w:rPr>
        <w:t>that was launched on 1 October 2024 and closed on 31 January 2025.</w:t>
      </w:r>
      <w:r w:rsidR="002F0723" w:rsidRPr="00845FB7">
        <w:rPr>
          <w:rFonts w:cstheme="majorBidi"/>
          <w:szCs w:val="20"/>
          <w:lang w:val="en-GB"/>
        </w:rPr>
        <w:t xml:space="preserve"> The Secretariat provides feedback on </w:t>
      </w:r>
      <w:r w:rsidR="004B025E" w:rsidRPr="00845FB7">
        <w:rPr>
          <w:rFonts w:cstheme="majorBidi"/>
          <w:szCs w:val="20"/>
          <w:lang w:val="en-GB"/>
        </w:rPr>
        <w:t xml:space="preserve">relevant </w:t>
      </w:r>
      <w:r w:rsidR="002F0723" w:rsidRPr="00845FB7">
        <w:rPr>
          <w:rFonts w:cstheme="majorBidi"/>
          <w:szCs w:val="20"/>
          <w:lang w:val="en-GB"/>
        </w:rPr>
        <w:t xml:space="preserve">project applications </w:t>
      </w:r>
      <w:r w:rsidR="004B025E" w:rsidRPr="00845FB7">
        <w:rPr>
          <w:rFonts w:cstheme="majorBidi"/>
          <w:szCs w:val="20"/>
          <w:lang w:val="en-GB"/>
        </w:rPr>
        <w:t xml:space="preserve">as requested by the GFC Fund Secretariat and participates in </w:t>
      </w:r>
      <w:r w:rsidR="002F4221" w:rsidRPr="00845FB7">
        <w:rPr>
          <w:rFonts w:cstheme="majorBidi"/>
          <w:szCs w:val="20"/>
          <w:lang w:val="en-GB"/>
        </w:rPr>
        <w:t>meetings</w:t>
      </w:r>
      <w:r w:rsidR="00986C03" w:rsidRPr="00845FB7">
        <w:rPr>
          <w:rFonts w:cstheme="majorBidi"/>
          <w:szCs w:val="20"/>
          <w:lang w:val="en-GB"/>
        </w:rPr>
        <w:t xml:space="preserve"> </w:t>
      </w:r>
      <w:r w:rsidR="00251323" w:rsidRPr="00845FB7">
        <w:rPr>
          <w:rFonts w:cstheme="majorBidi"/>
          <w:szCs w:val="20"/>
          <w:lang w:val="en-GB"/>
        </w:rPr>
        <w:t xml:space="preserve">of </w:t>
      </w:r>
      <w:r w:rsidR="001444CE" w:rsidRPr="00845FB7">
        <w:rPr>
          <w:rFonts w:cstheme="majorBidi"/>
          <w:szCs w:val="20"/>
          <w:lang w:val="en-GB"/>
        </w:rPr>
        <w:t>its</w:t>
      </w:r>
      <w:r w:rsidR="00251323" w:rsidRPr="00845FB7">
        <w:rPr>
          <w:rFonts w:cstheme="majorBidi"/>
          <w:szCs w:val="20"/>
          <w:lang w:val="en-GB"/>
        </w:rPr>
        <w:t xml:space="preserve"> Executive Board</w:t>
      </w:r>
      <w:r w:rsidR="001444CE" w:rsidRPr="00845FB7">
        <w:rPr>
          <w:rFonts w:cstheme="majorBidi"/>
          <w:szCs w:val="20"/>
          <w:lang w:val="en-GB"/>
        </w:rPr>
        <w:t xml:space="preserve">, as well as </w:t>
      </w:r>
      <w:r w:rsidR="0078621E" w:rsidRPr="00845FB7">
        <w:rPr>
          <w:rFonts w:cstheme="majorBidi"/>
          <w:szCs w:val="20"/>
          <w:lang w:val="en-GB"/>
        </w:rPr>
        <w:t>in joint meetings of the Executive Boards of the Special Programme and the GFC Fund</w:t>
      </w:r>
      <w:r w:rsidR="001444CE" w:rsidRPr="00845FB7">
        <w:rPr>
          <w:rFonts w:cstheme="majorBidi"/>
          <w:szCs w:val="20"/>
          <w:lang w:val="en-GB"/>
        </w:rPr>
        <w:t xml:space="preserve">. </w:t>
      </w:r>
    </w:p>
    <w:p w14:paraId="6374797E" w14:textId="760A197C" w:rsidR="008013CB" w:rsidRPr="00845FB7" w:rsidRDefault="008013CB" w:rsidP="00BD36F8">
      <w:pPr>
        <w:spacing w:after="120" w:line="276" w:lineRule="auto"/>
        <w:rPr>
          <w:rFonts w:cstheme="majorBidi"/>
          <w:szCs w:val="20"/>
          <w:lang w:val="en-GB"/>
        </w:rPr>
      </w:pPr>
      <w:r w:rsidRPr="00845FB7">
        <w:rPr>
          <w:rFonts w:cstheme="majorBidi"/>
          <w:lang w:val="en-GB"/>
        </w:rPr>
        <w:t>In decision MC-</w:t>
      </w:r>
      <w:r w:rsidR="00D77242" w:rsidRPr="00845FB7">
        <w:rPr>
          <w:rFonts w:cstheme="majorBidi"/>
          <w:lang w:val="en-GB"/>
        </w:rPr>
        <w:t>5</w:t>
      </w:r>
      <w:r w:rsidRPr="00845FB7">
        <w:rPr>
          <w:rFonts w:cstheme="majorBidi"/>
          <w:lang w:val="en-GB"/>
        </w:rPr>
        <w:t>/</w:t>
      </w:r>
      <w:r w:rsidR="00D77242" w:rsidRPr="00845FB7">
        <w:rPr>
          <w:rFonts w:cstheme="majorBidi"/>
          <w:lang w:val="en-GB"/>
        </w:rPr>
        <w:t>11</w:t>
      </w:r>
      <w:r w:rsidRPr="00845FB7">
        <w:rPr>
          <w:rFonts w:cstheme="majorBidi"/>
          <w:lang w:val="en-GB"/>
        </w:rPr>
        <w:t xml:space="preserve">, the Conference of the Parties </w:t>
      </w:r>
      <w:r w:rsidR="00B01180" w:rsidRPr="00845FB7">
        <w:rPr>
          <w:lang w:val="en-GB"/>
        </w:rPr>
        <w:t>requested the Secretariat to</w:t>
      </w:r>
      <w:r w:rsidR="00EF7671" w:rsidRPr="00845FB7">
        <w:rPr>
          <w:lang w:val="en-GB"/>
        </w:rPr>
        <w:t xml:space="preserve"> prepare</w:t>
      </w:r>
      <w:r w:rsidR="00B01180" w:rsidRPr="00845FB7">
        <w:rPr>
          <w:lang w:val="en-GB"/>
        </w:rPr>
        <w:t xml:space="preserve"> </w:t>
      </w:r>
      <w:r w:rsidR="00EF7671" w:rsidRPr="00845FB7">
        <w:rPr>
          <w:lang w:val="en-GB"/>
        </w:rPr>
        <w:t xml:space="preserve">draft </w:t>
      </w:r>
      <w:r w:rsidRPr="00845FB7">
        <w:rPr>
          <w:lang w:val="en-GB"/>
        </w:rPr>
        <w:t xml:space="preserve">terms of reference for the </w:t>
      </w:r>
      <w:r w:rsidR="00EF7671" w:rsidRPr="00845FB7">
        <w:rPr>
          <w:lang w:val="en-GB"/>
        </w:rPr>
        <w:t>third</w:t>
      </w:r>
      <w:r w:rsidRPr="00845FB7">
        <w:rPr>
          <w:lang w:val="en-GB"/>
        </w:rPr>
        <w:t xml:space="preserve"> review of the financial mechanism </w:t>
      </w:r>
      <w:r w:rsidR="000A169C" w:rsidRPr="00845FB7">
        <w:rPr>
          <w:lang w:val="en-GB"/>
        </w:rPr>
        <w:t xml:space="preserve">for consideration at </w:t>
      </w:r>
      <w:r w:rsidR="00A579E3" w:rsidRPr="00845FB7">
        <w:rPr>
          <w:lang w:val="en-GB"/>
        </w:rPr>
        <w:t xml:space="preserve">COP-6. </w:t>
      </w:r>
      <w:r w:rsidR="001B7E18" w:rsidRPr="00845FB7">
        <w:rPr>
          <w:lang w:val="en-GB"/>
        </w:rPr>
        <w:t xml:space="preserve">The Secretariat has prepared draft terms of reference for the third review, which are set out in annex II to </w:t>
      </w:r>
      <w:r w:rsidR="00733DF1" w:rsidRPr="00845FB7">
        <w:rPr>
          <w:lang w:val="en-GB"/>
        </w:rPr>
        <w:t>document UNEP/MC/COP.6/12</w:t>
      </w:r>
      <w:r w:rsidR="001B7E18" w:rsidRPr="00845FB7">
        <w:rPr>
          <w:lang w:val="en-GB"/>
        </w:rPr>
        <w:t>. The draft terms of reference build on the terms of reference for the second review of the financial mechanism (decision MC-4/7, annex), with only a few adjustments to the sections entitled “report” and “performance criteria”.</w:t>
      </w:r>
      <w:r w:rsidR="005279B2" w:rsidRPr="00845FB7">
        <w:rPr>
          <w:rStyle w:val="CommentReference"/>
          <w:lang w:val="en-GB"/>
        </w:rPr>
        <w:t xml:space="preserve"> I</w:t>
      </w:r>
      <w:r w:rsidR="005279B2" w:rsidRPr="00845FB7">
        <w:rPr>
          <w:rFonts w:cstheme="majorBidi"/>
          <w:lang w:val="en-GB"/>
        </w:rPr>
        <w:t xml:space="preserve">n developing the draft terms of reference, the </w:t>
      </w:r>
      <w:r w:rsidR="003C1C42" w:rsidRPr="00845FB7">
        <w:rPr>
          <w:rFonts w:cstheme="majorBidi"/>
          <w:lang w:val="en-GB"/>
        </w:rPr>
        <w:t>S</w:t>
      </w:r>
      <w:r w:rsidR="005279B2" w:rsidRPr="00845FB7">
        <w:rPr>
          <w:rFonts w:cstheme="majorBidi"/>
          <w:lang w:val="en-GB"/>
        </w:rPr>
        <w:t xml:space="preserve">ecretariat invited input from the </w:t>
      </w:r>
      <w:r w:rsidR="00F17302" w:rsidRPr="00845FB7">
        <w:rPr>
          <w:rFonts w:cstheme="majorBidi"/>
          <w:lang w:val="en-GB"/>
        </w:rPr>
        <w:t>S</w:t>
      </w:r>
      <w:r w:rsidR="005279B2" w:rsidRPr="00845FB7">
        <w:rPr>
          <w:rFonts w:cstheme="majorBidi"/>
          <w:lang w:val="en-GB"/>
        </w:rPr>
        <w:t>ecretariat of the Global Environment Facility (GEF) and from the Governing Board of the Specific International Programme to Support Capacity-Building and Technical Assistance</w:t>
      </w:r>
      <w:r w:rsidR="002E092A" w:rsidRPr="00845FB7">
        <w:rPr>
          <w:rFonts w:cstheme="majorBidi"/>
          <w:lang w:val="en-GB"/>
        </w:rPr>
        <w:t>.</w:t>
      </w:r>
    </w:p>
    <w:p w14:paraId="582432F1" w14:textId="38C10CCA" w:rsidR="003F02D2" w:rsidRPr="00845FB7" w:rsidRDefault="003F02D2" w:rsidP="00BD36F8">
      <w:pPr>
        <w:spacing w:after="120" w:line="276" w:lineRule="auto"/>
        <w:rPr>
          <w:rFonts w:cstheme="majorBidi"/>
          <w:b/>
          <w:bCs/>
          <w:szCs w:val="20"/>
          <w:lang w:val="en-GB"/>
        </w:rPr>
      </w:pPr>
      <w:r w:rsidRPr="00845FB7">
        <w:rPr>
          <w:rFonts w:cstheme="majorBidi"/>
          <w:b/>
          <w:bCs/>
          <w:szCs w:val="20"/>
          <w:lang w:val="en-GB"/>
        </w:rPr>
        <w:t xml:space="preserve">Global Environment Facility Trust Fund </w:t>
      </w:r>
    </w:p>
    <w:p w14:paraId="52B08CA9" w14:textId="6ECB2E19" w:rsidR="000972B1" w:rsidRPr="00845FB7" w:rsidRDefault="003F02D2" w:rsidP="00BD36F8">
      <w:pPr>
        <w:spacing w:after="120" w:line="276" w:lineRule="auto"/>
        <w:rPr>
          <w:rFonts w:cstheme="majorBidi"/>
          <w:lang w:val="en-GB"/>
        </w:rPr>
      </w:pPr>
      <w:r w:rsidRPr="00845FB7">
        <w:rPr>
          <w:rFonts w:cstheme="majorBidi"/>
          <w:lang w:val="en-GB"/>
        </w:rPr>
        <w:t xml:space="preserve">The GEF has provided programming support on mercury since the fifth replenishment period. </w:t>
      </w:r>
      <w:r w:rsidR="00FE1BB4" w:rsidRPr="00845FB7">
        <w:rPr>
          <w:rFonts w:cstheme="majorBidi"/>
          <w:lang w:val="en-GB"/>
        </w:rPr>
        <w:t xml:space="preserve">The GEF has provided enabling activity support in the form of Minamata Initial Assessments and </w:t>
      </w:r>
      <w:r w:rsidR="00695CD1" w:rsidRPr="00845FB7">
        <w:rPr>
          <w:rFonts w:cstheme="majorBidi"/>
          <w:lang w:val="en-GB"/>
        </w:rPr>
        <w:t>artisanal and small-scale gold mining (</w:t>
      </w:r>
      <w:r w:rsidR="00FE1BB4" w:rsidRPr="00845FB7">
        <w:rPr>
          <w:rFonts w:cstheme="majorBidi"/>
          <w:lang w:val="en-GB"/>
        </w:rPr>
        <w:t>ASGM</w:t>
      </w:r>
      <w:r w:rsidR="00695CD1" w:rsidRPr="00845FB7">
        <w:rPr>
          <w:rFonts w:cstheme="majorBidi"/>
          <w:lang w:val="en-GB"/>
        </w:rPr>
        <w:t>)</w:t>
      </w:r>
      <w:r w:rsidR="00FE1BB4" w:rsidRPr="00845FB7">
        <w:rPr>
          <w:rFonts w:cstheme="majorBidi"/>
          <w:lang w:val="en-GB"/>
        </w:rPr>
        <w:t xml:space="preserve"> National Action </w:t>
      </w:r>
      <w:r w:rsidR="00A16A93" w:rsidRPr="00845FB7">
        <w:rPr>
          <w:rFonts w:cstheme="majorBidi"/>
          <w:lang w:val="en-GB"/>
        </w:rPr>
        <w:t>Plans and</w:t>
      </w:r>
      <w:r w:rsidR="00FE1BB4" w:rsidRPr="00845FB7">
        <w:rPr>
          <w:rFonts w:cstheme="majorBidi"/>
          <w:lang w:val="en-GB"/>
        </w:rPr>
        <w:t xml:space="preserve"> has also supported numerous </w:t>
      </w:r>
      <w:r w:rsidR="0008776D" w:rsidRPr="00845FB7">
        <w:rPr>
          <w:rFonts w:cstheme="majorBidi"/>
          <w:lang w:val="en-GB"/>
        </w:rPr>
        <w:t>P</w:t>
      </w:r>
      <w:r w:rsidR="00FE1BB4" w:rsidRPr="00845FB7">
        <w:rPr>
          <w:rFonts w:cstheme="majorBidi"/>
          <w:lang w:val="en-GB"/>
        </w:rPr>
        <w:t xml:space="preserve">arties in meeting their substantive obligations in accordance with the COP’s Guidance to the GEF. The Secretariat reviews projects seeking Minamata Convention GEF funding; engages in GEF Council, replenishment, Assembly, and </w:t>
      </w:r>
      <w:r w:rsidR="00FE1BB4" w:rsidRPr="00845FB7">
        <w:rPr>
          <w:rFonts w:cstheme="majorBidi"/>
          <w:lang w:val="en-GB"/>
        </w:rPr>
        <w:lastRenderedPageBreak/>
        <w:t xml:space="preserve">Chemicals and Waste Task Force meetings; provides Convention-related information to GEF agencies as they plan and implement projects; and provides support to Parties as they consider funding sources. </w:t>
      </w:r>
      <w:r w:rsidR="00003032" w:rsidRPr="00845FB7">
        <w:rPr>
          <w:rFonts w:cstheme="majorBidi"/>
          <w:lang w:val="en-GB"/>
        </w:rPr>
        <w:t xml:space="preserve">In the biennium 2024–2025, the </w:t>
      </w:r>
      <w:r w:rsidR="00120B5F" w:rsidRPr="00845FB7">
        <w:rPr>
          <w:rFonts w:cstheme="majorBidi"/>
          <w:lang w:val="en-GB"/>
        </w:rPr>
        <w:t>S</w:t>
      </w:r>
      <w:r w:rsidR="00003032" w:rsidRPr="00845FB7">
        <w:rPr>
          <w:rFonts w:cstheme="majorBidi"/>
          <w:lang w:val="en-GB"/>
        </w:rPr>
        <w:t>ecretariat engage</w:t>
      </w:r>
      <w:r w:rsidR="00C34A8B" w:rsidRPr="00845FB7">
        <w:rPr>
          <w:rFonts w:cstheme="majorBidi"/>
          <w:lang w:val="en-GB"/>
        </w:rPr>
        <w:t>d</w:t>
      </w:r>
      <w:r w:rsidR="00003032" w:rsidRPr="00845FB7">
        <w:rPr>
          <w:rFonts w:cstheme="majorBidi"/>
          <w:lang w:val="en-GB"/>
        </w:rPr>
        <w:t xml:space="preserve"> with the GEF </w:t>
      </w:r>
      <w:r w:rsidR="00F17302" w:rsidRPr="00845FB7">
        <w:rPr>
          <w:rFonts w:cstheme="majorBidi"/>
          <w:lang w:val="en-GB"/>
        </w:rPr>
        <w:t>S</w:t>
      </w:r>
      <w:r w:rsidR="00003032" w:rsidRPr="00845FB7">
        <w:rPr>
          <w:rFonts w:cstheme="majorBidi"/>
          <w:lang w:val="en-GB"/>
        </w:rPr>
        <w:t xml:space="preserve">ecretariat on knowledge management and the visualization of project results, as well as on the further development of online tools for sharing GEF official documentation and information on project activities in the projects database on the Convention website. This initiative has attracted significant interest from other multilateral environmental agreements. </w:t>
      </w:r>
      <w:r w:rsidR="00FD08C9" w:rsidRPr="00845FB7">
        <w:rPr>
          <w:rFonts w:cstheme="majorBidi"/>
          <w:lang w:val="en-GB"/>
        </w:rPr>
        <w:t xml:space="preserve">Furthermore, </w:t>
      </w:r>
      <w:r w:rsidR="00FD08C9" w:rsidRPr="00845FB7">
        <w:rPr>
          <w:lang w:val="en-GB"/>
        </w:rPr>
        <w:t>t</w:t>
      </w:r>
      <w:r w:rsidR="008E1A7A" w:rsidRPr="00845FB7">
        <w:rPr>
          <w:lang w:val="en-GB"/>
        </w:rPr>
        <w:t xml:space="preserve">he </w:t>
      </w:r>
      <w:r w:rsidR="00FD08C9" w:rsidRPr="00845FB7">
        <w:rPr>
          <w:lang w:val="en-GB"/>
        </w:rPr>
        <w:t>S</w:t>
      </w:r>
      <w:r w:rsidR="008E1A7A" w:rsidRPr="00845FB7">
        <w:rPr>
          <w:lang w:val="en-GB"/>
        </w:rPr>
        <w:t xml:space="preserve">ecretariat has been engaged in the </w:t>
      </w:r>
      <w:r w:rsidR="00AE3FB5" w:rsidRPr="00845FB7">
        <w:rPr>
          <w:lang w:val="en-GB"/>
        </w:rPr>
        <w:t xml:space="preserve">ninth </w:t>
      </w:r>
      <w:r w:rsidR="008E1A7A" w:rsidRPr="00845FB7">
        <w:rPr>
          <w:lang w:val="en-GB"/>
        </w:rPr>
        <w:t xml:space="preserve">replenishment </w:t>
      </w:r>
      <w:r w:rsidR="00AE3FB5" w:rsidRPr="00845FB7">
        <w:rPr>
          <w:lang w:val="en-GB"/>
        </w:rPr>
        <w:t xml:space="preserve">of the GEF Trust fund (GEF-9) </w:t>
      </w:r>
      <w:r w:rsidR="008E1A7A" w:rsidRPr="00845FB7">
        <w:rPr>
          <w:lang w:val="en-GB"/>
        </w:rPr>
        <w:t>discussions and has provided comments on initial drafts of the documents on GEF strategic positioning and programming directions</w:t>
      </w:r>
      <w:r w:rsidR="00AE3FB5" w:rsidRPr="00845FB7">
        <w:rPr>
          <w:lang w:val="en-GB"/>
        </w:rPr>
        <w:t>.</w:t>
      </w:r>
      <w:r w:rsidR="008E1A7A" w:rsidRPr="00845FB7">
        <w:rPr>
          <w:rFonts w:cstheme="majorBidi"/>
          <w:lang w:val="en-GB"/>
        </w:rPr>
        <w:t xml:space="preserve"> </w:t>
      </w:r>
    </w:p>
    <w:p w14:paraId="7FC31C11" w14:textId="0068EAA6" w:rsidR="003F02D2" w:rsidRPr="00845FB7" w:rsidRDefault="009655C9" w:rsidP="00BD36F8">
      <w:pPr>
        <w:spacing w:after="120" w:line="276" w:lineRule="auto"/>
        <w:rPr>
          <w:rFonts w:cstheme="majorBidi"/>
          <w:lang w:val="en-GB"/>
        </w:rPr>
      </w:pPr>
      <w:r w:rsidRPr="00845FB7">
        <w:rPr>
          <w:rFonts w:cstheme="majorBidi"/>
          <w:lang w:val="en-GB"/>
        </w:rPr>
        <w:t xml:space="preserve">In the biennium </w:t>
      </w:r>
      <w:r w:rsidR="00E2051A" w:rsidRPr="00845FB7">
        <w:rPr>
          <w:rFonts w:cstheme="majorBidi"/>
          <w:lang w:val="en-GB"/>
        </w:rPr>
        <w:t>2026–2027</w:t>
      </w:r>
      <w:r w:rsidRPr="00845FB7">
        <w:rPr>
          <w:rFonts w:cstheme="majorBidi"/>
          <w:lang w:val="en-GB"/>
        </w:rPr>
        <w:t xml:space="preserve"> t</w:t>
      </w:r>
      <w:r w:rsidR="00003032" w:rsidRPr="00845FB7">
        <w:rPr>
          <w:rFonts w:cstheme="majorBidi"/>
          <w:lang w:val="en-GB"/>
        </w:rPr>
        <w:t xml:space="preserve">he </w:t>
      </w:r>
      <w:r w:rsidRPr="00845FB7">
        <w:rPr>
          <w:rFonts w:cstheme="majorBidi"/>
          <w:lang w:val="en-GB"/>
        </w:rPr>
        <w:t>S</w:t>
      </w:r>
      <w:r w:rsidR="00003032" w:rsidRPr="00845FB7">
        <w:rPr>
          <w:rFonts w:cstheme="majorBidi"/>
          <w:lang w:val="en-GB"/>
        </w:rPr>
        <w:t xml:space="preserve">ecretariat </w:t>
      </w:r>
      <w:r w:rsidRPr="00845FB7">
        <w:rPr>
          <w:rFonts w:cstheme="majorBidi"/>
          <w:lang w:val="en-GB"/>
        </w:rPr>
        <w:t xml:space="preserve">will continue working </w:t>
      </w:r>
      <w:r w:rsidR="00003032" w:rsidRPr="00845FB7">
        <w:rPr>
          <w:rFonts w:cstheme="majorBidi"/>
          <w:lang w:val="en-GB"/>
        </w:rPr>
        <w:t xml:space="preserve">with the GEF </w:t>
      </w:r>
      <w:r w:rsidR="00F17302" w:rsidRPr="00845FB7">
        <w:rPr>
          <w:rFonts w:cstheme="majorBidi"/>
          <w:lang w:val="en-GB"/>
        </w:rPr>
        <w:t>S</w:t>
      </w:r>
      <w:r w:rsidR="00003032" w:rsidRPr="00845FB7">
        <w:rPr>
          <w:rFonts w:cstheme="majorBidi"/>
          <w:lang w:val="en-GB"/>
        </w:rPr>
        <w:t>ecretariat to improve the filtering of projects by agreement, a function that will facilitate data harvesting for different conventions</w:t>
      </w:r>
      <w:r w:rsidR="008F3411" w:rsidRPr="00845FB7">
        <w:rPr>
          <w:rFonts w:cstheme="majorBidi"/>
          <w:lang w:val="en-GB"/>
        </w:rPr>
        <w:t>, it also will support database updates and improvements as well as communications on results and impacts of projects funded through the financial mechanism</w:t>
      </w:r>
      <w:r w:rsidR="00FE1BB4" w:rsidRPr="00845FB7">
        <w:rPr>
          <w:rFonts w:cstheme="majorBidi"/>
          <w:lang w:val="en-GB"/>
        </w:rPr>
        <w:t xml:space="preserve">; and </w:t>
      </w:r>
      <w:r w:rsidR="00920446" w:rsidRPr="00845FB7">
        <w:rPr>
          <w:rFonts w:cstheme="majorBidi"/>
          <w:lang w:val="en-GB"/>
        </w:rPr>
        <w:t xml:space="preserve">will further </w:t>
      </w:r>
      <w:r w:rsidR="00FE1BB4" w:rsidRPr="00845FB7">
        <w:rPr>
          <w:rFonts w:cstheme="majorBidi"/>
          <w:lang w:val="en-GB"/>
        </w:rPr>
        <w:t>provid</w:t>
      </w:r>
      <w:r w:rsidR="00920446" w:rsidRPr="00845FB7">
        <w:rPr>
          <w:rFonts w:cstheme="majorBidi"/>
          <w:lang w:val="en-GB"/>
        </w:rPr>
        <w:t>e</w:t>
      </w:r>
      <w:r w:rsidR="00FE1BB4" w:rsidRPr="00845FB7">
        <w:rPr>
          <w:rFonts w:cstheme="majorBidi"/>
          <w:lang w:val="en-GB"/>
        </w:rPr>
        <w:t xml:space="preserve"> effective input into GEF-9 deliberations.</w:t>
      </w:r>
    </w:p>
    <w:p w14:paraId="7B18B42E" w14:textId="77777777" w:rsidR="003F02D2" w:rsidRPr="00845FB7" w:rsidRDefault="003F02D2" w:rsidP="00BD36F8">
      <w:pPr>
        <w:spacing w:after="120" w:line="276" w:lineRule="auto"/>
        <w:rPr>
          <w:rFonts w:cstheme="majorBidi"/>
          <w:b/>
          <w:bCs/>
          <w:szCs w:val="20"/>
          <w:lang w:val="en-GB"/>
        </w:rPr>
      </w:pPr>
      <w:r w:rsidRPr="00845FB7">
        <w:rPr>
          <w:rFonts w:cstheme="majorBidi"/>
          <w:b/>
          <w:bCs/>
          <w:szCs w:val="20"/>
          <w:lang w:val="en-GB"/>
        </w:rPr>
        <w:t xml:space="preserve">Specific International Programme </w:t>
      </w:r>
    </w:p>
    <w:p w14:paraId="1652C7B8" w14:textId="0B29D81B" w:rsidR="00AE7EAA" w:rsidRPr="00845FB7" w:rsidRDefault="003F02D2" w:rsidP="00BD36F8">
      <w:pPr>
        <w:spacing w:after="120"/>
        <w:rPr>
          <w:rFonts w:cstheme="majorBidi"/>
          <w:lang w:val="en-GB"/>
        </w:rPr>
      </w:pPr>
      <w:r w:rsidRPr="00845FB7">
        <w:rPr>
          <w:rFonts w:cstheme="majorBidi"/>
          <w:lang w:val="en-GB"/>
        </w:rPr>
        <w:t xml:space="preserve">In decision MC-1/6 on the Specific International Programme, the Conference of the Parties to the Minamata Convention decided that the </w:t>
      </w:r>
      <w:r w:rsidR="00517944" w:rsidRPr="00845FB7">
        <w:rPr>
          <w:rFonts w:cstheme="majorBidi"/>
          <w:lang w:val="en-GB"/>
        </w:rPr>
        <w:t>S</w:t>
      </w:r>
      <w:r w:rsidRPr="00845FB7">
        <w:rPr>
          <w:rFonts w:cstheme="majorBidi"/>
          <w:lang w:val="en-GB"/>
        </w:rPr>
        <w:t>ecretariat hosts the Specific International Programme. The decision also provided guidance on the operations of and duration of the Specific International Programme and the terms of reference of the Programme as set out in the annexes to the decision. At the request of the Conference of the Parties, the Executive Director of the United Nations Environment Programme has established a trust fund for the Programme and through the</w:t>
      </w:r>
      <w:r w:rsidR="00711B75" w:rsidRPr="00845FB7">
        <w:rPr>
          <w:rFonts w:cstheme="majorBidi"/>
          <w:lang w:val="en-GB"/>
        </w:rPr>
        <w:t xml:space="preserve"> </w:t>
      </w:r>
      <w:r w:rsidR="00556715" w:rsidRPr="00845FB7">
        <w:rPr>
          <w:rFonts w:cstheme="majorBidi"/>
          <w:lang w:val="en-GB"/>
        </w:rPr>
        <w:t>S</w:t>
      </w:r>
      <w:r w:rsidRPr="00845FB7">
        <w:rPr>
          <w:rFonts w:cstheme="majorBidi"/>
          <w:lang w:val="en-GB"/>
        </w:rPr>
        <w:t>ecretariat of the Convention implemented the requested governance arrangements.</w:t>
      </w:r>
      <w:r w:rsidR="0005432C" w:rsidRPr="00845FB7">
        <w:rPr>
          <w:rFonts w:cstheme="majorBidi"/>
          <w:lang w:val="en-GB"/>
        </w:rPr>
        <w:t xml:space="preserve"> </w:t>
      </w:r>
      <w:r w:rsidR="00AE7EAA" w:rsidRPr="00845FB7">
        <w:rPr>
          <w:rFonts w:cstheme="majorBidi"/>
          <w:lang w:val="en-GB"/>
        </w:rPr>
        <w:t xml:space="preserve">The Secretariat provides full support to the functioning of the Governing Board of the Specific International Programme, and to the application process, review and appraisal of all applications, implementation of administrative arrangements to make grants available to the successful applicants at the conclusion of each Round. The Secretariat undertakes continuous monitoring, project management follow-up, project closeouts and terminal evaluations. </w:t>
      </w:r>
      <w:r w:rsidR="00DB518B" w:rsidRPr="00845FB7">
        <w:rPr>
          <w:rFonts w:cstheme="majorBidi"/>
          <w:lang w:val="en-GB"/>
        </w:rPr>
        <w:t>In the 2024</w:t>
      </w:r>
      <w:r w:rsidR="00C35CEE">
        <w:rPr>
          <w:rFonts w:cstheme="majorBidi"/>
          <w:lang w:val="en-GB"/>
        </w:rPr>
        <w:t>–</w:t>
      </w:r>
      <w:r w:rsidR="00DB518B" w:rsidRPr="00845FB7">
        <w:rPr>
          <w:rFonts w:cstheme="majorBidi"/>
          <w:lang w:val="en-GB"/>
        </w:rPr>
        <w:t>2025</w:t>
      </w:r>
      <w:r w:rsidR="00C35CEE">
        <w:rPr>
          <w:rFonts w:cstheme="majorBidi"/>
          <w:lang w:val="en-GB"/>
        </w:rPr>
        <w:t xml:space="preserve"> </w:t>
      </w:r>
      <w:r w:rsidR="00DB518B" w:rsidRPr="00845FB7">
        <w:rPr>
          <w:rFonts w:cstheme="majorBidi"/>
          <w:lang w:val="en-GB"/>
        </w:rPr>
        <w:t xml:space="preserve">biennium, </w:t>
      </w:r>
      <w:r w:rsidR="006A1CCF" w:rsidRPr="00845FB7">
        <w:rPr>
          <w:rFonts w:cstheme="majorBidi"/>
          <w:lang w:val="en-GB"/>
        </w:rPr>
        <w:t xml:space="preserve">following the decision of the Governing Board at its Ninth meeting, the Secretariat launched the Fourth Round of applications to the Specific International Programme, </w:t>
      </w:r>
      <w:r w:rsidR="00BE33E0" w:rsidRPr="00845FB7">
        <w:rPr>
          <w:rFonts w:cstheme="majorBidi"/>
          <w:lang w:val="en-GB"/>
        </w:rPr>
        <w:t xml:space="preserve">reviewed and appraised all eligible applications </w:t>
      </w:r>
      <w:r w:rsidR="006A1CCF" w:rsidRPr="00845FB7">
        <w:rPr>
          <w:rFonts w:cstheme="majorBidi"/>
          <w:lang w:val="en-GB"/>
        </w:rPr>
        <w:t>and</w:t>
      </w:r>
      <w:r w:rsidR="00DB518B" w:rsidRPr="00845FB7">
        <w:rPr>
          <w:rFonts w:cstheme="majorBidi"/>
          <w:lang w:val="en-GB"/>
        </w:rPr>
        <w:t xml:space="preserve"> facilitate</w:t>
      </w:r>
      <w:r w:rsidR="0005432C" w:rsidRPr="00845FB7">
        <w:rPr>
          <w:rFonts w:cstheme="majorBidi"/>
          <w:lang w:val="en-GB"/>
        </w:rPr>
        <w:t>d</w:t>
      </w:r>
      <w:r w:rsidR="00DB518B" w:rsidRPr="00845FB7">
        <w:rPr>
          <w:rFonts w:cstheme="majorBidi"/>
          <w:lang w:val="en-GB"/>
        </w:rPr>
        <w:t xml:space="preserve"> deliberations of the Governing Board on the </w:t>
      </w:r>
      <w:r w:rsidR="00916125" w:rsidRPr="00845FB7">
        <w:rPr>
          <w:rFonts w:cstheme="majorBidi"/>
          <w:lang w:val="en-GB"/>
        </w:rPr>
        <w:t>projects to be funded.</w:t>
      </w:r>
      <w:r w:rsidR="001B66B7" w:rsidRPr="00845FB7">
        <w:rPr>
          <w:rFonts w:cstheme="majorBidi"/>
          <w:lang w:val="en-GB"/>
        </w:rPr>
        <w:t xml:space="preserve"> </w:t>
      </w:r>
      <w:r w:rsidR="00676519" w:rsidRPr="00845FB7">
        <w:rPr>
          <w:lang w:val="en-GB"/>
        </w:rPr>
        <w:t xml:space="preserve">Following the Governing Board’s decision, the Secretariat worked with the successful applicants to refine their project documents and drafted the project legal agreements. </w:t>
      </w:r>
      <w:r w:rsidR="00856143" w:rsidRPr="00845FB7">
        <w:rPr>
          <w:lang w:val="en-GB"/>
        </w:rPr>
        <w:t xml:space="preserve">In the </w:t>
      </w:r>
      <w:r w:rsidR="00E2051A" w:rsidRPr="00845FB7">
        <w:rPr>
          <w:lang w:val="en-GB"/>
        </w:rPr>
        <w:t>2026–2027</w:t>
      </w:r>
      <w:r w:rsidR="00856143" w:rsidRPr="00845FB7">
        <w:rPr>
          <w:lang w:val="en-GB"/>
        </w:rPr>
        <w:t xml:space="preserve"> biennium, the Secretariat will continue to </w:t>
      </w:r>
      <w:r w:rsidR="00B14E32" w:rsidRPr="00845FB7">
        <w:rPr>
          <w:lang w:val="en-GB"/>
        </w:rPr>
        <w:t>provide</w:t>
      </w:r>
      <w:r w:rsidR="00856143" w:rsidRPr="00845FB7">
        <w:rPr>
          <w:lang w:val="en-GB"/>
        </w:rPr>
        <w:t xml:space="preserve"> support and </w:t>
      </w:r>
      <w:r w:rsidR="00B14E32" w:rsidRPr="00845FB7">
        <w:rPr>
          <w:lang w:val="en-GB"/>
        </w:rPr>
        <w:t>oversight for the</w:t>
      </w:r>
      <w:r w:rsidR="00856143" w:rsidRPr="00845FB7">
        <w:rPr>
          <w:lang w:val="en-GB"/>
        </w:rPr>
        <w:t xml:space="preserve"> implementation of all </w:t>
      </w:r>
      <w:r w:rsidR="00B14E32" w:rsidRPr="00845FB7">
        <w:rPr>
          <w:lang w:val="en-GB"/>
        </w:rPr>
        <w:t>starting,</w:t>
      </w:r>
      <w:r w:rsidR="00856143" w:rsidRPr="00845FB7">
        <w:rPr>
          <w:lang w:val="en-GB"/>
        </w:rPr>
        <w:t xml:space="preserve"> ongoing and closing projects approved </w:t>
      </w:r>
      <w:r w:rsidR="00B14E32" w:rsidRPr="00845FB7">
        <w:rPr>
          <w:lang w:val="en-GB"/>
        </w:rPr>
        <w:t xml:space="preserve">across the four application </w:t>
      </w:r>
      <w:r w:rsidR="00C20FA7" w:rsidRPr="00845FB7">
        <w:rPr>
          <w:lang w:val="en-GB"/>
        </w:rPr>
        <w:t>rounds</w:t>
      </w:r>
      <w:r w:rsidR="00B14E32" w:rsidRPr="00845FB7">
        <w:rPr>
          <w:lang w:val="en-GB"/>
        </w:rPr>
        <w:t xml:space="preserve">. </w:t>
      </w:r>
      <w:r w:rsidR="001E1457" w:rsidRPr="00845FB7">
        <w:rPr>
          <w:rFonts w:cstheme="majorBidi"/>
          <w:lang w:val="en-GB"/>
        </w:rPr>
        <w:t xml:space="preserve">The Secretariat will continue including </w:t>
      </w:r>
      <w:r w:rsidR="006151D4" w:rsidRPr="00845FB7">
        <w:rPr>
          <w:rFonts w:cstheme="majorBidi"/>
          <w:lang w:val="en-GB"/>
        </w:rPr>
        <w:t xml:space="preserve">balanced representation of men and women </w:t>
      </w:r>
      <w:r w:rsidR="001E1457" w:rsidRPr="00845FB7">
        <w:rPr>
          <w:rFonts w:cstheme="majorBidi"/>
          <w:lang w:val="en-GB"/>
        </w:rPr>
        <w:t>as part of the appraisal and evaluation of projects under the Specific International Programme</w:t>
      </w:r>
      <w:r w:rsidR="00597443" w:rsidRPr="00845FB7">
        <w:rPr>
          <w:rFonts w:cstheme="majorBidi"/>
          <w:lang w:val="en-GB"/>
        </w:rPr>
        <w:t xml:space="preserve">. </w:t>
      </w:r>
    </w:p>
    <w:p w14:paraId="433A3B8C" w14:textId="48AB0A37" w:rsidR="003F02D2" w:rsidRPr="00845FB7" w:rsidRDefault="003F02D2" w:rsidP="003F02D2">
      <w:pPr>
        <w:pStyle w:val="Heading3"/>
        <w:rPr>
          <w:sz w:val="24"/>
          <w:lang w:val="en-GB"/>
        </w:rPr>
      </w:pPr>
      <w:r w:rsidRPr="00845FB7">
        <w:rPr>
          <w:sz w:val="24"/>
          <w:lang w:val="en-GB"/>
        </w:rPr>
        <w:t>Outcomes and activities</w:t>
      </w:r>
    </w:p>
    <w:p w14:paraId="2C0B431A" w14:textId="21F9C387" w:rsidR="003F02D2" w:rsidRPr="00845FB7" w:rsidRDefault="003F02D2" w:rsidP="00BD36F8">
      <w:pPr>
        <w:pStyle w:val="Heading2"/>
        <w:spacing w:before="360" w:after="120"/>
        <w:rPr>
          <w:sz w:val="28"/>
          <w:szCs w:val="28"/>
          <w:lang w:val="en-GB"/>
        </w:rPr>
      </w:pPr>
      <w:r w:rsidRPr="00845FB7">
        <w:rPr>
          <w:sz w:val="28"/>
          <w:szCs w:val="28"/>
          <w:lang w:val="en-GB"/>
        </w:rPr>
        <w:t>Component 1</w:t>
      </w:r>
      <w:r w:rsidR="00717C55" w:rsidRPr="00845FB7">
        <w:rPr>
          <w:sz w:val="28"/>
          <w:szCs w:val="28"/>
          <w:lang w:val="en-GB"/>
        </w:rPr>
        <w:t>3</w:t>
      </w:r>
      <w:r w:rsidRPr="00845FB7">
        <w:rPr>
          <w:sz w:val="28"/>
          <w:szCs w:val="28"/>
          <w:lang w:val="en-GB"/>
        </w:rPr>
        <w:t xml:space="preserve">.1. Financial resources </w:t>
      </w:r>
    </w:p>
    <w:p w14:paraId="4719FCBC" w14:textId="77777777" w:rsidR="003F02D2" w:rsidRPr="00845FB7" w:rsidRDefault="003F02D2" w:rsidP="00BD36F8">
      <w:pPr>
        <w:spacing w:before="240"/>
        <w:rPr>
          <w:rFonts w:cstheme="majorBidi"/>
          <w:b/>
          <w:bCs/>
          <w:szCs w:val="20"/>
          <w:lang w:val="en-GB" w:eastAsia="en-GB"/>
        </w:rPr>
      </w:pPr>
      <w:r w:rsidRPr="00845FB7">
        <w:rPr>
          <w:rFonts w:cstheme="majorBidi"/>
          <w:b/>
          <w:bCs/>
          <w:szCs w:val="20"/>
          <w:lang w:val="en-GB" w:eastAsia="en-GB"/>
        </w:rPr>
        <w:t>OUTCOMES</w:t>
      </w:r>
    </w:p>
    <w:p w14:paraId="4B018C4B" w14:textId="70F3DE50" w:rsidR="003F02D2" w:rsidRPr="00845FB7" w:rsidRDefault="003F02D2" w:rsidP="00BD36F8">
      <w:pPr>
        <w:spacing w:after="60"/>
        <w:rPr>
          <w:rFonts w:cstheme="majorBidi"/>
          <w:szCs w:val="20"/>
          <w:lang w:val="en-GB" w:eastAsia="en-GB"/>
        </w:rPr>
      </w:pPr>
      <w:r w:rsidRPr="00845FB7">
        <w:rPr>
          <w:rFonts w:cstheme="majorBidi"/>
          <w:szCs w:val="20"/>
          <w:lang w:val="en-GB" w:eastAsia="en-GB"/>
        </w:rPr>
        <w:t xml:space="preserve">Through this activity the </w:t>
      </w:r>
      <w:r w:rsidR="00712711" w:rsidRPr="00845FB7">
        <w:rPr>
          <w:rFonts w:cstheme="majorBidi"/>
          <w:szCs w:val="20"/>
          <w:lang w:val="en-GB" w:eastAsia="en-GB"/>
        </w:rPr>
        <w:t>S</w:t>
      </w:r>
      <w:r w:rsidRPr="00845FB7">
        <w:rPr>
          <w:rFonts w:cstheme="majorBidi"/>
          <w:szCs w:val="20"/>
          <w:lang w:val="en-GB" w:eastAsia="en-GB"/>
        </w:rPr>
        <w:t xml:space="preserve">ecretariat supports </w:t>
      </w:r>
      <w:r w:rsidR="002D4E18" w:rsidRPr="00845FB7">
        <w:rPr>
          <w:rFonts w:cstheme="majorBidi"/>
          <w:szCs w:val="20"/>
          <w:lang w:val="en-GB" w:eastAsia="en-GB"/>
        </w:rPr>
        <w:t>P</w:t>
      </w:r>
      <w:r w:rsidRPr="00845FB7">
        <w:rPr>
          <w:rFonts w:cstheme="majorBidi"/>
          <w:szCs w:val="20"/>
          <w:lang w:val="en-GB" w:eastAsia="en-GB"/>
        </w:rPr>
        <w:t>arties’ more comprehensive view on resources at domestic, bilateral and multilateral level, including private sector funding, to implement the Convention as per para</w:t>
      </w:r>
      <w:r w:rsidR="000D2DE0" w:rsidRPr="00845FB7">
        <w:rPr>
          <w:rFonts w:cstheme="majorBidi"/>
          <w:szCs w:val="20"/>
          <w:lang w:val="en-GB" w:eastAsia="en-GB"/>
        </w:rPr>
        <w:t>graphs</w:t>
      </w:r>
      <w:r w:rsidRPr="00845FB7">
        <w:rPr>
          <w:rFonts w:cstheme="majorBidi"/>
          <w:szCs w:val="20"/>
          <w:lang w:val="en-GB" w:eastAsia="en-GB"/>
        </w:rPr>
        <w:t xml:space="preserve"> 1 and 3 of Article 13. The </w:t>
      </w:r>
      <w:r w:rsidR="002D4E18" w:rsidRPr="00845FB7">
        <w:rPr>
          <w:rFonts w:cstheme="majorBidi"/>
          <w:szCs w:val="20"/>
          <w:lang w:val="en-GB" w:eastAsia="en-GB"/>
        </w:rPr>
        <w:t>S</w:t>
      </w:r>
      <w:r w:rsidRPr="00845FB7">
        <w:rPr>
          <w:rFonts w:cstheme="majorBidi"/>
          <w:szCs w:val="20"/>
          <w:lang w:val="en-GB" w:eastAsia="en-GB"/>
        </w:rPr>
        <w:t xml:space="preserve">ecretariat also seeks to ensure that funds for activities to support the implementation of obligations under the Minamata Convention may be made available to and through other relevant funding sources, including the Special Programme </w:t>
      </w:r>
      <w:r w:rsidR="00C20FA7" w:rsidRPr="00845FB7">
        <w:rPr>
          <w:rFonts w:cstheme="majorBidi"/>
          <w:szCs w:val="20"/>
          <w:lang w:val="en-GB" w:eastAsia="en-GB"/>
        </w:rPr>
        <w:t>and the G</w:t>
      </w:r>
      <w:r w:rsidR="00EA5436" w:rsidRPr="00845FB7">
        <w:rPr>
          <w:rFonts w:cstheme="majorBidi"/>
          <w:szCs w:val="20"/>
          <w:lang w:val="en-GB" w:eastAsia="en-GB"/>
        </w:rPr>
        <w:t xml:space="preserve">lobal </w:t>
      </w:r>
      <w:r w:rsidR="00C20FA7" w:rsidRPr="00845FB7">
        <w:rPr>
          <w:rFonts w:cstheme="majorBidi"/>
          <w:szCs w:val="20"/>
          <w:lang w:val="en-GB" w:eastAsia="en-GB"/>
        </w:rPr>
        <w:t>F</w:t>
      </w:r>
      <w:r w:rsidR="00BD4FC2" w:rsidRPr="00845FB7">
        <w:rPr>
          <w:rFonts w:cstheme="majorBidi"/>
          <w:szCs w:val="20"/>
          <w:lang w:val="en-GB" w:eastAsia="en-GB"/>
        </w:rPr>
        <w:t xml:space="preserve">ramework for </w:t>
      </w:r>
      <w:r w:rsidR="00C20FA7" w:rsidRPr="00845FB7">
        <w:rPr>
          <w:rFonts w:cstheme="majorBidi"/>
          <w:szCs w:val="20"/>
          <w:lang w:val="en-GB" w:eastAsia="en-GB"/>
        </w:rPr>
        <w:t>C</w:t>
      </w:r>
      <w:r w:rsidR="00BD4FC2" w:rsidRPr="00845FB7">
        <w:rPr>
          <w:rFonts w:cstheme="majorBidi"/>
          <w:szCs w:val="20"/>
          <w:lang w:val="en-GB" w:eastAsia="en-GB"/>
        </w:rPr>
        <w:t>hemicals</w:t>
      </w:r>
      <w:r w:rsidR="00C20FA7" w:rsidRPr="00845FB7">
        <w:rPr>
          <w:rFonts w:cstheme="majorBidi"/>
          <w:szCs w:val="20"/>
          <w:lang w:val="en-GB" w:eastAsia="en-GB"/>
        </w:rPr>
        <w:t xml:space="preserve"> Fund</w:t>
      </w:r>
      <w:r w:rsidRPr="00845FB7">
        <w:rPr>
          <w:rFonts w:cstheme="majorBidi"/>
          <w:szCs w:val="20"/>
          <w:lang w:val="en-GB" w:eastAsia="en-GB"/>
        </w:rPr>
        <w:t>.</w:t>
      </w:r>
    </w:p>
    <w:p w14:paraId="156FE47A" w14:textId="77777777" w:rsidR="003F02D2" w:rsidRPr="00845FB7" w:rsidRDefault="003F02D2" w:rsidP="00344233">
      <w:pPr>
        <w:keepNext/>
        <w:spacing w:before="240"/>
        <w:rPr>
          <w:rFonts w:cstheme="majorBidi"/>
          <w:b/>
          <w:bCs/>
          <w:szCs w:val="20"/>
          <w:lang w:val="en-GB" w:eastAsia="en-GB"/>
        </w:rPr>
      </w:pPr>
      <w:r w:rsidRPr="00845FB7">
        <w:rPr>
          <w:rFonts w:cstheme="majorBidi"/>
          <w:b/>
          <w:bCs/>
          <w:szCs w:val="20"/>
          <w:lang w:val="en-GB" w:eastAsia="en-GB"/>
        </w:rPr>
        <w:t>ACTIVITIES</w:t>
      </w:r>
    </w:p>
    <w:p w14:paraId="009CDDE3" w14:textId="56A48A8A" w:rsidR="003F02D2" w:rsidRPr="00845FB7" w:rsidRDefault="005A22F8" w:rsidP="00BD36F8">
      <w:pPr>
        <w:pStyle w:val="ListParagraph"/>
        <w:numPr>
          <w:ilvl w:val="0"/>
          <w:numId w:val="3"/>
        </w:numPr>
        <w:spacing w:after="60"/>
        <w:rPr>
          <w:rFonts w:cstheme="majorBidi"/>
          <w:szCs w:val="20"/>
          <w:lang w:val="en-GB" w:eastAsia="en-GB"/>
        </w:rPr>
      </w:pPr>
      <w:r w:rsidRPr="00845FB7">
        <w:rPr>
          <w:rFonts w:cstheme="majorBidi"/>
          <w:b/>
          <w:bCs/>
          <w:szCs w:val="20"/>
          <w:lang w:val="en-GB" w:eastAsia="en-GB"/>
        </w:rPr>
        <w:t xml:space="preserve">Mapping analysis and awareness of financial flows: </w:t>
      </w:r>
      <w:proofErr w:type="spellStart"/>
      <w:r w:rsidR="003F02D2" w:rsidRPr="00845FB7">
        <w:rPr>
          <w:rFonts w:cstheme="majorBidi"/>
          <w:szCs w:val="20"/>
          <w:lang w:val="en-GB" w:eastAsia="en-GB"/>
        </w:rPr>
        <w:t>Analyze</w:t>
      </w:r>
      <w:proofErr w:type="spellEnd"/>
      <w:r w:rsidR="003F02D2" w:rsidRPr="00845FB7">
        <w:rPr>
          <w:rFonts w:cstheme="majorBidi"/>
          <w:szCs w:val="20"/>
          <w:lang w:val="en-GB" w:eastAsia="en-GB"/>
        </w:rPr>
        <w:t xml:space="preserve"> opportunities for mobilization of domestic, bilateral, multilateral and private sector funding per Article 13  para 1 and consistent with </w:t>
      </w:r>
      <w:r w:rsidR="003F02D2" w:rsidRPr="00845FB7">
        <w:rPr>
          <w:rFonts w:cstheme="majorBidi"/>
          <w:szCs w:val="20"/>
          <w:lang w:val="en-GB" w:eastAsia="en-GB"/>
        </w:rPr>
        <w:lastRenderedPageBreak/>
        <w:t xml:space="preserve">the integrated approach to financing of chemicals and waste, though analysis of relevant flows of financial, substantive and political resources including financing directed </w:t>
      </w:r>
      <w:r w:rsidR="009F4506" w:rsidRPr="00845FB7">
        <w:rPr>
          <w:rFonts w:cstheme="majorBidi"/>
          <w:szCs w:val="20"/>
          <w:lang w:val="en-GB" w:eastAsia="en-GB"/>
        </w:rPr>
        <w:t xml:space="preserve">through the integrated programming of the Global Environment Facility and other sources </w:t>
      </w:r>
      <w:r w:rsidR="003F02D2" w:rsidRPr="00845FB7">
        <w:rPr>
          <w:rFonts w:cstheme="majorBidi"/>
          <w:szCs w:val="20"/>
          <w:lang w:val="en-GB" w:eastAsia="en-GB"/>
        </w:rPr>
        <w:t xml:space="preserve">towards climate, deforestation, biodiversity, including as appropriate socioeconomic impacts (subject to availability of resources). </w:t>
      </w:r>
    </w:p>
    <w:p w14:paraId="174C6DC4" w14:textId="669C5137"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Support the </w:t>
      </w:r>
      <w:r w:rsidR="000227A1" w:rsidRPr="00845FB7">
        <w:rPr>
          <w:rFonts w:cstheme="majorBidi"/>
          <w:szCs w:val="20"/>
          <w:lang w:val="en-GB" w:eastAsia="en-GB"/>
        </w:rPr>
        <w:t xml:space="preserve">application rounds, review, and </w:t>
      </w:r>
      <w:r w:rsidRPr="00845FB7">
        <w:rPr>
          <w:rFonts w:cstheme="majorBidi"/>
          <w:szCs w:val="20"/>
          <w:lang w:val="en-GB" w:eastAsia="en-GB"/>
        </w:rPr>
        <w:t>appraisal of projects before the Executive Board</w:t>
      </w:r>
      <w:r w:rsidR="001572F1" w:rsidRPr="00845FB7">
        <w:rPr>
          <w:rFonts w:cstheme="majorBidi"/>
          <w:szCs w:val="20"/>
          <w:lang w:val="en-GB" w:eastAsia="en-GB"/>
        </w:rPr>
        <w:t>s</w:t>
      </w:r>
      <w:r w:rsidRPr="00845FB7">
        <w:rPr>
          <w:rFonts w:cstheme="majorBidi"/>
          <w:szCs w:val="20"/>
          <w:lang w:val="en-GB" w:eastAsia="en-GB"/>
        </w:rPr>
        <w:t xml:space="preserve"> of the Special Programme</w:t>
      </w:r>
      <w:r w:rsidR="00EC0B23" w:rsidRPr="00845FB7">
        <w:rPr>
          <w:rFonts w:cstheme="majorBidi"/>
          <w:szCs w:val="20"/>
          <w:lang w:val="en-GB" w:eastAsia="en-GB"/>
        </w:rPr>
        <w:t xml:space="preserve"> and </w:t>
      </w:r>
      <w:r w:rsidR="00F63507" w:rsidRPr="00845FB7">
        <w:rPr>
          <w:rFonts w:cstheme="majorBidi"/>
          <w:szCs w:val="20"/>
          <w:lang w:val="en-GB" w:eastAsia="en-GB"/>
        </w:rPr>
        <w:t xml:space="preserve">the Global Framework for Chemicals </w:t>
      </w:r>
      <w:r w:rsidR="0063765A" w:rsidRPr="00845FB7">
        <w:rPr>
          <w:rFonts w:cstheme="majorBidi"/>
          <w:szCs w:val="20"/>
          <w:lang w:val="en-GB" w:eastAsia="en-GB"/>
        </w:rPr>
        <w:t>F</w:t>
      </w:r>
      <w:r w:rsidR="00F63507" w:rsidRPr="00845FB7">
        <w:rPr>
          <w:rFonts w:cstheme="majorBidi"/>
          <w:szCs w:val="20"/>
          <w:lang w:val="en-GB" w:eastAsia="en-GB"/>
        </w:rPr>
        <w:t>und</w:t>
      </w:r>
      <w:r w:rsidRPr="00845FB7">
        <w:rPr>
          <w:rFonts w:cstheme="majorBidi"/>
          <w:szCs w:val="20"/>
          <w:lang w:val="en-GB" w:eastAsia="en-GB"/>
        </w:rPr>
        <w:t xml:space="preserve"> (staff costs).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3F02D2" w:rsidRPr="00845FB7" w14:paraId="3395801D" w14:textId="77777777" w:rsidTr="00A10FE4">
        <w:tc>
          <w:tcPr>
            <w:tcW w:w="4508" w:type="dxa"/>
          </w:tcPr>
          <w:p w14:paraId="46744754" w14:textId="4417BD3A" w:rsidR="003F02D2" w:rsidRPr="00845FB7" w:rsidRDefault="003F02D2"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5F74E3C9" w14:textId="78E96944" w:rsidR="003F02D2" w:rsidRPr="00845FB7" w:rsidRDefault="00442A5B" w:rsidP="00BD36F8">
            <w:pPr>
              <w:pStyle w:val="ListParagraph"/>
              <w:keepNext/>
              <w:keepLines/>
              <w:numPr>
                <w:ilvl w:val="0"/>
                <w:numId w:val="5"/>
              </w:numPr>
              <w:spacing w:after="60"/>
              <w:rPr>
                <w:rFonts w:cstheme="majorBidi"/>
                <w:szCs w:val="20"/>
                <w:lang w:val="en-GB" w:eastAsia="en-GB"/>
              </w:rPr>
            </w:pPr>
            <w:r w:rsidRPr="00845FB7">
              <w:rPr>
                <w:rFonts w:cstheme="majorBidi"/>
                <w:szCs w:val="20"/>
                <w:lang w:val="en-GB" w:eastAsia="en-GB"/>
              </w:rPr>
              <w:t>Mapping a</w:t>
            </w:r>
            <w:r w:rsidR="003F02D2" w:rsidRPr="00845FB7">
              <w:rPr>
                <w:rFonts w:cstheme="majorBidi"/>
                <w:szCs w:val="20"/>
                <w:lang w:val="en-GB" w:eastAsia="en-GB"/>
              </w:rPr>
              <w:t>nalysis of financial flows and opportunities completed</w:t>
            </w:r>
            <w:r w:rsidR="00EE3AE7" w:rsidRPr="00845FB7">
              <w:rPr>
                <w:rFonts w:cstheme="majorBidi"/>
                <w:szCs w:val="20"/>
                <w:lang w:val="en-GB" w:eastAsia="en-GB"/>
              </w:rPr>
              <w:t>;</w:t>
            </w:r>
          </w:p>
          <w:p w14:paraId="706D9705" w14:textId="15E492E9" w:rsidR="003F02D2" w:rsidRPr="00845FB7" w:rsidRDefault="003F02D2" w:rsidP="00BD36F8">
            <w:pPr>
              <w:pStyle w:val="ListParagraph"/>
              <w:keepNext/>
              <w:keepLines/>
              <w:numPr>
                <w:ilvl w:val="0"/>
                <w:numId w:val="5"/>
              </w:numPr>
              <w:spacing w:after="60"/>
              <w:rPr>
                <w:rFonts w:cstheme="majorBidi"/>
                <w:b/>
                <w:bCs/>
                <w:szCs w:val="20"/>
                <w:lang w:val="en-GB" w:eastAsia="en-GB"/>
              </w:rPr>
            </w:pPr>
            <w:r w:rsidRPr="00845FB7">
              <w:rPr>
                <w:rFonts w:cstheme="majorBidi"/>
                <w:szCs w:val="20"/>
                <w:lang w:val="en-GB" w:eastAsia="en-GB"/>
              </w:rPr>
              <w:t xml:space="preserve">Minamata Convention </w:t>
            </w:r>
            <w:r w:rsidR="0016733F" w:rsidRPr="00845FB7">
              <w:rPr>
                <w:rFonts w:cstheme="majorBidi"/>
                <w:szCs w:val="20"/>
                <w:lang w:val="en-GB" w:eastAsia="en-GB"/>
              </w:rPr>
              <w:t>S</w:t>
            </w:r>
            <w:r w:rsidRPr="00845FB7">
              <w:rPr>
                <w:rFonts w:cstheme="majorBidi"/>
                <w:szCs w:val="20"/>
                <w:lang w:val="en-GB" w:eastAsia="en-GB"/>
              </w:rPr>
              <w:t xml:space="preserve">ecretariat input to Special Programme </w:t>
            </w:r>
            <w:r w:rsidR="0063765A" w:rsidRPr="00845FB7">
              <w:rPr>
                <w:rFonts w:cstheme="majorBidi"/>
                <w:szCs w:val="20"/>
                <w:lang w:val="en-GB" w:eastAsia="en-GB"/>
              </w:rPr>
              <w:t xml:space="preserve">and GFC Fund </w:t>
            </w:r>
            <w:r w:rsidRPr="00845FB7">
              <w:rPr>
                <w:rFonts w:cstheme="majorBidi"/>
                <w:szCs w:val="20"/>
                <w:lang w:val="en-GB" w:eastAsia="en-GB"/>
              </w:rPr>
              <w:t>delivered</w:t>
            </w:r>
            <w:r w:rsidR="0063765A" w:rsidRPr="00845FB7">
              <w:rPr>
                <w:rFonts w:cstheme="majorBidi"/>
                <w:szCs w:val="20"/>
                <w:lang w:val="en-GB" w:eastAsia="en-GB"/>
              </w:rPr>
              <w:t>.</w:t>
            </w:r>
          </w:p>
        </w:tc>
        <w:tc>
          <w:tcPr>
            <w:tcW w:w="4508" w:type="dxa"/>
          </w:tcPr>
          <w:p w14:paraId="50FBE199" w14:textId="034EE176" w:rsidR="003F02D2" w:rsidRPr="00845FB7" w:rsidRDefault="003F02D2"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30B212F8" w14:textId="79C6DB97" w:rsidR="003F02D2" w:rsidRPr="00845FB7" w:rsidRDefault="003F02D2" w:rsidP="00BD36F8">
            <w:pPr>
              <w:pStyle w:val="ListParagraph"/>
              <w:keepNext/>
              <w:keepLines/>
              <w:numPr>
                <w:ilvl w:val="0"/>
                <w:numId w:val="4"/>
              </w:numPr>
              <w:spacing w:after="60"/>
              <w:ind w:hanging="357"/>
              <w:rPr>
                <w:rFonts w:cstheme="majorBidi"/>
                <w:szCs w:val="20"/>
                <w:lang w:val="en-GB" w:eastAsia="en-GB"/>
              </w:rPr>
            </w:pPr>
            <w:r w:rsidRPr="00845FB7">
              <w:rPr>
                <w:rFonts w:cstheme="majorBidi"/>
                <w:szCs w:val="20"/>
                <w:lang w:val="en-GB" w:eastAsia="en-GB"/>
              </w:rPr>
              <w:t>Report on financial flows and opportunities</w:t>
            </w:r>
            <w:r w:rsidR="00EE3AE7" w:rsidRPr="00845FB7">
              <w:rPr>
                <w:rFonts w:cstheme="majorBidi"/>
                <w:szCs w:val="20"/>
                <w:lang w:val="en-GB" w:eastAsia="en-GB"/>
              </w:rPr>
              <w:t>;</w:t>
            </w:r>
          </w:p>
          <w:p w14:paraId="24C4F91C" w14:textId="7CE4B11C" w:rsidR="003F02D2" w:rsidRPr="00845FB7" w:rsidRDefault="003F02D2" w:rsidP="00BD36F8">
            <w:pPr>
              <w:pStyle w:val="ListParagraph"/>
              <w:keepNext/>
              <w:keepLines/>
              <w:numPr>
                <w:ilvl w:val="0"/>
                <w:numId w:val="4"/>
              </w:numPr>
              <w:spacing w:after="60"/>
              <w:ind w:left="723"/>
              <w:rPr>
                <w:rFonts w:cstheme="majorBidi"/>
                <w:szCs w:val="20"/>
                <w:lang w:val="en-GB" w:eastAsia="en-GB"/>
              </w:rPr>
            </w:pPr>
            <w:r w:rsidRPr="00845FB7">
              <w:rPr>
                <w:rFonts w:cstheme="majorBidi"/>
                <w:szCs w:val="20"/>
                <w:lang w:val="en-GB" w:eastAsia="en-GB"/>
              </w:rPr>
              <w:t>Meeting and other reports covering matters related to the Special Programme</w:t>
            </w:r>
            <w:r w:rsidR="0063765A" w:rsidRPr="00845FB7">
              <w:rPr>
                <w:rFonts w:cstheme="majorBidi"/>
                <w:szCs w:val="20"/>
                <w:lang w:val="en-GB" w:eastAsia="en-GB"/>
              </w:rPr>
              <w:t xml:space="preserve"> and the GFC Fund.</w:t>
            </w:r>
          </w:p>
        </w:tc>
      </w:tr>
    </w:tbl>
    <w:p w14:paraId="5B66188A" w14:textId="1A3C013A" w:rsidR="003F02D2" w:rsidRPr="00845FB7" w:rsidRDefault="003F02D2" w:rsidP="00BD36F8">
      <w:pPr>
        <w:pStyle w:val="Heading2"/>
        <w:spacing w:before="360" w:after="120"/>
        <w:rPr>
          <w:sz w:val="28"/>
          <w:szCs w:val="28"/>
          <w:lang w:val="en-GB"/>
        </w:rPr>
      </w:pPr>
      <w:r w:rsidRPr="00845FB7">
        <w:rPr>
          <w:sz w:val="28"/>
          <w:szCs w:val="28"/>
          <w:lang w:val="en-GB"/>
        </w:rPr>
        <w:t>Component 1</w:t>
      </w:r>
      <w:r w:rsidR="00717C55" w:rsidRPr="00845FB7">
        <w:rPr>
          <w:sz w:val="28"/>
          <w:szCs w:val="28"/>
          <w:lang w:val="en-GB"/>
        </w:rPr>
        <w:t>3</w:t>
      </w:r>
      <w:r w:rsidRPr="00845FB7">
        <w:rPr>
          <w:sz w:val="28"/>
          <w:szCs w:val="28"/>
          <w:lang w:val="en-GB"/>
        </w:rPr>
        <w:t xml:space="preserve">.2. Financial mechanism – Global Environment Facility </w:t>
      </w:r>
    </w:p>
    <w:p w14:paraId="76C85639" w14:textId="77777777" w:rsidR="003F02D2" w:rsidRPr="00845FB7" w:rsidRDefault="003F02D2" w:rsidP="00BD36F8">
      <w:pPr>
        <w:spacing w:before="240"/>
        <w:rPr>
          <w:rFonts w:cstheme="majorBidi"/>
          <w:b/>
          <w:bCs/>
          <w:szCs w:val="20"/>
          <w:lang w:val="en-GB" w:eastAsia="en-GB"/>
        </w:rPr>
      </w:pPr>
      <w:r w:rsidRPr="00845FB7">
        <w:rPr>
          <w:rFonts w:cstheme="majorBidi"/>
          <w:b/>
          <w:bCs/>
          <w:szCs w:val="20"/>
          <w:lang w:val="en-GB" w:eastAsia="en-GB"/>
        </w:rPr>
        <w:t>OUTCOMES</w:t>
      </w:r>
    </w:p>
    <w:p w14:paraId="7EA0BEB7" w14:textId="439DDDF6" w:rsidR="003F02D2" w:rsidRPr="00845FB7" w:rsidRDefault="003F02D2" w:rsidP="00BD36F8">
      <w:pPr>
        <w:spacing w:after="60"/>
        <w:rPr>
          <w:rFonts w:cstheme="majorBidi"/>
          <w:szCs w:val="20"/>
          <w:lang w:val="en-GB" w:eastAsia="en-GB"/>
        </w:rPr>
      </w:pPr>
      <w:r w:rsidRPr="00845FB7">
        <w:rPr>
          <w:rFonts w:cstheme="majorBidi"/>
          <w:szCs w:val="20"/>
          <w:lang w:val="en-GB" w:eastAsia="en-GB"/>
        </w:rPr>
        <w:t xml:space="preserve">Through this activity the </w:t>
      </w:r>
      <w:r w:rsidR="006648D3" w:rsidRPr="00845FB7">
        <w:rPr>
          <w:rFonts w:cstheme="majorBidi"/>
          <w:szCs w:val="20"/>
          <w:lang w:val="en-GB" w:eastAsia="en-GB"/>
        </w:rPr>
        <w:t>S</w:t>
      </w:r>
      <w:r w:rsidRPr="00845FB7">
        <w:rPr>
          <w:rFonts w:cstheme="majorBidi"/>
          <w:szCs w:val="20"/>
          <w:lang w:val="en-GB" w:eastAsia="en-GB"/>
        </w:rPr>
        <w:t xml:space="preserve">ecretariat supports engagement with the GEF </w:t>
      </w:r>
      <w:r w:rsidR="00F17302" w:rsidRPr="00845FB7">
        <w:rPr>
          <w:rFonts w:cstheme="majorBidi"/>
          <w:szCs w:val="20"/>
          <w:lang w:val="en-GB" w:eastAsia="en-GB"/>
        </w:rPr>
        <w:t>S</w:t>
      </w:r>
      <w:r w:rsidRPr="00845FB7">
        <w:rPr>
          <w:rFonts w:cstheme="majorBidi"/>
          <w:szCs w:val="20"/>
          <w:lang w:val="en-GB" w:eastAsia="en-GB"/>
        </w:rPr>
        <w:t xml:space="preserve">ecretariat, the GEF Council, GEF Implementation Agencies, and </w:t>
      </w:r>
      <w:r w:rsidR="00AE24F8" w:rsidRPr="00845FB7">
        <w:rPr>
          <w:rFonts w:cstheme="majorBidi"/>
          <w:szCs w:val="20"/>
          <w:lang w:val="en-GB" w:eastAsia="en-GB"/>
        </w:rPr>
        <w:t>P</w:t>
      </w:r>
      <w:r w:rsidRPr="00845FB7">
        <w:rPr>
          <w:rFonts w:cstheme="majorBidi"/>
          <w:szCs w:val="20"/>
          <w:lang w:val="en-GB" w:eastAsia="en-GB"/>
        </w:rPr>
        <w:t>arties to support the availability of funds for activities as outlined in the COP Guidance to the Global Environmental Facility passed at COP-1 to support the implementation of Minamata Convention obligations</w:t>
      </w:r>
      <w:r w:rsidR="006E269C" w:rsidRPr="00845FB7">
        <w:rPr>
          <w:rFonts w:cstheme="majorBidi"/>
          <w:szCs w:val="20"/>
          <w:lang w:val="en-GB" w:eastAsia="en-GB"/>
        </w:rPr>
        <w:t xml:space="preserve"> and supplemented by </w:t>
      </w:r>
      <w:r w:rsidR="00A71AF1" w:rsidRPr="00845FB7">
        <w:rPr>
          <w:rFonts w:cstheme="majorBidi"/>
          <w:szCs w:val="20"/>
          <w:lang w:val="en-GB" w:eastAsia="en-GB"/>
        </w:rPr>
        <w:t xml:space="preserve">additional guidance in </w:t>
      </w:r>
      <w:r w:rsidR="006E269C" w:rsidRPr="00845FB7">
        <w:rPr>
          <w:rFonts w:cstheme="majorBidi"/>
          <w:szCs w:val="20"/>
          <w:lang w:val="en-GB" w:eastAsia="en-GB"/>
        </w:rPr>
        <w:t>decision MC-</w:t>
      </w:r>
      <w:r w:rsidR="00A71AF1" w:rsidRPr="00845FB7">
        <w:rPr>
          <w:rFonts w:cstheme="majorBidi"/>
          <w:szCs w:val="20"/>
          <w:lang w:val="en-GB" w:eastAsia="en-GB"/>
        </w:rPr>
        <w:t>5/11</w:t>
      </w:r>
      <w:r w:rsidRPr="00845FB7">
        <w:rPr>
          <w:rFonts w:cstheme="majorBidi"/>
          <w:szCs w:val="20"/>
          <w:lang w:val="en-GB" w:eastAsia="en-GB"/>
        </w:rPr>
        <w:t>.</w:t>
      </w:r>
    </w:p>
    <w:p w14:paraId="77C175FA" w14:textId="77777777" w:rsidR="003F02D2" w:rsidRPr="00845FB7" w:rsidRDefault="003F02D2" w:rsidP="00BD36F8">
      <w:pPr>
        <w:spacing w:before="240"/>
        <w:rPr>
          <w:rFonts w:cstheme="majorBidi"/>
          <w:b/>
          <w:bCs/>
          <w:szCs w:val="20"/>
          <w:lang w:val="en-GB" w:eastAsia="en-GB"/>
        </w:rPr>
      </w:pPr>
      <w:r w:rsidRPr="00845FB7">
        <w:rPr>
          <w:rFonts w:cstheme="majorBidi"/>
          <w:b/>
          <w:bCs/>
          <w:szCs w:val="20"/>
          <w:lang w:val="en-GB" w:eastAsia="en-GB"/>
        </w:rPr>
        <w:t>ACTIVITIES</w:t>
      </w:r>
    </w:p>
    <w:p w14:paraId="5F346D7F" w14:textId="46CF77B5" w:rsidR="00DE74B7" w:rsidRPr="00845FB7" w:rsidRDefault="00353818"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Projects database and impact communications</w:t>
      </w:r>
      <w:r w:rsidR="00DE74B7" w:rsidRPr="00845FB7">
        <w:rPr>
          <w:rFonts w:cstheme="majorBidi"/>
          <w:szCs w:val="20"/>
          <w:lang w:val="en-GB" w:eastAsia="en-GB"/>
        </w:rPr>
        <w:t xml:space="preserve">: </w:t>
      </w:r>
      <w:r w:rsidR="00783D77" w:rsidRPr="00845FB7">
        <w:rPr>
          <w:rFonts w:cstheme="majorBidi"/>
          <w:szCs w:val="20"/>
          <w:lang w:val="en-GB" w:eastAsia="en-GB"/>
        </w:rPr>
        <w:t xml:space="preserve">Implement improvements to </w:t>
      </w:r>
      <w:r w:rsidR="0053625D" w:rsidRPr="00845FB7">
        <w:rPr>
          <w:rFonts w:cstheme="majorBidi"/>
          <w:szCs w:val="20"/>
          <w:lang w:val="en-GB" w:eastAsia="en-GB"/>
        </w:rPr>
        <w:t xml:space="preserve">projects database, </w:t>
      </w:r>
      <w:r w:rsidR="00DE74B7" w:rsidRPr="00845FB7">
        <w:rPr>
          <w:rFonts w:cstheme="majorBidi"/>
          <w:szCs w:val="20"/>
          <w:lang w:val="en-GB" w:eastAsia="en-GB"/>
        </w:rPr>
        <w:t>dashboards and maps to visualize projects, incorporating impact analysis of completed and ongoing GEF projects to show environmental results achieved, including as input to GEF-9 future programming strategy, and production of robust communications on these</w:t>
      </w:r>
      <w:r w:rsidR="00897C32" w:rsidRPr="00845FB7">
        <w:rPr>
          <w:rFonts w:cstheme="majorBidi"/>
          <w:szCs w:val="20"/>
          <w:lang w:val="en-GB" w:eastAsia="en-GB"/>
        </w:rPr>
        <w:t xml:space="preserve"> (subject to availability of resources)</w:t>
      </w:r>
      <w:r w:rsidR="00DE74B7" w:rsidRPr="00845FB7">
        <w:rPr>
          <w:rFonts w:cstheme="majorBidi"/>
          <w:szCs w:val="20"/>
          <w:lang w:val="en-GB" w:eastAsia="en-GB"/>
        </w:rPr>
        <w:t>.</w:t>
      </w:r>
    </w:p>
    <w:p w14:paraId="53D7EFA1" w14:textId="20AD9D65"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Engage regularly with the GEF CEO, GEF </w:t>
      </w:r>
      <w:r w:rsidR="00F17302" w:rsidRPr="00845FB7">
        <w:rPr>
          <w:rFonts w:cstheme="majorBidi"/>
          <w:szCs w:val="20"/>
          <w:lang w:val="en-GB" w:eastAsia="en-GB"/>
        </w:rPr>
        <w:t>S</w:t>
      </w:r>
      <w:r w:rsidRPr="00845FB7">
        <w:rPr>
          <w:rFonts w:cstheme="majorBidi"/>
          <w:szCs w:val="20"/>
          <w:lang w:val="en-GB" w:eastAsia="en-GB"/>
        </w:rPr>
        <w:t>ecretariat, GEF Council members, GEF Implementing Agencies, and countries obtaining/seeking to obtain GEF funding, for political and strategic engagement purposes (staff costs);</w:t>
      </w:r>
    </w:p>
    <w:p w14:paraId="1E10DE6A" w14:textId="77777777"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Participate actively in the GEF Chemicals and Waste Task Force to provide political and technical advisory input in programme planning, and for project submissions to the GEF (staff costs);</w:t>
      </w:r>
    </w:p>
    <w:p w14:paraId="291E4C79" w14:textId="6FA24FDC"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Review and comment on submitted projects, provide input into GEF Independent Evaluation Office program and project reviews, and provide input in relevant STAP meetings (staff costs);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3F02D2" w:rsidRPr="00845FB7" w14:paraId="5D03F320" w14:textId="77777777" w:rsidTr="00A10FE4">
        <w:tc>
          <w:tcPr>
            <w:tcW w:w="4508" w:type="dxa"/>
          </w:tcPr>
          <w:p w14:paraId="67DF5270" w14:textId="4AEFE9A2" w:rsidR="003F02D2" w:rsidRPr="00845FB7" w:rsidRDefault="003F02D2"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7D6A78A9" w14:textId="194F0150" w:rsidR="003F02D2" w:rsidRPr="00845FB7" w:rsidRDefault="003F02D2"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Relevant COP decisions implemented</w:t>
            </w:r>
            <w:r w:rsidR="00B5012C" w:rsidRPr="00845FB7">
              <w:rPr>
                <w:rFonts w:cstheme="majorBidi"/>
                <w:szCs w:val="20"/>
                <w:lang w:val="en-GB" w:eastAsia="en-GB"/>
              </w:rPr>
              <w:t>;</w:t>
            </w:r>
          </w:p>
          <w:p w14:paraId="78A3F3C3" w14:textId="176CFCEE" w:rsidR="003F02D2" w:rsidRPr="00845FB7" w:rsidRDefault="003F02D2"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GEF portfolio on mercury</w:t>
            </w:r>
            <w:r w:rsidR="008D7474" w:rsidRPr="00845FB7">
              <w:rPr>
                <w:rFonts w:cstheme="majorBidi"/>
                <w:szCs w:val="20"/>
                <w:lang w:val="en-GB" w:eastAsia="en-GB"/>
              </w:rPr>
              <w:t xml:space="preserve"> remains responsive to COP guidance</w:t>
            </w:r>
            <w:r w:rsidR="00392D1C" w:rsidRPr="00845FB7">
              <w:rPr>
                <w:rFonts w:cstheme="majorBidi"/>
                <w:szCs w:val="20"/>
                <w:lang w:val="en-GB" w:eastAsia="en-GB"/>
              </w:rPr>
              <w:t>;</w:t>
            </w:r>
          </w:p>
          <w:p w14:paraId="44CB7028" w14:textId="073738FC" w:rsidR="003F02D2" w:rsidRPr="00845FB7" w:rsidRDefault="003F02D2"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 xml:space="preserve">Timely and required input delivered to the GEF </w:t>
            </w:r>
            <w:r w:rsidR="007F5A6C" w:rsidRPr="00845FB7">
              <w:rPr>
                <w:rFonts w:cstheme="majorBidi"/>
                <w:szCs w:val="20"/>
                <w:lang w:val="en-GB" w:eastAsia="en-GB"/>
              </w:rPr>
              <w:t>S</w:t>
            </w:r>
            <w:r w:rsidRPr="00845FB7">
              <w:rPr>
                <w:rFonts w:cstheme="majorBidi"/>
                <w:szCs w:val="20"/>
                <w:lang w:val="en-GB" w:eastAsia="en-GB"/>
              </w:rPr>
              <w:t>ecretariat, the Chemicals</w:t>
            </w:r>
            <w:r w:rsidR="00B66D76" w:rsidRPr="00845FB7">
              <w:rPr>
                <w:rFonts w:cstheme="majorBidi"/>
                <w:szCs w:val="20"/>
                <w:lang w:val="en-GB" w:eastAsia="en-GB"/>
              </w:rPr>
              <w:t xml:space="preserve"> and Waste</w:t>
            </w:r>
            <w:r w:rsidRPr="00845FB7">
              <w:rPr>
                <w:rFonts w:cstheme="majorBidi"/>
                <w:szCs w:val="20"/>
                <w:lang w:val="en-GB" w:eastAsia="en-GB"/>
              </w:rPr>
              <w:t xml:space="preserve"> Task </w:t>
            </w:r>
            <w:r w:rsidR="00B66D76" w:rsidRPr="00845FB7">
              <w:rPr>
                <w:rFonts w:cstheme="majorBidi"/>
                <w:szCs w:val="20"/>
                <w:lang w:val="en-GB" w:eastAsia="en-GB"/>
              </w:rPr>
              <w:t>Force</w:t>
            </w:r>
            <w:r w:rsidRPr="00845FB7">
              <w:rPr>
                <w:rFonts w:cstheme="majorBidi"/>
                <w:szCs w:val="20"/>
                <w:lang w:val="en-GB" w:eastAsia="en-GB"/>
              </w:rPr>
              <w:t>, and other stakeholders</w:t>
            </w:r>
            <w:r w:rsidR="00392D1C" w:rsidRPr="00845FB7">
              <w:rPr>
                <w:rFonts w:cstheme="majorBidi"/>
                <w:szCs w:val="20"/>
                <w:lang w:val="en-GB" w:eastAsia="en-GB"/>
              </w:rPr>
              <w:t>;</w:t>
            </w:r>
          </w:p>
          <w:p w14:paraId="040C6391" w14:textId="563BC7FF" w:rsidR="003F02D2" w:rsidRPr="00845FB7" w:rsidRDefault="00BA7E7F"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Projects database and maps integrated on the Convention’s website.</w:t>
            </w:r>
          </w:p>
        </w:tc>
        <w:tc>
          <w:tcPr>
            <w:tcW w:w="4508" w:type="dxa"/>
          </w:tcPr>
          <w:p w14:paraId="3FF63AA8" w14:textId="45799366" w:rsidR="003F02D2" w:rsidRPr="00845FB7" w:rsidRDefault="003F02D2"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64350264" w14:textId="12B581DA" w:rsidR="003F02D2" w:rsidRPr="00845FB7" w:rsidRDefault="003F02D2"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Meeting and other reports covering matters related to the GEF</w:t>
            </w:r>
            <w:r w:rsidR="00392D1C" w:rsidRPr="00845FB7">
              <w:rPr>
                <w:rFonts w:cstheme="majorBidi"/>
                <w:szCs w:val="20"/>
                <w:lang w:val="en-GB" w:eastAsia="en-GB"/>
              </w:rPr>
              <w:t>;</w:t>
            </w:r>
          </w:p>
          <w:p w14:paraId="65BE9FC3" w14:textId="5E0E5D2F" w:rsidR="003F02D2" w:rsidRPr="00845FB7" w:rsidRDefault="003F02D2"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Convention website</w:t>
            </w:r>
            <w:r w:rsidR="009B6A35" w:rsidRPr="00845FB7">
              <w:rPr>
                <w:rFonts w:cstheme="majorBidi"/>
                <w:szCs w:val="20"/>
                <w:lang w:val="en-GB" w:eastAsia="en-GB"/>
              </w:rPr>
              <w:t>,</w:t>
            </w:r>
            <w:r w:rsidRPr="00845FB7">
              <w:rPr>
                <w:rFonts w:cstheme="majorBidi"/>
                <w:szCs w:val="20"/>
                <w:lang w:val="en-GB" w:eastAsia="en-GB"/>
              </w:rPr>
              <w:t xml:space="preserve"> publications</w:t>
            </w:r>
            <w:r w:rsidR="009B6A35" w:rsidRPr="00845FB7">
              <w:rPr>
                <w:rFonts w:cstheme="majorBidi"/>
                <w:szCs w:val="20"/>
                <w:lang w:val="en-GB" w:eastAsia="en-GB"/>
              </w:rPr>
              <w:t xml:space="preserve"> and communications</w:t>
            </w:r>
            <w:r w:rsidR="00392D1C" w:rsidRPr="00845FB7">
              <w:rPr>
                <w:rFonts w:cstheme="majorBidi"/>
                <w:szCs w:val="20"/>
                <w:lang w:val="en-GB" w:eastAsia="en-GB"/>
              </w:rPr>
              <w:t>;</w:t>
            </w:r>
          </w:p>
        </w:tc>
      </w:tr>
    </w:tbl>
    <w:p w14:paraId="4F835785" w14:textId="276AE7F5" w:rsidR="003F02D2" w:rsidRPr="00845FB7" w:rsidRDefault="003F02D2" w:rsidP="002747B0">
      <w:pPr>
        <w:pStyle w:val="Heading2"/>
        <w:keepNext/>
        <w:spacing w:before="360" w:after="120"/>
        <w:rPr>
          <w:sz w:val="28"/>
          <w:szCs w:val="28"/>
          <w:lang w:val="en-GB"/>
        </w:rPr>
      </w:pPr>
      <w:r w:rsidRPr="00845FB7">
        <w:rPr>
          <w:sz w:val="28"/>
          <w:szCs w:val="28"/>
          <w:lang w:val="en-GB"/>
        </w:rPr>
        <w:t>Component 1</w:t>
      </w:r>
      <w:r w:rsidR="00717C55" w:rsidRPr="00845FB7">
        <w:rPr>
          <w:sz w:val="28"/>
          <w:szCs w:val="28"/>
          <w:lang w:val="en-GB"/>
        </w:rPr>
        <w:t>3</w:t>
      </w:r>
      <w:r w:rsidRPr="00845FB7">
        <w:rPr>
          <w:sz w:val="28"/>
          <w:szCs w:val="28"/>
          <w:lang w:val="en-GB"/>
        </w:rPr>
        <w:t xml:space="preserve">.3. Financial mechanism – Specific International Programme </w:t>
      </w:r>
    </w:p>
    <w:p w14:paraId="7CC177D5" w14:textId="77777777" w:rsidR="003F02D2" w:rsidRPr="00845FB7" w:rsidRDefault="003F02D2" w:rsidP="00BD36F8">
      <w:pPr>
        <w:spacing w:before="240"/>
        <w:rPr>
          <w:rFonts w:cstheme="majorBidi"/>
          <w:b/>
          <w:bCs/>
          <w:szCs w:val="20"/>
          <w:lang w:val="en-GB" w:eastAsia="en-GB"/>
        </w:rPr>
      </w:pPr>
      <w:r w:rsidRPr="00845FB7">
        <w:rPr>
          <w:rFonts w:cstheme="majorBidi"/>
          <w:b/>
          <w:bCs/>
          <w:szCs w:val="20"/>
          <w:lang w:val="en-GB" w:eastAsia="en-GB"/>
        </w:rPr>
        <w:t>OUTCOMES</w:t>
      </w:r>
    </w:p>
    <w:p w14:paraId="251F2383" w14:textId="5441FF1B" w:rsidR="003F02D2" w:rsidRPr="00845FB7" w:rsidRDefault="003F02D2" w:rsidP="00BD36F8">
      <w:pPr>
        <w:spacing w:after="60"/>
        <w:rPr>
          <w:rFonts w:cstheme="majorBidi"/>
          <w:szCs w:val="20"/>
          <w:lang w:val="en-GB" w:eastAsia="en-GB"/>
        </w:rPr>
      </w:pPr>
      <w:r w:rsidRPr="00845FB7">
        <w:rPr>
          <w:rFonts w:cstheme="majorBidi"/>
          <w:szCs w:val="20"/>
          <w:lang w:val="en-GB" w:eastAsia="en-GB"/>
        </w:rPr>
        <w:lastRenderedPageBreak/>
        <w:t xml:space="preserve">Through this activity the </w:t>
      </w:r>
      <w:r w:rsidR="00135BCA" w:rsidRPr="00845FB7">
        <w:rPr>
          <w:rFonts w:cstheme="majorBidi"/>
          <w:szCs w:val="20"/>
          <w:lang w:val="en-GB" w:eastAsia="en-GB"/>
        </w:rPr>
        <w:t>S</w:t>
      </w:r>
      <w:r w:rsidRPr="00845FB7">
        <w:rPr>
          <w:rFonts w:cstheme="majorBidi"/>
          <w:szCs w:val="20"/>
          <w:lang w:val="en-GB" w:eastAsia="en-GB"/>
        </w:rPr>
        <w:t xml:space="preserve">ecretariat provides the full secretariat functions required to run the Specific International Programme </w:t>
      </w:r>
      <w:r w:rsidR="004A048B" w:rsidRPr="00845FB7">
        <w:rPr>
          <w:rFonts w:cstheme="majorBidi"/>
          <w:szCs w:val="20"/>
          <w:lang w:val="en-GB" w:eastAsia="en-GB"/>
        </w:rPr>
        <w:t xml:space="preserve">(SIP) </w:t>
      </w:r>
      <w:r w:rsidRPr="00845FB7">
        <w:rPr>
          <w:rFonts w:cstheme="majorBidi"/>
          <w:szCs w:val="20"/>
          <w:lang w:val="en-GB" w:eastAsia="en-GB"/>
        </w:rPr>
        <w:t xml:space="preserve">to enable the disbursement of funds by the grant-making Programme to successful Party applicants, so as to support national capacity building and technical assistance to meet Minamata Convention obligations; closely monitors the implementation of SIP-funded activities; ensures sound reporting on such activities; and communicates on results achieved.  </w:t>
      </w:r>
    </w:p>
    <w:p w14:paraId="36A21941" w14:textId="65A86F9E" w:rsidR="003F02D2" w:rsidRPr="00845FB7" w:rsidRDefault="003F02D2" w:rsidP="00BD36F8">
      <w:pPr>
        <w:spacing w:before="240"/>
        <w:rPr>
          <w:rFonts w:cstheme="majorBidi"/>
          <w:b/>
          <w:bCs/>
          <w:szCs w:val="20"/>
          <w:lang w:val="en-GB" w:eastAsia="en-GB"/>
        </w:rPr>
      </w:pPr>
      <w:r w:rsidRPr="00845FB7">
        <w:rPr>
          <w:rFonts w:cstheme="majorBidi"/>
          <w:b/>
          <w:bCs/>
          <w:szCs w:val="20"/>
          <w:lang w:val="en-GB" w:eastAsia="en-GB"/>
        </w:rPr>
        <w:t>ACTIVITIES</w:t>
      </w:r>
      <w:r w:rsidR="00D75B47" w:rsidRPr="00845FB7">
        <w:rPr>
          <w:rFonts w:cstheme="majorBidi"/>
          <w:b/>
          <w:bCs/>
          <w:szCs w:val="20"/>
          <w:lang w:val="en-GB" w:eastAsia="en-GB"/>
        </w:rPr>
        <w:t xml:space="preserve"> (for all the activities </w:t>
      </w:r>
      <w:r w:rsidR="00CC0185" w:rsidRPr="00845FB7">
        <w:rPr>
          <w:rFonts w:cstheme="majorBidi"/>
          <w:b/>
          <w:bCs/>
          <w:szCs w:val="20"/>
          <w:lang w:val="en-GB" w:eastAsia="en-GB"/>
        </w:rPr>
        <w:t>full support can be provided by the Secretariat subject to an offer by a P</w:t>
      </w:r>
      <w:r w:rsidR="00E90210" w:rsidRPr="00845FB7">
        <w:rPr>
          <w:rFonts w:cstheme="majorBidi"/>
          <w:b/>
          <w:bCs/>
          <w:szCs w:val="20"/>
          <w:lang w:val="en-GB" w:eastAsia="en-GB"/>
        </w:rPr>
        <w:t>a</w:t>
      </w:r>
      <w:r w:rsidR="00CC0185" w:rsidRPr="00845FB7">
        <w:rPr>
          <w:rFonts w:cstheme="majorBidi"/>
          <w:b/>
          <w:bCs/>
          <w:szCs w:val="20"/>
          <w:lang w:val="en-GB" w:eastAsia="en-GB"/>
        </w:rPr>
        <w:t>rty of a JPO)</w:t>
      </w:r>
    </w:p>
    <w:p w14:paraId="3AA6F2DF" w14:textId="40476C52" w:rsidR="0096367D"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Provide full secretariat support to the Governing Board of the Specific International Programme (staff costs);</w:t>
      </w:r>
    </w:p>
    <w:p w14:paraId="04105FFB" w14:textId="32BF7613"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Provide full secretariat support to the application rounds of the Specific International Programme (launch round, produce guidelines, support Q&amp;A during the project application process, review all applications received by the mandatory application deadline, prepare appraisals for the Governing Board’s decision) (staff costs);</w:t>
      </w:r>
    </w:p>
    <w:p w14:paraId="033EE3A0" w14:textId="2B6D145B"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Provide full secretariat support to administer the Specific Trust Fund (staff costs);</w:t>
      </w:r>
    </w:p>
    <w:p w14:paraId="1EAF1086" w14:textId="6C6B6F69"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Provide full secretariat implementation support to projects approved by the Governing Board for funding (programmatic and administrative support to </w:t>
      </w:r>
      <w:r w:rsidR="00EA48EB" w:rsidRPr="00845FB7">
        <w:rPr>
          <w:rFonts w:cstheme="majorBidi"/>
          <w:szCs w:val="20"/>
          <w:lang w:val="en-GB" w:eastAsia="en-GB"/>
        </w:rPr>
        <w:t>finalize</w:t>
      </w:r>
      <w:r w:rsidRPr="00845FB7">
        <w:rPr>
          <w:rFonts w:cstheme="majorBidi"/>
          <w:szCs w:val="20"/>
          <w:lang w:val="en-GB" w:eastAsia="en-GB"/>
        </w:rPr>
        <w:t xml:space="preserve"> project documentation in preparation for the signature of the legal agreements, disbursement of funds, monitoring of implementation, closure of completed projects, evaluation of completed projects) (staff costs);</w:t>
      </w:r>
    </w:p>
    <w:p w14:paraId="3D199C48" w14:textId="77777777"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Raise funds for the Specific Trust Fund (staff costs);</w:t>
      </w:r>
    </w:p>
    <w:p w14:paraId="1A8D3819" w14:textId="77777777" w:rsidR="003F02D2" w:rsidRPr="00845FB7" w:rsidRDefault="003F02D2"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Communicate to donors and potential donors and other partners for funding opportunities (staff costs);</w:t>
      </w:r>
    </w:p>
    <w:p w14:paraId="088412E7" w14:textId="50C38F07" w:rsidR="003F02D2" w:rsidRPr="00845FB7" w:rsidRDefault="003F02D2" w:rsidP="00BD36F8">
      <w:pPr>
        <w:pStyle w:val="ListParagraph"/>
        <w:numPr>
          <w:ilvl w:val="0"/>
          <w:numId w:val="3"/>
        </w:numPr>
        <w:spacing w:after="60"/>
        <w:rPr>
          <w:lang w:val="en-GB" w:eastAsia="en-GB"/>
        </w:rPr>
      </w:pPr>
      <w:r w:rsidRPr="00845FB7">
        <w:rPr>
          <w:rFonts w:cstheme="majorBidi"/>
          <w:szCs w:val="20"/>
          <w:lang w:val="en-GB" w:eastAsia="en-GB"/>
        </w:rPr>
        <w:t>Undertake donor recognition and reporting (staff costs)</w:t>
      </w:r>
      <w:r w:rsidR="001950B8" w:rsidRPr="00845FB7">
        <w:rPr>
          <w:rFonts w:cstheme="majorBidi"/>
          <w:szCs w:val="20"/>
          <w:lang w:val="en-GB" w:eastAsia="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3F02D2" w:rsidRPr="00845FB7" w14:paraId="1CC1F35E" w14:textId="77777777" w:rsidTr="00A10FE4">
        <w:tc>
          <w:tcPr>
            <w:tcW w:w="4508" w:type="dxa"/>
          </w:tcPr>
          <w:p w14:paraId="1FD2E8ED" w14:textId="30940CAC" w:rsidR="003F02D2" w:rsidRPr="00845FB7" w:rsidRDefault="003F02D2"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793E96DF" w14:textId="709E133E" w:rsidR="003F02D2" w:rsidRPr="00845FB7" w:rsidRDefault="003F02D2"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Meetings of Governing Board organi</w:t>
            </w:r>
            <w:r w:rsidR="005070C6" w:rsidRPr="00845FB7">
              <w:rPr>
                <w:rFonts w:cstheme="majorBidi"/>
                <w:szCs w:val="20"/>
                <w:lang w:val="en-GB" w:eastAsia="en-GB"/>
              </w:rPr>
              <w:t>z</w:t>
            </w:r>
            <w:r w:rsidRPr="00845FB7">
              <w:rPr>
                <w:rFonts w:cstheme="majorBidi"/>
                <w:szCs w:val="20"/>
                <w:lang w:val="en-GB" w:eastAsia="en-GB"/>
              </w:rPr>
              <w:t>ed</w:t>
            </w:r>
            <w:r w:rsidR="00392D1C" w:rsidRPr="00845FB7">
              <w:rPr>
                <w:rFonts w:cstheme="majorBidi"/>
                <w:szCs w:val="20"/>
                <w:lang w:val="en-GB" w:eastAsia="en-GB"/>
              </w:rPr>
              <w:t>;</w:t>
            </w:r>
          </w:p>
          <w:p w14:paraId="712EF3DA" w14:textId="229BA259" w:rsidR="003F02D2" w:rsidRPr="00845FB7" w:rsidRDefault="003F02D2"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Application rounds implemented</w:t>
            </w:r>
            <w:r w:rsidR="00392D1C" w:rsidRPr="00845FB7">
              <w:rPr>
                <w:rFonts w:cstheme="majorBidi"/>
                <w:szCs w:val="20"/>
                <w:lang w:val="en-GB" w:eastAsia="en-GB"/>
              </w:rPr>
              <w:t>;</w:t>
            </w:r>
          </w:p>
          <w:p w14:paraId="314DE25D" w14:textId="14A4CF7F" w:rsidR="003F02D2" w:rsidRPr="00845FB7" w:rsidRDefault="003F02D2"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Timely and complete Specific Trust Fund reports</w:t>
            </w:r>
            <w:r w:rsidR="00436E08" w:rsidRPr="00845FB7">
              <w:rPr>
                <w:rFonts w:cstheme="majorBidi"/>
                <w:szCs w:val="20"/>
                <w:lang w:val="en-GB" w:eastAsia="en-GB"/>
              </w:rPr>
              <w:t xml:space="preserve"> provided to Governing Board and Conference of the Parties</w:t>
            </w:r>
            <w:r w:rsidR="00392D1C" w:rsidRPr="00845FB7">
              <w:rPr>
                <w:rFonts w:cstheme="majorBidi"/>
                <w:szCs w:val="20"/>
                <w:lang w:val="en-GB" w:eastAsia="en-GB"/>
              </w:rPr>
              <w:t>;</w:t>
            </w:r>
          </w:p>
          <w:p w14:paraId="13F1E07B" w14:textId="46411A24" w:rsidR="003F02D2" w:rsidRPr="00845FB7" w:rsidRDefault="003F02D2"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Legal arrangements completed for approved projects</w:t>
            </w:r>
            <w:r w:rsidR="00392D1C" w:rsidRPr="00845FB7">
              <w:rPr>
                <w:rFonts w:cstheme="majorBidi"/>
                <w:szCs w:val="20"/>
                <w:lang w:val="en-GB" w:eastAsia="en-GB"/>
              </w:rPr>
              <w:t>;</w:t>
            </w:r>
          </w:p>
          <w:p w14:paraId="6D73F5CC" w14:textId="7A43C317" w:rsidR="003F02D2" w:rsidRPr="00845FB7" w:rsidRDefault="00C34257" w:rsidP="00BD36F8">
            <w:pPr>
              <w:pStyle w:val="ListParagraph"/>
              <w:numPr>
                <w:ilvl w:val="0"/>
                <w:numId w:val="5"/>
              </w:numPr>
              <w:spacing w:after="60"/>
              <w:rPr>
                <w:lang w:val="en-GB" w:eastAsia="en-GB"/>
              </w:rPr>
            </w:pPr>
            <w:r w:rsidRPr="00845FB7">
              <w:rPr>
                <w:rFonts w:cstheme="majorBidi"/>
                <w:szCs w:val="20"/>
                <w:lang w:val="en-GB" w:eastAsia="en-GB"/>
              </w:rPr>
              <w:t>Completed projects successfully closed out in reasonable timeframe</w:t>
            </w:r>
            <w:r w:rsidR="00C45CC2" w:rsidRPr="00845FB7">
              <w:rPr>
                <w:rFonts w:cstheme="majorBidi"/>
                <w:szCs w:val="20"/>
                <w:lang w:val="en-GB" w:eastAsia="en-GB"/>
              </w:rPr>
              <w:t>.</w:t>
            </w:r>
          </w:p>
        </w:tc>
        <w:tc>
          <w:tcPr>
            <w:tcW w:w="4508" w:type="dxa"/>
          </w:tcPr>
          <w:p w14:paraId="480C7B3E" w14:textId="08EBD9F0" w:rsidR="003F02D2" w:rsidRPr="00845FB7" w:rsidRDefault="003F02D2" w:rsidP="00BD36F8">
            <w:pPr>
              <w:spacing w:before="24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21E0C727" w14:textId="5D85E87F" w:rsidR="003F02D2" w:rsidRPr="00845FB7" w:rsidRDefault="003F02D2"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Meeting and other reports and documents covering matters related to the Specific International Programme</w:t>
            </w:r>
            <w:r w:rsidR="00392D1C" w:rsidRPr="00845FB7">
              <w:rPr>
                <w:rFonts w:cstheme="majorBidi"/>
                <w:szCs w:val="20"/>
                <w:lang w:val="en-GB" w:eastAsia="en-GB"/>
              </w:rPr>
              <w:t>;</w:t>
            </w:r>
          </w:p>
          <w:p w14:paraId="4744DD89" w14:textId="75353BE1" w:rsidR="003F02D2" w:rsidRPr="00845FB7" w:rsidRDefault="003F02D2"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Financial report on the Specific International Programme, and audits/evaluations</w:t>
            </w:r>
            <w:r w:rsidR="00392D1C" w:rsidRPr="00845FB7">
              <w:rPr>
                <w:rFonts w:cstheme="majorBidi"/>
                <w:szCs w:val="20"/>
                <w:lang w:val="en-GB" w:eastAsia="en-GB"/>
              </w:rPr>
              <w:t>;</w:t>
            </w:r>
          </w:p>
          <w:p w14:paraId="0B5CA38E" w14:textId="5B1492B2" w:rsidR="003F02D2" w:rsidRPr="00845FB7" w:rsidRDefault="003F02D2"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Convention website, publications</w:t>
            </w:r>
            <w:r w:rsidR="00EB529A" w:rsidRPr="00845FB7">
              <w:rPr>
                <w:rFonts w:cstheme="majorBidi"/>
                <w:szCs w:val="20"/>
                <w:lang w:val="en-GB" w:eastAsia="en-GB"/>
              </w:rPr>
              <w:t xml:space="preserve"> and communications</w:t>
            </w:r>
            <w:r w:rsidR="00C45CC2" w:rsidRPr="00845FB7">
              <w:rPr>
                <w:rFonts w:cstheme="majorBidi"/>
                <w:szCs w:val="20"/>
                <w:lang w:val="en-GB" w:eastAsia="en-GB"/>
              </w:rPr>
              <w:t>;</w:t>
            </w:r>
          </w:p>
          <w:p w14:paraId="778C91F0" w14:textId="7B55145A" w:rsidR="00EB529A" w:rsidRPr="00845FB7" w:rsidRDefault="00EB529A"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Terminal evaluations and reviews</w:t>
            </w:r>
            <w:r w:rsidR="00017E91" w:rsidRPr="00845FB7">
              <w:rPr>
                <w:rFonts w:cstheme="majorBidi"/>
                <w:szCs w:val="20"/>
                <w:lang w:val="en-GB" w:eastAsia="en-GB"/>
              </w:rPr>
              <w:t>.</w:t>
            </w:r>
          </w:p>
          <w:p w14:paraId="37F3BDB7" w14:textId="09FAB104" w:rsidR="00EB529A" w:rsidRPr="00845FB7" w:rsidRDefault="00C45CC2" w:rsidP="002A243F">
            <w:pPr>
              <w:pStyle w:val="ListParagraph"/>
              <w:spacing w:after="60"/>
              <w:rPr>
                <w:rFonts w:cstheme="majorBidi"/>
                <w:szCs w:val="20"/>
                <w:lang w:val="en-GB" w:eastAsia="en-GB"/>
              </w:rPr>
            </w:pPr>
            <w:r w:rsidRPr="00845FB7">
              <w:rPr>
                <w:rFonts w:cstheme="majorBidi"/>
                <w:szCs w:val="20"/>
                <w:lang w:val="en-GB" w:eastAsia="en-GB"/>
              </w:rPr>
              <w:t>.</w:t>
            </w:r>
          </w:p>
        </w:tc>
      </w:tr>
    </w:tbl>
    <w:p w14:paraId="57A2277A" w14:textId="2AAC2768" w:rsidR="003F02D2" w:rsidRPr="00845FB7" w:rsidRDefault="003F02D2" w:rsidP="003F02D2">
      <w:pPr>
        <w:pStyle w:val="Heading3"/>
        <w:rPr>
          <w:sz w:val="24"/>
          <w:lang w:val="en-GB"/>
        </w:rPr>
      </w:pPr>
      <w:r w:rsidRPr="00845FB7">
        <w:rPr>
          <w:sz w:val="24"/>
          <w:lang w:val="en-GB"/>
        </w:rPr>
        <w:t>Partners</w:t>
      </w:r>
    </w:p>
    <w:p w14:paraId="02D1545B" w14:textId="0F38A5C5" w:rsidR="003F02D2" w:rsidRPr="00845FB7" w:rsidRDefault="003F02D2" w:rsidP="00BD36F8">
      <w:pPr>
        <w:spacing w:after="60" w:line="276" w:lineRule="auto"/>
        <w:rPr>
          <w:rFonts w:cstheme="majorBidi"/>
          <w:szCs w:val="20"/>
          <w:lang w:val="en-GB"/>
        </w:rPr>
      </w:pPr>
      <w:r w:rsidRPr="00845FB7">
        <w:rPr>
          <w:rFonts w:cstheme="majorBidi"/>
          <w:szCs w:val="20"/>
          <w:lang w:val="en-GB"/>
        </w:rPr>
        <w:t xml:space="preserve">Donor and recipient countries, bilateral and multilateral aid agencies, international financial institutions, private sector entities, the GEF </w:t>
      </w:r>
      <w:r w:rsidR="00F17302" w:rsidRPr="00845FB7">
        <w:rPr>
          <w:rFonts w:cstheme="majorBidi"/>
          <w:szCs w:val="20"/>
          <w:lang w:val="en-GB"/>
        </w:rPr>
        <w:t>S</w:t>
      </w:r>
      <w:r w:rsidRPr="00845FB7">
        <w:rPr>
          <w:rFonts w:cstheme="majorBidi"/>
          <w:szCs w:val="20"/>
          <w:lang w:val="en-GB"/>
        </w:rPr>
        <w:t xml:space="preserve">ecretariat, Chemicals and Health Branch of UNEP, </w:t>
      </w:r>
      <w:r w:rsidR="004D0F20" w:rsidRPr="00845FB7">
        <w:rPr>
          <w:rFonts w:cstheme="majorBidi"/>
          <w:szCs w:val="20"/>
          <w:lang w:val="en-GB"/>
        </w:rPr>
        <w:t>S</w:t>
      </w:r>
      <w:r w:rsidRPr="00845FB7">
        <w:rPr>
          <w:rFonts w:cstheme="majorBidi"/>
          <w:szCs w:val="20"/>
          <w:lang w:val="en-GB"/>
        </w:rPr>
        <w:t>ecretariat of the Special Programme</w:t>
      </w:r>
      <w:r w:rsidR="004D0F20" w:rsidRPr="00845FB7">
        <w:rPr>
          <w:rFonts w:cstheme="majorBidi"/>
          <w:szCs w:val="20"/>
          <w:lang w:val="en-GB"/>
        </w:rPr>
        <w:t xml:space="preserve"> and of the </w:t>
      </w:r>
      <w:r w:rsidR="00A9756C" w:rsidRPr="00845FB7">
        <w:rPr>
          <w:rFonts w:cstheme="majorBidi"/>
          <w:szCs w:val="20"/>
          <w:lang w:val="en-GB"/>
        </w:rPr>
        <w:t>Global Framework on Chemicals</w:t>
      </w:r>
      <w:r w:rsidRPr="00845FB7">
        <w:rPr>
          <w:rFonts w:cstheme="majorBidi"/>
          <w:szCs w:val="20"/>
          <w:lang w:val="en-GB"/>
        </w:rPr>
        <w:t>, GEF Implementing Agencies and IOMC organizations.</w:t>
      </w:r>
    </w:p>
    <w:p w14:paraId="339DE327" w14:textId="71761D5E" w:rsidR="003F02D2" w:rsidRPr="00845FB7" w:rsidRDefault="003F02D2" w:rsidP="003F02D2">
      <w:pPr>
        <w:pStyle w:val="Heading3"/>
        <w:rPr>
          <w:sz w:val="24"/>
          <w:lang w:val="en-GB"/>
        </w:rPr>
      </w:pPr>
      <w:r w:rsidRPr="00845FB7">
        <w:rPr>
          <w:sz w:val="24"/>
          <w:lang w:val="en-GB"/>
        </w:rPr>
        <w:t>Socio-economic aspects</w:t>
      </w:r>
    </w:p>
    <w:p w14:paraId="4B201C92" w14:textId="77777777" w:rsidR="003F02D2" w:rsidRPr="00845FB7" w:rsidRDefault="003F02D2"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Implementing the programme of work activity on financial resources and mechanisms addresses the following targets set out in the 2030 Agenda for Sustainable Development:</w:t>
      </w:r>
    </w:p>
    <w:p w14:paraId="29F4EFDF" w14:textId="77777777" w:rsidR="003F02D2" w:rsidRPr="00845FB7" w:rsidRDefault="003F02D2" w:rsidP="00BD36F8">
      <w:pPr>
        <w:pStyle w:val="ListParagraph"/>
        <w:numPr>
          <w:ilvl w:val="0"/>
          <w:numId w:val="4"/>
        </w:numPr>
        <w:spacing w:after="120" w:line="276" w:lineRule="auto"/>
        <w:rPr>
          <w:rFonts w:cstheme="majorBidi"/>
          <w:szCs w:val="20"/>
          <w:lang w:val="en-GB"/>
        </w:rPr>
      </w:pPr>
      <w:r w:rsidRPr="00845FB7">
        <w:rPr>
          <w:rFonts w:cstheme="majorBidi"/>
          <w:szCs w:val="20"/>
          <w:lang w:val="en-GB"/>
        </w:rPr>
        <w:t>Target 3.9: By 2030, substantially reduce the number of deaths and illnesses from hazardous chemicals and air, water and soil pollution and contamination</w:t>
      </w:r>
    </w:p>
    <w:p w14:paraId="34A307E4" w14:textId="77777777" w:rsidR="003F02D2" w:rsidRPr="00845FB7" w:rsidRDefault="003F02D2" w:rsidP="00BD36F8">
      <w:pPr>
        <w:pStyle w:val="ListParagraph"/>
        <w:numPr>
          <w:ilvl w:val="0"/>
          <w:numId w:val="4"/>
        </w:numPr>
        <w:spacing w:after="120" w:line="276" w:lineRule="auto"/>
        <w:rPr>
          <w:rFonts w:cstheme="majorBidi"/>
          <w:szCs w:val="20"/>
          <w:lang w:val="en-GB"/>
        </w:rPr>
      </w:pPr>
      <w:r w:rsidRPr="00845FB7">
        <w:rPr>
          <w:rFonts w:cstheme="majorBidi"/>
          <w:szCs w:val="20"/>
          <w:lang w:val="en-GB"/>
        </w:rPr>
        <w:t>Target 6.3: By 2030, improve water quality by reducing pollution, eliminating dumping and minimizing release of hazardous chemicals and materials, halving the proportion of untreated wastewater and substantially increasing recycling and safe reuse globally</w:t>
      </w:r>
    </w:p>
    <w:p w14:paraId="6D729369" w14:textId="77777777" w:rsidR="003F02D2" w:rsidRPr="00845FB7" w:rsidRDefault="003F02D2" w:rsidP="00BD36F8">
      <w:pPr>
        <w:pStyle w:val="ListParagraph"/>
        <w:numPr>
          <w:ilvl w:val="0"/>
          <w:numId w:val="4"/>
        </w:numPr>
        <w:spacing w:after="120" w:line="276" w:lineRule="auto"/>
        <w:rPr>
          <w:rFonts w:cstheme="majorBidi"/>
          <w:szCs w:val="20"/>
          <w:lang w:val="en-GB"/>
        </w:rPr>
      </w:pPr>
      <w:r w:rsidRPr="00845FB7">
        <w:rPr>
          <w:rFonts w:cstheme="majorBidi"/>
          <w:szCs w:val="20"/>
          <w:lang w:val="en-GB"/>
        </w:rPr>
        <w:lastRenderedPageBreak/>
        <w:t xml:space="preserve">Target 12.4: By 2020, achieve the environmentally sound management of chemicals and all wastes throughout their life cycle, in accordance with agreed international frameworks, and significantly reduce their release to air, water and soil </w:t>
      </w:r>
      <w:proofErr w:type="gramStart"/>
      <w:r w:rsidRPr="00845FB7">
        <w:rPr>
          <w:rFonts w:cstheme="majorBidi"/>
          <w:szCs w:val="20"/>
          <w:lang w:val="en-GB"/>
        </w:rPr>
        <w:t>in order to</w:t>
      </w:r>
      <w:proofErr w:type="gramEnd"/>
      <w:r w:rsidRPr="00845FB7">
        <w:rPr>
          <w:rFonts w:cstheme="majorBidi"/>
          <w:szCs w:val="20"/>
          <w:lang w:val="en-GB"/>
        </w:rPr>
        <w:t xml:space="preserve"> minimize their adverse impacts on human health and the environment.</w:t>
      </w:r>
    </w:p>
    <w:p w14:paraId="2CE41E1B" w14:textId="77777777" w:rsidR="002747B0" w:rsidRDefault="00014A4B" w:rsidP="002747B0">
      <w:pPr>
        <w:spacing w:after="120" w:line="276" w:lineRule="auto"/>
        <w:rPr>
          <w:rFonts w:cstheme="majorBidi"/>
          <w:lang w:val="en-GB"/>
        </w:rPr>
      </w:pPr>
      <w:r w:rsidRPr="00845FB7">
        <w:rPr>
          <w:rFonts w:cstheme="majorBidi"/>
          <w:b/>
          <w:bCs/>
          <w:lang w:val="en-GB"/>
        </w:rPr>
        <w:t xml:space="preserve">Populations in vulnerable situations: </w:t>
      </w:r>
      <w:r w:rsidRPr="00845FB7">
        <w:rPr>
          <w:rFonts w:cstheme="majorBidi"/>
          <w:lang w:val="en-GB"/>
        </w:rPr>
        <w:t>The capacity-building and technical assistance programme of the Minamata Convention will give due consideration to the differential needs of, and risks and impacts on, men and women as well as to unique challenges faced by populations vulnerable to mercury exposure. The programme will promote a multi-stakeholder approach to raise awareness of the linkages between mercury exposure and the effects on human health.</w:t>
      </w:r>
    </w:p>
    <w:p w14:paraId="6A2E47AB" w14:textId="3E1E565E" w:rsidR="003F02D2" w:rsidRPr="00845FB7" w:rsidRDefault="003F02D2" w:rsidP="002747B0">
      <w:pPr>
        <w:spacing w:after="120" w:line="276" w:lineRule="auto"/>
        <w:rPr>
          <w:rFonts w:cstheme="majorBidi"/>
          <w:szCs w:val="20"/>
          <w:lang w:val="en-GB"/>
        </w:rPr>
      </w:pPr>
      <w:r w:rsidRPr="00845FB7">
        <w:rPr>
          <w:rFonts w:cstheme="majorBidi"/>
          <w:b/>
          <w:bCs/>
          <w:szCs w:val="20"/>
          <w:lang w:val="en-GB"/>
        </w:rPr>
        <w:t xml:space="preserve">Integrated Approach: </w:t>
      </w:r>
      <w:r w:rsidRPr="00845FB7">
        <w:rPr>
          <w:rFonts w:cstheme="majorBidi"/>
          <w:szCs w:val="20"/>
          <w:lang w:val="en-GB"/>
        </w:rPr>
        <w:t>The financial resources and mechanism of the Minamata Convention advance the integrated approach to financing the sound management of chemicals and waste (UNEP/GC.27/7).</w:t>
      </w:r>
    </w:p>
    <w:p w14:paraId="341A7801" w14:textId="77777777" w:rsidR="006F67A7" w:rsidRPr="00845FB7" w:rsidRDefault="006F67A7" w:rsidP="003F02D2">
      <w:pPr>
        <w:jc w:val="left"/>
        <w:rPr>
          <w:rFonts w:cstheme="majorBidi"/>
          <w:szCs w:val="20"/>
          <w:lang w:val="en-GB"/>
        </w:rPr>
      </w:pPr>
    </w:p>
    <w:p w14:paraId="0C804C15" w14:textId="476CCDA8" w:rsidR="003F02D2" w:rsidRPr="00845FB7" w:rsidRDefault="003F02D2" w:rsidP="003F02D2">
      <w:pPr>
        <w:jc w:val="left"/>
        <w:rPr>
          <w:lang w:val="en-GB"/>
        </w:rPr>
      </w:pPr>
      <w:r w:rsidRPr="00845FB7">
        <w:rPr>
          <w:lang w:val="en-GB"/>
        </w:rPr>
        <w:br w:type="page"/>
      </w:r>
    </w:p>
    <w:p w14:paraId="30F376C1" w14:textId="77777777" w:rsidR="003F02D2" w:rsidRPr="00845FB7" w:rsidRDefault="003F02D2" w:rsidP="003F02D2">
      <w:pPr>
        <w:pStyle w:val="Heading3"/>
        <w:rPr>
          <w:lang w:val="en-GB"/>
        </w:rPr>
        <w:sectPr w:rsidR="003F02D2" w:rsidRPr="00845FB7" w:rsidSect="00BD36F8">
          <w:headerReference w:type="first" r:id="rId75"/>
          <w:footerReference w:type="first" r:id="rId76"/>
          <w:pgSz w:w="11906" w:h="16838" w:code="9"/>
          <w:pgMar w:top="907" w:right="992" w:bottom="1418" w:left="1418" w:header="539" w:footer="975" w:gutter="0"/>
          <w:cols w:space="708"/>
          <w:titlePg/>
          <w:docGrid w:linePitch="360"/>
        </w:sectPr>
      </w:pPr>
    </w:p>
    <w:p w14:paraId="071F9BA4" w14:textId="0A6D4FD0" w:rsidR="003F02D2" w:rsidRPr="00845FB7" w:rsidRDefault="003F02D2" w:rsidP="003F02D2">
      <w:pPr>
        <w:pStyle w:val="Heading3"/>
        <w:rPr>
          <w:sz w:val="24"/>
          <w:lang w:val="en-GB"/>
        </w:rPr>
      </w:pPr>
      <w:r w:rsidRPr="00845FB7">
        <w:rPr>
          <w:sz w:val="24"/>
          <w:lang w:val="en-GB"/>
        </w:rPr>
        <w:lastRenderedPageBreak/>
        <w:t>Resources requirements</w:t>
      </w:r>
    </w:p>
    <w:tbl>
      <w:tblPr>
        <w:tblW w:w="5000" w:type="pct"/>
        <w:tblLook w:val="04A0" w:firstRow="1" w:lastRow="0" w:firstColumn="1" w:lastColumn="0" w:noHBand="0" w:noVBand="1"/>
      </w:tblPr>
      <w:tblGrid>
        <w:gridCol w:w="3720"/>
        <w:gridCol w:w="926"/>
        <w:gridCol w:w="793"/>
        <w:gridCol w:w="1151"/>
        <w:gridCol w:w="779"/>
        <w:gridCol w:w="706"/>
        <w:gridCol w:w="167"/>
        <w:gridCol w:w="960"/>
        <w:gridCol w:w="787"/>
        <w:gridCol w:w="787"/>
        <w:gridCol w:w="1055"/>
        <w:gridCol w:w="779"/>
        <w:gridCol w:w="698"/>
        <w:gridCol w:w="1110"/>
      </w:tblGrid>
      <w:tr w:rsidR="001833C7" w:rsidRPr="002747B0" w14:paraId="62F8E394" w14:textId="77777777" w:rsidTr="00AF5E5B">
        <w:trPr>
          <w:trHeight w:val="300"/>
        </w:trPr>
        <w:tc>
          <w:tcPr>
            <w:tcW w:w="1290" w:type="pct"/>
            <w:vMerge w:val="restart"/>
            <w:tcBorders>
              <w:top w:val="single" w:sz="4" w:space="0" w:color="auto"/>
              <w:left w:val="single" w:sz="4" w:space="0" w:color="auto"/>
              <w:bottom w:val="single" w:sz="4" w:space="0" w:color="auto"/>
              <w:right w:val="single" w:sz="4" w:space="0" w:color="auto"/>
            </w:tcBorders>
            <w:noWrap/>
            <w:vAlign w:val="center"/>
            <w:hideMark/>
          </w:tcPr>
          <w:p w14:paraId="051D6D29" w14:textId="77777777"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Activity/Output</w:t>
            </w:r>
          </w:p>
        </w:tc>
        <w:tc>
          <w:tcPr>
            <w:tcW w:w="1901" w:type="pct"/>
            <w:gridSpan w:val="7"/>
            <w:tcBorders>
              <w:top w:val="single" w:sz="4" w:space="0" w:color="auto"/>
              <w:left w:val="nil"/>
              <w:bottom w:val="single" w:sz="4" w:space="0" w:color="auto"/>
              <w:right w:val="single" w:sz="4" w:space="0" w:color="auto"/>
            </w:tcBorders>
            <w:noWrap/>
            <w:vAlign w:val="center"/>
            <w:hideMark/>
          </w:tcPr>
          <w:p w14:paraId="54F173EB" w14:textId="3FDAB0DB"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5 per cent scenario (</w:t>
            </w:r>
            <w:r w:rsidR="00E2051A" w:rsidRPr="002747B0">
              <w:rPr>
                <w:rFonts w:eastAsia="Times New Roman" w:cs="Times New Roman"/>
                <w:b/>
                <w:bCs/>
                <w:color w:val="000000"/>
                <w:sz w:val="16"/>
                <w:szCs w:val="16"/>
                <w:lang w:val="en-GB"/>
              </w:rPr>
              <w:t>2026–2027</w:t>
            </w:r>
            <w:r w:rsidRPr="002747B0">
              <w:rPr>
                <w:rFonts w:eastAsia="Times New Roman" w:cs="Times New Roman"/>
                <w:b/>
                <w:bCs/>
                <w:color w:val="000000"/>
                <w:sz w:val="16"/>
                <w:szCs w:val="16"/>
                <w:lang w:val="en-GB"/>
              </w:rPr>
              <w:t>)</w:t>
            </w:r>
          </w:p>
        </w:tc>
        <w:tc>
          <w:tcPr>
            <w:tcW w:w="1809" w:type="pct"/>
            <w:gridSpan w:val="6"/>
            <w:tcBorders>
              <w:top w:val="single" w:sz="4" w:space="0" w:color="auto"/>
              <w:left w:val="nil"/>
              <w:bottom w:val="single" w:sz="4" w:space="0" w:color="auto"/>
              <w:right w:val="single" w:sz="4" w:space="0" w:color="auto"/>
            </w:tcBorders>
            <w:noWrap/>
            <w:vAlign w:val="center"/>
            <w:hideMark/>
          </w:tcPr>
          <w:p w14:paraId="4DF8D6C9" w14:textId="287FEC51"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Zero nominal growth scenario (</w:t>
            </w:r>
            <w:r w:rsidR="00E2051A" w:rsidRPr="002747B0">
              <w:rPr>
                <w:rFonts w:eastAsia="Times New Roman" w:cs="Times New Roman"/>
                <w:b/>
                <w:bCs/>
                <w:color w:val="000000"/>
                <w:sz w:val="16"/>
                <w:szCs w:val="16"/>
                <w:lang w:val="en-GB"/>
              </w:rPr>
              <w:t>2026–2027</w:t>
            </w:r>
            <w:r w:rsidRPr="002747B0">
              <w:rPr>
                <w:rFonts w:eastAsia="Times New Roman" w:cs="Times New Roman"/>
                <w:b/>
                <w:bCs/>
                <w:color w:val="000000"/>
                <w:sz w:val="16"/>
                <w:szCs w:val="16"/>
                <w:lang w:val="en-GB"/>
              </w:rPr>
              <w:t>)</w:t>
            </w:r>
          </w:p>
        </w:tc>
      </w:tr>
      <w:tr w:rsidR="001833C7" w:rsidRPr="002747B0" w14:paraId="28907DCB" w14:textId="77777777" w:rsidTr="00AF5E5B">
        <w:trPr>
          <w:trHeight w:val="300"/>
        </w:trPr>
        <w:tc>
          <w:tcPr>
            <w:tcW w:w="1290" w:type="pct"/>
            <w:vMerge/>
            <w:tcBorders>
              <w:top w:val="single" w:sz="4" w:space="0" w:color="auto"/>
              <w:left w:val="single" w:sz="4" w:space="0" w:color="auto"/>
              <w:bottom w:val="single" w:sz="4" w:space="0" w:color="auto"/>
              <w:right w:val="single" w:sz="4" w:space="0" w:color="auto"/>
            </w:tcBorders>
            <w:vAlign w:val="center"/>
            <w:hideMark/>
          </w:tcPr>
          <w:p w14:paraId="74E65159" w14:textId="77777777" w:rsidR="001B4CFB" w:rsidRPr="002747B0" w:rsidRDefault="001B4CFB">
            <w:pPr>
              <w:spacing w:after="0" w:line="240" w:lineRule="auto"/>
              <w:jc w:val="left"/>
              <w:rPr>
                <w:rFonts w:eastAsia="Times New Roman" w:cs="Times New Roman"/>
                <w:b/>
                <w:bCs/>
                <w:color w:val="000000"/>
                <w:sz w:val="16"/>
                <w:szCs w:val="16"/>
                <w:lang w:val="en-GB"/>
              </w:rPr>
            </w:pPr>
          </w:p>
        </w:tc>
        <w:tc>
          <w:tcPr>
            <w:tcW w:w="995" w:type="pct"/>
            <w:gridSpan w:val="3"/>
            <w:tcBorders>
              <w:top w:val="single" w:sz="4" w:space="0" w:color="auto"/>
              <w:left w:val="nil"/>
              <w:bottom w:val="single" w:sz="4" w:space="0" w:color="auto"/>
              <w:right w:val="single" w:sz="4" w:space="0" w:color="auto"/>
            </w:tcBorders>
            <w:vAlign w:val="center"/>
            <w:hideMark/>
          </w:tcPr>
          <w:p w14:paraId="42CBB0CD" w14:textId="77777777"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General trust fund</w:t>
            </w:r>
          </w:p>
        </w:tc>
        <w:tc>
          <w:tcPr>
            <w:tcW w:w="906" w:type="pct"/>
            <w:gridSpan w:val="4"/>
            <w:tcBorders>
              <w:top w:val="single" w:sz="4" w:space="0" w:color="auto"/>
              <w:left w:val="nil"/>
              <w:bottom w:val="single" w:sz="4" w:space="0" w:color="auto"/>
              <w:right w:val="single" w:sz="4" w:space="0" w:color="auto"/>
            </w:tcBorders>
            <w:vAlign w:val="center"/>
            <w:hideMark/>
          </w:tcPr>
          <w:p w14:paraId="1B4A90DA" w14:textId="77777777"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Special trust fund</w:t>
            </w:r>
          </w:p>
        </w:tc>
        <w:tc>
          <w:tcPr>
            <w:tcW w:w="912" w:type="pct"/>
            <w:gridSpan w:val="3"/>
            <w:tcBorders>
              <w:top w:val="single" w:sz="4" w:space="0" w:color="auto"/>
              <w:left w:val="nil"/>
              <w:bottom w:val="single" w:sz="4" w:space="0" w:color="auto"/>
              <w:right w:val="single" w:sz="4" w:space="0" w:color="auto"/>
            </w:tcBorders>
            <w:vAlign w:val="center"/>
            <w:hideMark/>
          </w:tcPr>
          <w:p w14:paraId="16A3AFA6" w14:textId="77777777"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General trust fund</w:t>
            </w:r>
          </w:p>
        </w:tc>
        <w:tc>
          <w:tcPr>
            <w:tcW w:w="897" w:type="pct"/>
            <w:gridSpan w:val="3"/>
            <w:tcBorders>
              <w:top w:val="single" w:sz="4" w:space="0" w:color="auto"/>
              <w:left w:val="nil"/>
              <w:bottom w:val="single" w:sz="4" w:space="0" w:color="auto"/>
              <w:right w:val="single" w:sz="4" w:space="0" w:color="auto"/>
            </w:tcBorders>
            <w:vAlign w:val="center"/>
            <w:hideMark/>
          </w:tcPr>
          <w:p w14:paraId="20962C7A" w14:textId="77777777"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Special trust fund</w:t>
            </w:r>
          </w:p>
        </w:tc>
      </w:tr>
      <w:tr w:rsidR="001833C7" w:rsidRPr="002747B0" w14:paraId="11F7E313" w14:textId="77777777" w:rsidTr="00AF5E5B">
        <w:trPr>
          <w:trHeight w:val="480"/>
        </w:trPr>
        <w:tc>
          <w:tcPr>
            <w:tcW w:w="1290" w:type="pct"/>
            <w:tcBorders>
              <w:top w:val="nil"/>
              <w:left w:val="single" w:sz="4" w:space="0" w:color="auto"/>
              <w:bottom w:val="single" w:sz="4" w:space="0" w:color="auto"/>
              <w:right w:val="single" w:sz="4" w:space="0" w:color="auto"/>
            </w:tcBorders>
            <w:noWrap/>
            <w:vAlign w:val="center"/>
            <w:hideMark/>
          </w:tcPr>
          <w:p w14:paraId="5A7A1798" w14:textId="77777777"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w:t>
            </w:r>
          </w:p>
        </w:tc>
        <w:tc>
          <w:tcPr>
            <w:tcW w:w="321" w:type="pct"/>
            <w:tcBorders>
              <w:top w:val="nil"/>
              <w:left w:val="nil"/>
              <w:bottom w:val="single" w:sz="4" w:space="0" w:color="auto"/>
              <w:right w:val="single" w:sz="4" w:space="0" w:color="auto"/>
            </w:tcBorders>
            <w:vAlign w:val="center"/>
            <w:hideMark/>
          </w:tcPr>
          <w:p w14:paraId="18E80CEB" w14:textId="4247AF20" w:rsidR="001B4CFB" w:rsidRPr="002747B0" w:rsidRDefault="00AD432C">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2026</w:t>
            </w:r>
          </w:p>
        </w:tc>
        <w:tc>
          <w:tcPr>
            <w:tcW w:w="275" w:type="pct"/>
            <w:tcBorders>
              <w:top w:val="nil"/>
              <w:left w:val="nil"/>
              <w:bottom w:val="single" w:sz="4" w:space="0" w:color="auto"/>
              <w:right w:val="single" w:sz="4" w:space="0" w:color="auto"/>
            </w:tcBorders>
            <w:vAlign w:val="center"/>
            <w:hideMark/>
          </w:tcPr>
          <w:p w14:paraId="19446007" w14:textId="2492ED3C" w:rsidR="001B4CFB" w:rsidRPr="002747B0" w:rsidRDefault="00AD432C">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2027</w:t>
            </w:r>
          </w:p>
        </w:tc>
        <w:tc>
          <w:tcPr>
            <w:tcW w:w="399" w:type="pct"/>
            <w:tcBorders>
              <w:top w:val="nil"/>
              <w:left w:val="nil"/>
              <w:bottom w:val="single" w:sz="4" w:space="0" w:color="auto"/>
              <w:right w:val="single" w:sz="4" w:space="0" w:color="auto"/>
            </w:tcBorders>
            <w:vAlign w:val="center"/>
            <w:hideMark/>
          </w:tcPr>
          <w:p w14:paraId="6F24990C" w14:textId="756EB089"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xml:space="preserve">Total </w:t>
            </w:r>
            <w:r w:rsidRPr="002747B0">
              <w:rPr>
                <w:rFonts w:eastAsia="Times New Roman" w:cs="Times New Roman"/>
                <w:b/>
                <w:bCs/>
                <w:color w:val="000000"/>
                <w:sz w:val="16"/>
                <w:szCs w:val="16"/>
                <w:lang w:val="en-GB"/>
              </w:rPr>
              <w:br/>
              <w:t>(</w:t>
            </w:r>
            <w:r w:rsidR="00E2051A" w:rsidRPr="002747B0">
              <w:rPr>
                <w:rFonts w:eastAsia="Times New Roman" w:cs="Times New Roman"/>
                <w:b/>
                <w:bCs/>
                <w:color w:val="000000"/>
                <w:sz w:val="16"/>
                <w:szCs w:val="16"/>
                <w:lang w:val="en-GB"/>
              </w:rPr>
              <w:t>2026–2027</w:t>
            </w:r>
            <w:r w:rsidRPr="002747B0">
              <w:rPr>
                <w:rFonts w:eastAsia="Times New Roman" w:cs="Times New Roman"/>
                <w:b/>
                <w:bCs/>
                <w:color w:val="000000"/>
                <w:sz w:val="16"/>
                <w:szCs w:val="16"/>
                <w:lang w:val="en-GB"/>
              </w:rPr>
              <w:t>)</w:t>
            </w:r>
          </w:p>
        </w:tc>
        <w:tc>
          <w:tcPr>
            <w:tcW w:w="270" w:type="pct"/>
            <w:tcBorders>
              <w:top w:val="nil"/>
              <w:left w:val="nil"/>
              <w:bottom w:val="single" w:sz="4" w:space="0" w:color="auto"/>
              <w:right w:val="single" w:sz="4" w:space="0" w:color="auto"/>
            </w:tcBorders>
            <w:vAlign w:val="center"/>
            <w:hideMark/>
          </w:tcPr>
          <w:p w14:paraId="6A105D83" w14:textId="2A287CB7" w:rsidR="001B4CFB" w:rsidRPr="002747B0" w:rsidRDefault="001833C7">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2026</w:t>
            </w:r>
          </w:p>
        </w:tc>
        <w:tc>
          <w:tcPr>
            <w:tcW w:w="245" w:type="pct"/>
            <w:tcBorders>
              <w:top w:val="nil"/>
              <w:left w:val="nil"/>
              <w:bottom w:val="single" w:sz="4" w:space="0" w:color="auto"/>
              <w:right w:val="single" w:sz="4" w:space="0" w:color="auto"/>
            </w:tcBorders>
            <w:vAlign w:val="center"/>
            <w:hideMark/>
          </w:tcPr>
          <w:p w14:paraId="10E06A0C" w14:textId="453FD8D5" w:rsidR="001B4CFB" w:rsidRPr="002747B0" w:rsidRDefault="001833C7">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2027</w:t>
            </w:r>
          </w:p>
        </w:tc>
        <w:tc>
          <w:tcPr>
            <w:tcW w:w="390" w:type="pct"/>
            <w:gridSpan w:val="2"/>
            <w:tcBorders>
              <w:top w:val="nil"/>
              <w:left w:val="nil"/>
              <w:bottom w:val="single" w:sz="4" w:space="0" w:color="auto"/>
              <w:right w:val="single" w:sz="4" w:space="0" w:color="auto"/>
            </w:tcBorders>
            <w:vAlign w:val="center"/>
            <w:hideMark/>
          </w:tcPr>
          <w:p w14:paraId="0C5100B7" w14:textId="29348062"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xml:space="preserve">Total </w:t>
            </w:r>
            <w:r w:rsidRPr="002747B0">
              <w:rPr>
                <w:rFonts w:eastAsia="Times New Roman" w:cs="Times New Roman"/>
                <w:b/>
                <w:bCs/>
                <w:color w:val="000000"/>
                <w:sz w:val="16"/>
                <w:szCs w:val="16"/>
                <w:lang w:val="en-GB"/>
              </w:rPr>
              <w:br/>
              <w:t>(</w:t>
            </w:r>
            <w:r w:rsidR="00E2051A" w:rsidRPr="002747B0">
              <w:rPr>
                <w:rFonts w:eastAsia="Times New Roman" w:cs="Times New Roman"/>
                <w:b/>
                <w:bCs/>
                <w:color w:val="000000"/>
                <w:sz w:val="16"/>
                <w:szCs w:val="16"/>
                <w:lang w:val="en-GB"/>
              </w:rPr>
              <w:t>2026–2027</w:t>
            </w:r>
            <w:r w:rsidRPr="002747B0">
              <w:rPr>
                <w:rFonts w:eastAsia="Times New Roman" w:cs="Times New Roman"/>
                <w:b/>
                <w:bCs/>
                <w:color w:val="000000"/>
                <w:sz w:val="16"/>
                <w:szCs w:val="16"/>
                <w:lang w:val="en-GB"/>
              </w:rPr>
              <w:t>)</w:t>
            </w:r>
          </w:p>
        </w:tc>
        <w:tc>
          <w:tcPr>
            <w:tcW w:w="273" w:type="pct"/>
            <w:tcBorders>
              <w:top w:val="nil"/>
              <w:left w:val="nil"/>
              <w:bottom w:val="single" w:sz="4" w:space="0" w:color="auto"/>
              <w:right w:val="single" w:sz="4" w:space="0" w:color="auto"/>
            </w:tcBorders>
            <w:vAlign w:val="center"/>
            <w:hideMark/>
          </w:tcPr>
          <w:p w14:paraId="1A95225B" w14:textId="3EACF0F0" w:rsidR="001B4CFB" w:rsidRPr="002747B0" w:rsidRDefault="001833C7">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2026</w:t>
            </w:r>
          </w:p>
        </w:tc>
        <w:tc>
          <w:tcPr>
            <w:tcW w:w="273" w:type="pct"/>
            <w:tcBorders>
              <w:top w:val="nil"/>
              <w:left w:val="nil"/>
              <w:bottom w:val="single" w:sz="4" w:space="0" w:color="auto"/>
              <w:right w:val="single" w:sz="4" w:space="0" w:color="auto"/>
            </w:tcBorders>
            <w:vAlign w:val="center"/>
            <w:hideMark/>
          </w:tcPr>
          <w:p w14:paraId="6653C789" w14:textId="0E7C41EE" w:rsidR="001B4CFB" w:rsidRPr="002747B0" w:rsidRDefault="001833C7">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2027</w:t>
            </w:r>
          </w:p>
        </w:tc>
        <w:tc>
          <w:tcPr>
            <w:tcW w:w="365" w:type="pct"/>
            <w:tcBorders>
              <w:top w:val="nil"/>
              <w:left w:val="nil"/>
              <w:bottom w:val="single" w:sz="4" w:space="0" w:color="auto"/>
              <w:right w:val="single" w:sz="4" w:space="0" w:color="auto"/>
            </w:tcBorders>
            <w:vAlign w:val="center"/>
            <w:hideMark/>
          </w:tcPr>
          <w:p w14:paraId="371AC1BD" w14:textId="23A94E34"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xml:space="preserve">Total </w:t>
            </w:r>
            <w:r w:rsidRPr="002747B0">
              <w:rPr>
                <w:rFonts w:eastAsia="Times New Roman" w:cs="Times New Roman"/>
                <w:b/>
                <w:bCs/>
                <w:color w:val="000000"/>
                <w:sz w:val="16"/>
                <w:szCs w:val="16"/>
                <w:lang w:val="en-GB"/>
              </w:rPr>
              <w:br/>
              <w:t>(</w:t>
            </w:r>
            <w:r w:rsidR="00E2051A" w:rsidRPr="002747B0">
              <w:rPr>
                <w:rFonts w:eastAsia="Times New Roman" w:cs="Times New Roman"/>
                <w:b/>
                <w:bCs/>
                <w:color w:val="000000"/>
                <w:sz w:val="16"/>
                <w:szCs w:val="16"/>
                <w:lang w:val="en-GB"/>
              </w:rPr>
              <w:t>2026–2027</w:t>
            </w:r>
            <w:r w:rsidRPr="002747B0">
              <w:rPr>
                <w:rFonts w:eastAsia="Times New Roman" w:cs="Times New Roman"/>
                <w:b/>
                <w:bCs/>
                <w:color w:val="000000"/>
                <w:sz w:val="16"/>
                <w:szCs w:val="16"/>
                <w:lang w:val="en-GB"/>
              </w:rPr>
              <w:t>)</w:t>
            </w:r>
          </w:p>
        </w:tc>
        <w:tc>
          <w:tcPr>
            <w:tcW w:w="270" w:type="pct"/>
            <w:tcBorders>
              <w:top w:val="nil"/>
              <w:left w:val="nil"/>
              <w:bottom w:val="single" w:sz="4" w:space="0" w:color="auto"/>
              <w:right w:val="single" w:sz="4" w:space="0" w:color="auto"/>
            </w:tcBorders>
            <w:vAlign w:val="center"/>
            <w:hideMark/>
          </w:tcPr>
          <w:p w14:paraId="188749E0" w14:textId="0BA5997F" w:rsidR="001B4CFB" w:rsidRPr="002747B0" w:rsidRDefault="001833C7">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2026</w:t>
            </w:r>
          </w:p>
        </w:tc>
        <w:tc>
          <w:tcPr>
            <w:tcW w:w="242" w:type="pct"/>
            <w:tcBorders>
              <w:top w:val="nil"/>
              <w:left w:val="nil"/>
              <w:bottom w:val="single" w:sz="4" w:space="0" w:color="auto"/>
              <w:right w:val="single" w:sz="4" w:space="0" w:color="auto"/>
            </w:tcBorders>
            <w:vAlign w:val="center"/>
            <w:hideMark/>
          </w:tcPr>
          <w:p w14:paraId="1929E487" w14:textId="2AB30C2D" w:rsidR="001B4CFB" w:rsidRPr="002747B0" w:rsidRDefault="001833C7">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2027</w:t>
            </w:r>
          </w:p>
        </w:tc>
        <w:tc>
          <w:tcPr>
            <w:tcW w:w="385" w:type="pct"/>
            <w:tcBorders>
              <w:top w:val="nil"/>
              <w:left w:val="nil"/>
              <w:bottom w:val="single" w:sz="4" w:space="0" w:color="auto"/>
              <w:right w:val="single" w:sz="4" w:space="0" w:color="auto"/>
            </w:tcBorders>
            <w:vAlign w:val="center"/>
            <w:hideMark/>
          </w:tcPr>
          <w:p w14:paraId="7730D3D3" w14:textId="3048A358" w:rsidR="001B4CFB" w:rsidRPr="002747B0" w:rsidRDefault="001B4CFB">
            <w:pPr>
              <w:spacing w:after="0" w:line="240" w:lineRule="auto"/>
              <w:jc w:val="center"/>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xml:space="preserve">Total </w:t>
            </w:r>
            <w:r w:rsidRPr="002747B0">
              <w:rPr>
                <w:rFonts w:eastAsia="Times New Roman" w:cs="Times New Roman"/>
                <w:b/>
                <w:bCs/>
                <w:color w:val="000000"/>
                <w:sz w:val="16"/>
                <w:szCs w:val="16"/>
                <w:lang w:val="en-GB"/>
              </w:rPr>
              <w:br/>
              <w:t>(</w:t>
            </w:r>
            <w:r w:rsidR="00E2051A" w:rsidRPr="002747B0">
              <w:rPr>
                <w:rFonts w:eastAsia="Times New Roman" w:cs="Times New Roman"/>
                <w:b/>
                <w:bCs/>
                <w:color w:val="000000"/>
                <w:sz w:val="16"/>
                <w:szCs w:val="16"/>
                <w:lang w:val="en-GB"/>
              </w:rPr>
              <w:t>2026–2027</w:t>
            </w:r>
            <w:r w:rsidRPr="002747B0">
              <w:rPr>
                <w:rFonts w:eastAsia="Times New Roman" w:cs="Times New Roman"/>
                <w:b/>
                <w:bCs/>
                <w:color w:val="000000"/>
                <w:sz w:val="16"/>
                <w:szCs w:val="16"/>
                <w:lang w:val="en-GB"/>
              </w:rPr>
              <w:t>)</w:t>
            </w:r>
          </w:p>
        </w:tc>
      </w:tr>
      <w:tr w:rsidR="001B4CFB" w:rsidRPr="002747B0" w14:paraId="4B972EE8" w14:textId="77777777" w:rsidTr="00BD36F8">
        <w:trPr>
          <w:trHeight w:val="30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267E051F" w14:textId="77777777" w:rsidR="001B4CFB" w:rsidRPr="002747B0" w:rsidRDefault="001B4CFB">
            <w:pPr>
              <w:spacing w:after="0" w:line="240" w:lineRule="auto"/>
              <w:jc w:val="lef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13. Financial resources and mechanism</w:t>
            </w:r>
          </w:p>
        </w:tc>
      </w:tr>
      <w:tr w:rsidR="001B4CFB" w:rsidRPr="002747B0" w14:paraId="575265B9" w14:textId="77777777" w:rsidTr="00BD36F8">
        <w:trPr>
          <w:trHeight w:val="30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01EF606A" w14:textId="77777777" w:rsidR="001B4CFB" w:rsidRPr="002747B0" w:rsidRDefault="001B4CFB">
            <w:pPr>
              <w:spacing w:after="0" w:line="240" w:lineRule="auto"/>
              <w:jc w:val="lef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13.1. Financial resources</w:t>
            </w:r>
          </w:p>
        </w:tc>
      </w:tr>
      <w:tr w:rsidR="001833C7" w:rsidRPr="002747B0" w14:paraId="4562CB84" w14:textId="77777777" w:rsidTr="00AF5E5B">
        <w:trPr>
          <w:trHeight w:val="300"/>
        </w:trPr>
        <w:tc>
          <w:tcPr>
            <w:tcW w:w="1290" w:type="pct"/>
            <w:tcBorders>
              <w:top w:val="nil"/>
              <w:left w:val="single" w:sz="4" w:space="0" w:color="auto"/>
              <w:bottom w:val="single" w:sz="4" w:space="0" w:color="auto"/>
              <w:right w:val="single" w:sz="4" w:space="0" w:color="auto"/>
            </w:tcBorders>
            <w:vAlign w:val="center"/>
          </w:tcPr>
          <w:p w14:paraId="0F15524A" w14:textId="11EDF1BB" w:rsidR="001B4CFB" w:rsidRPr="002747B0" w:rsidRDefault="002218C7">
            <w:pPr>
              <w:spacing w:after="0" w:line="240" w:lineRule="auto"/>
              <w:jc w:val="left"/>
              <w:rPr>
                <w:rFonts w:eastAsia="Times New Roman" w:cs="Times New Roman"/>
                <w:sz w:val="16"/>
                <w:szCs w:val="16"/>
                <w:lang w:val="en-GB"/>
              </w:rPr>
            </w:pPr>
            <w:r w:rsidRPr="002747B0">
              <w:rPr>
                <w:rFonts w:eastAsia="Times New Roman" w:cs="Times New Roman"/>
                <w:sz w:val="16"/>
                <w:szCs w:val="16"/>
                <w:lang w:val="en-GB"/>
              </w:rPr>
              <w:t>Review of financial mechanism</w:t>
            </w:r>
          </w:p>
        </w:tc>
        <w:tc>
          <w:tcPr>
            <w:tcW w:w="321" w:type="pct"/>
            <w:tcBorders>
              <w:top w:val="nil"/>
              <w:left w:val="nil"/>
              <w:bottom w:val="single" w:sz="4" w:space="0" w:color="auto"/>
              <w:right w:val="single" w:sz="4" w:space="0" w:color="auto"/>
            </w:tcBorders>
            <w:noWrap/>
            <w:vAlign w:val="center"/>
          </w:tcPr>
          <w:p w14:paraId="40029076" w14:textId="66B13862" w:rsidR="001B4CFB" w:rsidRPr="002747B0" w:rsidRDefault="00A36C7E">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30</w:t>
            </w:r>
            <w:r w:rsidR="000C50AD" w:rsidRPr="002747B0">
              <w:rPr>
                <w:rFonts w:eastAsia="Times New Roman" w:cs="Times New Roman"/>
                <w:color w:val="000000"/>
                <w:sz w:val="16"/>
                <w:szCs w:val="16"/>
                <w:lang w:val="en-GB"/>
              </w:rPr>
              <w:t>,</w:t>
            </w:r>
            <w:r w:rsidRPr="002747B0">
              <w:rPr>
                <w:rFonts w:eastAsia="Times New Roman" w:cs="Times New Roman"/>
                <w:color w:val="000000"/>
                <w:sz w:val="16"/>
                <w:szCs w:val="16"/>
                <w:lang w:val="en-GB"/>
              </w:rPr>
              <w:t>000</w:t>
            </w:r>
          </w:p>
        </w:tc>
        <w:tc>
          <w:tcPr>
            <w:tcW w:w="275" w:type="pct"/>
            <w:tcBorders>
              <w:top w:val="nil"/>
              <w:left w:val="nil"/>
              <w:bottom w:val="single" w:sz="4" w:space="0" w:color="auto"/>
              <w:right w:val="single" w:sz="4" w:space="0" w:color="auto"/>
            </w:tcBorders>
            <w:noWrap/>
            <w:vAlign w:val="center"/>
          </w:tcPr>
          <w:p w14:paraId="3D6CE5D2" w14:textId="77777777" w:rsidR="001B4CFB" w:rsidRPr="002747B0" w:rsidRDefault="001B4CFB">
            <w:pPr>
              <w:spacing w:after="0" w:line="240" w:lineRule="auto"/>
              <w:jc w:val="right"/>
              <w:rPr>
                <w:rFonts w:eastAsia="Times New Roman" w:cs="Times New Roman"/>
                <w:color w:val="000000"/>
                <w:sz w:val="16"/>
                <w:szCs w:val="16"/>
                <w:lang w:val="en-GB"/>
              </w:rPr>
            </w:pPr>
          </w:p>
        </w:tc>
        <w:tc>
          <w:tcPr>
            <w:tcW w:w="399" w:type="pct"/>
            <w:tcBorders>
              <w:top w:val="nil"/>
              <w:left w:val="nil"/>
              <w:bottom w:val="single" w:sz="4" w:space="0" w:color="auto"/>
              <w:right w:val="single" w:sz="4" w:space="0" w:color="auto"/>
            </w:tcBorders>
            <w:noWrap/>
            <w:vAlign w:val="center"/>
          </w:tcPr>
          <w:p w14:paraId="15B972CC" w14:textId="57F799A0" w:rsidR="001B4CFB" w:rsidRPr="002747B0" w:rsidRDefault="00A36C7E">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0" w:type="pct"/>
            <w:tcBorders>
              <w:top w:val="nil"/>
              <w:left w:val="nil"/>
              <w:bottom w:val="single" w:sz="4" w:space="0" w:color="auto"/>
              <w:right w:val="single" w:sz="4" w:space="0" w:color="auto"/>
            </w:tcBorders>
            <w:noWrap/>
            <w:vAlign w:val="center"/>
          </w:tcPr>
          <w:p w14:paraId="0675B6DB" w14:textId="388C726A" w:rsidR="001B4CFB" w:rsidRPr="002747B0" w:rsidRDefault="001B4CFB">
            <w:pPr>
              <w:spacing w:after="0" w:line="240" w:lineRule="auto"/>
              <w:jc w:val="right"/>
              <w:rPr>
                <w:rFonts w:eastAsia="Times New Roman" w:cs="Times New Roman"/>
                <w:color w:val="000000"/>
                <w:sz w:val="16"/>
                <w:szCs w:val="16"/>
                <w:lang w:val="en-GB"/>
              </w:rPr>
            </w:pPr>
          </w:p>
        </w:tc>
        <w:tc>
          <w:tcPr>
            <w:tcW w:w="303" w:type="pct"/>
            <w:gridSpan w:val="2"/>
            <w:tcBorders>
              <w:top w:val="nil"/>
              <w:left w:val="nil"/>
              <w:bottom w:val="single" w:sz="4" w:space="0" w:color="auto"/>
              <w:right w:val="single" w:sz="4" w:space="0" w:color="auto"/>
            </w:tcBorders>
            <w:noWrap/>
            <w:vAlign w:val="center"/>
          </w:tcPr>
          <w:p w14:paraId="6CF4B29E" w14:textId="77777777" w:rsidR="001B4CFB" w:rsidRPr="002747B0" w:rsidRDefault="001B4CFB">
            <w:pPr>
              <w:spacing w:after="0" w:line="240" w:lineRule="auto"/>
              <w:jc w:val="right"/>
              <w:rPr>
                <w:rFonts w:eastAsia="Times New Roman" w:cs="Times New Roman"/>
                <w:color w:val="000000"/>
                <w:sz w:val="16"/>
                <w:szCs w:val="16"/>
                <w:lang w:val="en-GB"/>
              </w:rPr>
            </w:pPr>
          </w:p>
        </w:tc>
        <w:tc>
          <w:tcPr>
            <w:tcW w:w="332" w:type="pct"/>
            <w:tcBorders>
              <w:top w:val="nil"/>
              <w:left w:val="nil"/>
              <w:bottom w:val="single" w:sz="4" w:space="0" w:color="auto"/>
              <w:right w:val="single" w:sz="4" w:space="0" w:color="auto"/>
            </w:tcBorders>
            <w:noWrap/>
            <w:vAlign w:val="center"/>
          </w:tcPr>
          <w:p w14:paraId="0275470C" w14:textId="2F63CC5C" w:rsidR="001B4CFB" w:rsidRPr="002747B0" w:rsidRDefault="001B4CFB">
            <w:pPr>
              <w:spacing w:after="0" w:line="240" w:lineRule="auto"/>
              <w:jc w:val="right"/>
              <w:rPr>
                <w:rFonts w:eastAsia="Times New Roman" w:cs="Times New Roman"/>
                <w:b/>
                <w:bCs/>
                <w:color w:val="000000"/>
                <w:sz w:val="16"/>
                <w:szCs w:val="16"/>
                <w:lang w:val="en-GB"/>
              </w:rPr>
            </w:pPr>
          </w:p>
        </w:tc>
        <w:tc>
          <w:tcPr>
            <w:tcW w:w="273" w:type="pct"/>
            <w:tcBorders>
              <w:top w:val="nil"/>
              <w:left w:val="nil"/>
              <w:bottom w:val="single" w:sz="4" w:space="0" w:color="auto"/>
              <w:right w:val="single" w:sz="4" w:space="0" w:color="auto"/>
            </w:tcBorders>
            <w:noWrap/>
            <w:vAlign w:val="center"/>
          </w:tcPr>
          <w:p w14:paraId="68333D59" w14:textId="621DA438" w:rsidR="001B4CFB" w:rsidRPr="002747B0" w:rsidRDefault="005B4773">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30</w:t>
            </w:r>
            <w:r w:rsidR="000C50AD" w:rsidRPr="002747B0">
              <w:rPr>
                <w:rFonts w:eastAsia="Times New Roman" w:cs="Times New Roman"/>
                <w:color w:val="000000"/>
                <w:sz w:val="16"/>
                <w:szCs w:val="16"/>
                <w:lang w:val="en-GB"/>
              </w:rPr>
              <w:t>,</w:t>
            </w:r>
            <w:r w:rsidRPr="002747B0">
              <w:rPr>
                <w:rFonts w:eastAsia="Times New Roman" w:cs="Times New Roman"/>
                <w:color w:val="000000"/>
                <w:sz w:val="16"/>
                <w:szCs w:val="16"/>
                <w:lang w:val="en-GB"/>
              </w:rPr>
              <w:t>000</w:t>
            </w:r>
          </w:p>
        </w:tc>
        <w:tc>
          <w:tcPr>
            <w:tcW w:w="273" w:type="pct"/>
            <w:tcBorders>
              <w:top w:val="nil"/>
              <w:left w:val="nil"/>
              <w:bottom w:val="single" w:sz="4" w:space="0" w:color="auto"/>
              <w:right w:val="single" w:sz="4" w:space="0" w:color="auto"/>
            </w:tcBorders>
            <w:noWrap/>
            <w:vAlign w:val="center"/>
          </w:tcPr>
          <w:p w14:paraId="10C55CB3" w14:textId="77777777" w:rsidR="001B4CFB" w:rsidRPr="002747B0" w:rsidRDefault="001B4CFB">
            <w:pPr>
              <w:spacing w:after="0" w:line="240" w:lineRule="auto"/>
              <w:jc w:val="right"/>
              <w:rPr>
                <w:rFonts w:eastAsia="Times New Roman" w:cs="Times New Roman"/>
                <w:color w:val="000000"/>
                <w:sz w:val="16"/>
                <w:szCs w:val="16"/>
                <w:lang w:val="en-GB"/>
              </w:rPr>
            </w:pPr>
          </w:p>
        </w:tc>
        <w:tc>
          <w:tcPr>
            <w:tcW w:w="365" w:type="pct"/>
            <w:tcBorders>
              <w:top w:val="nil"/>
              <w:left w:val="nil"/>
              <w:bottom w:val="single" w:sz="4" w:space="0" w:color="auto"/>
              <w:right w:val="single" w:sz="4" w:space="0" w:color="auto"/>
            </w:tcBorders>
            <w:noWrap/>
            <w:vAlign w:val="center"/>
          </w:tcPr>
          <w:p w14:paraId="7E81EF94" w14:textId="11B93FA3" w:rsidR="001B4CFB" w:rsidRPr="002747B0" w:rsidRDefault="005B4773">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0" w:type="pct"/>
            <w:tcBorders>
              <w:top w:val="nil"/>
              <w:left w:val="nil"/>
              <w:bottom w:val="single" w:sz="4" w:space="0" w:color="auto"/>
              <w:right w:val="single" w:sz="4" w:space="0" w:color="auto"/>
            </w:tcBorders>
            <w:noWrap/>
            <w:vAlign w:val="center"/>
          </w:tcPr>
          <w:p w14:paraId="59D0F594" w14:textId="1C536055" w:rsidR="001B4CFB" w:rsidRPr="002747B0" w:rsidRDefault="001B4CFB">
            <w:pPr>
              <w:spacing w:after="0" w:line="240" w:lineRule="auto"/>
              <w:jc w:val="right"/>
              <w:rPr>
                <w:rFonts w:eastAsia="Times New Roman" w:cs="Times New Roman"/>
                <w:color w:val="000000"/>
                <w:sz w:val="16"/>
                <w:szCs w:val="16"/>
                <w:lang w:val="en-GB"/>
              </w:rPr>
            </w:pPr>
          </w:p>
        </w:tc>
        <w:tc>
          <w:tcPr>
            <w:tcW w:w="242" w:type="pct"/>
            <w:tcBorders>
              <w:top w:val="nil"/>
              <w:left w:val="nil"/>
              <w:bottom w:val="single" w:sz="4" w:space="0" w:color="auto"/>
              <w:right w:val="single" w:sz="4" w:space="0" w:color="auto"/>
            </w:tcBorders>
            <w:noWrap/>
            <w:vAlign w:val="center"/>
          </w:tcPr>
          <w:p w14:paraId="406A0F80" w14:textId="77777777" w:rsidR="001B4CFB" w:rsidRPr="002747B0" w:rsidRDefault="001B4CFB">
            <w:pPr>
              <w:spacing w:after="0" w:line="240" w:lineRule="auto"/>
              <w:jc w:val="right"/>
              <w:rPr>
                <w:rFonts w:eastAsia="Times New Roman" w:cs="Times New Roman"/>
                <w:color w:val="000000"/>
                <w:sz w:val="16"/>
                <w:szCs w:val="16"/>
                <w:lang w:val="en-GB"/>
              </w:rPr>
            </w:pPr>
          </w:p>
        </w:tc>
        <w:tc>
          <w:tcPr>
            <w:tcW w:w="385" w:type="pct"/>
            <w:tcBorders>
              <w:top w:val="nil"/>
              <w:left w:val="nil"/>
              <w:bottom w:val="single" w:sz="4" w:space="0" w:color="auto"/>
              <w:right w:val="single" w:sz="4" w:space="0" w:color="auto"/>
            </w:tcBorders>
            <w:noWrap/>
            <w:vAlign w:val="center"/>
          </w:tcPr>
          <w:p w14:paraId="3FE16815" w14:textId="1EEC38B7" w:rsidR="001B4CFB" w:rsidRPr="002747B0" w:rsidRDefault="001B4CFB">
            <w:pPr>
              <w:spacing w:after="0" w:line="240" w:lineRule="auto"/>
              <w:jc w:val="right"/>
              <w:rPr>
                <w:rFonts w:eastAsia="Times New Roman" w:cs="Times New Roman"/>
                <w:b/>
                <w:bCs/>
                <w:color w:val="000000"/>
                <w:sz w:val="16"/>
                <w:szCs w:val="16"/>
                <w:lang w:val="en-GB"/>
              </w:rPr>
            </w:pPr>
          </w:p>
        </w:tc>
      </w:tr>
      <w:tr w:rsidR="001833C7" w:rsidRPr="002747B0" w14:paraId="6C9511A4" w14:textId="77777777" w:rsidTr="00AF5E5B">
        <w:trPr>
          <w:trHeight w:val="300"/>
        </w:trPr>
        <w:tc>
          <w:tcPr>
            <w:tcW w:w="1290" w:type="pct"/>
            <w:tcBorders>
              <w:top w:val="nil"/>
              <w:left w:val="single" w:sz="4" w:space="0" w:color="auto"/>
              <w:bottom w:val="single" w:sz="4" w:space="0" w:color="auto"/>
              <w:right w:val="single" w:sz="4" w:space="0" w:color="auto"/>
            </w:tcBorders>
            <w:vAlign w:val="center"/>
          </w:tcPr>
          <w:p w14:paraId="47A4E439" w14:textId="25D4F352" w:rsidR="00AF5E5B" w:rsidRPr="002747B0" w:rsidRDefault="00AF5E5B" w:rsidP="00AF5E5B">
            <w:pPr>
              <w:spacing w:after="0" w:line="240" w:lineRule="auto"/>
              <w:jc w:val="left"/>
              <w:rPr>
                <w:rFonts w:eastAsia="Times New Roman" w:cs="Times New Roman"/>
                <w:sz w:val="16"/>
                <w:szCs w:val="16"/>
                <w:lang w:val="en-GB"/>
              </w:rPr>
            </w:pPr>
            <w:r w:rsidRPr="002747B0">
              <w:rPr>
                <w:rFonts w:eastAsia="Times New Roman" w:cs="Times New Roman"/>
                <w:sz w:val="16"/>
                <w:szCs w:val="16"/>
                <w:lang w:val="en-GB"/>
              </w:rPr>
              <w:t>Mapping analysis and awareness of financial flows</w:t>
            </w:r>
          </w:p>
        </w:tc>
        <w:tc>
          <w:tcPr>
            <w:tcW w:w="321" w:type="pct"/>
            <w:tcBorders>
              <w:top w:val="nil"/>
              <w:left w:val="nil"/>
              <w:bottom w:val="single" w:sz="4" w:space="0" w:color="auto"/>
              <w:right w:val="single" w:sz="4" w:space="0" w:color="auto"/>
            </w:tcBorders>
            <w:noWrap/>
            <w:vAlign w:val="center"/>
          </w:tcPr>
          <w:p w14:paraId="1BD43E78"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275" w:type="pct"/>
            <w:tcBorders>
              <w:top w:val="nil"/>
              <w:left w:val="nil"/>
              <w:bottom w:val="single" w:sz="4" w:space="0" w:color="auto"/>
              <w:right w:val="single" w:sz="4" w:space="0" w:color="auto"/>
            </w:tcBorders>
            <w:noWrap/>
            <w:vAlign w:val="center"/>
          </w:tcPr>
          <w:p w14:paraId="386D3A51"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399" w:type="pct"/>
            <w:tcBorders>
              <w:top w:val="nil"/>
              <w:left w:val="nil"/>
              <w:bottom w:val="single" w:sz="4" w:space="0" w:color="auto"/>
              <w:right w:val="single" w:sz="4" w:space="0" w:color="auto"/>
            </w:tcBorders>
            <w:noWrap/>
            <w:vAlign w:val="center"/>
          </w:tcPr>
          <w:p w14:paraId="5162FC28"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270" w:type="pct"/>
            <w:tcBorders>
              <w:top w:val="nil"/>
              <w:left w:val="nil"/>
              <w:bottom w:val="single" w:sz="4" w:space="0" w:color="auto"/>
              <w:right w:val="single" w:sz="4" w:space="0" w:color="auto"/>
            </w:tcBorders>
            <w:noWrap/>
            <w:vAlign w:val="center"/>
          </w:tcPr>
          <w:p w14:paraId="5D70765A" w14:textId="7587502D"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24,000</w:t>
            </w:r>
          </w:p>
        </w:tc>
        <w:tc>
          <w:tcPr>
            <w:tcW w:w="303" w:type="pct"/>
            <w:gridSpan w:val="2"/>
            <w:tcBorders>
              <w:top w:val="nil"/>
              <w:left w:val="nil"/>
              <w:bottom w:val="single" w:sz="4" w:space="0" w:color="auto"/>
              <w:right w:val="single" w:sz="4" w:space="0" w:color="auto"/>
            </w:tcBorders>
            <w:noWrap/>
            <w:vAlign w:val="center"/>
          </w:tcPr>
          <w:p w14:paraId="3E794325"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332" w:type="pct"/>
            <w:tcBorders>
              <w:top w:val="nil"/>
              <w:left w:val="nil"/>
              <w:bottom w:val="single" w:sz="4" w:space="0" w:color="auto"/>
              <w:right w:val="single" w:sz="4" w:space="0" w:color="auto"/>
            </w:tcBorders>
            <w:noWrap/>
            <w:vAlign w:val="center"/>
          </w:tcPr>
          <w:p w14:paraId="4D11C439" w14:textId="631BC1CF"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24,000</w:t>
            </w:r>
          </w:p>
        </w:tc>
        <w:tc>
          <w:tcPr>
            <w:tcW w:w="273" w:type="pct"/>
            <w:tcBorders>
              <w:top w:val="nil"/>
              <w:left w:val="nil"/>
              <w:bottom w:val="single" w:sz="4" w:space="0" w:color="auto"/>
              <w:right w:val="single" w:sz="4" w:space="0" w:color="auto"/>
            </w:tcBorders>
            <w:noWrap/>
            <w:vAlign w:val="center"/>
          </w:tcPr>
          <w:p w14:paraId="3DA19A1F"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273" w:type="pct"/>
            <w:tcBorders>
              <w:top w:val="nil"/>
              <w:left w:val="nil"/>
              <w:bottom w:val="single" w:sz="4" w:space="0" w:color="auto"/>
              <w:right w:val="single" w:sz="4" w:space="0" w:color="auto"/>
            </w:tcBorders>
            <w:noWrap/>
            <w:vAlign w:val="center"/>
          </w:tcPr>
          <w:p w14:paraId="7BA261D0"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365" w:type="pct"/>
            <w:tcBorders>
              <w:top w:val="nil"/>
              <w:left w:val="nil"/>
              <w:bottom w:val="single" w:sz="4" w:space="0" w:color="auto"/>
              <w:right w:val="single" w:sz="4" w:space="0" w:color="auto"/>
            </w:tcBorders>
            <w:noWrap/>
            <w:vAlign w:val="center"/>
          </w:tcPr>
          <w:p w14:paraId="1F8F5E80"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270" w:type="pct"/>
            <w:tcBorders>
              <w:top w:val="nil"/>
              <w:left w:val="nil"/>
              <w:bottom w:val="single" w:sz="4" w:space="0" w:color="auto"/>
              <w:right w:val="single" w:sz="4" w:space="0" w:color="auto"/>
            </w:tcBorders>
            <w:noWrap/>
            <w:vAlign w:val="center"/>
          </w:tcPr>
          <w:p w14:paraId="5A292ABE" w14:textId="3AE71EF5"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24,000</w:t>
            </w:r>
          </w:p>
        </w:tc>
        <w:tc>
          <w:tcPr>
            <w:tcW w:w="242" w:type="pct"/>
            <w:tcBorders>
              <w:top w:val="nil"/>
              <w:left w:val="nil"/>
              <w:bottom w:val="single" w:sz="4" w:space="0" w:color="auto"/>
              <w:right w:val="single" w:sz="4" w:space="0" w:color="auto"/>
            </w:tcBorders>
            <w:noWrap/>
            <w:vAlign w:val="center"/>
          </w:tcPr>
          <w:p w14:paraId="7859977B"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385" w:type="pct"/>
            <w:tcBorders>
              <w:top w:val="nil"/>
              <w:left w:val="nil"/>
              <w:bottom w:val="single" w:sz="4" w:space="0" w:color="auto"/>
              <w:right w:val="single" w:sz="4" w:space="0" w:color="auto"/>
            </w:tcBorders>
            <w:noWrap/>
            <w:vAlign w:val="center"/>
          </w:tcPr>
          <w:p w14:paraId="20154F6F" w14:textId="4F9B610A"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24,000</w:t>
            </w:r>
          </w:p>
        </w:tc>
      </w:tr>
      <w:tr w:rsidR="001833C7" w:rsidRPr="002747B0" w14:paraId="468E7A92" w14:textId="77777777" w:rsidTr="00AF5E5B">
        <w:trPr>
          <w:trHeight w:val="300"/>
        </w:trPr>
        <w:tc>
          <w:tcPr>
            <w:tcW w:w="1290" w:type="pct"/>
            <w:tcBorders>
              <w:top w:val="nil"/>
              <w:left w:val="single" w:sz="4" w:space="0" w:color="auto"/>
              <w:bottom w:val="single" w:sz="4" w:space="0" w:color="auto"/>
              <w:right w:val="single" w:sz="4" w:space="0" w:color="auto"/>
            </w:tcBorders>
            <w:vAlign w:val="center"/>
          </w:tcPr>
          <w:p w14:paraId="7A265147" w14:textId="77777777" w:rsidR="00AF5E5B" w:rsidRPr="002747B0" w:rsidRDefault="00AF5E5B" w:rsidP="00AF5E5B">
            <w:pPr>
              <w:spacing w:after="0" w:line="240" w:lineRule="auto"/>
              <w:jc w:val="right"/>
              <w:rPr>
                <w:rFonts w:eastAsia="Times New Roman" w:cs="Times New Roman"/>
                <w:b/>
                <w:bCs/>
                <w:sz w:val="16"/>
                <w:szCs w:val="16"/>
                <w:lang w:val="en-GB"/>
              </w:rPr>
            </w:pPr>
            <w:r w:rsidRPr="002747B0">
              <w:rPr>
                <w:rFonts w:eastAsia="Times New Roman" w:cs="Times New Roman"/>
                <w:b/>
                <w:bCs/>
                <w:sz w:val="16"/>
                <w:szCs w:val="16"/>
                <w:lang w:val="en-GB"/>
              </w:rPr>
              <w:t>Component total</w:t>
            </w:r>
          </w:p>
        </w:tc>
        <w:tc>
          <w:tcPr>
            <w:tcW w:w="321" w:type="pct"/>
            <w:tcBorders>
              <w:top w:val="nil"/>
              <w:left w:val="nil"/>
              <w:bottom w:val="single" w:sz="4" w:space="0" w:color="auto"/>
              <w:right w:val="single" w:sz="4" w:space="0" w:color="auto"/>
            </w:tcBorders>
            <w:noWrap/>
            <w:vAlign w:val="center"/>
          </w:tcPr>
          <w:p w14:paraId="2B091831" w14:textId="55BC8A82" w:rsidR="00AF5E5B" w:rsidRPr="002747B0" w:rsidRDefault="00386642"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5" w:type="pct"/>
            <w:tcBorders>
              <w:top w:val="nil"/>
              <w:left w:val="nil"/>
              <w:bottom w:val="single" w:sz="4" w:space="0" w:color="auto"/>
              <w:right w:val="single" w:sz="4" w:space="0" w:color="auto"/>
            </w:tcBorders>
            <w:noWrap/>
            <w:vAlign w:val="center"/>
          </w:tcPr>
          <w:p w14:paraId="16F1CBF9"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99" w:type="pct"/>
            <w:tcBorders>
              <w:top w:val="nil"/>
              <w:left w:val="nil"/>
              <w:bottom w:val="single" w:sz="4" w:space="0" w:color="auto"/>
              <w:right w:val="single" w:sz="4" w:space="0" w:color="auto"/>
            </w:tcBorders>
            <w:noWrap/>
            <w:vAlign w:val="center"/>
          </w:tcPr>
          <w:p w14:paraId="552ABD76" w14:textId="6BE2CFA1" w:rsidR="00AF5E5B" w:rsidRPr="002747B0" w:rsidRDefault="00386642"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0" w:type="pct"/>
            <w:tcBorders>
              <w:top w:val="nil"/>
              <w:left w:val="nil"/>
              <w:bottom w:val="single" w:sz="4" w:space="0" w:color="auto"/>
              <w:right w:val="single" w:sz="4" w:space="0" w:color="auto"/>
            </w:tcBorders>
            <w:noWrap/>
            <w:vAlign w:val="center"/>
          </w:tcPr>
          <w:p w14:paraId="63B345EF"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24,000</w:t>
            </w:r>
          </w:p>
        </w:tc>
        <w:tc>
          <w:tcPr>
            <w:tcW w:w="303" w:type="pct"/>
            <w:gridSpan w:val="2"/>
            <w:tcBorders>
              <w:top w:val="nil"/>
              <w:left w:val="nil"/>
              <w:bottom w:val="single" w:sz="4" w:space="0" w:color="auto"/>
              <w:right w:val="single" w:sz="4" w:space="0" w:color="auto"/>
            </w:tcBorders>
            <w:noWrap/>
            <w:vAlign w:val="center"/>
          </w:tcPr>
          <w:p w14:paraId="6F8EDB81"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32" w:type="pct"/>
            <w:tcBorders>
              <w:top w:val="nil"/>
              <w:left w:val="nil"/>
              <w:bottom w:val="single" w:sz="4" w:space="0" w:color="auto"/>
              <w:right w:val="single" w:sz="4" w:space="0" w:color="auto"/>
            </w:tcBorders>
            <w:noWrap/>
            <w:vAlign w:val="center"/>
          </w:tcPr>
          <w:p w14:paraId="5687E377"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24,000</w:t>
            </w:r>
          </w:p>
        </w:tc>
        <w:tc>
          <w:tcPr>
            <w:tcW w:w="273" w:type="pct"/>
            <w:tcBorders>
              <w:top w:val="nil"/>
              <w:left w:val="nil"/>
              <w:bottom w:val="single" w:sz="4" w:space="0" w:color="auto"/>
              <w:right w:val="single" w:sz="4" w:space="0" w:color="auto"/>
            </w:tcBorders>
            <w:noWrap/>
            <w:vAlign w:val="center"/>
          </w:tcPr>
          <w:p w14:paraId="362E32F5" w14:textId="4B96D086" w:rsidR="00AF5E5B" w:rsidRPr="002747B0" w:rsidRDefault="007A4E4C"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3" w:type="pct"/>
            <w:tcBorders>
              <w:top w:val="nil"/>
              <w:left w:val="nil"/>
              <w:bottom w:val="single" w:sz="4" w:space="0" w:color="auto"/>
              <w:right w:val="single" w:sz="4" w:space="0" w:color="auto"/>
            </w:tcBorders>
            <w:noWrap/>
            <w:vAlign w:val="center"/>
          </w:tcPr>
          <w:p w14:paraId="2565BBF8"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65" w:type="pct"/>
            <w:tcBorders>
              <w:top w:val="nil"/>
              <w:left w:val="nil"/>
              <w:bottom w:val="single" w:sz="4" w:space="0" w:color="auto"/>
              <w:right w:val="single" w:sz="4" w:space="0" w:color="auto"/>
            </w:tcBorders>
            <w:noWrap/>
            <w:vAlign w:val="center"/>
          </w:tcPr>
          <w:p w14:paraId="4AE8E033" w14:textId="73D98AEA" w:rsidR="00AF5E5B" w:rsidRPr="002747B0" w:rsidRDefault="007A4E4C"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0" w:type="pct"/>
            <w:tcBorders>
              <w:top w:val="nil"/>
              <w:left w:val="nil"/>
              <w:bottom w:val="single" w:sz="4" w:space="0" w:color="auto"/>
              <w:right w:val="single" w:sz="4" w:space="0" w:color="auto"/>
            </w:tcBorders>
            <w:noWrap/>
            <w:vAlign w:val="center"/>
          </w:tcPr>
          <w:p w14:paraId="62EDECD3"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24,000</w:t>
            </w:r>
          </w:p>
        </w:tc>
        <w:tc>
          <w:tcPr>
            <w:tcW w:w="242" w:type="pct"/>
            <w:tcBorders>
              <w:top w:val="nil"/>
              <w:left w:val="nil"/>
              <w:bottom w:val="single" w:sz="4" w:space="0" w:color="auto"/>
              <w:right w:val="single" w:sz="4" w:space="0" w:color="auto"/>
            </w:tcBorders>
            <w:noWrap/>
            <w:vAlign w:val="center"/>
          </w:tcPr>
          <w:p w14:paraId="5CA354DC"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85" w:type="pct"/>
            <w:tcBorders>
              <w:top w:val="nil"/>
              <w:left w:val="nil"/>
              <w:bottom w:val="single" w:sz="4" w:space="0" w:color="auto"/>
              <w:right w:val="single" w:sz="4" w:space="0" w:color="auto"/>
            </w:tcBorders>
            <w:noWrap/>
            <w:vAlign w:val="center"/>
          </w:tcPr>
          <w:p w14:paraId="00FB5F95"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24,000</w:t>
            </w:r>
          </w:p>
        </w:tc>
      </w:tr>
      <w:tr w:rsidR="00AF5E5B" w:rsidRPr="002747B0" w14:paraId="39DC5670" w14:textId="77777777" w:rsidTr="00BD36F8">
        <w:trPr>
          <w:trHeight w:val="300"/>
        </w:trPr>
        <w:tc>
          <w:tcPr>
            <w:tcW w:w="5000" w:type="pct"/>
            <w:gridSpan w:val="14"/>
            <w:tcBorders>
              <w:top w:val="nil"/>
              <w:left w:val="single" w:sz="4" w:space="0" w:color="auto"/>
              <w:bottom w:val="single" w:sz="4" w:space="0" w:color="auto"/>
              <w:right w:val="single" w:sz="4" w:space="0" w:color="auto"/>
            </w:tcBorders>
            <w:vAlign w:val="center"/>
          </w:tcPr>
          <w:p w14:paraId="630109A8" w14:textId="77777777" w:rsidR="00AF5E5B" w:rsidRPr="002747B0" w:rsidRDefault="00AF5E5B" w:rsidP="00AF5E5B">
            <w:pPr>
              <w:spacing w:after="0" w:line="240" w:lineRule="auto"/>
              <w:jc w:val="left"/>
              <w:rPr>
                <w:rFonts w:eastAsia="Times New Roman" w:cs="Times New Roman"/>
                <w:color w:val="000000"/>
                <w:sz w:val="16"/>
                <w:szCs w:val="16"/>
                <w:lang w:val="en-GB"/>
              </w:rPr>
            </w:pPr>
            <w:r w:rsidRPr="002747B0">
              <w:rPr>
                <w:rFonts w:eastAsia="Times New Roman" w:cs="Times New Roman"/>
                <w:b/>
                <w:bCs/>
                <w:sz w:val="16"/>
                <w:szCs w:val="16"/>
                <w:lang w:val="en-GB"/>
              </w:rPr>
              <w:t>13.2 Financial mechanism – Global Environment Facility</w:t>
            </w:r>
          </w:p>
        </w:tc>
      </w:tr>
      <w:tr w:rsidR="001833C7" w:rsidRPr="002747B0" w14:paraId="172FD5F3" w14:textId="77777777" w:rsidTr="00AF5E5B">
        <w:trPr>
          <w:trHeight w:val="300"/>
        </w:trPr>
        <w:tc>
          <w:tcPr>
            <w:tcW w:w="1290" w:type="pct"/>
            <w:tcBorders>
              <w:top w:val="nil"/>
              <w:left w:val="single" w:sz="4" w:space="0" w:color="auto"/>
              <w:bottom w:val="single" w:sz="4" w:space="0" w:color="auto"/>
              <w:right w:val="single" w:sz="4" w:space="0" w:color="auto"/>
            </w:tcBorders>
            <w:vAlign w:val="center"/>
            <w:hideMark/>
          </w:tcPr>
          <w:p w14:paraId="54ECC973" w14:textId="77777777" w:rsidR="00AF5E5B" w:rsidRPr="002747B0" w:rsidRDefault="00AF5E5B" w:rsidP="00AF5E5B">
            <w:pPr>
              <w:spacing w:after="0" w:line="240" w:lineRule="auto"/>
              <w:jc w:val="left"/>
              <w:rPr>
                <w:rFonts w:eastAsia="Times New Roman" w:cs="Times New Roman"/>
                <w:sz w:val="16"/>
                <w:szCs w:val="16"/>
                <w:lang w:val="en-GB"/>
              </w:rPr>
            </w:pPr>
            <w:r w:rsidRPr="002747B0">
              <w:rPr>
                <w:rFonts w:eastAsia="Times New Roman" w:cs="Times New Roman"/>
                <w:sz w:val="16"/>
                <w:szCs w:val="16"/>
                <w:lang w:val="en-GB"/>
              </w:rPr>
              <w:t>Project database and impact communications</w:t>
            </w:r>
          </w:p>
        </w:tc>
        <w:tc>
          <w:tcPr>
            <w:tcW w:w="321" w:type="pct"/>
            <w:tcBorders>
              <w:top w:val="nil"/>
              <w:left w:val="nil"/>
              <w:bottom w:val="single" w:sz="4" w:space="0" w:color="auto"/>
              <w:right w:val="single" w:sz="4" w:space="0" w:color="auto"/>
            </w:tcBorders>
            <w:noWrap/>
            <w:vAlign w:val="center"/>
            <w:hideMark/>
          </w:tcPr>
          <w:p w14:paraId="1AF9148D"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275" w:type="pct"/>
            <w:tcBorders>
              <w:top w:val="nil"/>
              <w:left w:val="nil"/>
              <w:bottom w:val="single" w:sz="4" w:space="0" w:color="auto"/>
              <w:right w:val="single" w:sz="4" w:space="0" w:color="auto"/>
            </w:tcBorders>
            <w:noWrap/>
            <w:vAlign w:val="center"/>
          </w:tcPr>
          <w:p w14:paraId="60961B8B"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399" w:type="pct"/>
            <w:tcBorders>
              <w:top w:val="nil"/>
              <w:left w:val="nil"/>
              <w:bottom w:val="single" w:sz="4" w:space="0" w:color="auto"/>
              <w:right w:val="single" w:sz="4" w:space="0" w:color="auto"/>
            </w:tcBorders>
            <w:noWrap/>
            <w:vAlign w:val="center"/>
            <w:hideMark/>
          </w:tcPr>
          <w:p w14:paraId="79AB97C8"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0" w:type="pct"/>
            <w:tcBorders>
              <w:top w:val="nil"/>
              <w:left w:val="nil"/>
              <w:bottom w:val="single" w:sz="4" w:space="0" w:color="auto"/>
              <w:right w:val="single" w:sz="4" w:space="0" w:color="auto"/>
            </w:tcBorders>
            <w:noWrap/>
            <w:vAlign w:val="center"/>
            <w:hideMark/>
          </w:tcPr>
          <w:p w14:paraId="46EAD043" w14:textId="77777777"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20,000</w:t>
            </w:r>
          </w:p>
        </w:tc>
        <w:tc>
          <w:tcPr>
            <w:tcW w:w="303" w:type="pct"/>
            <w:gridSpan w:val="2"/>
            <w:tcBorders>
              <w:top w:val="nil"/>
              <w:left w:val="nil"/>
              <w:bottom w:val="single" w:sz="4" w:space="0" w:color="auto"/>
              <w:right w:val="single" w:sz="4" w:space="0" w:color="auto"/>
            </w:tcBorders>
            <w:noWrap/>
            <w:vAlign w:val="center"/>
            <w:hideMark/>
          </w:tcPr>
          <w:p w14:paraId="394476E1" w14:textId="77777777"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 </w:t>
            </w:r>
          </w:p>
        </w:tc>
        <w:tc>
          <w:tcPr>
            <w:tcW w:w="332" w:type="pct"/>
            <w:tcBorders>
              <w:top w:val="nil"/>
              <w:left w:val="nil"/>
              <w:bottom w:val="single" w:sz="4" w:space="0" w:color="auto"/>
              <w:right w:val="single" w:sz="4" w:space="0" w:color="auto"/>
            </w:tcBorders>
            <w:noWrap/>
            <w:vAlign w:val="center"/>
            <w:hideMark/>
          </w:tcPr>
          <w:p w14:paraId="129155BB" w14:textId="77777777"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20,000</w:t>
            </w:r>
          </w:p>
        </w:tc>
        <w:tc>
          <w:tcPr>
            <w:tcW w:w="273" w:type="pct"/>
            <w:tcBorders>
              <w:top w:val="nil"/>
              <w:left w:val="nil"/>
              <w:bottom w:val="single" w:sz="4" w:space="0" w:color="auto"/>
              <w:right w:val="single" w:sz="4" w:space="0" w:color="auto"/>
            </w:tcBorders>
            <w:noWrap/>
            <w:vAlign w:val="center"/>
          </w:tcPr>
          <w:p w14:paraId="6C929F0D"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273" w:type="pct"/>
            <w:tcBorders>
              <w:top w:val="nil"/>
              <w:left w:val="nil"/>
              <w:bottom w:val="single" w:sz="4" w:space="0" w:color="auto"/>
              <w:right w:val="single" w:sz="4" w:space="0" w:color="auto"/>
            </w:tcBorders>
            <w:noWrap/>
            <w:vAlign w:val="center"/>
          </w:tcPr>
          <w:p w14:paraId="4FECB7CC" w14:textId="77777777" w:rsidR="00AF5E5B" w:rsidRPr="002747B0" w:rsidRDefault="00AF5E5B" w:rsidP="00AF5E5B">
            <w:pPr>
              <w:spacing w:after="0" w:line="240" w:lineRule="auto"/>
              <w:jc w:val="right"/>
              <w:rPr>
                <w:rFonts w:eastAsia="Times New Roman" w:cs="Times New Roman"/>
                <w:color w:val="000000"/>
                <w:sz w:val="16"/>
                <w:szCs w:val="16"/>
                <w:lang w:val="en-GB"/>
              </w:rPr>
            </w:pPr>
          </w:p>
        </w:tc>
        <w:tc>
          <w:tcPr>
            <w:tcW w:w="365" w:type="pct"/>
            <w:tcBorders>
              <w:top w:val="nil"/>
              <w:left w:val="nil"/>
              <w:bottom w:val="single" w:sz="4" w:space="0" w:color="auto"/>
              <w:right w:val="single" w:sz="4" w:space="0" w:color="auto"/>
            </w:tcBorders>
            <w:noWrap/>
            <w:vAlign w:val="center"/>
            <w:hideMark/>
          </w:tcPr>
          <w:p w14:paraId="4753F389"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0" w:type="pct"/>
            <w:tcBorders>
              <w:top w:val="nil"/>
              <w:left w:val="nil"/>
              <w:bottom w:val="single" w:sz="4" w:space="0" w:color="auto"/>
              <w:right w:val="single" w:sz="4" w:space="0" w:color="auto"/>
            </w:tcBorders>
            <w:noWrap/>
            <w:vAlign w:val="center"/>
            <w:hideMark/>
          </w:tcPr>
          <w:p w14:paraId="7AB2B438" w14:textId="77777777"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20,000</w:t>
            </w:r>
          </w:p>
        </w:tc>
        <w:tc>
          <w:tcPr>
            <w:tcW w:w="242" w:type="pct"/>
            <w:tcBorders>
              <w:top w:val="nil"/>
              <w:left w:val="nil"/>
              <w:bottom w:val="single" w:sz="4" w:space="0" w:color="auto"/>
              <w:right w:val="single" w:sz="4" w:space="0" w:color="auto"/>
            </w:tcBorders>
            <w:noWrap/>
            <w:vAlign w:val="center"/>
            <w:hideMark/>
          </w:tcPr>
          <w:p w14:paraId="34B8C64D" w14:textId="77777777"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 </w:t>
            </w:r>
          </w:p>
        </w:tc>
        <w:tc>
          <w:tcPr>
            <w:tcW w:w="385" w:type="pct"/>
            <w:tcBorders>
              <w:top w:val="nil"/>
              <w:left w:val="nil"/>
              <w:bottom w:val="single" w:sz="4" w:space="0" w:color="auto"/>
              <w:right w:val="single" w:sz="4" w:space="0" w:color="auto"/>
            </w:tcBorders>
            <w:noWrap/>
            <w:vAlign w:val="center"/>
            <w:hideMark/>
          </w:tcPr>
          <w:p w14:paraId="2F9C387D" w14:textId="77777777" w:rsidR="00AF5E5B" w:rsidRPr="002747B0" w:rsidRDefault="00AF5E5B" w:rsidP="00AF5E5B">
            <w:pPr>
              <w:spacing w:after="0" w:line="240" w:lineRule="auto"/>
              <w:jc w:val="right"/>
              <w:rPr>
                <w:rFonts w:eastAsia="Times New Roman" w:cs="Times New Roman"/>
                <w:color w:val="000000"/>
                <w:sz w:val="16"/>
                <w:szCs w:val="16"/>
                <w:lang w:val="en-GB"/>
              </w:rPr>
            </w:pPr>
            <w:r w:rsidRPr="002747B0">
              <w:rPr>
                <w:rFonts w:eastAsia="Times New Roman" w:cs="Times New Roman"/>
                <w:color w:val="000000"/>
                <w:sz w:val="16"/>
                <w:szCs w:val="16"/>
                <w:lang w:val="en-GB"/>
              </w:rPr>
              <w:t>20,000</w:t>
            </w:r>
          </w:p>
        </w:tc>
      </w:tr>
      <w:tr w:rsidR="001833C7" w:rsidRPr="002747B0" w14:paraId="02746FCA" w14:textId="77777777" w:rsidTr="00AF5E5B">
        <w:trPr>
          <w:trHeight w:val="300"/>
        </w:trPr>
        <w:tc>
          <w:tcPr>
            <w:tcW w:w="1290" w:type="pct"/>
            <w:tcBorders>
              <w:top w:val="nil"/>
              <w:left w:val="single" w:sz="4" w:space="0" w:color="auto"/>
              <w:bottom w:val="single" w:sz="4" w:space="0" w:color="auto"/>
              <w:right w:val="single" w:sz="4" w:space="0" w:color="auto"/>
            </w:tcBorders>
            <w:noWrap/>
            <w:vAlign w:val="center"/>
            <w:hideMark/>
          </w:tcPr>
          <w:p w14:paraId="212F8A25"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Component total</w:t>
            </w:r>
          </w:p>
        </w:tc>
        <w:tc>
          <w:tcPr>
            <w:tcW w:w="321" w:type="pct"/>
            <w:tcBorders>
              <w:top w:val="nil"/>
              <w:left w:val="nil"/>
              <w:bottom w:val="single" w:sz="4" w:space="0" w:color="auto"/>
              <w:right w:val="single" w:sz="4" w:space="0" w:color="auto"/>
            </w:tcBorders>
            <w:noWrap/>
            <w:vAlign w:val="center"/>
            <w:hideMark/>
          </w:tcPr>
          <w:p w14:paraId="37D37021"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5" w:type="pct"/>
            <w:tcBorders>
              <w:top w:val="nil"/>
              <w:left w:val="nil"/>
              <w:bottom w:val="single" w:sz="4" w:space="0" w:color="auto"/>
              <w:right w:val="single" w:sz="4" w:space="0" w:color="auto"/>
            </w:tcBorders>
            <w:noWrap/>
            <w:vAlign w:val="center"/>
          </w:tcPr>
          <w:p w14:paraId="45816ECA"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99" w:type="pct"/>
            <w:tcBorders>
              <w:top w:val="nil"/>
              <w:left w:val="nil"/>
              <w:bottom w:val="single" w:sz="4" w:space="0" w:color="auto"/>
              <w:right w:val="single" w:sz="4" w:space="0" w:color="auto"/>
            </w:tcBorders>
            <w:noWrap/>
            <w:vAlign w:val="center"/>
            <w:hideMark/>
          </w:tcPr>
          <w:p w14:paraId="11841C31"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0" w:type="pct"/>
            <w:tcBorders>
              <w:top w:val="nil"/>
              <w:left w:val="nil"/>
              <w:bottom w:val="single" w:sz="4" w:space="0" w:color="auto"/>
              <w:right w:val="single" w:sz="4" w:space="0" w:color="auto"/>
            </w:tcBorders>
            <w:noWrap/>
            <w:vAlign w:val="center"/>
            <w:hideMark/>
          </w:tcPr>
          <w:p w14:paraId="143A515B"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xml:space="preserve">20,000  </w:t>
            </w:r>
          </w:p>
        </w:tc>
        <w:tc>
          <w:tcPr>
            <w:tcW w:w="303" w:type="pct"/>
            <w:gridSpan w:val="2"/>
            <w:tcBorders>
              <w:top w:val="nil"/>
              <w:left w:val="nil"/>
              <w:bottom w:val="single" w:sz="4" w:space="0" w:color="auto"/>
              <w:right w:val="single" w:sz="4" w:space="0" w:color="auto"/>
            </w:tcBorders>
            <w:noWrap/>
            <w:vAlign w:val="center"/>
            <w:hideMark/>
          </w:tcPr>
          <w:p w14:paraId="1C4FC376"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xml:space="preserve">            </w:t>
            </w:r>
          </w:p>
        </w:tc>
        <w:tc>
          <w:tcPr>
            <w:tcW w:w="332" w:type="pct"/>
            <w:tcBorders>
              <w:top w:val="nil"/>
              <w:left w:val="nil"/>
              <w:bottom w:val="single" w:sz="4" w:space="0" w:color="auto"/>
              <w:right w:val="single" w:sz="4" w:space="0" w:color="auto"/>
            </w:tcBorders>
            <w:noWrap/>
            <w:vAlign w:val="center"/>
            <w:hideMark/>
          </w:tcPr>
          <w:p w14:paraId="3B0A5092"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20,000</w:t>
            </w:r>
          </w:p>
        </w:tc>
        <w:tc>
          <w:tcPr>
            <w:tcW w:w="273" w:type="pct"/>
            <w:tcBorders>
              <w:top w:val="nil"/>
              <w:left w:val="nil"/>
              <w:bottom w:val="single" w:sz="4" w:space="0" w:color="auto"/>
              <w:right w:val="single" w:sz="4" w:space="0" w:color="auto"/>
            </w:tcBorders>
            <w:noWrap/>
            <w:vAlign w:val="center"/>
          </w:tcPr>
          <w:p w14:paraId="15C1CE8D"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3" w:type="pct"/>
            <w:tcBorders>
              <w:top w:val="nil"/>
              <w:left w:val="nil"/>
              <w:bottom w:val="single" w:sz="4" w:space="0" w:color="auto"/>
              <w:right w:val="single" w:sz="4" w:space="0" w:color="auto"/>
            </w:tcBorders>
            <w:noWrap/>
            <w:vAlign w:val="center"/>
          </w:tcPr>
          <w:p w14:paraId="471DC513"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65" w:type="pct"/>
            <w:tcBorders>
              <w:top w:val="nil"/>
              <w:left w:val="nil"/>
              <w:bottom w:val="single" w:sz="4" w:space="0" w:color="auto"/>
              <w:right w:val="single" w:sz="4" w:space="0" w:color="auto"/>
            </w:tcBorders>
            <w:noWrap/>
            <w:vAlign w:val="center"/>
            <w:hideMark/>
          </w:tcPr>
          <w:p w14:paraId="5C1E392D"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0" w:type="pct"/>
            <w:tcBorders>
              <w:top w:val="nil"/>
              <w:left w:val="nil"/>
              <w:bottom w:val="single" w:sz="4" w:space="0" w:color="auto"/>
              <w:right w:val="single" w:sz="4" w:space="0" w:color="auto"/>
            </w:tcBorders>
            <w:noWrap/>
            <w:vAlign w:val="center"/>
          </w:tcPr>
          <w:p w14:paraId="0E8453EF"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20,000</w:t>
            </w:r>
          </w:p>
        </w:tc>
        <w:tc>
          <w:tcPr>
            <w:tcW w:w="242" w:type="pct"/>
            <w:tcBorders>
              <w:top w:val="nil"/>
              <w:left w:val="nil"/>
              <w:bottom w:val="single" w:sz="4" w:space="0" w:color="auto"/>
              <w:right w:val="single" w:sz="4" w:space="0" w:color="auto"/>
            </w:tcBorders>
            <w:noWrap/>
            <w:vAlign w:val="center"/>
          </w:tcPr>
          <w:p w14:paraId="0594B079"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85" w:type="pct"/>
            <w:tcBorders>
              <w:top w:val="nil"/>
              <w:left w:val="nil"/>
              <w:bottom w:val="single" w:sz="4" w:space="0" w:color="auto"/>
              <w:right w:val="single" w:sz="4" w:space="0" w:color="auto"/>
            </w:tcBorders>
            <w:noWrap/>
            <w:vAlign w:val="center"/>
          </w:tcPr>
          <w:p w14:paraId="3442D1B9"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20,000</w:t>
            </w:r>
          </w:p>
        </w:tc>
      </w:tr>
      <w:tr w:rsidR="00AF5E5B" w:rsidRPr="002747B0" w14:paraId="111A3007" w14:textId="77777777" w:rsidTr="00BD36F8">
        <w:trPr>
          <w:trHeight w:val="300"/>
        </w:trPr>
        <w:tc>
          <w:tcPr>
            <w:tcW w:w="5000" w:type="pct"/>
            <w:gridSpan w:val="14"/>
            <w:tcBorders>
              <w:top w:val="nil"/>
              <w:left w:val="single" w:sz="4" w:space="0" w:color="auto"/>
              <w:bottom w:val="single" w:sz="4" w:space="0" w:color="auto"/>
              <w:right w:val="single" w:sz="4" w:space="0" w:color="auto"/>
            </w:tcBorders>
            <w:noWrap/>
            <w:vAlign w:val="center"/>
          </w:tcPr>
          <w:p w14:paraId="47F15A18" w14:textId="77777777" w:rsidR="00AF5E5B" w:rsidRPr="002747B0" w:rsidRDefault="00AF5E5B" w:rsidP="00AF5E5B">
            <w:pPr>
              <w:spacing w:after="0" w:line="240" w:lineRule="auto"/>
              <w:jc w:val="left"/>
              <w:rPr>
                <w:rFonts w:eastAsia="Times New Roman" w:cs="Times New Roman"/>
                <w:color w:val="000000"/>
                <w:sz w:val="16"/>
                <w:szCs w:val="16"/>
                <w:lang w:val="en-GB"/>
              </w:rPr>
            </w:pPr>
            <w:r w:rsidRPr="002747B0">
              <w:rPr>
                <w:rFonts w:eastAsia="Times New Roman" w:cs="Times New Roman"/>
                <w:b/>
                <w:bCs/>
                <w:sz w:val="16"/>
                <w:szCs w:val="16"/>
                <w:lang w:val="en-GB"/>
              </w:rPr>
              <w:t>13.3 Financial mechanism – Specific International Programme</w:t>
            </w:r>
          </w:p>
        </w:tc>
      </w:tr>
      <w:tr w:rsidR="001833C7" w:rsidRPr="002747B0" w14:paraId="6B907D21" w14:textId="77777777" w:rsidTr="00AF5E5B">
        <w:trPr>
          <w:trHeight w:val="300"/>
        </w:trPr>
        <w:tc>
          <w:tcPr>
            <w:tcW w:w="1290" w:type="pct"/>
            <w:tcBorders>
              <w:top w:val="nil"/>
              <w:left w:val="single" w:sz="4" w:space="0" w:color="auto"/>
              <w:bottom w:val="single" w:sz="4" w:space="0" w:color="auto"/>
              <w:right w:val="single" w:sz="4" w:space="0" w:color="auto"/>
            </w:tcBorders>
            <w:noWrap/>
            <w:vAlign w:val="center"/>
          </w:tcPr>
          <w:p w14:paraId="34B136D7"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Component total</w:t>
            </w:r>
          </w:p>
        </w:tc>
        <w:tc>
          <w:tcPr>
            <w:tcW w:w="321" w:type="pct"/>
            <w:tcBorders>
              <w:top w:val="nil"/>
              <w:left w:val="nil"/>
              <w:bottom w:val="single" w:sz="4" w:space="0" w:color="auto"/>
              <w:right w:val="single" w:sz="4" w:space="0" w:color="auto"/>
            </w:tcBorders>
            <w:noWrap/>
            <w:vAlign w:val="center"/>
          </w:tcPr>
          <w:p w14:paraId="0D9195B9"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5" w:type="pct"/>
            <w:tcBorders>
              <w:top w:val="nil"/>
              <w:left w:val="nil"/>
              <w:bottom w:val="single" w:sz="4" w:space="0" w:color="auto"/>
              <w:right w:val="single" w:sz="4" w:space="0" w:color="auto"/>
            </w:tcBorders>
            <w:noWrap/>
            <w:vAlign w:val="center"/>
          </w:tcPr>
          <w:p w14:paraId="252995DA"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99" w:type="pct"/>
            <w:tcBorders>
              <w:top w:val="nil"/>
              <w:left w:val="nil"/>
              <w:bottom w:val="single" w:sz="4" w:space="0" w:color="auto"/>
              <w:right w:val="single" w:sz="4" w:space="0" w:color="auto"/>
            </w:tcBorders>
            <w:noWrap/>
            <w:vAlign w:val="center"/>
          </w:tcPr>
          <w:p w14:paraId="47669626"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0" w:type="pct"/>
            <w:tcBorders>
              <w:top w:val="nil"/>
              <w:left w:val="nil"/>
              <w:bottom w:val="single" w:sz="4" w:space="0" w:color="auto"/>
              <w:right w:val="single" w:sz="4" w:space="0" w:color="auto"/>
            </w:tcBorders>
            <w:noWrap/>
            <w:vAlign w:val="center"/>
          </w:tcPr>
          <w:p w14:paraId="459B145C"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03" w:type="pct"/>
            <w:gridSpan w:val="2"/>
            <w:tcBorders>
              <w:top w:val="nil"/>
              <w:left w:val="nil"/>
              <w:bottom w:val="single" w:sz="4" w:space="0" w:color="auto"/>
              <w:right w:val="single" w:sz="4" w:space="0" w:color="auto"/>
            </w:tcBorders>
            <w:noWrap/>
            <w:vAlign w:val="center"/>
          </w:tcPr>
          <w:p w14:paraId="6968DE1E"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32" w:type="pct"/>
            <w:tcBorders>
              <w:top w:val="nil"/>
              <w:left w:val="nil"/>
              <w:bottom w:val="single" w:sz="4" w:space="0" w:color="auto"/>
              <w:right w:val="single" w:sz="4" w:space="0" w:color="auto"/>
            </w:tcBorders>
            <w:noWrap/>
            <w:vAlign w:val="center"/>
          </w:tcPr>
          <w:p w14:paraId="771E16C9"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3" w:type="pct"/>
            <w:tcBorders>
              <w:top w:val="nil"/>
              <w:left w:val="nil"/>
              <w:bottom w:val="single" w:sz="4" w:space="0" w:color="auto"/>
              <w:right w:val="single" w:sz="4" w:space="0" w:color="auto"/>
            </w:tcBorders>
            <w:noWrap/>
            <w:vAlign w:val="center"/>
          </w:tcPr>
          <w:p w14:paraId="585D20D1"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3" w:type="pct"/>
            <w:tcBorders>
              <w:top w:val="nil"/>
              <w:left w:val="nil"/>
              <w:bottom w:val="single" w:sz="4" w:space="0" w:color="auto"/>
              <w:right w:val="single" w:sz="4" w:space="0" w:color="auto"/>
            </w:tcBorders>
            <w:noWrap/>
            <w:vAlign w:val="center"/>
          </w:tcPr>
          <w:p w14:paraId="07C0DF40"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65" w:type="pct"/>
            <w:tcBorders>
              <w:top w:val="nil"/>
              <w:left w:val="nil"/>
              <w:bottom w:val="single" w:sz="4" w:space="0" w:color="auto"/>
              <w:right w:val="single" w:sz="4" w:space="0" w:color="auto"/>
            </w:tcBorders>
            <w:noWrap/>
            <w:vAlign w:val="center"/>
          </w:tcPr>
          <w:p w14:paraId="0D414E41"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70" w:type="pct"/>
            <w:tcBorders>
              <w:top w:val="nil"/>
              <w:left w:val="nil"/>
              <w:bottom w:val="single" w:sz="4" w:space="0" w:color="auto"/>
              <w:right w:val="single" w:sz="4" w:space="0" w:color="auto"/>
            </w:tcBorders>
            <w:noWrap/>
            <w:vAlign w:val="center"/>
          </w:tcPr>
          <w:p w14:paraId="1D63C957"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242" w:type="pct"/>
            <w:tcBorders>
              <w:top w:val="nil"/>
              <w:left w:val="nil"/>
              <w:bottom w:val="single" w:sz="4" w:space="0" w:color="auto"/>
              <w:right w:val="single" w:sz="4" w:space="0" w:color="auto"/>
            </w:tcBorders>
            <w:noWrap/>
            <w:vAlign w:val="center"/>
          </w:tcPr>
          <w:p w14:paraId="182FCB26"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85" w:type="pct"/>
            <w:tcBorders>
              <w:top w:val="nil"/>
              <w:left w:val="nil"/>
              <w:bottom w:val="single" w:sz="4" w:space="0" w:color="auto"/>
              <w:right w:val="single" w:sz="4" w:space="0" w:color="auto"/>
            </w:tcBorders>
            <w:noWrap/>
            <w:vAlign w:val="center"/>
          </w:tcPr>
          <w:p w14:paraId="7C9141A6"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r>
      <w:tr w:rsidR="001833C7" w:rsidRPr="002747B0" w14:paraId="2A33C20F" w14:textId="77777777" w:rsidTr="00AF5E5B">
        <w:trPr>
          <w:trHeight w:val="300"/>
        </w:trPr>
        <w:tc>
          <w:tcPr>
            <w:tcW w:w="1290" w:type="pct"/>
            <w:tcBorders>
              <w:top w:val="nil"/>
              <w:left w:val="single" w:sz="4" w:space="0" w:color="auto"/>
              <w:bottom w:val="single" w:sz="4" w:space="0" w:color="auto"/>
              <w:right w:val="single" w:sz="4" w:space="0" w:color="auto"/>
            </w:tcBorders>
            <w:noWrap/>
            <w:vAlign w:val="center"/>
            <w:hideMark/>
          </w:tcPr>
          <w:p w14:paraId="211D56B2" w14:textId="77777777" w:rsidR="00AF5E5B" w:rsidRPr="002747B0" w:rsidRDefault="00AF5E5B" w:rsidP="00AF5E5B">
            <w:pPr>
              <w:spacing w:after="0" w:line="240" w:lineRule="auto"/>
              <w:jc w:val="lef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 xml:space="preserve">Grand Total </w:t>
            </w:r>
          </w:p>
        </w:tc>
        <w:tc>
          <w:tcPr>
            <w:tcW w:w="321" w:type="pct"/>
            <w:tcBorders>
              <w:top w:val="nil"/>
              <w:left w:val="nil"/>
              <w:bottom w:val="single" w:sz="4" w:space="0" w:color="auto"/>
              <w:right w:val="single" w:sz="4" w:space="0" w:color="auto"/>
            </w:tcBorders>
            <w:noWrap/>
            <w:vAlign w:val="center"/>
            <w:hideMark/>
          </w:tcPr>
          <w:p w14:paraId="7D93C04E" w14:textId="6F580C49" w:rsidR="00AF5E5B" w:rsidRPr="002747B0" w:rsidRDefault="00386642"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5" w:type="pct"/>
            <w:tcBorders>
              <w:top w:val="nil"/>
              <w:left w:val="nil"/>
              <w:bottom w:val="single" w:sz="4" w:space="0" w:color="auto"/>
              <w:right w:val="single" w:sz="4" w:space="0" w:color="auto"/>
            </w:tcBorders>
            <w:noWrap/>
            <w:vAlign w:val="center"/>
            <w:hideMark/>
          </w:tcPr>
          <w:p w14:paraId="284561C7"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99" w:type="pct"/>
            <w:tcBorders>
              <w:top w:val="nil"/>
              <w:left w:val="nil"/>
              <w:bottom w:val="single" w:sz="4" w:space="0" w:color="auto"/>
              <w:right w:val="single" w:sz="4" w:space="0" w:color="auto"/>
            </w:tcBorders>
            <w:noWrap/>
            <w:vAlign w:val="center"/>
            <w:hideMark/>
          </w:tcPr>
          <w:p w14:paraId="08C4E96F" w14:textId="320B20FC" w:rsidR="00AF5E5B" w:rsidRPr="002747B0" w:rsidRDefault="00386642"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0" w:type="pct"/>
            <w:tcBorders>
              <w:top w:val="nil"/>
              <w:left w:val="nil"/>
              <w:bottom w:val="single" w:sz="4" w:space="0" w:color="auto"/>
              <w:right w:val="single" w:sz="4" w:space="0" w:color="auto"/>
            </w:tcBorders>
            <w:noWrap/>
            <w:vAlign w:val="center"/>
          </w:tcPr>
          <w:p w14:paraId="053C0E83"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44,000</w:t>
            </w:r>
          </w:p>
        </w:tc>
        <w:tc>
          <w:tcPr>
            <w:tcW w:w="303" w:type="pct"/>
            <w:gridSpan w:val="2"/>
            <w:tcBorders>
              <w:top w:val="nil"/>
              <w:left w:val="nil"/>
              <w:bottom w:val="single" w:sz="4" w:space="0" w:color="auto"/>
              <w:right w:val="single" w:sz="4" w:space="0" w:color="auto"/>
            </w:tcBorders>
            <w:noWrap/>
            <w:vAlign w:val="center"/>
            <w:hideMark/>
          </w:tcPr>
          <w:p w14:paraId="6C055A21"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32" w:type="pct"/>
            <w:tcBorders>
              <w:top w:val="nil"/>
              <w:left w:val="nil"/>
              <w:bottom w:val="single" w:sz="4" w:space="0" w:color="auto"/>
              <w:right w:val="single" w:sz="4" w:space="0" w:color="auto"/>
            </w:tcBorders>
            <w:noWrap/>
            <w:vAlign w:val="center"/>
            <w:hideMark/>
          </w:tcPr>
          <w:p w14:paraId="245F9A14"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44,000</w:t>
            </w:r>
          </w:p>
        </w:tc>
        <w:tc>
          <w:tcPr>
            <w:tcW w:w="273" w:type="pct"/>
            <w:tcBorders>
              <w:top w:val="nil"/>
              <w:left w:val="nil"/>
              <w:bottom w:val="single" w:sz="4" w:space="0" w:color="auto"/>
              <w:right w:val="single" w:sz="4" w:space="0" w:color="auto"/>
            </w:tcBorders>
            <w:noWrap/>
            <w:vAlign w:val="center"/>
            <w:hideMark/>
          </w:tcPr>
          <w:p w14:paraId="02A6AEF0" w14:textId="4B49F488" w:rsidR="00AF5E5B" w:rsidRPr="002747B0" w:rsidRDefault="007A4E4C"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3" w:type="pct"/>
            <w:tcBorders>
              <w:top w:val="nil"/>
              <w:left w:val="nil"/>
              <w:bottom w:val="single" w:sz="4" w:space="0" w:color="auto"/>
              <w:right w:val="single" w:sz="4" w:space="0" w:color="auto"/>
            </w:tcBorders>
            <w:noWrap/>
            <w:vAlign w:val="center"/>
            <w:hideMark/>
          </w:tcPr>
          <w:p w14:paraId="4F91CD1B"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65" w:type="pct"/>
            <w:tcBorders>
              <w:top w:val="nil"/>
              <w:left w:val="nil"/>
              <w:bottom w:val="single" w:sz="4" w:space="0" w:color="auto"/>
              <w:right w:val="single" w:sz="4" w:space="0" w:color="auto"/>
            </w:tcBorders>
            <w:noWrap/>
            <w:vAlign w:val="center"/>
            <w:hideMark/>
          </w:tcPr>
          <w:p w14:paraId="27766D30" w14:textId="2BA714B0" w:rsidR="00AF5E5B" w:rsidRPr="002747B0" w:rsidRDefault="007A4E4C"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30</w:t>
            </w:r>
            <w:r w:rsidR="000C50AD" w:rsidRPr="002747B0">
              <w:rPr>
                <w:rFonts w:eastAsia="Times New Roman" w:cs="Times New Roman"/>
                <w:b/>
                <w:bCs/>
                <w:color w:val="000000"/>
                <w:sz w:val="16"/>
                <w:szCs w:val="16"/>
                <w:lang w:val="en-GB"/>
              </w:rPr>
              <w:t>,</w:t>
            </w:r>
            <w:r w:rsidRPr="002747B0">
              <w:rPr>
                <w:rFonts w:eastAsia="Times New Roman" w:cs="Times New Roman"/>
                <w:b/>
                <w:bCs/>
                <w:color w:val="000000"/>
                <w:sz w:val="16"/>
                <w:szCs w:val="16"/>
                <w:lang w:val="en-GB"/>
              </w:rPr>
              <w:t>000</w:t>
            </w:r>
          </w:p>
        </w:tc>
        <w:tc>
          <w:tcPr>
            <w:tcW w:w="270" w:type="pct"/>
            <w:tcBorders>
              <w:top w:val="nil"/>
              <w:left w:val="nil"/>
              <w:bottom w:val="single" w:sz="4" w:space="0" w:color="auto"/>
              <w:right w:val="single" w:sz="4" w:space="0" w:color="auto"/>
            </w:tcBorders>
            <w:noWrap/>
            <w:vAlign w:val="center"/>
          </w:tcPr>
          <w:p w14:paraId="054795E5"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44,000</w:t>
            </w:r>
          </w:p>
        </w:tc>
        <w:tc>
          <w:tcPr>
            <w:tcW w:w="242" w:type="pct"/>
            <w:tcBorders>
              <w:top w:val="nil"/>
              <w:left w:val="nil"/>
              <w:bottom w:val="single" w:sz="4" w:space="0" w:color="auto"/>
              <w:right w:val="single" w:sz="4" w:space="0" w:color="auto"/>
            </w:tcBorders>
            <w:noWrap/>
            <w:vAlign w:val="center"/>
            <w:hideMark/>
          </w:tcPr>
          <w:p w14:paraId="264E224C"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p>
        </w:tc>
        <w:tc>
          <w:tcPr>
            <w:tcW w:w="385" w:type="pct"/>
            <w:tcBorders>
              <w:top w:val="nil"/>
              <w:left w:val="nil"/>
              <w:bottom w:val="single" w:sz="4" w:space="0" w:color="auto"/>
              <w:right w:val="single" w:sz="4" w:space="0" w:color="auto"/>
            </w:tcBorders>
            <w:noWrap/>
            <w:vAlign w:val="center"/>
            <w:hideMark/>
          </w:tcPr>
          <w:p w14:paraId="1E86889D" w14:textId="77777777" w:rsidR="00AF5E5B" w:rsidRPr="002747B0" w:rsidRDefault="00AF5E5B" w:rsidP="00AF5E5B">
            <w:pPr>
              <w:spacing w:after="0" w:line="240" w:lineRule="auto"/>
              <w:jc w:val="right"/>
              <w:rPr>
                <w:rFonts w:eastAsia="Times New Roman" w:cs="Times New Roman"/>
                <w:b/>
                <w:bCs/>
                <w:color w:val="000000"/>
                <w:sz w:val="16"/>
                <w:szCs w:val="16"/>
                <w:lang w:val="en-GB"/>
              </w:rPr>
            </w:pPr>
            <w:r w:rsidRPr="002747B0">
              <w:rPr>
                <w:rFonts w:eastAsia="Times New Roman" w:cs="Times New Roman"/>
                <w:b/>
                <w:bCs/>
                <w:color w:val="000000"/>
                <w:sz w:val="16"/>
                <w:szCs w:val="16"/>
                <w:lang w:val="en-GB"/>
              </w:rPr>
              <w:t>44,000</w:t>
            </w:r>
          </w:p>
        </w:tc>
      </w:tr>
    </w:tbl>
    <w:p w14:paraId="47F3BE92" w14:textId="27C8960B" w:rsidR="003F02D2" w:rsidRPr="00845FB7" w:rsidRDefault="003F02D2" w:rsidP="003F02D2">
      <w:pPr>
        <w:pStyle w:val="Heading3"/>
        <w:rPr>
          <w:bCs/>
          <w:sz w:val="24"/>
          <w:lang w:val="en-GB"/>
        </w:rPr>
      </w:pPr>
      <w:r w:rsidRPr="00845FB7">
        <w:rPr>
          <w:sz w:val="24"/>
          <w:lang w:val="en-GB"/>
        </w:rPr>
        <w:t>Overview of resources</w:t>
      </w:r>
    </w:p>
    <w:tbl>
      <w:tblPr>
        <w:tblW w:w="10036" w:type="dxa"/>
        <w:tblLook w:val="04A0" w:firstRow="1" w:lastRow="0" w:firstColumn="1" w:lastColumn="0" w:noHBand="0" w:noVBand="1"/>
      </w:tblPr>
      <w:tblGrid>
        <w:gridCol w:w="5240"/>
        <w:gridCol w:w="2126"/>
        <w:gridCol w:w="1985"/>
        <w:gridCol w:w="2126"/>
      </w:tblGrid>
      <w:tr w:rsidR="003F02D2" w:rsidRPr="00845FB7" w14:paraId="76604551" w14:textId="77777777" w:rsidTr="00B42CEB">
        <w:trPr>
          <w:trHeight w:val="340"/>
        </w:trPr>
        <w:tc>
          <w:tcPr>
            <w:tcW w:w="5240" w:type="dxa"/>
            <w:tcBorders>
              <w:top w:val="single" w:sz="4" w:space="0" w:color="auto"/>
              <w:left w:val="single" w:sz="4" w:space="0" w:color="auto"/>
              <w:bottom w:val="single" w:sz="4" w:space="0" w:color="auto"/>
              <w:right w:val="single" w:sz="4" w:space="0" w:color="auto"/>
            </w:tcBorders>
            <w:noWrap/>
            <w:vAlign w:val="center"/>
            <w:hideMark/>
          </w:tcPr>
          <w:p w14:paraId="6CE2B8C9" w14:textId="77777777" w:rsidR="003F02D2" w:rsidRPr="00845FB7" w:rsidRDefault="003F02D2"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Budget</w:t>
            </w:r>
          </w:p>
        </w:tc>
        <w:tc>
          <w:tcPr>
            <w:tcW w:w="2126" w:type="dxa"/>
            <w:tcBorders>
              <w:top w:val="single" w:sz="4" w:space="0" w:color="auto"/>
              <w:left w:val="nil"/>
              <w:bottom w:val="single" w:sz="4" w:space="0" w:color="auto"/>
              <w:right w:val="single" w:sz="4" w:space="0" w:color="auto"/>
            </w:tcBorders>
            <w:vAlign w:val="center"/>
            <w:hideMark/>
          </w:tcPr>
          <w:p w14:paraId="50D7D760" w14:textId="78CEFC28" w:rsidR="003F02D2" w:rsidRPr="00845FB7" w:rsidRDefault="003F02D2"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General </w:t>
            </w:r>
            <w:r w:rsidR="00F72400" w:rsidRPr="00845FB7">
              <w:rPr>
                <w:rFonts w:eastAsia="Times New Roman" w:cs="Times New Roman"/>
                <w:b/>
                <w:bCs/>
                <w:color w:val="000000"/>
                <w:sz w:val="18"/>
                <w:szCs w:val="18"/>
                <w:lang w:val="en-GB"/>
              </w:rPr>
              <w:t>t</w:t>
            </w:r>
            <w:r w:rsidRPr="00845FB7">
              <w:rPr>
                <w:rFonts w:eastAsia="Times New Roman" w:cs="Times New Roman"/>
                <w:b/>
                <w:bCs/>
                <w:color w:val="000000"/>
                <w:sz w:val="18"/>
                <w:szCs w:val="18"/>
                <w:lang w:val="en-GB"/>
              </w:rPr>
              <w:t xml:space="preserve">rust </w:t>
            </w:r>
            <w:r w:rsidR="00F72400" w:rsidRPr="00845FB7">
              <w:rPr>
                <w:rFonts w:eastAsia="Times New Roman" w:cs="Times New Roman"/>
                <w:b/>
                <w:bCs/>
                <w:color w:val="000000"/>
                <w:sz w:val="18"/>
                <w:szCs w:val="18"/>
                <w:lang w:val="en-GB"/>
              </w:rPr>
              <w:t>f</w:t>
            </w:r>
            <w:r w:rsidRPr="00845FB7">
              <w:rPr>
                <w:rFonts w:eastAsia="Times New Roman" w:cs="Times New Roman"/>
                <w:b/>
                <w:bCs/>
                <w:color w:val="000000"/>
                <w:sz w:val="18"/>
                <w:szCs w:val="18"/>
                <w:lang w:val="en-GB"/>
              </w:rPr>
              <w:t>und</w:t>
            </w:r>
          </w:p>
        </w:tc>
        <w:tc>
          <w:tcPr>
            <w:tcW w:w="1985" w:type="dxa"/>
            <w:tcBorders>
              <w:top w:val="single" w:sz="4" w:space="0" w:color="auto"/>
              <w:left w:val="nil"/>
              <w:bottom w:val="single" w:sz="4" w:space="0" w:color="auto"/>
              <w:right w:val="single" w:sz="4" w:space="0" w:color="auto"/>
            </w:tcBorders>
            <w:vAlign w:val="center"/>
            <w:hideMark/>
          </w:tcPr>
          <w:p w14:paraId="036E6E7F" w14:textId="053748CE" w:rsidR="003F02D2" w:rsidRPr="00845FB7" w:rsidRDefault="003F02D2"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Special </w:t>
            </w:r>
            <w:r w:rsidR="00F72400" w:rsidRPr="00845FB7">
              <w:rPr>
                <w:rFonts w:eastAsia="Times New Roman" w:cs="Times New Roman"/>
                <w:b/>
                <w:bCs/>
                <w:color w:val="000000"/>
                <w:sz w:val="18"/>
                <w:szCs w:val="18"/>
                <w:lang w:val="en-GB"/>
              </w:rPr>
              <w:t>t</w:t>
            </w:r>
            <w:r w:rsidRPr="00845FB7">
              <w:rPr>
                <w:rFonts w:eastAsia="Times New Roman" w:cs="Times New Roman"/>
                <w:b/>
                <w:bCs/>
                <w:color w:val="000000"/>
                <w:sz w:val="18"/>
                <w:szCs w:val="18"/>
                <w:lang w:val="en-GB"/>
              </w:rPr>
              <w:t xml:space="preserve">rust </w:t>
            </w:r>
            <w:r w:rsidR="00F72400" w:rsidRPr="00845FB7">
              <w:rPr>
                <w:rFonts w:eastAsia="Times New Roman" w:cs="Times New Roman"/>
                <w:b/>
                <w:bCs/>
                <w:color w:val="000000"/>
                <w:sz w:val="18"/>
                <w:szCs w:val="18"/>
                <w:lang w:val="en-GB"/>
              </w:rPr>
              <w:t>f</w:t>
            </w:r>
            <w:r w:rsidRPr="00845FB7">
              <w:rPr>
                <w:rFonts w:eastAsia="Times New Roman" w:cs="Times New Roman"/>
                <w:b/>
                <w:bCs/>
                <w:color w:val="000000"/>
                <w:sz w:val="18"/>
                <w:szCs w:val="18"/>
                <w:lang w:val="en-GB"/>
              </w:rPr>
              <w:t>und</w:t>
            </w:r>
          </w:p>
        </w:tc>
        <w:tc>
          <w:tcPr>
            <w:tcW w:w="2126" w:type="dxa"/>
            <w:tcBorders>
              <w:top w:val="single" w:sz="4" w:space="0" w:color="auto"/>
              <w:left w:val="nil"/>
              <w:bottom w:val="single" w:sz="4" w:space="0" w:color="auto"/>
              <w:right w:val="single" w:sz="4" w:space="0" w:color="auto"/>
            </w:tcBorders>
            <w:vAlign w:val="center"/>
            <w:hideMark/>
          </w:tcPr>
          <w:p w14:paraId="3E91B1D6" w14:textId="417BFF78" w:rsidR="003F02D2" w:rsidRPr="00845FB7" w:rsidRDefault="003F02D2"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Total </w:t>
            </w:r>
            <w:r w:rsidR="00F72400" w:rsidRPr="00845FB7">
              <w:rPr>
                <w:rFonts w:eastAsia="Times New Roman" w:cs="Times New Roman"/>
                <w:b/>
                <w:bCs/>
                <w:color w:val="000000"/>
                <w:sz w:val="18"/>
                <w:szCs w:val="18"/>
                <w:lang w:val="en-GB"/>
              </w:rPr>
              <w:t>c</w:t>
            </w:r>
            <w:r w:rsidRPr="00845FB7">
              <w:rPr>
                <w:rFonts w:eastAsia="Times New Roman" w:cs="Times New Roman"/>
                <w:b/>
                <w:bCs/>
                <w:color w:val="000000"/>
                <w:sz w:val="18"/>
                <w:szCs w:val="18"/>
                <w:lang w:val="en-GB"/>
              </w:rPr>
              <w:t>ontribution</w:t>
            </w:r>
          </w:p>
        </w:tc>
      </w:tr>
      <w:tr w:rsidR="003F02D2" w:rsidRPr="00845FB7" w14:paraId="7C2C310A" w14:textId="77777777" w:rsidTr="00B42CEB">
        <w:trPr>
          <w:trHeight w:val="340"/>
        </w:trPr>
        <w:tc>
          <w:tcPr>
            <w:tcW w:w="5240" w:type="dxa"/>
            <w:tcBorders>
              <w:top w:val="nil"/>
              <w:left w:val="single" w:sz="4" w:space="0" w:color="auto"/>
              <w:bottom w:val="single" w:sz="4" w:space="0" w:color="auto"/>
              <w:right w:val="single" w:sz="4" w:space="0" w:color="auto"/>
            </w:tcBorders>
            <w:noWrap/>
            <w:vAlign w:val="center"/>
            <w:hideMark/>
          </w:tcPr>
          <w:p w14:paraId="665027D0" w14:textId="13677BCF" w:rsidR="003F02D2" w:rsidRPr="00845FB7" w:rsidRDefault="00853F3C" w:rsidP="00A10FE4">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2024</w:t>
            </w:r>
            <w:r w:rsidR="003F02D2" w:rsidRPr="00845FB7">
              <w:rPr>
                <w:rFonts w:eastAsia="Times New Roman" w:cs="Times New Roman"/>
                <w:color w:val="000000"/>
                <w:sz w:val="18"/>
                <w:szCs w:val="18"/>
                <w:lang w:val="en-GB"/>
              </w:rPr>
              <w:t>-</w:t>
            </w:r>
            <w:r w:rsidRPr="00845FB7">
              <w:rPr>
                <w:rFonts w:eastAsia="Times New Roman" w:cs="Times New Roman"/>
                <w:color w:val="000000"/>
                <w:sz w:val="18"/>
                <w:szCs w:val="18"/>
                <w:lang w:val="en-GB"/>
              </w:rPr>
              <w:t xml:space="preserve">2025 </w:t>
            </w:r>
            <w:r w:rsidR="003F02D2" w:rsidRPr="00845FB7">
              <w:rPr>
                <w:rFonts w:eastAsia="Times New Roman" w:cs="Times New Roman"/>
                <w:color w:val="000000"/>
                <w:sz w:val="18"/>
                <w:szCs w:val="18"/>
                <w:lang w:val="en-GB"/>
              </w:rPr>
              <w:t>approved</w:t>
            </w:r>
          </w:p>
        </w:tc>
        <w:tc>
          <w:tcPr>
            <w:tcW w:w="2126" w:type="dxa"/>
            <w:tcBorders>
              <w:top w:val="nil"/>
              <w:left w:val="nil"/>
              <w:bottom w:val="single" w:sz="4" w:space="0" w:color="auto"/>
              <w:right w:val="single" w:sz="4" w:space="0" w:color="auto"/>
            </w:tcBorders>
            <w:noWrap/>
            <w:vAlign w:val="center"/>
            <w:hideMark/>
          </w:tcPr>
          <w:p w14:paraId="2C144C47" w14:textId="5452CFCE" w:rsidR="003F02D2" w:rsidRPr="00845FB7" w:rsidRDefault="003F02D2" w:rsidP="00A10FE4">
            <w:pPr>
              <w:spacing w:after="0" w:line="240" w:lineRule="auto"/>
              <w:jc w:val="right"/>
              <w:rPr>
                <w:rFonts w:eastAsia="Times New Roman" w:cs="Times New Roman"/>
                <w:b/>
                <w:bCs/>
                <w:color w:val="000000"/>
                <w:sz w:val="18"/>
                <w:szCs w:val="18"/>
                <w:lang w:val="en-GB"/>
              </w:rPr>
            </w:pPr>
          </w:p>
        </w:tc>
        <w:tc>
          <w:tcPr>
            <w:tcW w:w="1985" w:type="dxa"/>
            <w:tcBorders>
              <w:top w:val="nil"/>
              <w:left w:val="nil"/>
              <w:bottom w:val="single" w:sz="4" w:space="0" w:color="auto"/>
              <w:right w:val="single" w:sz="4" w:space="0" w:color="auto"/>
            </w:tcBorders>
            <w:noWrap/>
            <w:vAlign w:val="center"/>
            <w:hideMark/>
          </w:tcPr>
          <w:p w14:paraId="21BF00FC" w14:textId="70D37BE1" w:rsidR="003F02D2" w:rsidRPr="00845FB7" w:rsidRDefault="00E93477"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44</w:t>
            </w:r>
            <w:r w:rsidR="00076E3E" w:rsidRPr="00845FB7">
              <w:rPr>
                <w:rFonts w:eastAsia="Times New Roman" w:cs="Times New Roman"/>
                <w:b/>
                <w:bCs/>
                <w:color w:val="000000"/>
                <w:sz w:val="18"/>
                <w:szCs w:val="18"/>
                <w:lang w:val="en-GB"/>
              </w:rPr>
              <w:t>,000</w:t>
            </w:r>
          </w:p>
        </w:tc>
        <w:tc>
          <w:tcPr>
            <w:tcW w:w="2126" w:type="dxa"/>
            <w:tcBorders>
              <w:top w:val="nil"/>
              <w:left w:val="nil"/>
              <w:bottom w:val="single" w:sz="4" w:space="0" w:color="auto"/>
              <w:right w:val="single" w:sz="4" w:space="0" w:color="auto"/>
            </w:tcBorders>
            <w:noWrap/>
            <w:vAlign w:val="center"/>
            <w:hideMark/>
          </w:tcPr>
          <w:p w14:paraId="37957813" w14:textId="154961C5" w:rsidR="003F02D2" w:rsidRPr="00845FB7" w:rsidRDefault="00E93477"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44</w:t>
            </w:r>
            <w:r w:rsidR="005D697F" w:rsidRPr="00845FB7">
              <w:rPr>
                <w:rFonts w:eastAsia="Times New Roman" w:cs="Times New Roman"/>
                <w:b/>
                <w:bCs/>
                <w:color w:val="000000"/>
                <w:sz w:val="18"/>
                <w:szCs w:val="18"/>
                <w:lang w:val="en-GB"/>
              </w:rPr>
              <w:t>,000</w:t>
            </w:r>
          </w:p>
        </w:tc>
      </w:tr>
      <w:tr w:rsidR="003F02D2" w:rsidRPr="00845FB7" w14:paraId="66AD5A45" w14:textId="77777777" w:rsidTr="00B42CEB">
        <w:trPr>
          <w:trHeight w:val="340"/>
        </w:trPr>
        <w:tc>
          <w:tcPr>
            <w:tcW w:w="5240" w:type="dxa"/>
            <w:tcBorders>
              <w:top w:val="nil"/>
              <w:left w:val="single" w:sz="4" w:space="0" w:color="auto"/>
              <w:bottom w:val="single" w:sz="4" w:space="0" w:color="auto"/>
              <w:right w:val="single" w:sz="4" w:space="0" w:color="auto"/>
            </w:tcBorders>
            <w:vAlign w:val="center"/>
            <w:hideMark/>
          </w:tcPr>
          <w:p w14:paraId="4662390E" w14:textId="73AFE0E6" w:rsidR="003F02D2" w:rsidRPr="00845FB7" w:rsidRDefault="00E2051A" w:rsidP="00A10FE4">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2026–2027</w:t>
            </w:r>
            <w:r w:rsidR="00853F3C" w:rsidRPr="00845FB7">
              <w:rPr>
                <w:rFonts w:eastAsia="Times New Roman" w:cs="Times New Roman"/>
                <w:color w:val="000000"/>
                <w:sz w:val="18"/>
                <w:szCs w:val="18"/>
                <w:lang w:val="en-GB"/>
              </w:rPr>
              <w:t xml:space="preserve"> </w:t>
            </w:r>
            <w:r w:rsidR="003F02D2" w:rsidRPr="00845FB7">
              <w:rPr>
                <w:rFonts w:eastAsia="Times New Roman" w:cs="Times New Roman"/>
                <w:color w:val="000000"/>
                <w:sz w:val="18"/>
                <w:szCs w:val="18"/>
                <w:lang w:val="en-GB"/>
              </w:rPr>
              <w:t xml:space="preserve">requested in </w:t>
            </w:r>
            <w:r w:rsidR="00F72400" w:rsidRPr="00845FB7">
              <w:rPr>
                <w:rFonts w:eastAsia="Times New Roman" w:cs="Times New Roman"/>
                <w:color w:val="000000"/>
                <w:sz w:val="18"/>
                <w:szCs w:val="18"/>
                <w:lang w:val="en-GB"/>
              </w:rPr>
              <w:t xml:space="preserve">the </w:t>
            </w:r>
            <w:r w:rsidR="003F02D2" w:rsidRPr="00845FB7">
              <w:rPr>
                <w:rFonts w:eastAsia="Times New Roman" w:cs="Times New Roman"/>
                <w:color w:val="000000"/>
                <w:sz w:val="18"/>
                <w:szCs w:val="18"/>
                <w:lang w:val="en-GB"/>
              </w:rPr>
              <w:t>5</w:t>
            </w:r>
            <w:r w:rsidR="00F72400" w:rsidRPr="00845FB7">
              <w:rPr>
                <w:rFonts w:eastAsia="Times New Roman" w:cs="Times New Roman"/>
                <w:color w:val="000000"/>
                <w:sz w:val="18"/>
                <w:szCs w:val="18"/>
                <w:lang w:val="en-GB"/>
              </w:rPr>
              <w:t xml:space="preserve"> per cent</w:t>
            </w:r>
            <w:r w:rsidR="003F02D2" w:rsidRPr="00845FB7">
              <w:rPr>
                <w:rFonts w:eastAsia="Times New Roman" w:cs="Times New Roman"/>
                <w:color w:val="000000"/>
                <w:sz w:val="18"/>
                <w:szCs w:val="18"/>
                <w:lang w:val="en-GB"/>
              </w:rPr>
              <w:t xml:space="preserve"> scenario</w:t>
            </w:r>
          </w:p>
        </w:tc>
        <w:tc>
          <w:tcPr>
            <w:tcW w:w="2126" w:type="dxa"/>
            <w:tcBorders>
              <w:top w:val="nil"/>
              <w:left w:val="nil"/>
              <w:bottom w:val="single" w:sz="4" w:space="0" w:color="auto"/>
              <w:right w:val="single" w:sz="4" w:space="0" w:color="auto"/>
            </w:tcBorders>
            <w:noWrap/>
            <w:vAlign w:val="center"/>
            <w:hideMark/>
          </w:tcPr>
          <w:p w14:paraId="4133A1A2" w14:textId="75DE0209" w:rsidR="003F02D2" w:rsidRPr="00845FB7" w:rsidRDefault="00FC776A"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30,000</w:t>
            </w:r>
          </w:p>
        </w:tc>
        <w:tc>
          <w:tcPr>
            <w:tcW w:w="1985" w:type="dxa"/>
            <w:tcBorders>
              <w:top w:val="nil"/>
              <w:left w:val="nil"/>
              <w:bottom w:val="single" w:sz="4" w:space="0" w:color="auto"/>
              <w:right w:val="single" w:sz="4" w:space="0" w:color="auto"/>
            </w:tcBorders>
            <w:noWrap/>
            <w:vAlign w:val="center"/>
            <w:hideMark/>
          </w:tcPr>
          <w:p w14:paraId="74CC8BA1" w14:textId="38B4AF6E" w:rsidR="003F02D2" w:rsidRPr="00845FB7" w:rsidRDefault="00510E63"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44,000</w:t>
            </w:r>
            <w:r w:rsidR="003F02D2" w:rsidRPr="00845FB7">
              <w:rPr>
                <w:rFonts w:eastAsia="Times New Roman" w:cs="Times New Roman"/>
                <w:b/>
                <w:bCs/>
                <w:color w:val="000000"/>
                <w:sz w:val="18"/>
                <w:szCs w:val="18"/>
                <w:lang w:val="en-GB"/>
              </w:rPr>
              <w:t> </w:t>
            </w:r>
          </w:p>
        </w:tc>
        <w:tc>
          <w:tcPr>
            <w:tcW w:w="2126" w:type="dxa"/>
            <w:tcBorders>
              <w:top w:val="nil"/>
              <w:left w:val="nil"/>
              <w:bottom w:val="single" w:sz="4" w:space="0" w:color="auto"/>
              <w:right w:val="single" w:sz="4" w:space="0" w:color="auto"/>
            </w:tcBorders>
            <w:noWrap/>
            <w:vAlign w:val="center"/>
            <w:hideMark/>
          </w:tcPr>
          <w:p w14:paraId="6615A023" w14:textId="16ECD169" w:rsidR="003F02D2" w:rsidRPr="00845FB7" w:rsidRDefault="0029007A"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74</w:t>
            </w:r>
            <w:r w:rsidR="00510E63" w:rsidRPr="00845FB7">
              <w:rPr>
                <w:rFonts w:eastAsia="Times New Roman" w:cs="Times New Roman"/>
                <w:b/>
                <w:bCs/>
                <w:color w:val="000000"/>
                <w:sz w:val="18"/>
                <w:szCs w:val="18"/>
                <w:lang w:val="en-GB"/>
              </w:rPr>
              <w:t>,000</w:t>
            </w:r>
          </w:p>
        </w:tc>
      </w:tr>
      <w:tr w:rsidR="003F02D2" w:rsidRPr="00845FB7" w14:paraId="6387345D" w14:textId="77777777" w:rsidTr="00B42CEB">
        <w:trPr>
          <w:trHeight w:val="340"/>
        </w:trPr>
        <w:tc>
          <w:tcPr>
            <w:tcW w:w="5240" w:type="dxa"/>
            <w:tcBorders>
              <w:top w:val="nil"/>
              <w:left w:val="single" w:sz="4" w:space="0" w:color="auto"/>
              <w:bottom w:val="single" w:sz="4" w:space="0" w:color="auto"/>
              <w:right w:val="single" w:sz="4" w:space="0" w:color="auto"/>
            </w:tcBorders>
            <w:vAlign w:val="center"/>
            <w:hideMark/>
          </w:tcPr>
          <w:p w14:paraId="236CF710" w14:textId="53F945B0" w:rsidR="003F02D2" w:rsidRPr="00845FB7" w:rsidRDefault="00E2051A" w:rsidP="00A10FE4">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2026–2027</w:t>
            </w:r>
            <w:r w:rsidR="00077EBC" w:rsidRPr="00845FB7">
              <w:rPr>
                <w:rFonts w:eastAsia="Times New Roman" w:cs="Times New Roman"/>
                <w:color w:val="000000"/>
                <w:sz w:val="18"/>
                <w:szCs w:val="18"/>
                <w:lang w:val="en-GB"/>
              </w:rPr>
              <w:t xml:space="preserve"> </w:t>
            </w:r>
            <w:r w:rsidR="003F02D2" w:rsidRPr="00845FB7">
              <w:rPr>
                <w:rFonts w:eastAsia="Times New Roman" w:cs="Times New Roman"/>
                <w:color w:val="000000"/>
                <w:sz w:val="18"/>
                <w:szCs w:val="18"/>
                <w:lang w:val="en-GB"/>
              </w:rPr>
              <w:t xml:space="preserve">requested in </w:t>
            </w:r>
            <w:r w:rsidR="00F72400" w:rsidRPr="00845FB7">
              <w:rPr>
                <w:rFonts w:eastAsia="Times New Roman" w:cs="Times New Roman"/>
                <w:color w:val="000000"/>
                <w:sz w:val="18"/>
                <w:szCs w:val="18"/>
                <w:lang w:val="en-GB"/>
              </w:rPr>
              <w:t>the z</w:t>
            </w:r>
            <w:r w:rsidR="003F02D2" w:rsidRPr="00845FB7">
              <w:rPr>
                <w:rFonts w:eastAsia="Times New Roman" w:cs="Times New Roman"/>
                <w:color w:val="000000"/>
                <w:sz w:val="18"/>
                <w:szCs w:val="18"/>
                <w:lang w:val="en-GB"/>
              </w:rPr>
              <w:t>ero nominal growth scenario</w:t>
            </w:r>
          </w:p>
        </w:tc>
        <w:tc>
          <w:tcPr>
            <w:tcW w:w="2126" w:type="dxa"/>
            <w:tcBorders>
              <w:top w:val="nil"/>
              <w:left w:val="nil"/>
              <w:bottom w:val="single" w:sz="4" w:space="0" w:color="auto"/>
              <w:right w:val="single" w:sz="4" w:space="0" w:color="auto"/>
            </w:tcBorders>
            <w:noWrap/>
            <w:vAlign w:val="center"/>
            <w:hideMark/>
          </w:tcPr>
          <w:p w14:paraId="264EED2B" w14:textId="7C3C6129" w:rsidR="003F02D2" w:rsidRPr="00845FB7" w:rsidRDefault="00FC776A"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30,000</w:t>
            </w:r>
          </w:p>
        </w:tc>
        <w:tc>
          <w:tcPr>
            <w:tcW w:w="1985" w:type="dxa"/>
            <w:tcBorders>
              <w:top w:val="nil"/>
              <w:left w:val="nil"/>
              <w:bottom w:val="single" w:sz="4" w:space="0" w:color="auto"/>
              <w:right w:val="single" w:sz="4" w:space="0" w:color="auto"/>
            </w:tcBorders>
            <w:noWrap/>
            <w:vAlign w:val="center"/>
            <w:hideMark/>
          </w:tcPr>
          <w:p w14:paraId="3CED419E" w14:textId="74DF5DC3" w:rsidR="003F02D2" w:rsidRPr="00845FB7" w:rsidRDefault="008A62F9"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44,000</w:t>
            </w:r>
            <w:r w:rsidR="003F02D2" w:rsidRPr="00845FB7">
              <w:rPr>
                <w:rFonts w:eastAsia="Times New Roman" w:cs="Times New Roman"/>
                <w:b/>
                <w:bCs/>
                <w:color w:val="000000"/>
                <w:sz w:val="18"/>
                <w:szCs w:val="18"/>
                <w:lang w:val="en-GB"/>
              </w:rPr>
              <w:t> </w:t>
            </w:r>
          </w:p>
        </w:tc>
        <w:tc>
          <w:tcPr>
            <w:tcW w:w="2126" w:type="dxa"/>
            <w:tcBorders>
              <w:top w:val="nil"/>
              <w:left w:val="nil"/>
              <w:bottom w:val="single" w:sz="4" w:space="0" w:color="auto"/>
              <w:right w:val="single" w:sz="4" w:space="0" w:color="auto"/>
            </w:tcBorders>
            <w:noWrap/>
            <w:vAlign w:val="center"/>
            <w:hideMark/>
          </w:tcPr>
          <w:p w14:paraId="74FB30AC" w14:textId="6A660DA0" w:rsidR="003F02D2" w:rsidRPr="00845FB7" w:rsidRDefault="0029007A"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74</w:t>
            </w:r>
            <w:r w:rsidR="00510E63" w:rsidRPr="00845FB7">
              <w:rPr>
                <w:rFonts w:eastAsia="Times New Roman" w:cs="Times New Roman"/>
                <w:b/>
                <w:bCs/>
                <w:color w:val="000000"/>
                <w:sz w:val="18"/>
                <w:szCs w:val="18"/>
                <w:lang w:val="en-GB"/>
              </w:rPr>
              <w:t>,000</w:t>
            </w:r>
          </w:p>
        </w:tc>
      </w:tr>
    </w:tbl>
    <w:p w14:paraId="72723D29" w14:textId="77777777" w:rsidR="009824CD" w:rsidRPr="00845FB7" w:rsidRDefault="009824CD" w:rsidP="00207908">
      <w:pPr>
        <w:pStyle w:val="Heading1"/>
        <w:rPr>
          <w:lang w:val="en-GB"/>
        </w:rPr>
        <w:sectPr w:rsidR="009824CD" w:rsidRPr="00845FB7" w:rsidSect="00BD36F8">
          <w:headerReference w:type="first" r:id="rId77"/>
          <w:footerReference w:type="first" r:id="rId78"/>
          <w:pgSz w:w="16838" w:h="11906" w:orient="landscape" w:code="9"/>
          <w:pgMar w:top="907" w:right="992" w:bottom="1418" w:left="1418" w:header="539" w:footer="975" w:gutter="0"/>
          <w:cols w:space="708"/>
          <w:titlePg/>
          <w:docGrid w:linePitch="360"/>
        </w:sectPr>
      </w:pPr>
    </w:p>
    <w:p w14:paraId="5A8A911B" w14:textId="290FAE06" w:rsidR="009824CD" w:rsidRPr="00845FB7" w:rsidRDefault="00884E66" w:rsidP="009824CD">
      <w:pPr>
        <w:rPr>
          <w:lang w:val="en-GB"/>
        </w:rPr>
      </w:pPr>
      <w:r w:rsidRPr="00845FB7">
        <w:rPr>
          <w:rFonts w:cstheme="majorBidi"/>
          <w:b/>
          <w:noProof/>
          <w:szCs w:val="20"/>
          <w:lang w:val="en-GB" w:bidi="fr-FR"/>
        </w:rPr>
        <w:lastRenderedPageBreak/>
        <mc:AlternateContent>
          <mc:Choice Requires="wps">
            <w:drawing>
              <wp:anchor distT="0" distB="0" distL="114300" distR="114300" simplePos="0" relativeHeight="251658245" behindDoc="1" locked="0" layoutInCell="1" allowOverlap="1" wp14:anchorId="2102F0FC" wp14:editId="35685470">
                <wp:simplePos x="0" y="0"/>
                <wp:positionH relativeFrom="page">
                  <wp:posOffset>895350</wp:posOffset>
                </wp:positionH>
                <wp:positionV relativeFrom="paragraph">
                  <wp:posOffset>8255</wp:posOffset>
                </wp:positionV>
                <wp:extent cx="6394450" cy="633910"/>
                <wp:effectExtent l="0" t="0" r="6350" b="0"/>
                <wp:wrapNone/>
                <wp:docPr id="3" name="Rectangle 3" descr="P3232#y1"/>
                <wp:cNvGraphicFramePr/>
                <a:graphic xmlns:a="http://schemas.openxmlformats.org/drawingml/2006/main">
                  <a:graphicData uri="http://schemas.microsoft.com/office/word/2010/wordprocessingShape">
                    <wps:wsp>
                      <wps:cNvSpPr/>
                      <wps:spPr>
                        <a:xfrm>
                          <a:off x="0" y="0"/>
                          <a:ext cx="6394450" cy="633910"/>
                        </a:xfrm>
                        <a:prstGeom prst="rect">
                          <a:avLst/>
                        </a:prstGeom>
                        <a:solidFill>
                          <a:srgbClr val="E8B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1130E69D">
              <v:rect id="Rectangle 3" style="position:absolute;margin-left:70.5pt;margin-top:.65pt;width:503.5pt;height:49.9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P3232#y1" o:spid="_x0000_s1026" fillcolor="#e8bc00" stroked="f" strokeweight="1pt" w14:anchorId="1690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">
                <w10:wrap anchorx="page"/>
              </v:rect>
            </w:pict>
          </mc:Fallback>
        </mc:AlternateContent>
      </w:r>
    </w:p>
    <w:p w14:paraId="139E1843" w14:textId="02FAC564" w:rsidR="0090367C" w:rsidRPr="00845FB7" w:rsidRDefault="0090367C" w:rsidP="0090367C">
      <w:pPr>
        <w:pStyle w:val="Heading1"/>
        <w:rPr>
          <w:szCs w:val="40"/>
          <w:lang w:val="en-GB"/>
        </w:rPr>
      </w:pPr>
      <w:r w:rsidRPr="00845FB7">
        <w:rPr>
          <w:szCs w:val="40"/>
          <w:lang w:val="en-GB"/>
        </w:rPr>
        <w:t>Fact sheet F. Legal and policy activities</w:t>
      </w:r>
    </w:p>
    <w:p w14:paraId="33158746" w14:textId="1B5102C1" w:rsidR="0090367C" w:rsidRPr="00845FB7" w:rsidRDefault="0090367C" w:rsidP="0090367C">
      <w:pPr>
        <w:pStyle w:val="Heading2"/>
        <w:rPr>
          <w:rFonts w:cstheme="majorBidi"/>
          <w:color w:val="FFC000"/>
          <w:sz w:val="36"/>
          <w:szCs w:val="36"/>
          <w:lang w:val="en-GB"/>
        </w:rPr>
      </w:pPr>
      <w:r w:rsidRPr="00845FB7">
        <w:rPr>
          <w:rFonts w:cstheme="majorBidi"/>
          <w:color w:val="FFC000"/>
          <w:sz w:val="36"/>
          <w:szCs w:val="36"/>
          <w:lang w:val="en-GB"/>
        </w:rPr>
        <w:t>Activity 1</w:t>
      </w:r>
      <w:r w:rsidR="006C2FE4" w:rsidRPr="00845FB7">
        <w:rPr>
          <w:rFonts w:cstheme="majorBidi"/>
          <w:color w:val="FFC000"/>
          <w:sz w:val="36"/>
          <w:szCs w:val="36"/>
          <w:lang w:val="en-GB"/>
        </w:rPr>
        <w:t>4</w:t>
      </w:r>
      <w:r w:rsidRPr="00845FB7">
        <w:rPr>
          <w:rFonts w:cstheme="majorBidi"/>
          <w:color w:val="FFC000"/>
          <w:sz w:val="36"/>
          <w:szCs w:val="36"/>
          <w:lang w:val="en-GB"/>
        </w:rPr>
        <w:t>. Legal and policy activities</w:t>
      </w:r>
    </w:p>
    <w:p w14:paraId="5BF36677" w14:textId="34F1AA41" w:rsidR="0090367C" w:rsidRPr="00845FB7" w:rsidRDefault="0090367C" w:rsidP="0090367C">
      <w:pPr>
        <w:pStyle w:val="Heading3"/>
        <w:rPr>
          <w:sz w:val="24"/>
          <w:lang w:val="en-GB"/>
        </w:rPr>
      </w:pPr>
      <w:r w:rsidRPr="00845FB7">
        <w:rPr>
          <w:sz w:val="24"/>
          <w:lang w:val="en-GB"/>
        </w:rPr>
        <w:t>Budget</w:t>
      </w:r>
    </w:p>
    <w:p w14:paraId="41CFAF85" w14:textId="4CC467A8" w:rsidR="001F0367" w:rsidRPr="00845FB7" w:rsidRDefault="000C7F85" w:rsidP="001F0367">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001F0367" w:rsidRPr="00845FB7">
        <w:rPr>
          <w:rFonts w:cstheme="majorBidi"/>
          <w:szCs w:val="20"/>
          <w:lang w:val="en-GB"/>
        </w:rPr>
        <w:t xml:space="preserve"> </w:t>
      </w:r>
      <w:r w:rsidR="005303AD" w:rsidRPr="00845FB7">
        <w:rPr>
          <w:rFonts w:cstheme="majorBidi"/>
          <w:szCs w:val="20"/>
          <w:lang w:val="en-GB"/>
        </w:rPr>
        <w:t>General Trust Fund</w:t>
      </w:r>
      <w:r w:rsidR="001F0367" w:rsidRPr="00845FB7">
        <w:rPr>
          <w:rFonts w:cstheme="majorBidi"/>
          <w:szCs w:val="20"/>
          <w:lang w:val="en-GB"/>
        </w:rPr>
        <w:t xml:space="preserve">                    </w:t>
      </w:r>
      <w:r w:rsidR="001F0367" w:rsidRPr="00845FB7">
        <w:rPr>
          <w:rFonts w:cstheme="majorBidi"/>
          <w:szCs w:val="20"/>
          <w:lang w:val="en-GB"/>
        </w:rPr>
        <w:fldChar w:fldCharType="begin">
          <w:ffData>
            <w:name w:val=""/>
            <w:enabled w:val="0"/>
            <w:calcOnExit w:val="0"/>
            <w:checkBox>
              <w:sizeAuto/>
              <w:default w:val="1"/>
            </w:checkBox>
          </w:ffData>
        </w:fldChar>
      </w:r>
      <w:r w:rsidR="001F0367"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001F0367" w:rsidRPr="00845FB7">
        <w:rPr>
          <w:rFonts w:cstheme="majorBidi"/>
          <w:szCs w:val="20"/>
          <w:lang w:val="en-GB"/>
        </w:rPr>
        <w:fldChar w:fldCharType="end"/>
      </w:r>
      <w:r w:rsidR="001F0367" w:rsidRPr="00845FB7">
        <w:rPr>
          <w:rFonts w:cstheme="majorBidi"/>
          <w:szCs w:val="20"/>
          <w:lang w:val="en-GB"/>
        </w:rPr>
        <w:t xml:space="preserve"> </w:t>
      </w:r>
      <w:r w:rsidR="005303AD" w:rsidRPr="00845FB7">
        <w:rPr>
          <w:rFonts w:cstheme="majorBidi"/>
          <w:szCs w:val="20"/>
          <w:lang w:val="en-GB"/>
        </w:rPr>
        <w:t>Special Trust Fund</w:t>
      </w:r>
    </w:p>
    <w:p w14:paraId="015BCFEE" w14:textId="42923AA6" w:rsidR="0090367C" w:rsidRPr="00845FB7" w:rsidRDefault="0090367C" w:rsidP="0090367C">
      <w:pPr>
        <w:pStyle w:val="Heading3"/>
        <w:rPr>
          <w:sz w:val="24"/>
          <w:lang w:val="en-GB"/>
        </w:rPr>
      </w:pPr>
      <w:r w:rsidRPr="00845FB7">
        <w:rPr>
          <w:sz w:val="24"/>
          <w:lang w:val="en-GB"/>
        </w:rPr>
        <w:t>Reference</w:t>
      </w:r>
    </w:p>
    <w:p w14:paraId="24D1761D" w14:textId="3FAFDDB1" w:rsidR="009D1070" w:rsidRPr="00845FB7" w:rsidRDefault="009D1070" w:rsidP="7EAA2ABE">
      <w:pPr>
        <w:spacing w:after="60"/>
        <w:ind w:left="2552" w:hanging="2552"/>
        <w:rPr>
          <w:rFonts w:eastAsia="Calibri" w:cs="Calibri"/>
          <w:szCs w:val="20"/>
          <w:lang w:val="en-GB"/>
        </w:rPr>
      </w:pPr>
      <w:r w:rsidRPr="00845FB7">
        <w:rPr>
          <w:rFonts w:cstheme="majorBidi"/>
          <w:b/>
          <w:bCs/>
          <w:szCs w:val="20"/>
          <w:lang w:val="en-GB"/>
        </w:rPr>
        <w:t>UNEP/MC/COP.</w:t>
      </w:r>
      <w:r w:rsidR="63FA3F4A" w:rsidRPr="00845FB7">
        <w:rPr>
          <w:rFonts w:cstheme="majorBidi"/>
          <w:b/>
          <w:bCs/>
          <w:szCs w:val="20"/>
          <w:lang w:val="en-GB"/>
        </w:rPr>
        <w:t>6</w:t>
      </w:r>
      <w:r w:rsidRPr="00845FB7">
        <w:rPr>
          <w:rFonts w:cstheme="majorBidi"/>
          <w:b/>
          <w:bCs/>
          <w:szCs w:val="20"/>
          <w:lang w:val="en-GB"/>
        </w:rPr>
        <w:t>/</w:t>
      </w:r>
      <w:r w:rsidR="0F95738A" w:rsidRPr="00845FB7">
        <w:rPr>
          <w:rFonts w:cstheme="majorBidi"/>
          <w:b/>
          <w:bCs/>
          <w:szCs w:val="20"/>
          <w:lang w:val="en-GB"/>
        </w:rPr>
        <w:t>5</w:t>
      </w:r>
      <w:r w:rsidRPr="00845FB7">
        <w:rPr>
          <w:rFonts w:cstheme="majorBidi"/>
          <w:b/>
          <w:bCs/>
          <w:szCs w:val="20"/>
          <w:lang w:val="en-GB"/>
        </w:rPr>
        <w:t>:</w:t>
      </w:r>
      <w:r w:rsidRPr="00845FB7">
        <w:rPr>
          <w:szCs w:val="20"/>
          <w:lang w:val="en-GB"/>
        </w:rPr>
        <w:tab/>
      </w:r>
      <w:r w:rsidR="00D1272D" w:rsidRPr="00845FB7">
        <w:rPr>
          <w:rFonts w:cstheme="majorBidi"/>
          <w:szCs w:val="20"/>
          <w:lang w:val="en-GB"/>
        </w:rPr>
        <w:t>Implementation of decision MC-5/2 on mercury supply sources and trade</w:t>
      </w:r>
    </w:p>
    <w:p w14:paraId="1F33D01F" w14:textId="1CAE8F5C" w:rsidR="75111F23" w:rsidRPr="00845FB7" w:rsidRDefault="75111F23" w:rsidP="75111F23">
      <w:pPr>
        <w:spacing w:after="60"/>
        <w:ind w:left="2552" w:hanging="2552"/>
        <w:rPr>
          <w:rFonts w:cstheme="majorBidi"/>
          <w:szCs w:val="20"/>
          <w:lang w:val="en-GB"/>
        </w:rPr>
      </w:pPr>
      <w:r w:rsidRPr="00845FB7">
        <w:rPr>
          <w:rFonts w:cstheme="majorBidi"/>
          <w:b/>
          <w:bCs/>
          <w:lang w:val="en-GB"/>
        </w:rPr>
        <w:t>UNEP/MC/COP.6/7:</w:t>
      </w:r>
      <w:r w:rsidRPr="00845FB7">
        <w:rPr>
          <w:rFonts w:cstheme="majorBidi"/>
          <w:b/>
          <w:bCs/>
          <w:szCs w:val="20"/>
          <w:lang w:val="en-GB"/>
        </w:rPr>
        <w:tab/>
      </w:r>
      <w:r w:rsidR="00037ED3" w:rsidRPr="00845FB7">
        <w:rPr>
          <w:rFonts w:cstheme="majorBidi"/>
          <w:szCs w:val="20"/>
          <w:lang w:val="en-GB"/>
        </w:rPr>
        <w:t xml:space="preserve">Matters for consideration by the Conference of the Parties pursuant to decision MC-5/7 on artisanal and small-scale gold mining  </w:t>
      </w:r>
    </w:p>
    <w:p w14:paraId="67784DED" w14:textId="15CE9297" w:rsidR="00E13294" w:rsidRPr="00845FB7" w:rsidRDefault="00E13294" w:rsidP="00E13294">
      <w:pPr>
        <w:spacing w:after="60"/>
        <w:ind w:left="2552" w:hanging="2552"/>
        <w:rPr>
          <w:rFonts w:cstheme="majorBidi"/>
          <w:lang w:val="en-GB"/>
        </w:rPr>
      </w:pPr>
      <w:r w:rsidRPr="00845FB7">
        <w:rPr>
          <w:rFonts w:cstheme="majorBidi"/>
          <w:b/>
          <w:bCs/>
          <w:lang w:val="en-GB"/>
        </w:rPr>
        <w:t xml:space="preserve">UNEP/MC/COP.6/13: </w:t>
      </w:r>
      <w:r w:rsidRPr="00845FB7">
        <w:rPr>
          <w:lang w:val="en-GB"/>
        </w:rPr>
        <w:tab/>
      </w:r>
      <w:r w:rsidR="00037ED3" w:rsidRPr="00845FB7">
        <w:rPr>
          <w:rFonts w:cstheme="majorBidi"/>
          <w:lang w:val="en-GB"/>
        </w:rPr>
        <w:t xml:space="preserve">Implementation of activities pursuant to decision MC-5/12 and </w:t>
      </w:r>
      <w:r w:rsidR="002B40E4" w:rsidRPr="00845FB7">
        <w:rPr>
          <w:rFonts w:cstheme="majorBidi"/>
          <w:lang w:val="en-GB"/>
        </w:rPr>
        <w:t>A</w:t>
      </w:r>
      <w:r w:rsidR="00037ED3" w:rsidRPr="00845FB7">
        <w:rPr>
          <w:rFonts w:cstheme="majorBidi"/>
          <w:lang w:val="en-GB"/>
        </w:rPr>
        <w:t>rticle 14 on capacity-building, technical assistance and technology transfer</w:t>
      </w:r>
    </w:p>
    <w:p w14:paraId="571DAC29" w14:textId="6FBE78BD" w:rsidR="008545F2" w:rsidRPr="00845FB7" w:rsidRDefault="008545F2" w:rsidP="7EAA2ABE">
      <w:pPr>
        <w:spacing w:after="60"/>
        <w:ind w:left="2552" w:hanging="2552"/>
        <w:rPr>
          <w:rFonts w:cstheme="majorBidi"/>
          <w:lang w:val="en-GB"/>
        </w:rPr>
      </w:pPr>
      <w:r w:rsidRPr="00845FB7">
        <w:rPr>
          <w:rFonts w:cstheme="majorBidi"/>
          <w:b/>
          <w:bCs/>
          <w:lang w:val="en-GB"/>
        </w:rPr>
        <w:t>UNEP/MC/COP.</w:t>
      </w:r>
      <w:r w:rsidR="4A6F3E3B" w:rsidRPr="00845FB7">
        <w:rPr>
          <w:rFonts w:cstheme="majorBidi"/>
          <w:b/>
          <w:bCs/>
          <w:lang w:val="en-GB"/>
        </w:rPr>
        <w:t>6</w:t>
      </w:r>
      <w:r w:rsidRPr="00845FB7">
        <w:rPr>
          <w:rFonts w:cstheme="majorBidi"/>
          <w:b/>
          <w:bCs/>
          <w:lang w:val="en-GB"/>
        </w:rPr>
        <w:t>/</w:t>
      </w:r>
      <w:r w:rsidR="006E263B" w:rsidRPr="00845FB7">
        <w:rPr>
          <w:rFonts w:cstheme="majorBidi"/>
          <w:b/>
          <w:bCs/>
          <w:lang w:val="en-GB"/>
        </w:rPr>
        <w:t>14:</w:t>
      </w:r>
      <w:r w:rsidRPr="00845FB7">
        <w:rPr>
          <w:lang w:val="en-GB"/>
        </w:rPr>
        <w:tab/>
      </w:r>
      <w:r w:rsidR="00F44765" w:rsidRPr="00845FB7">
        <w:rPr>
          <w:rFonts w:cstheme="majorBidi"/>
          <w:lang w:val="en-GB"/>
        </w:rPr>
        <w:t>Report on the work of the Implementation and Compliance Committee of the Minamata Convention on Mercury, including recommendations</w:t>
      </w:r>
    </w:p>
    <w:p w14:paraId="3400BF53" w14:textId="77777777" w:rsidR="006D23C3" w:rsidRDefault="006D23C3" w:rsidP="006D23C3">
      <w:pPr>
        <w:spacing w:after="60"/>
        <w:ind w:left="2552" w:hanging="2552"/>
        <w:rPr>
          <w:rFonts w:cstheme="majorBidi"/>
          <w:b/>
          <w:bCs/>
        </w:rPr>
      </w:pPr>
      <w:r>
        <w:rPr>
          <w:rFonts w:cstheme="majorBidi"/>
          <w:b/>
          <w:bCs/>
        </w:rPr>
        <w:t>UNEP/MC/COP.6/17:</w:t>
      </w:r>
      <w:r>
        <w:rPr>
          <w:rFonts w:cstheme="majorBidi"/>
          <w:b/>
          <w:bCs/>
        </w:rPr>
        <w:tab/>
      </w:r>
      <w:r w:rsidRPr="00A7406D">
        <w:rPr>
          <w:rFonts w:cstheme="majorBidi"/>
        </w:rPr>
        <w:t>Needs and priorities of Indigenous Peoples, as well as local communities with a view to future work on identifying possible solutions</w:t>
      </w:r>
    </w:p>
    <w:p w14:paraId="14893F51" w14:textId="2D8DE8A4" w:rsidR="0068157D" w:rsidRPr="00845FB7" w:rsidRDefault="0068157D" w:rsidP="1EA59BF7">
      <w:pPr>
        <w:spacing w:after="60"/>
        <w:ind w:left="2552" w:hanging="2552"/>
        <w:rPr>
          <w:rFonts w:eastAsia="Calibri" w:cs="Calibri"/>
          <w:szCs w:val="20"/>
          <w:lang w:val="en-GB"/>
        </w:rPr>
      </w:pPr>
      <w:r w:rsidRPr="00845FB7">
        <w:rPr>
          <w:rFonts w:cstheme="majorBidi"/>
          <w:b/>
          <w:bCs/>
          <w:lang w:val="en-GB"/>
        </w:rPr>
        <w:t>UNEP/MC/COP.</w:t>
      </w:r>
      <w:r w:rsidR="5FB0FC56" w:rsidRPr="00845FB7">
        <w:rPr>
          <w:rFonts w:cstheme="majorBidi"/>
          <w:b/>
          <w:bCs/>
          <w:lang w:val="en-GB"/>
        </w:rPr>
        <w:t>6</w:t>
      </w:r>
      <w:r w:rsidRPr="00845FB7">
        <w:rPr>
          <w:rFonts w:cstheme="majorBidi"/>
          <w:b/>
          <w:bCs/>
          <w:lang w:val="en-GB"/>
        </w:rPr>
        <w:t>/18:</w:t>
      </w:r>
      <w:r w:rsidRPr="00845FB7">
        <w:rPr>
          <w:rFonts w:cstheme="majorBidi"/>
          <w:lang w:val="en-GB"/>
        </w:rPr>
        <w:t xml:space="preserve"> </w:t>
      </w:r>
      <w:r w:rsidRPr="00845FB7">
        <w:rPr>
          <w:lang w:val="en-GB"/>
        </w:rPr>
        <w:tab/>
      </w:r>
      <w:r w:rsidR="73B91627" w:rsidRPr="00845FB7">
        <w:rPr>
          <w:rFonts w:eastAsia="Calibri" w:cs="Calibri"/>
          <w:szCs w:val="20"/>
          <w:lang w:val="en-GB"/>
        </w:rPr>
        <w:t xml:space="preserve">Activities to address health concerns of women and children in the </w:t>
      </w:r>
      <w:r w:rsidR="00E2051A" w:rsidRPr="00845FB7">
        <w:rPr>
          <w:rFonts w:eastAsia="Calibri" w:cs="Calibri"/>
          <w:szCs w:val="20"/>
          <w:lang w:val="en-GB"/>
        </w:rPr>
        <w:t>2026–2027</w:t>
      </w:r>
      <w:r w:rsidR="73B91627" w:rsidRPr="00845FB7">
        <w:rPr>
          <w:rFonts w:eastAsia="Calibri" w:cs="Calibri"/>
          <w:szCs w:val="20"/>
          <w:lang w:val="en-GB"/>
        </w:rPr>
        <w:t xml:space="preserve"> biennium</w:t>
      </w:r>
    </w:p>
    <w:p w14:paraId="3B5FF12A" w14:textId="60DCEBB3" w:rsidR="00BE71AA" w:rsidRPr="00845FB7" w:rsidRDefault="141AB421" w:rsidP="732C8DC8">
      <w:pPr>
        <w:spacing w:after="60" w:line="257" w:lineRule="auto"/>
        <w:ind w:left="2552" w:hanging="2552"/>
        <w:rPr>
          <w:rFonts w:cstheme="majorBidi"/>
          <w:szCs w:val="20"/>
          <w:lang w:val="en-GB"/>
        </w:rPr>
      </w:pPr>
      <w:r w:rsidRPr="00845FB7">
        <w:rPr>
          <w:rFonts w:cstheme="majorBidi"/>
          <w:b/>
          <w:bCs/>
          <w:lang w:val="en-GB"/>
        </w:rPr>
        <w:t>UNEP/MC/COP.6/21:</w:t>
      </w:r>
      <w:r w:rsidRPr="00845FB7">
        <w:rPr>
          <w:rFonts w:cstheme="majorBidi"/>
          <w:lang w:val="en-GB"/>
        </w:rPr>
        <w:t xml:space="preserve"> </w:t>
      </w:r>
      <w:r w:rsidR="00BE71AA" w:rsidRPr="00845FB7">
        <w:rPr>
          <w:lang w:val="en-GB"/>
        </w:rPr>
        <w:tab/>
      </w:r>
      <w:r w:rsidRPr="00845FB7">
        <w:rPr>
          <w:rFonts w:cstheme="majorBidi"/>
          <w:szCs w:val="20"/>
          <w:lang w:val="en-GB"/>
        </w:rPr>
        <w:t>International cooperation and coordination</w:t>
      </w:r>
    </w:p>
    <w:p w14:paraId="7877F43B" w14:textId="0070AE3B" w:rsidR="00BE71AA" w:rsidRPr="00845FB7" w:rsidRDefault="633A2E3F" w:rsidP="00757A20">
      <w:pPr>
        <w:spacing w:after="60"/>
        <w:ind w:left="2552" w:hanging="2552"/>
        <w:rPr>
          <w:rFonts w:eastAsia="Roboto" w:cs="Roboto"/>
          <w:lang w:val="en-GB"/>
        </w:rPr>
      </w:pPr>
      <w:r w:rsidRPr="00845FB7">
        <w:rPr>
          <w:rFonts w:cstheme="majorBidi"/>
          <w:b/>
          <w:bCs/>
          <w:szCs w:val="20"/>
          <w:lang w:val="en-GB"/>
        </w:rPr>
        <w:t>UNEP/MC/COP.6/INF/11:</w:t>
      </w:r>
      <w:r w:rsidR="00757A20" w:rsidRPr="00845FB7">
        <w:rPr>
          <w:szCs w:val="20"/>
          <w:lang w:val="en-GB"/>
        </w:rPr>
        <w:tab/>
      </w:r>
      <w:r w:rsidR="00806120">
        <w:rPr>
          <w:szCs w:val="20"/>
          <w:lang w:val="en-GB"/>
        </w:rPr>
        <w:t>P</w:t>
      </w:r>
      <w:r w:rsidR="00F36CF5">
        <w:rPr>
          <w:szCs w:val="20"/>
          <w:lang w:val="en-GB"/>
        </w:rPr>
        <w:t>rovisional g</w:t>
      </w:r>
      <w:r w:rsidRPr="00845FB7">
        <w:rPr>
          <w:rFonts w:eastAsia="Calibri" w:cs="Calibri"/>
          <w:color w:val="000000" w:themeColor="text1"/>
          <w:szCs w:val="20"/>
          <w:lang w:val="en-GB"/>
        </w:rPr>
        <w:t xml:space="preserve">uide on the </w:t>
      </w:r>
      <w:r w:rsidRPr="006C6BA4">
        <w:rPr>
          <w:rFonts w:eastAsia="Calibri" w:cs="Calibri"/>
          <w:color w:val="000000" w:themeColor="text1"/>
          <w:szCs w:val="20"/>
          <w:lang w:val="en-GB"/>
        </w:rPr>
        <w:t>effective engagement and participation of</w:t>
      </w:r>
      <w:r w:rsidRPr="00845FB7">
        <w:rPr>
          <w:rFonts w:eastAsia="Calibri" w:cs="Calibri"/>
          <w:color w:val="000000" w:themeColor="text1"/>
          <w:szCs w:val="20"/>
          <w:u w:val="single"/>
          <w:lang w:val="en-GB"/>
        </w:rPr>
        <w:t xml:space="preserve"> </w:t>
      </w:r>
      <w:r w:rsidR="00C36183" w:rsidRPr="00845FB7">
        <w:rPr>
          <w:rFonts w:eastAsia="Calibri" w:cs="Calibri"/>
          <w:color w:val="000000" w:themeColor="text1"/>
          <w:szCs w:val="20"/>
          <w:lang w:val="en-GB"/>
        </w:rPr>
        <w:t>Indigenous</w:t>
      </w:r>
      <w:r w:rsidRPr="00845FB7">
        <w:rPr>
          <w:rFonts w:eastAsia="Calibri" w:cs="Calibri"/>
          <w:color w:val="000000" w:themeColor="text1"/>
          <w:szCs w:val="20"/>
          <w:lang w:val="en-GB"/>
        </w:rPr>
        <w:t xml:space="preserve"> Peoples and of local communities in the development and implementation of national action plans artisanal and small-scale gold mining</w:t>
      </w:r>
    </w:p>
    <w:p w14:paraId="107F2A85" w14:textId="4E1C5361" w:rsidR="00BE71AA" w:rsidRPr="00845FB7" w:rsidRDefault="00BE71AA" w:rsidP="732C8DC8">
      <w:pPr>
        <w:spacing w:after="60" w:line="257" w:lineRule="auto"/>
        <w:ind w:left="2552" w:hanging="2552"/>
        <w:rPr>
          <w:rFonts w:cstheme="majorBidi"/>
          <w:b/>
          <w:bCs/>
          <w:lang w:val="en-GB"/>
        </w:rPr>
      </w:pPr>
      <w:r w:rsidRPr="00845FB7">
        <w:rPr>
          <w:rFonts w:cstheme="majorBidi"/>
          <w:b/>
          <w:bCs/>
          <w:lang w:val="en-GB"/>
        </w:rPr>
        <w:t>UNEP/MC/COP.</w:t>
      </w:r>
      <w:r w:rsidR="3DDD363A" w:rsidRPr="00845FB7">
        <w:rPr>
          <w:rFonts w:cstheme="majorBidi"/>
          <w:b/>
          <w:bCs/>
          <w:lang w:val="en-GB"/>
        </w:rPr>
        <w:t>6</w:t>
      </w:r>
      <w:r w:rsidRPr="00845FB7">
        <w:rPr>
          <w:rFonts w:cstheme="majorBidi"/>
          <w:b/>
          <w:bCs/>
          <w:lang w:val="en-GB"/>
        </w:rPr>
        <w:t>/INF/</w:t>
      </w:r>
      <w:r w:rsidR="0A678B66" w:rsidRPr="00845FB7">
        <w:rPr>
          <w:rFonts w:cstheme="majorBidi"/>
          <w:b/>
          <w:bCs/>
          <w:lang w:val="en-GB"/>
        </w:rPr>
        <w:t>23</w:t>
      </w:r>
      <w:r w:rsidRPr="00845FB7">
        <w:rPr>
          <w:rFonts w:cstheme="majorBidi"/>
          <w:b/>
          <w:bCs/>
          <w:lang w:val="en-GB"/>
        </w:rPr>
        <w:t>:</w:t>
      </w:r>
      <w:r w:rsidRPr="00845FB7">
        <w:rPr>
          <w:rFonts w:cstheme="majorBidi"/>
          <w:lang w:val="en-GB"/>
        </w:rPr>
        <w:t xml:space="preserve"> </w:t>
      </w:r>
      <w:r w:rsidRPr="00845FB7">
        <w:rPr>
          <w:lang w:val="en-GB"/>
        </w:rPr>
        <w:tab/>
      </w:r>
      <w:r w:rsidR="32B99F7D" w:rsidRPr="00845FB7">
        <w:rPr>
          <w:rFonts w:eastAsia="Calibri" w:cs="Calibri"/>
          <w:szCs w:val="20"/>
          <w:lang w:val="en-GB"/>
        </w:rPr>
        <w:t xml:space="preserve">Status of implementation </w:t>
      </w:r>
      <w:r w:rsidR="3CB94A09" w:rsidRPr="00845FB7">
        <w:rPr>
          <w:rFonts w:eastAsia="Calibri" w:cs="Calibri"/>
          <w:szCs w:val="20"/>
          <w:lang w:val="en-GB"/>
        </w:rPr>
        <w:t>of decision MC-5/15</w:t>
      </w:r>
      <w:r w:rsidR="32B99F7D" w:rsidRPr="00845FB7">
        <w:rPr>
          <w:rFonts w:eastAsia="Calibri" w:cs="Calibri"/>
          <w:szCs w:val="20"/>
          <w:lang w:val="en-GB"/>
        </w:rPr>
        <w:t xml:space="preserve"> during the 2024-2025 biennium </w:t>
      </w:r>
    </w:p>
    <w:p w14:paraId="653CFD78" w14:textId="2FABEDC4" w:rsidR="0090367C" w:rsidRPr="00845FB7" w:rsidRDefault="49EC54E1" w:rsidP="00757A20">
      <w:pPr>
        <w:spacing w:after="60" w:line="257" w:lineRule="auto"/>
        <w:ind w:left="2552" w:hanging="2552"/>
        <w:rPr>
          <w:rFonts w:eastAsia="Calibri" w:cs="Calibri"/>
          <w:szCs w:val="20"/>
          <w:lang w:val="en-GB"/>
        </w:rPr>
      </w:pPr>
      <w:r w:rsidRPr="00845FB7">
        <w:rPr>
          <w:rFonts w:cstheme="majorBidi"/>
          <w:b/>
          <w:bCs/>
          <w:lang w:val="en-GB"/>
        </w:rPr>
        <w:t>UNEP/MC/COP.6/INF/24:</w:t>
      </w:r>
      <w:r w:rsidR="00757A20" w:rsidRPr="00845FB7">
        <w:rPr>
          <w:szCs w:val="20"/>
          <w:lang w:val="en-GB"/>
        </w:rPr>
        <w:tab/>
      </w:r>
      <w:r w:rsidRPr="00845FB7">
        <w:rPr>
          <w:rFonts w:eastAsia="Calibri" w:cs="Calibri"/>
          <w:color w:val="000000" w:themeColor="text1"/>
          <w:szCs w:val="20"/>
          <w:lang w:val="en-GB"/>
        </w:rPr>
        <w:t xml:space="preserve">Report on the needs and priorities of Indigenous Peoples, as well as local communities, </w:t>
      </w:r>
      <w:proofErr w:type="gramStart"/>
      <w:r w:rsidRPr="00845FB7">
        <w:rPr>
          <w:rFonts w:eastAsia="Calibri" w:cs="Calibri"/>
          <w:color w:val="000000" w:themeColor="text1"/>
          <w:szCs w:val="20"/>
          <w:lang w:val="en-GB"/>
        </w:rPr>
        <w:t>with regard to</w:t>
      </w:r>
      <w:proofErr w:type="gramEnd"/>
      <w:r w:rsidRPr="00845FB7">
        <w:rPr>
          <w:rFonts w:eastAsia="Calibri" w:cs="Calibri"/>
          <w:color w:val="000000" w:themeColor="text1"/>
          <w:szCs w:val="20"/>
          <w:lang w:val="en-GB"/>
        </w:rPr>
        <w:t xml:space="preserve"> the effects of </w:t>
      </w:r>
      <w:r w:rsidRPr="00845FB7">
        <w:rPr>
          <w:rFonts w:eastAsia="Calibri" w:cs="Calibri"/>
          <w:szCs w:val="20"/>
          <w:lang w:val="en-GB"/>
        </w:rPr>
        <w:t>mercury</w:t>
      </w:r>
      <w:r w:rsidRPr="00845FB7">
        <w:rPr>
          <w:rFonts w:eastAsia="Calibri" w:cs="Calibri"/>
          <w:color w:val="000000" w:themeColor="text1"/>
          <w:szCs w:val="20"/>
          <w:lang w:val="en-GB"/>
        </w:rPr>
        <w:t xml:space="preserve"> on their health, livelihoods, culture and knowledge</w:t>
      </w:r>
    </w:p>
    <w:p w14:paraId="74E068B1" w14:textId="5F7DCB9F" w:rsidR="0090367C" w:rsidRPr="00845FB7" w:rsidRDefault="0090367C" w:rsidP="002A243F">
      <w:pPr>
        <w:pStyle w:val="Heading3"/>
        <w:spacing w:after="60" w:line="257" w:lineRule="auto"/>
        <w:rPr>
          <w:sz w:val="24"/>
          <w:lang w:val="en-GB"/>
        </w:rPr>
      </w:pPr>
      <w:r w:rsidRPr="00845FB7">
        <w:rPr>
          <w:sz w:val="24"/>
          <w:lang w:val="en-GB"/>
        </w:rPr>
        <w:t>Mandate</w:t>
      </w:r>
    </w:p>
    <w:p w14:paraId="49A4EDF8" w14:textId="269FE301" w:rsidR="0090367C" w:rsidRPr="00845FB7" w:rsidRDefault="0090367C" w:rsidP="00BD36F8">
      <w:pPr>
        <w:spacing w:after="60"/>
        <w:jc w:val="left"/>
        <w:rPr>
          <w:rFonts w:cstheme="majorBidi"/>
          <w:b/>
          <w:bCs/>
          <w:szCs w:val="20"/>
          <w:lang w:val="en-GB"/>
        </w:rPr>
      </w:pPr>
      <w:r w:rsidRPr="00845FB7">
        <w:rPr>
          <w:rFonts w:cstheme="majorBidi"/>
          <w:b/>
          <w:bCs/>
          <w:szCs w:val="20"/>
          <w:lang w:val="en-GB"/>
        </w:rPr>
        <w:t>Convention:</w:t>
      </w:r>
      <w:r w:rsidRPr="00845FB7">
        <w:rPr>
          <w:rFonts w:cstheme="majorBidi"/>
          <w:szCs w:val="20"/>
          <w:lang w:val="en-GB"/>
        </w:rPr>
        <w:t xml:space="preserve"> </w:t>
      </w:r>
      <w:r w:rsidR="002B40E4" w:rsidRPr="00845FB7">
        <w:rPr>
          <w:rFonts w:cstheme="majorBidi"/>
          <w:szCs w:val="20"/>
          <w:lang w:val="en-GB"/>
        </w:rPr>
        <w:t>A</w:t>
      </w:r>
      <w:r w:rsidR="00F0744B" w:rsidRPr="00845FB7">
        <w:rPr>
          <w:rFonts w:cstheme="majorBidi"/>
          <w:szCs w:val="20"/>
          <w:lang w:val="en-GB"/>
        </w:rPr>
        <w:t xml:space="preserve">rticles </w:t>
      </w:r>
      <w:r w:rsidRPr="00845FB7">
        <w:rPr>
          <w:rFonts w:cstheme="majorBidi"/>
          <w:szCs w:val="20"/>
          <w:lang w:val="en-GB"/>
        </w:rPr>
        <w:t>3, 4, 5, 6, 7, 15, 16, 17, 18, 19, 20, 21, 24, 22, 26, 27</w:t>
      </w:r>
    </w:p>
    <w:p w14:paraId="5E8A85EC" w14:textId="298E008B" w:rsidR="0090367C" w:rsidRPr="00845FB7" w:rsidRDefault="0090367C" w:rsidP="0090367C">
      <w:pPr>
        <w:pStyle w:val="Heading3"/>
        <w:rPr>
          <w:sz w:val="24"/>
          <w:lang w:val="en-GB"/>
        </w:rPr>
      </w:pPr>
      <w:r w:rsidRPr="00845FB7">
        <w:rPr>
          <w:sz w:val="24"/>
          <w:lang w:val="en-GB"/>
        </w:rPr>
        <w:t>Background and rationale</w:t>
      </w:r>
    </w:p>
    <w:p w14:paraId="034084E8" w14:textId="2278720D" w:rsidR="0090367C" w:rsidRPr="00845FB7" w:rsidRDefault="0090367C" w:rsidP="002747B0">
      <w:pPr>
        <w:spacing w:before="240" w:after="120" w:line="276" w:lineRule="auto"/>
        <w:rPr>
          <w:rFonts w:cstheme="majorBidi"/>
          <w:b/>
          <w:bCs/>
          <w:szCs w:val="20"/>
          <w:lang w:val="en-GB"/>
        </w:rPr>
      </w:pPr>
      <w:r w:rsidRPr="00845FB7">
        <w:rPr>
          <w:rFonts w:cstheme="majorBidi"/>
          <w:b/>
          <w:bCs/>
          <w:szCs w:val="20"/>
          <w:lang w:val="en-GB"/>
        </w:rPr>
        <w:t>1</w:t>
      </w:r>
      <w:r w:rsidR="004E1D6B" w:rsidRPr="00845FB7">
        <w:rPr>
          <w:rFonts w:cstheme="majorBidi"/>
          <w:b/>
          <w:bCs/>
          <w:szCs w:val="20"/>
          <w:lang w:val="en-GB"/>
        </w:rPr>
        <w:t>4</w:t>
      </w:r>
      <w:r w:rsidRPr="00845FB7">
        <w:rPr>
          <w:rFonts w:cstheme="majorBidi"/>
          <w:b/>
          <w:bCs/>
          <w:szCs w:val="20"/>
          <w:lang w:val="en-GB"/>
        </w:rPr>
        <w:t xml:space="preserve">.1: Work </w:t>
      </w:r>
      <w:r w:rsidRPr="002747B0">
        <w:rPr>
          <w:rFonts w:cstheme="majorBidi"/>
          <w:b/>
          <w:bCs/>
          <w:lang w:val="en-GB"/>
        </w:rPr>
        <w:t>programme</w:t>
      </w:r>
      <w:r w:rsidRPr="00845FB7">
        <w:rPr>
          <w:rFonts w:cstheme="majorBidi"/>
          <w:b/>
          <w:bCs/>
          <w:szCs w:val="20"/>
          <w:lang w:val="en-GB"/>
        </w:rPr>
        <w:t xml:space="preserve"> of the Implementation and Compliance Committee (ICC)</w:t>
      </w:r>
    </w:p>
    <w:p w14:paraId="5D376769" w14:textId="20564074" w:rsidR="0090367C" w:rsidRPr="00845FB7" w:rsidRDefault="0090367C" w:rsidP="7EAA2ABE">
      <w:pPr>
        <w:spacing w:after="120" w:line="276" w:lineRule="auto"/>
        <w:rPr>
          <w:rFonts w:cstheme="majorBidi"/>
          <w:lang w:val="en-GB"/>
        </w:rPr>
      </w:pPr>
      <w:r w:rsidRPr="00845FB7">
        <w:rPr>
          <w:rFonts w:cstheme="majorBidi"/>
          <w:lang w:val="en-GB"/>
        </w:rPr>
        <w:t xml:space="preserve">The ICC was established to promote implementation of, and review compliance with, all provisions of the Convention. The work programme of the Committee includes activities to be undertaken to promote the implementation of and compliance with the Convention with respect to both individual and systemic issues of implementation and compliance. Based on the examination of these issues, the Committee shall make recommendations to Conference of the Parties, as appropriate. The </w:t>
      </w:r>
      <w:r w:rsidR="00F17302" w:rsidRPr="00845FB7">
        <w:rPr>
          <w:rFonts w:cstheme="majorBidi"/>
          <w:lang w:val="en-GB"/>
        </w:rPr>
        <w:t>S</w:t>
      </w:r>
      <w:r w:rsidRPr="00845FB7">
        <w:rPr>
          <w:rFonts w:cstheme="majorBidi"/>
          <w:lang w:val="en-GB"/>
        </w:rPr>
        <w:t xml:space="preserve">ecretariat’s support to the ICC includes the following activities: development of reports, translation of guidance documents for the consideration by the Conference of the Parties and liaising with </w:t>
      </w:r>
      <w:r w:rsidR="00AE24F8" w:rsidRPr="00845FB7">
        <w:rPr>
          <w:rFonts w:cstheme="majorBidi"/>
          <w:lang w:val="en-GB"/>
        </w:rPr>
        <w:t>P</w:t>
      </w:r>
      <w:r w:rsidRPr="00845FB7">
        <w:rPr>
          <w:rFonts w:cstheme="majorBidi"/>
          <w:lang w:val="en-GB"/>
        </w:rPr>
        <w:t xml:space="preserve">arties concerned by a submission. The </w:t>
      </w:r>
      <w:r w:rsidRPr="00845FB7">
        <w:rPr>
          <w:rFonts w:cstheme="majorBidi"/>
          <w:lang w:val="en-GB"/>
        </w:rPr>
        <w:lastRenderedPageBreak/>
        <w:t>organization of meetings of the Committee in 202</w:t>
      </w:r>
      <w:r w:rsidR="6FE59A4D" w:rsidRPr="00845FB7">
        <w:rPr>
          <w:rFonts w:cstheme="majorBidi"/>
          <w:lang w:val="en-GB"/>
        </w:rPr>
        <w:t>7</w:t>
      </w:r>
      <w:r w:rsidRPr="00845FB7">
        <w:rPr>
          <w:rFonts w:cstheme="majorBidi"/>
          <w:lang w:val="en-GB"/>
        </w:rPr>
        <w:t xml:space="preserve"> is covered in Activity 3 above on Implementation and Compliance Committee.</w:t>
      </w:r>
    </w:p>
    <w:p w14:paraId="31870AA7" w14:textId="27F35731" w:rsidR="0090367C" w:rsidRPr="00845FB7" w:rsidRDefault="0090367C" w:rsidP="002747B0">
      <w:pPr>
        <w:spacing w:before="240" w:after="120" w:line="276" w:lineRule="auto"/>
        <w:rPr>
          <w:rFonts w:cstheme="majorBidi"/>
          <w:b/>
          <w:bCs/>
          <w:lang w:val="en-GB"/>
        </w:rPr>
      </w:pPr>
      <w:r w:rsidRPr="00845FB7">
        <w:rPr>
          <w:rFonts w:cstheme="majorBidi"/>
          <w:b/>
          <w:bCs/>
          <w:lang w:val="en-GB"/>
        </w:rPr>
        <w:t>1</w:t>
      </w:r>
      <w:r w:rsidR="004E1D6B" w:rsidRPr="00845FB7">
        <w:rPr>
          <w:rFonts w:cstheme="majorBidi"/>
          <w:b/>
          <w:bCs/>
          <w:lang w:val="en-GB"/>
        </w:rPr>
        <w:t>4</w:t>
      </w:r>
      <w:r w:rsidRPr="00845FB7">
        <w:rPr>
          <w:rFonts w:cstheme="majorBidi"/>
          <w:b/>
          <w:bCs/>
          <w:lang w:val="en-GB"/>
        </w:rPr>
        <w:t xml:space="preserve">.2: </w:t>
      </w:r>
      <w:r w:rsidR="4A292520" w:rsidRPr="00845FB7">
        <w:rPr>
          <w:rFonts w:cstheme="majorBidi"/>
          <w:b/>
          <w:bCs/>
          <w:lang w:val="en-GB"/>
        </w:rPr>
        <w:t>L</w:t>
      </w:r>
      <w:r w:rsidRPr="00845FB7">
        <w:rPr>
          <w:rFonts w:cstheme="majorBidi"/>
          <w:b/>
          <w:bCs/>
          <w:lang w:val="en-GB"/>
        </w:rPr>
        <w:t>egal activities</w:t>
      </w:r>
    </w:p>
    <w:p w14:paraId="24B07B8A" w14:textId="1290982C" w:rsidR="0090367C" w:rsidRPr="00845FB7" w:rsidRDefault="0090367C">
      <w:pPr>
        <w:spacing w:after="120" w:line="276" w:lineRule="auto"/>
        <w:rPr>
          <w:rFonts w:cstheme="majorBidi"/>
          <w:szCs w:val="20"/>
          <w:lang w:val="en-GB"/>
        </w:rPr>
      </w:pPr>
      <w:r w:rsidRPr="00845FB7">
        <w:rPr>
          <w:rFonts w:cstheme="majorBidi"/>
          <w:szCs w:val="20"/>
          <w:lang w:val="en-GB"/>
        </w:rPr>
        <w:t xml:space="preserve">Legal activities underpin a variety of the functions of the </w:t>
      </w:r>
      <w:r w:rsidR="000C04C2" w:rsidRPr="00845FB7">
        <w:rPr>
          <w:rFonts w:cstheme="majorBidi"/>
          <w:szCs w:val="20"/>
          <w:lang w:val="en-GB"/>
        </w:rPr>
        <w:t>S</w:t>
      </w:r>
      <w:r w:rsidRPr="00845FB7">
        <w:rPr>
          <w:rFonts w:cstheme="majorBidi"/>
          <w:szCs w:val="20"/>
          <w:lang w:val="en-GB"/>
        </w:rPr>
        <w:t>ecretariat. These include generic as well as Convention-specific legal and policy advice and analysis pertaining to the implementation and development of the Convention; drafting of legal agreements; international cooperation activities on legal and policy matters; and activities pertaining to chemicals and waste-related indicators for the Sustainable Development Goals (SDGs). Additional legal and policy activities under the Convention, including on SDGs are undertaken in the context of activity 4 on capacity building and technical assistance, and activity 1</w:t>
      </w:r>
      <w:r w:rsidR="00832E11" w:rsidRPr="00845FB7">
        <w:rPr>
          <w:rFonts w:cstheme="majorBidi"/>
          <w:szCs w:val="20"/>
          <w:lang w:val="en-GB"/>
        </w:rPr>
        <w:t>2</w:t>
      </w:r>
      <w:r w:rsidRPr="00845FB7">
        <w:rPr>
          <w:rFonts w:cstheme="majorBidi"/>
          <w:szCs w:val="20"/>
          <w:lang w:val="en-GB"/>
        </w:rPr>
        <w:t xml:space="preserve"> on international cooperation and coordination.</w:t>
      </w:r>
    </w:p>
    <w:p w14:paraId="218032EE" w14:textId="0BBDB31F" w:rsidR="0090367C" w:rsidRPr="00845FB7" w:rsidRDefault="0090367C" w:rsidP="002747B0">
      <w:pPr>
        <w:spacing w:before="240" w:after="120" w:line="276" w:lineRule="auto"/>
        <w:rPr>
          <w:rFonts w:cstheme="majorBidi"/>
          <w:b/>
          <w:bCs/>
          <w:lang w:val="en-GB"/>
        </w:rPr>
      </w:pPr>
      <w:r w:rsidRPr="00845FB7">
        <w:rPr>
          <w:rFonts w:cstheme="majorBidi"/>
          <w:b/>
          <w:bCs/>
          <w:lang w:val="en-GB"/>
        </w:rPr>
        <w:t>1</w:t>
      </w:r>
      <w:r w:rsidR="004E1D6B" w:rsidRPr="00845FB7">
        <w:rPr>
          <w:rFonts w:cstheme="majorBidi"/>
          <w:b/>
          <w:bCs/>
          <w:lang w:val="en-GB"/>
        </w:rPr>
        <w:t>4</w:t>
      </w:r>
      <w:r w:rsidRPr="00845FB7">
        <w:rPr>
          <w:rFonts w:cstheme="majorBidi"/>
          <w:b/>
          <w:bCs/>
          <w:lang w:val="en-GB"/>
        </w:rPr>
        <w:t>.3:</w:t>
      </w:r>
      <w:r w:rsidR="2B07D951" w:rsidRPr="00845FB7">
        <w:rPr>
          <w:rFonts w:cstheme="majorBidi"/>
          <w:b/>
          <w:bCs/>
          <w:lang w:val="en-GB"/>
        </w:rPr>
        <w:t xml:space="preserve"> National legislation, trade and enforcement</w:t>
      </w:r>
    </w:p>
    <w:p w14:paraId="4E2E871D" w14:textId="502A7EE4" w:rsidR="0090367C" w:rsidRPr="00845FB7" w:rsidRDefault="0090367C" w:rsidP="00BD36F8">
      <w:pPr>
        <w:spacing w:after="120" w:line="276" w:lineRule="auto"/>
        <w:rPr>
          <w:rFonts w:cstheme="majorBidi"/>
          <w:szCs w:val="20"/>
          <w:lang w:val="en-GB" w:eastAsia="en-GB"/>
        </w:rPr>
      </w:pPr>
      <w:r w:rsidRPr="00845FB7">
        <w:rPr>
          <w:rFonts w:cstheme="majorBidi"/>
          <w:szCs w:val="20"/>
          <w:lang w:val="en-GB"/>
        </w:rPr>
        <w:t xml:space="preserve">Legal and policy activities under the Convention are undertaken in the context of the implementation and compliance with trade related provisions. These include advice on completing the forms required under Article 3 related to trade in mercury, and support cooperation with other MEAs </w:t>
      </w:r>
      <w:r w:rsidRPr="00845FB7">
        <w:rPr>
          <w:rFonts w:cstheme="majorBidi"/>
          <w:szCs w:val="20"/>
          <w:lang w:val="en-GB" w:eastAsia="en-GB"/>
        </w:rPr>
        <w:t>and partners (e.g.  European Union Network for the Implementation and Enforcement of Environmental Law, International Network for Environmental Compliance and Enforcement, UNEP, Regional Enforcement Network for Chemicals and Waste, World Customs Organization, Green Customs Initiative, INTERPOL) to prevent and combat mercury trade which is not compliant with the Convention.</w:t>
      </w:r>
    </w:p>
    <w:p w14:paraId="6A023548" w14:textId="6150AF59" w:rsidR="0090367C" w:rsidRPr="00845FB7" w:rsidRDefault="0090367C" w:rsidP="002747B0">
      <w:pPr>
        <w:spacing w:before="240" w:after="120" w:line="276" w:lineRule="auto"/>
        <w:rPr>
          <w:rFonts w:cstheme="majorBidi"/>
          <w:b/>
          <w:bCs/>
          <w:lang w:val="en-GB"/>
        </w:rPr>
      </w:pPr>
      <w:r w:rsidRPr="00845FB7">
        <w:rPr>
          <w:rFonts w:cstheme="majorBidi"/>
          <w:b/>
          <w:bCs/>
          <w:lang w:val="en-GB"/>
        </w:rPr>
        <w:t>1</w:t>
      </w:r>
      <w:r w:rsidR="005A5239" w:rsidRPr="00845FB7">
        <w:rPr>
          <w:rFonts w:cstheme="majorBidi"/>
          <w:b/>
          <w:bCs/>
          <w:lang w:val="en-GB"/>
        </w:rPr>
        <w:t>4</w:t>
      </w:r>
      <w:r w:rsidRPr="00845FB7">
        <w:rPr>
          <w:rFonts w:cstheme="majorBidi"/>
          <w:b/>
          <w:bCs/>
          <w:lang w:val="en-GB"/>
        </w:rPr>
        <w:t xml:space="preserve">.4: </w:t>
      </w:r>
      <w:r w:rsidR="46384BDC" w:rsidRPr="00845FB7">
        <w:rPr>
          <w:rFonts w:cstheme="majorBidi"/>
          <w:b/>
          <w:bCs/>
          <w:lang w:val="en-GB"/>
        </w:rPr>
        <w:t>Addressing the needs of groups</w:t>
      </w:r>
      <w:r w:rsidR="00CA1B32" w:rsidRPr="00845FB7">
        <w:rPr>
          <w:rFonts w:cstheme="majorBidi"/>
          <w:b/>
          <w:bCs/>
          <w:lang w:val="en-GB"/>
        </w:rPr>
        <w:t xml:space="preserve"> </w:t>
      </w:r>
      <w:r w:rsidR="46384BDC" w:rsidRPr="00845FB7">
        <w:rPr>
          <w:rFonts w:cstheme="majorBidi"/>
          <w:b/>
          <w:bCs/>
          <w:lang w:val="en-GB"/>
        </w:rPr>
        <w:t xml:space="preserve">vulnerable </w:t>
      </w:r>
      <w:r w:rsidR="00CA1B32" w:rsidRPr="00845FB7">
        <w:rPr>
          <w:rFonts w:cstheme="majorBidi"/>
          <w:b/>
          <w:bCs/>
          <w:lang w:val="en-GB"/>
        </w:rPr>
        <w:t>to mercury exposure</w:t>
      </w:r>
    </w:p>
    <w:p w14:paraId="0D3518A1" w14:textId="5E33B557" w:rsidR="006D0DF6" w:rsidRPr="00845FB7" w:rsidRDefault="0090367C" w:rsidP="24FDCBDD">
      <w:pPr>
        <w:spacing w:after="120" w:line="276" w:lineRule="auto"/>
        <w:rPr>
          <w:rFonts w:cstheme="majorBidi"/>
          <w:lang w:val="en-GB"/>
        </w:rPr>
      </w:pPr>
      <w:r w:rsidRPr="00845FB7">
        <w:rPr>
          <w:rFonts w:cstheme="majorBidi"/>
          <w:lang w:val="en-GB"/>
        </w:rPr>
        <w:t xml:space="preserve">The Convention pays particular attention to health concerns, especially in developing countries, resulting from exposure to mercury </w:t>
      </w:r>
      <w:r w:rsidR="00972C2B" w:rsidRPr="00845FB7">
        <w:rPr>
          <w:rFonts w:cstheme="majorBidi"/>
          <w:lang w:val="en-GB"/>
        </w:rPr>
        <w:t>of populations</w:t>
      </w:r>
      <w:r w:rsidR="11DA6312" w:rsidRPr="00845FB7">
        <w:rPr>
          <w:rFonts w:cstheme="majorBidi"/>
          <w:lang w:val="en-GB"/>
        </w:rPr>
        <w:t xml:space="preserve"> in vulnerable situations</w:t>
      </w:r>
      <w:r w:rsidRPr="00845FB7">
        <w:rPr>
          <w:rFonts w:cstheme="majorBidi"/>
          <w:lang w:val="en-GB"/>
        </w:rPr>
        <w:t xml:space="preserve">, especially </w:t>
      </w:r>
      <w:r w:rsidR="35790551" w:rsidRPr="00845FB7">
        <w:rPr>
          <w:rFonts w:cstheme="majorBidi"/>
          <w:lang w:val="en-GB"/>
        </w:rPr>
        <w:t xml:space="preserve">Indigenous Peoples, local communities, </w:t>
      </w:r>
      <w:r w:rsidRPr="00845FB7">
        <w:rPr>
          <w:rFonts w:cstheme="majorBidi"/>
          <w:lang w:val="en-GB"/>
        </w:rPr>
        <w:t xml:space="preserve">women, children, and through them future generations. </w:t>
      </w:r>
    </w:p>
    <w:p w14:paraId="789D66C7" w14:textId="7DD8B4FE" w:rsidR="006D0DF6" w:rsidRPr="002476F1" w:rsidRDefault="0D0EE666" w:rsidP="75111F23">
      <w:pPr>
        <w:spacing w:after="120" w:line="276" w:lineRule="auto"/>
        <w:rPr>
          <w:rFonts w:eastAsia="DengXian" w:cs="Times New Roman"/>
          <w:lang w:val="en-GB"/>
        </w:rPr>
      </w:pPr>
      <w:r w:rsidRPr="00845FB7">
        <w:rPr>
          <w:rFonts w:eastAsia="DengXian" w:cs="Times New Roman"/>
          <w:lang w:val="en-GB"/>
        </w:rPr>
        <w:t>The fifth meeting of the Conference of the Parties (</w:t>
      </w:r>
      <w:hyperlink r:id="rId79" w:history="1">
        <w:r w:rsidRPr="00845FB7">
          <w:rPr>
            <w:rStyle w:val="Hyperlink"/>
            <w:rFonts w:eastAsia="DengXian" w:cs="Times New Roman"/>
            <w:b/>
            <w:bCs/>
            <w:u w:val="none"/>
            <w:lang w:val="en-GB"/>
          </w:rPr>
          <w:t>COP-5</w:t>
        </w:r>
      </w:hyperlink>
      <w:r w:rsidRPr="00845FB7">
        <w:rPr>
          <w:rFonts w:eastAsia="DengXian" w:cs="Times New Roman"/>
          <w:lang w:val="en-GB"/>
        </w:rPr>
        <w:t>) adopted</w:t>
      </w:r>
      <w:r w:rsidR="2D62D161" w:rsidRPr="00845FB7">
        <w:rPr>
          <w:rFonts w:eastAsia="DengXian" w:cs="Times New Roman"/>
          <w:lang w:val="en-GB"/>
        </w:rPr>
        <w:t xml:space="preserve"> decisions relevant to </w:t>
      </w:r>
      <w:r w:rsidR="1AD20AC3" w:rsidRPr="00845FB7">
        <w:rPr>
          <w:rFonts w:eastAsia="DengXian" w:cs="Times New Roman"/>
          <w:lang w:val="en-GB"/>
        </w:rPr>
        <w:t xml:space="preserve">Indigenous </w:t>
      </w:r>
      <w:r w:rsidR="00972C2B" w:rsidRPr="00845FB7">
        <w:rPr>
          <w:rFonts w:eastAsia="DengXian" w:cs="Times New Roman"/>
          <w:lang w:val="en-GB"/>
        </w:rPr>
        <w:t>Peoples, local</w:t>
      </w:r>
      <w:r w:rsidR="1AD20AC3" w:rsidRPr="00845FB7">
        <w:rPr>
          <w:rFonts w:eastAsia="DengXian" w:cs="Times New Roman"/>
          <w:lang w:val="en-GB"/>
        </w:rPr>
        <w:t xml:space="preserve"> communities and women</w:t>
      </w:r>
      <w:r w:rsidR="2D62D161" w:rsidRPr="00845FB7">
        <w:rPr>
          <w:rFonts w:eastAsia="DengXian" w:cs="Times New Roman"/>
          <w:lang w:val="en-GB"/>
        </w:rPr>
        <w:t xml:space="preserve">. </w:t>
      </w:r>
      <w:r w:rsidR="45E22C53" w:rsidRPr="00845FB7">
        <w:rPr>
          <w:rFonts w:eastAsia="DengXian" w:cs="Times New Roman"/>
          <w:lang w:val="en-GB"/>
        </w:rPr>
        <w:t>In decision MC-5/1</w:t>
      </w:r>
      <w:r w:rsidR="45E22C53" w:rsidRPr="00845FB7">
        <w:rPr>
          <w:rFonts w:eastAsia="DengXian" w:cs="Times New Roman"/>
          <w:color w:val="000000" w:themeColor="text1"/>
          <w:lang w:val="en-GB"/>
        </w:rPr>
        <w:t xml:space="preserve"> (paragraphs 2 and 3)</w:t>
      </w:r>
      <w:r w:rsidR="45E22C53" w:rsidRPr="00845FB7">
        <w:rPr>
          <w:rFonts w:eastAsia="DengXian" w:cs="Times New Roman"/>
          <w:lang w:val="en-GB"/>
        </w:rPr>
        <w:t xml:space="preserve"> </w:t>
      </w:r>
      <w:r w:rsidR="00E9797E" w:rsidRPr="00845FB7">
        <w:rPr>
          <w:rFonts w:eastAsia="DengXian" w:cs="Times New Roman"/>
          <w:lang w:val="en-GB"/>
        </w:rPr>
        <w:t xml:space="preserve">the COP </w:t>
      </w:r>
      <w:r w:rsidR="45E22C53" w:rsidRPr="00845FB7">
        <w:rPr>
          <w:rFonts w:eastAsia="DengXian" w:cs="Times New Roman"/>
          <w:lang w:val="en-GB"/>
        </w:rPr>
        <w:t>e</w:t>
      </w:r>
      <w:r w:rsidR="45E22C53" w:rsidRPr="00845FB7">
        <w:rPr>
          <w:rFonts w:eastAsia="DengXian" w:cs="Times New Roman"/>
          <w:color w:val="000000" w:themeColor="text1"/>
          <w:lang w:val="en-GB"/>
        </w:rPr>
        <w:t xml:space="preserve">ncouraged Parties to support, as appropriate, participation of Indigenous Peoples’ organizations, as well as local communities and other relevant stakeholders, in meetings of the Conference of the Parties, and in other related processes and to promote policies that enable Indigenous Peoples, as well as local communities, to benefit from, as well as contribute to, the dissemination of information, awareness and education on emissions and releases of mercury, including through the Indigenous Peoples Platform of the Minamata Convention. </w:t>
      </w:r>
      <w:r w:rsidR="2D62D161" w:rsidRPr="00845FB7">
        <w:rPr>
          <w:rFonts w:eastAsia="DengXian" w:cs="Times New Roman"/>
          <w:lang w:val="en-GB"/>
        </w:rPr>
        <w:t xml:space="preserve">In </w:t>
      </w:r>
      <w:r w:rsidR="42714E44" w:rsidRPr="00845FB7">
        <w:rPr>
          <w:rFonts w:eastAsia="DengXian" w:cs="Times New Roman"/>
          <w:lang w:val="en-GB"/>
        </w:rPr>
        <w:t>decision MC-5/</w:t>
      </w:r>
      <w:r w:rsidR="262062A1" w:rsidRPr="00845FB7">
        <w:rPr>
          <w:rFonts w:eastAsia="DengXian" w:cs="Times New Roman"/>
          <w:lang w:val="en-GB"/>
        </w:rPr>
        <w:t>7</w:t>
      </w:r>
      <w:r w:rsidR="4C21F6FD" w:rsidRPr="00845FB7">
        <w:rPr>
          <w:rFonts w:eastAsia="DengXian" w:cs="Times New Roman"/>
          <w:lang w:val="en-GB"/>
        </w:rPr>
        <w:t xml:space="preserve">, </w:t>
      </w:r>
      <w:r w:rsidR="6862591E" w:rsidRPr="00845FB7">
        <w:rPr>
          <w:rFonts w:eastAsia="DengXian" w:cs="Times New Roman"/>
          <w:lang w:val="en-GB"/>
        </w:rPr>
        <w:t xml:space="preserve">paragraph 8, </w:t>
      </w:r>
      <w:r w:rsidR="6E4C458C" w:rsidRPr="00845FB7">
        <w:rPr>
          <w:rFonts w:eastAsia="DengXian" w:cs="Times New Roman"/>
          <w:lang w:val="en-GB"/>
        </w:rPr>
        <w:t xml:space="preserve">the COP </w:t>
      </w:r>
      <w:r w:rsidR="4C21F6FD" w:rsidRPr="00845FB7">
        <w:rPr>
          <w:rFonts w:eastAsia="DengXian" w:cs="Times New Roman"/>
          <w:lang w:val="en-GB"/>
        </w:rPr>
        <w:t>e</w:t>
      </w:r>
      <w:r w:rsidR="4C21F6FD" w:rsidRPr="00845FB7">
        <w:rPr>
          <w:rFonts w:eastAsia="DengXian" w:cs="Times New Roman"/>
          <w:color w:val="000000" w:themeColor="text1"/>
          <w:lang w:val="en-GB"/>
        </w:rPr>
        <w:t>ncouraged Parties to work with their respective Indigenous Peoples and local communities with regard to their needs and priorities in relation to the use of mercury in artisanal and small-scale gold mining, and request</w:t>
      </w:r>
      <w:r w:rsidR="20998517" w:rsidRPr="00845FB7">
        <w:rPr>
          <w:rFonts w:eastAsia="DengXian" w:cs="Times New Roman"/>
          <w:color w:val="000000" w:themeColor="text1"/>
          <w:lang w:val="en-GB"/>
        </w:rPr>
        <w:t>ed</w:t>
      </w:r>
      <w:r w:rsidR="4C21F6FD" w:rsidRPr="00845FB7">
        <w:rPr>
          <w:rFonts w:eastAsia="DengXian" w:cs="Times New Roman"/>
          <w:color w:val="000000" w:themeColor="text1"/>
          <w:lang w:val="en-GB"/>
        </w:rPr>
        <w:t xml:space="preserve"> the </w:t>
      </w:r>
      <w:r w:rsidR="12A128B9" w:rsidRPr="00845FB7">
        <w:rPr>
          <w:rFonts w:eastAsia="DengXian" w:cs="Times New Roman"/>
          <w:color w:val="000000" w:themeColor="text1"/>
          <w:lang w:val="en-GB"/>
        </w:rPr>
        <w:t>S</w:t>
      </w:r>
      <w:r w:rsidR="4C21F6FD" w:rsidRPr="00845FB7">
        <w:rPr>
          <w:rFonts w:eastAsia="DengXian" w:cs="Times New Roman"/>
          <w:color w:val="000000" w:themeColor="text1"/>
          <w:lang w:val="en-GB"/>
        </w:rPr>
        <w:t xml:space="preserve">ecretariat, subject to the availability of resources, to support </w:t>
      </w:r>
      <w:r w:rsidR="2102F968" w:rsidRPr="00845FB7">
        <w:rPr>
          <w:rFonts w:eastAsia="DengXian" w:cs="Times New Roman"/>
          <w:color w:val="000000" w:themeColor="text1"/>
          <w:lang w:val="en-GB"/>
        </w:rPr>
        <w:t>P</w:t>
      </w:r>
      <w:r w:rsidR="4C21F6FD" w:rsidRPr="00845FB7">
        <w:rPr>
          <w:rFonts w:eastAsia="DengXian" w:cs="Times New Roman"/>
          <w:color w:val="000000" w:themeColor="text1"/>
          <w:lang w:val="en-GB"/>
        </w:rPr>
        <w:t xml:space="preserve">arties’ efforts to raise awareness among Indigenous Peoples and local communities of </w:t>
      </w:r>
      <w:r w:rsidR="4C21F6FD" w:rsidRPr="006C6BA4">
        <w:rPr>
          <w:rFonts w:eastAsia="DengXian" w:cs="Times New Roman"/>
          <w:lang w:val="en-GB"/>
        </w:rPr>
        <w:t>the risks associated with mercury use in artisanal and small-scale gold mining</w:t>
      </w:r>
      <w:r w:rsidR="32BB2201" w:rsidRPr="006C6BA4">
        <w:rPr>
          <w:rFonts w:eastAsia="DengXian" w:cs="Times New Roman"/>
          <w:lang w:val="en-GB"/>
        </w:rPr>
        <w:t>.</w:t>
      </w:r>
      <w:r w:rsidR="4C21F6FD" w:rsidRPr="002476F1">
        <w:rPr>
          <w:rFonts w:eastAsia="DengXian" w:cs="Times New Roman"/>
          <w:lang w:val="en-GB"/>
        </w:rPr>
        <w:t xml:space="preserve"> </w:t>
      </w:r>
    </w:p>
    <w:p w14:paraId="7B7F4A06" w14:textId="4F7F138D" w:rsidR="006D0DF6" w:rsidRPr="00845FB7" w:rsidRDefault="00F922C9" w:rsidP="75111F23">
      <w:pPr>
        <w:spacing w:after="120" w:line="276" w:lineRule="auto"/>
        <w:rPr>
          <w:rFonts w:eastAsia="DengXian" w:cs="Times New Roman"/>
          <w:lang w:val="en-GB"/>
        </w:rPr>
      </w:pPr>
      <w:r w:rsidRPr="002476F1">
        <w:rPr>
          <w:rFonts w:eastAsia="DengXian" w:cs="Times New Roman"/>
          <w:lang w:val="en-GB"/>
        </w:rPr>
        <w:t>O</w:t>
      </w:r>
      <w:r w:rsidR="61E2FC87" w:rsidRPr="002476F1">
        <w:rPr>
          <w:rFonts w:eastAsia="DengXian" w:cs="Times New Roman"/>
          <w:lang w:val="en-GB"/>
        </w:rPr>
        <w:t>n women, t</w:t>
      </w:r>
      <w:r w:rsidR="112E4071" w:rsidRPr="002476F1">
        <w:rPr>
          <w:rFonts w:eastAsia="DengXian" w:cs="Times New Roman"/>
          <w:lang w:val="en-GB"/>
        </w:rPr>
        <w:t>he COP in</w:t>
      </w:r>
      <w:r w:rsidR="0D0EE666" w:rsidRPr="002476F1">
        <w:rPr>
          <w:rFonts w:eastAsia="DengXian" w:cs="Times New Roman"/>
          <w:lang w:val="en-GB"/>
        </w:rPr>
        <w:t xml:space="preserve"> </w:t>
      </w:r>
      <w:hyperlink r:id="rId80" w:history="1">
        <w:r w:rsidR="0D0EE666" w:rsidRPr="006C6BA4">
          <w:rPr>
            <w:rStyle w:val="Hyperlink"/>
            <w:rFonts w:eastAsia="DengXian" w:cs="Times New Roman"/>
            <w:color w:val="auto"/>
            <w:u w:val="none"/>
            <w:lang w:val="en-GB"/>
          </w:rPr>
          <w:t>decision MC-5/15</w:t>
        </w:r>
      </w:hyperlink>
      <w:r w:rsidR="57CE27D8" w:rsidRPr="002476F1">
        <w:rPr>
          <w:rFonts w:eastAsia="DengXian" w:cs="Times New Roman"/>
          <w:lang w:val="en-GB"/>
        </w:rPr>
        <w:t>,</w:t>
      </w:r>
      <w:r w:rsidR="0D0EE666" w:rsidRPr="002476F1">
        <w:rPr>
          <w:rFonts w:eastAsia="DengXian" w:cs="Times New Roman"/>
          <w:lang w:val="en-GB"/>
        </w:rPr>
        <w:t xml:space="preserve"> welcomed the </w:t>
      </w:r>
      <w:hyperlink r:id="rId81" w:history="1">
        <w:r w:rsidR="0D0EE666" w:rsidRPr="006C6BA4">
          <w:rPr>
            <w:rStyle w:val="Hyperlink"/>
            <w:rFonts w:eastAsia="DengXian" w:cs="Times New Roman"/>
            <w:color w:val="auto"/>
            <w:u w:val="none"/>
            <w:lang w:val="en-GB"/>
          </w:rPr>
          <w:t>gender action plan</w:t>
        </w:r>
      </w:hyperlink>
      <w:r w:rsidR="0D0EE666" w:rsidRPr="002476F1">
        <w:rPr>
          <w:rFonts w:eastAsia="DengXian" w:cs="Times New Roman"/>
          <w:lang w:val="en-GB"/>
        </w:rPr>
        <w:t xml:space="preserve"> for the Minamata Convention on Mercury and invited Parties and the Secretariat to implement </w:t>
      </w:r>
      <w:hyperlink r:id="rId82" w:history="1">
        <w:r w:rsidR="0D0EE666" w:rsidRPr="006C6BA4">
          <w:rPr>
            <w:rStyle w:val="Hyperlink"/>
            <w:rFonts w:eastAsia="DengXian" w:cs="Times New Roman"/>
            <w:color w:val="auto"/>
            <w:u w:val="none"/>
            <w:lang w:val="en-GB"/>
          </w:rPr>
          <w:t>priority activities</w:t>
        </w:r>
      </w:hyperlink>
      <w:r w:rsidR="0D0EE666" w:rsidRPr="002476F1">
        <w:rPr>
          <w:rFonts w:eastAsia="DengXian" w:cs="Times New Roman"/>
          <w:lang w:val="en-GB"/>
        </w:rPr>
        <w:t xml:space="preserve"> under the action plan as integrated in the </w:t>
      </w:r>
      <w:hyperlink r:id="rId83" w:history="1">
        <w:r w:rsidR="0D0EE666" w:rsidRPr="006C6BA4">
          <w:rPr>
            <w:rStyle w:val="Hyperlink"/>
            <w:rFonts w:eastAsia="DengXian" w:cs="Times New Roman"/>
            <w:color w:val="auto"/>
            <w:u w:val="none"/>
            <w:lang w:val="en-GB"/>
          </w:rPr>
          <w:t>Programme of Work and Budget for the biennium 2024-2025</w:t>
        </w:r>
      </w:hyperlink>
      <w:r w:rsidR="0D0EE666" w:rsidRPr="002476F1">
        <w:rPr>
          <w:rFonts w:eastAsia="DengXian" w:cs="Times New Roman"/>
          <w:lang w:val="en-GB"/>
        </w:rPr>
        <w:t xml:space="preserve">. Its list of priority activities builds on existing commitments embedded in the text of the Minamata Convention and </w:t>
      </w:r>
      <w:r w:rsidR="0D0EE666" w:rsidRPr="00845FB7">
        <w:rPr>
          <w:rFonts w:eastAsia="DengXian" w:cs="Times New Roman"/>
          <w:lang w:val="en-GB"/>
        </w:rPr>
        <w:t>on recent initiatives of the Secretariat and Parties.</w:t>
      </w:r>
    </w:p>
    <w:p w14:paraId="075D50D8" w14:textId="466F6667" w:rsidR="0090367C" w:rsidRPr="00845FB7" w:rsidRDefault="00617147" w:rsidP="2575CD71">
      <w:pPr>
        <w:spacing w:after="120" w:line="276" w:lineRule="auto"/>
        <w:rPr>
          <w:rFonts w:cstheme="majorBidi"/>
          <w:lang w:val="en-GB"/>
        </w:rPr>
      </w:pPr>
      <w:r w:rsidRPr="00845FB7">
        <w:rPr>
          <w:rFonts w:cstheme="majorBidi"/>
          <w:lang w:val="en-GB"/>
        </w:rPr>
        <w:t>T</w:t>
      </w:r>
      <w:r w:rsidR="65496942" w:rsidRPr="00845FB7">
        <w:rPr>
          <w:rFonts w:cstheme="majorBidi"/>
          <w:lang w:val="en-GB"/>
        </w:rPr>
        <w:t xml:space="preserve">he Secretariat is also working on supporting the </w:t>
      </w:r>
      <w:r w:rsidR="335B2B5E" w:rsidRPr="00845FB7">
        <w:rPr>
          <w:rFonts w:cstheme="majorBidi"/>
          <w:lang w:val="en-GB"/>
        </w:rPr>
        <w:t xml:space="preserve">engagement </w:t>
      </w:r>
      <w:r w:rsidR="65496942" w:rsidRPr="00845FB7">
        <w:rPr>
          <w:rFonts w:cstheme="majorBidi"/>
          <w:lang w:val="en-GB"/>
        </w:rPr>
        <w:t>of women’s groups th</w:t>
      </w:r>
      <w:r w:rsidR="51500ED5" w:rsidRPr="00845FB7">
        <w:rPr>
          <w:rFonts w:cstheme="majorBidi"/>
          <w:lang w:val="en-GB"/>
        </w:rPr>
        <w:t>r</w:t>
      </w:r>
      <w:r w:rsidR="65496942" w:rsidRPr="00845FB7">
        <w:rPr>
          <w:rFonts w:cstheme="majorBidi"/>
          <w:lang w:val="en-GB"/>
        </w:rPr>
        <w:t>ough the women’s Caucus for the Minamata Convention.</w:t>
      </w:r>
    </w:p>
    <w:p w14:paraId="5DD1F10E" w14:textId="75E7DC72" w:rsidR="0090367C" w:rsidRPr="00845FB7" w:rsidRDefault="0090367C" w:rsidP="0090367C">
      <w:pPr>
        <w:pStyle w:val="Heading3"/>
        <w:rPr>
          <w:sz w:val="24"/>
          <w:lang w:val="en-GB"/>
        </w:rPr>
      </w:pPr>
      <w:r w:rsidRPr="00845FB7">
        <w:rPr>
          <w:sz w:val="24"/>
          <w:lang w:val="en-GB"/>
        </w:rPr>
        <w:lastRenderedPageBreak/>
        <w:t>Outcomes and activities</w:t>
      </w:r>
    </w:p>
    <w:p w14:paraId="5A1998A6" w14:textId="065D7230" w:rsidR="0090367C" w:rsidRPr="00845FB7" w:rsidRDefault="0090367C" w:rsidP="00BD36F8">
      <w:pPr>
        <w:pStyle w:val="Heading2"/>
        <w:spacing w:before="360" w:after="120"/>
        <w:rPr>
          <w:sz w:val="28"/>
          <w:szCs w:val="28"/>
          <w:lang w:val="en-GB"/>
        </w:rPr>
      </w:pPr>
      <w:r w:rsidRPr="00845FB7">
        <w:rPr>
          <w:sz w:val="28"/>
          <w:szCs w:val="28"/>
          <w:lang w:val="en-GB"/>
        </w:rPr>
        <w:t>Component 1</w:t>
      </w:r>
      <w:r w:rsidR="005A5239" w:rsidRPr="00845FB7">
        <w:rPr>
          <w:sz w:val="28"/>
          <w:szCs w:val="28"/>
          <w:lang w:val="en-GB"/>
        </w:rPr>
        <w:t>4</w:t>
      </w:r>
      <w:r w:rsidRPr="00845FB7">
        <w:rPr>
          <w:sz w:val="28"/>
          <w:szCs w:val="28"/>
          <w:lang w:val="en-GB"/>
        </w:rPr>
        <w:t>.1. Work programme of the Implementation and Compliance Committee (ICC)</w:t>
      </w:r>
    </w:p>
    <w:p w14:paraId="23020E18" w14:textId="77777777" w:rsidR="0090367C" w:rsidRPr="00845FB7" w:rsidRDefault="0090367C" w:rsidP="00BD36F8">
      <w:pPr>
        <w:spacing w:before="240"/>
        <w:rPr>
          <w:rFonts w:cstheme="majorBidi"/>
          <w:b/>
          <w:bCs/>
          <w:szCs w:val="20"/>
          <w:lang w:val="en-GB" w:eastAsia="en-GB"/>
        </w:rPr>
      </w:pPr>
      <w:r w:rsidRPr="00845FB7">
        <w:rPr>
          <w:rFonts w:cstheme="majorBidi"/>
          <w:b/>
          <w:bCs/>
          <w:szCs w:val="20"/>
          <w:lang w:val="en-GB" w:eastAsia="en-GB"/>
        </w:rPr>
        <w:t>OUTCOMES</w:t>
      </w:r>
    </w:p>
    <w:p w14:paraId="20E376E0" w14:textId="77777777" w:rsidR="0090367C" w:rsidRPr="00845FB7" w:rsidRDefault="0090367C" w:rsidP="00BD36F8">
      <w:pPr>
        <w:spacing w:after="60"/>
        <w:rPr>
          <w:rFonts w:cstheme="majorBidi"/>
          <w:szCs w:val="20"/>
          <w:lang w:val="en-GB" w:eastAsia="en-GB"/>
        </w:rPr>
      </w:pPr>
      <w:r w:rsidRPr="00845FB7">
        <w:rPr>
          <w:rFonts w:cstheme="majorBidi"/>
          <w:szCs w:val="20"/>
          <w:lang w:val="en-GB" w:eastAsia="en-GB"/>
        </w:rPr>
        <w:t>Activities entrusted by the COP to the Implementation and Compliance Committee (ICC) and that the ICC decides to undertake are implemented. The outcome of these activities is expected to be an improved implementation of and compliance with the Convention.</w:t>
      </w:r>
    </w:p>
    <w:p w14:paraId="51544624" w14:textId="4681C780" w:rsidR="0090367C" w:rsidRPr="00845FB7" w:rsidRDefault="0090367C" w:rsidP="00BD36F8">
      <w:pPr>
        <w:spacing w:before="240"/>
        <w:rPr>
          <w:rFonts w:cstheme="majorBidi"/>
          <w:b/>
          <w:bCs/>
          <w:szCs w:val="20"/>
          <w:lang w:val="en-GB" w:eastAsia="en-GB"/>
        </w:rPr>
      </w:pPr>
      <w:r w:rsidRPr="00845FB7">
        <w:rPr>
          <w:rFonts w:cstheme="majorBidi"/>
          <w:b/>
          <w:bCs/>
          <w:szCs w:val="20"/>
          <w:lang w:val="en-GB" w:eastAsia="en-GB"/>
        </w:rPr>
        <w:t>ACTIVITIES</w:t>
      </w:r>
    </w:p>
    <w:p w14:paraId="2913B9F5" w14:textId="33B78081"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Coordinate within the </w:t>
      </w:r>
      <w:r w:rsidR="00810FCC" w:rsidRPr="00845FB7">
        <w:rPr>
          <w:rFonts w:cstheme="majorBidi"/>
          <w:szCs w:val="20"/>
          <w:lang w:val="en-GB" w:eastAsia="en-GB"/>
        </w:rPr>
        <w:t>S</w:t>
      </w:r>
      <w:r w:rsidRPr="00845FB7">
        <w:rPr>
          <w:rFonts w:cstheme="majorBidi"/>
          <w:szCs w:val="20"/>
          <w:lang w:val="en-GB" w:eastAsia="en-GB"/>
        </w:rPr>
        <w:t>ecretariat the ICC’s intersessional work (staff costs only);</w:t>
      </w:r>
    </w:p>
    <w:p w14:paraId="74D1AE8A"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Support ICC in identifying issues of implementation and compliance, communication with ICC members, organization of meetings (staff costs only);</w:t>
      </w:r>
    </w:p>
    <w:p w14:paraId="2B21C95D" w14:textId="4DF2E715"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Support the ICC in implementing its work programme, </w:t>
      </w:r>
      <w:r w:rsidR="00AB6E98" w:rsidRPr="00845FB7">
        <w:rPr>
          <w:rFonts w:cstheme="majorBidi"/>
          <w:szCs w:val="20"/>
          <w:lang w:val="en-GB" w:eastAsia="en-GB"/>
        </w:rPr>
        <w:t xml:space="preserve">and </w:t>
      </w:r>
      <w:r w:rsidR="001959CC" w:rsidRPr="00845FB7">
        <w:rPr>
          <w:rFonts w:cstheme="majorBidi"/>
          <w:szCs w:val="20"/>
          <w:lang w:val="en-GB" w:eastAsia="en-GB"/>
        </w:rPr>
        <w:t xml:space="preserve">follow up on </w:t>
      </w:r>
      <w:r w:rsidR="00394127" w:rsidRPr="00845FB7">
        <w:rPr>
          <w:rFonts w:cstheme="majorBidi"/>
          <w:szCs w:val="20"/>
          <w:lang w:val="en-GB" w:eastAsia="en-GB"/>
        </w:rPr>
        <w:t xml:space="preserve">ICC </w:t>
      </w:r>
      <w:r w:rsidR="001959CC" w:rsidRPr="00845FB7">
        <w:rPr>
          <w:rFonts w:cstheme="majorBidi"/>
          <w:szCs w:val="20"/>
          <w:lang w:val="en-GB" w:eastAsia="en-GB"/>
        </w:rPr>
        <w:t>requests to reach out to Parties</w:t>
      </w:r>
      <w:r w:rsidRPr="00845FB7">
        <w:rPr>
          <w:rFonts w:cstheme="majorBidi"/>
          <w:szCs w:val="20"/>
          <w:lang w:val="en-GB" w:eastAsia="en-GB"/>
        </w:rPr>
        <w:t>;</w:t>
      </w:r>
    </w:p>
    <w:p w14:paraId="4A36B78C"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Support the ICC in developing its draft programme of work and its report to the COP (staff costs only);</w:t>
      </w:r>
    </w:p>
    <w:p w14:paraId="302C49A1"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Follow-up on COP decisions related to the ICC’s work (staff costs only).</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820"/>
        <w:gridCol w:w="4196"/>
      </w:tblGrid>
      <w:tr w:rsidR="0090367C" w:rsidRPr="00845FB7" w14:paraId="077FEED9" w14:textId="77777777" w:rsidTr="00BD36F8">
        <w:tc>
          <w:tcPr>
            <w:tcW w:w="4820" w:type="dxa"/>
          </w:tcPr>
          <w:p w14:paraId="70BBC645" w14:textId="021F1F5E" w:rsidR="0090367C" w:rsidRPr="00845FB7" w:rsidRDefault="0090367C"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6EB241AB" w14:textId="77777777" w:rsidR="0090367C" w:rsidRPr="00845FB7" w:rsidRDefault="0090367C"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Assistance for the operation of the ICC is provided to the satisfaction of the ICC and its Chair;</w:t>
            </w:r>
          </w:p>
          <w:p w14:paraId="478E4005" w14:textId="77777777" w:rsidR="0090367C" w:rsidRPr="00845FB7" w:rsidRDefault="0090367C"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Support to the ICC for undertaking the activities of its work programme is provided to the satisfaction of the ICC and its Chair.</w:t>
            </w:r>
          </w:p>
        </w:tc>
        <w:tc>
          <w:tcPr>
            <w:tcW w:w="4196" w:type="dxa"/>
          </w:tcPr>
          <w:p w14:paraId="699FBDF9" w14:textId="1112596C" w:rsidR="0090367C" w:rsidRPr="00845FB7" w:rsidRDefault="0090367C"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3047F76A" w14:textId="77777777" w:rsidR="0090367C" w:rsidRPr="00845FB7" w:rsidRDefault="0090367C"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Feedback from members and the Chair.</w:t>
            </w:r>
          </w:p>
          <w:p w14:paraId="53EB5DF2" w14:textId="77777777" w:rsidR="0090367C" w:rsidRPr="00845FB7" w:rsidRDefault="0090367C" w:rsidP="00A10FE4">
            <w:pPr>
              <w:pStyle w:val="ListParagraph"/>
              <w:rPr>
                <w:rFonts w:cstheme="majorBidi"/>
                <w:szCs w:val="20"/>
                <w:lang w:val="en-GB" w:eastAsia="en-GB"/>
              </w:rPr>
            </w:pPr>
          </w:p>
        </w:tc>
      </w:tr>
    </w:tbl>
    <w:p w14:paraId="51FABDD1" w14:textId="5CF27AC2" w:rsidR="0090367C" w:rsidRPr="00845FB7" w:rsidRDefault="0090367C" w:rsidP="00BD36F8">
      <w:pPr>
        <w:pStyle w:val="Heading2"/>
        <w:spacing w:before="360" w:after="120"/>
        <w:rPr>
          <w:sz w:val="28"/>
          <w:szCs w:val="28"/>
          <w:lang w:val="en-GB"/>
        </w:rPr>
      </w:pPr>
      <w:r w:rsidRPr="00845FB7">
        <w:rPr>
          <w:sz w:val="28"/>
          <w:szCs w:val="28"/>
          <w:lang w:val="en-GB"/>
        </w:rPr>
        <w:t>Component 1</w:t>
      </w:r>
      <w:r w:rsidR="00473826" w:rsidRPr="00845FB7">
        <w:rPr>
          <w:sz w:val="28"/>
          <w:szCs w:val="28"/>
          <w:lang w:val="en-GB"/>
        </w:rPr>
        <w:t>4</w:t>
      </w:r>
      <w:r w:rsidRPr="00845FB7">
        <w:rPr>
          <w:sz w:val="28"/>
          <w:szCs w:val="28"/>
          <w:lang w:val="en-GB"/>
        </w:rPr>
        <w:t xml:space="preserve">.2. </w:t>
      </w:r>
      <w:r w:rsidR="3CD1BA53" w:rsidRPr="00845FB7">
        <w:rPr>
          <w:sz w:val="28"/>
          <w:szCs w:val="28"/>
          <w:lang w:val="en-GB"/>
        </w:rPr>
        <w:t>L</w:t>
      </w:r>
      <w:r w:rsidRPr="00845FB7">
        <w:rPr>
          <w:sz w:val="28"/>
          <w:szCs w:val="28"/>
          <w:lang w:val="en-GB"/>
        </w:rPr>
        <w:t>egal activities</w:t>
      </w:r>
    </w:p>
    <w:p w14:paraId="1B50E39A" w14:textId="77777777" w:rsidR="0090367C" w:rsidRPr="00845FB7" w:rsidRDefault="0090367C" w:rsidP="00BD36F8">
      <w:pPr>
        <w:spacing w:before="240"/>
        <w:rPr>
          <w:rFonts w:cstheme="majorBidi"/>
          <w:b/>
          <w:bCs/>
          <w:szCs w:val="20"/>
          <w:lang w:val="en-GB" w:eastAsia="en-GB"/>
        </w:rPr>
      </w:pPr>
      <w:r w:rsidRPr="00845FB7">
        <w:rPr>
          <w:rFonts w:cstheme="majorBidi"/>
          <w:b/>
          <w:bCs/>
          <w:szCs w:val="20"/>
          <w:lang w:val="en-GB" w:eastAsia="en-GB"/>
        </w:rPr>
        <w:t>OUTCOMES</w:t>
      </w:r>
    </w:p>
    <w:p w14:paraId="09385B46" w14:textId="34522981" w:rsidR="0090367C" w:rsidRPr="00845FB7" w:rsidRDefault="0090367C" w:rsidP="00BD36F8">
      <w:pPr>
        <w:spacing w:after="60"/>
        <w:rPr>
          <w:rFonts w:cstheme="majorBidi"/>
          <w:szCs w:val="20"/>
          <w:lang w:val="en-GB" w:eastAsia="en-GB"/>
        </w:rPr>
      </w:pPr>
      <w:r w:rsidRPr="00845FB7">
        <w:rPr>
          <w:rFonts w:cstheme="majorBidi"/>
          <w:szCs w:val="20"/>
          <w:lang w:val="en-GB" w:eastAsia="en-GB"/>
        </w:rPr>
        <w:t xml:space="preserve">The </w:t>
      </w:r>
      <w:r w:rsidR="00A73366" w:rsidRPr="00845FB7">
        <w:rPr>
          <w:rFonts w:cstheme="majorBidi"/>
          <w:szCs w:val="20"/>
          <w:lang w:val="en-GB" w:eastAsia="en-GB"/>
        </w:rPr>
        <w:t>S</w:t>
      </w:r>
      <w:r w:rsidRPr="00845FB7">
        <w:rPr>
          <w:rFonts w:cstheme="majorBidi"/>
          <w:szCs w:val="20"/>
          <w:lang w:val="en-GB" w:eastAsia="en-GB"/>
        </w:rPr>
        <w:t xml:space="preserve">ecretariat’s legal operations are undertaken in line with relevant rules and regulations; the </w:t>
      </w:r>
      <w:r w:rsidR="00A73366" w:rsidRPr="00845FB7">
        <w:rPr>
          <w:rFonts w:cstheme="majorBidi"/>
          <w:szCs w:val="20"/>
          <w:lang w:val="en-GB" w:eastAsia="en-GB"/>
        </w:rPr>
        <w:t>P</w:t>
      </w:r>
      <w:r w:rsidRPr="00845FB7">
        <w:rPr>
          <w:rFonts w:cstheme="majorBidi"/>
          <w:szCs w:val="20"/>
          <w:lang w:val="en-GB" w:eastAsia="en-GB"/>
        </w:rPr>
        <w:t>arties are supported in their efforts towards the implementation of the Convention; the legal and policy aspects of the implementation and further development of the Convention are addressed. Progress is made in providing information of relevance to the chemicals and waste-related indicators for the Sustainable Development Goals.</w:t>
      </w:r>
    </w:p>
    <w:p w14:paraId="5212351D" w14:textId="77777777" w:rsidR="0090367C" w:rsidRPr="00845FB7" w:rsidRDefault="0090367C" w:rsidP="00BD36F8">
      <w:pPr>
        <w:spacing w:before="240"/>
        <w:rPr>
          <w:rFonts w:cstheme="majorBidi"/>
          <w:b/>
          <w:bCs/>
          <w:szCs w:val="20"/>
          <w:lang w:val="en-GB" w:eastAsia="en-GB"/>
        </w:rPr>
      </w:pPr>
      <w:r w:rsidRPr="00845FB7">
        <w:rPr>
          <w:rFonts w:cstheme="majorBidi"/>
          <w:b/>
          <w:bCs/>
          <w:szCs w:val="20"/>
          <w:lang w:val="en-GB" w:eastAsia="en-GB"/>
        </w:rPr>
        <w:t>ACTIVITIES</w:t>
      </w:r>
    </w:p>
    <w:p w14:paraId="1F8C8B94"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Provide legal and policy advice and analysis pertaining to the implementation </w:t>
      </w:r>
      <w:r w:rsidRPr="00845FB7">
        <w:rPr>
          <w:rFonts w:cstheme="majorBidi"/>
          <w:szCs w:val="20"/>
          <w:lang w:val="en-GB"/>
        </w:rPr>
        <w:t xml:space="preserve">and development </w:t>
      </w:r>
      <w:r w:rsidRPr="00845FB7">
        <w:rPr>
          <w:rFonts w:cstheme="majorBidi"/>
          <w:szCs w:val="20"/>
          <w:lang w:val="en-GB" w:eastAsia="en-GB"/>
        </w:rPr>
        <w:t>of the Convention (staff costs only);</w:t>
      </w:r>
    </w:p>
    <w:p w14:paraId="6DD371C6"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Collect and disseminate information on National Focal Points designated under Article 21 of the Convention (staff costs only);</w:t>
      </w:r>
    </w:p>
    <w:p w14:paraId="63C09DEE"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eastAsia="DengXian" w:cstheme="majorBidi"/>
          <w:szCs w:val="20"/>
          <w:lang w:val="en-GB" w:eastAsia="en-GB"/>
        </w:rPr>
        <w:t xml:space="preserve">Collect and disseminate information on proposed amendments to the Convention; </w:t>
      </w:r>
    </w:p>
    <w:p w14:paraId="6F77ADF7"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Provide legal advisory service to the Convention's bodies (staff costs only);</w:t>
      </w:r>
    </w:p>
    <w:p w14:paraId="5D59DC42"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Draft legal agreements (staff costs);</w:t>
      </w:r>
    </w:p>
    <w:p w14:paraId="5B63AFCF" w14:textId="77777777"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Undertake Party-status related activities (staff costs only);</w:t>
      </w:r>
    </w:p>
    <w:p w14:paraId="69644639" w14:textId="76C06D1A"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Coordinate data collection for the SDG indicator 12.4.1 (staff costs only)</w:t>
      </w:r>
      <w:r w:rsidR="0074732E" w:rsidRPr="00845FB7">
        <w:rPr>
          <w:rFonts w:cstheme="majorBidi"/>
          <w:szCs w:val="20"/>
          <w:lang w:val="en-GB" w:eastAsia="en-GB"/>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90367C" w:rsidRPr="00845FB7" w14:paraId="2C46E660" w14:textId="77777777" w:rsidTr="00A10FE4">
        <w:tc>
          <w:tcPr>
            <w:tcW w:w="4508" w:type="dxa"/>
          </w:tcPr>
          <w:p w14:paraId="22E856D9" w14:textId="7D4F9502" w:rsidR="0090367C" w:rsidRPr="00845FB7" w:rsidRDefault="0090367C" w:rsidP="002B40E4">
            <w:pPr>
              <w:keepNext/>
              <w:spacing w:before="240" w:after="120"/>
              <w:ind w:left="363"/>
              <w:rPr>
                <w:rFonts w:cstheme="majorBidi"/>
                <w:b/>
                <w:bCs/>
                <w:szCs w:val="20"/>
                <w:lang w:val="en-GB" w:eastAsia="en-GB"/>
              </w:rPr>
            </w:pPr>
            <w:r w:rsidRPr="00845FB7">
              <w:rPr>
                <w:rFonts w:cstheme="majorBidi"/>
                <w:b/>
                <w:bCs/>
                <w:szCs w:val="20"/>
                <w:lang w:val="en-GB" w:eastAsia="en-GB"/>
              </w:rPr>
              <w:lastRenderedPageBreak/>
              <w:t>INDICATORS OF ACHIEVEMENT</w:t>
            </w:r>
          </w:p>
          <w:p w14:paraId="46589002" w14:textId="73E57A5D" w:rsidR="0090367C" w:rsidRPr="00845FB7" w:rsidRDefault="0090367C"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 xml:space="preserve">Legal and policy advice, information, analysis and assistance is provided in a timely manner and to the satisfaction of </w:t>
            </w:r>
            <w:r w:rsidR="00AE24F8" w:rsidRPr="00845FB7">
              <w:rPr>
                <w:rFonts w:cstheme="majorBidi"/>
                <w:szCs w:val="20"/>
                <w:lang w:val="en-GB" w:eastAsia="en-GB"/>
              </w:rPr>
              <w:t>P</w:t>
            </w:r>
            <w:r w:rsidRPr="00845FB7">
              <w:rPr>
                <w:rFonts w:cstheme="majorBidi"/>
                <w:szCs w:val="20"/>
                <w:lang w:val="en-GB" w:eastAsia="en-GB"/>
              </w:rPr>
              <w:t xml:space="preserve">arties, partners, stakeholders, </w:t>
            </w:r>
            <w:r w:rsidR="00D33BE7" w:rsidRPr="00845FB7">
              <w:rPr>
                <w:rFonts w:cstheme="majorBidi"/>
                <w:szCs w:val="20"/>
                <w:lang w:val="en-GB" w:eastAsia="en-GB"/>
              </w:rPr>
              <w:t>S</w:t>
            </w:r>
            <w:r w:rsidRPr="00845FB7">
              <w:rPr>
                <w:rFonts w:cstheme="majorBidi"/>
                <w:szCs w:val="20"/>
                <w:lang w:val="en-GB" w:eastAsia="en-GB"/>
              </w:rPr>
              <w:t xml:space="preserve">ecretariat staff and management;  </w:t>
            </w:r>
          </w:p>
          <w:p w14:paraId="4E997A03" w14:textId="49CD512C" w:rsidR="0090367C" w:rsidRPr="00845FB7" w:rsidRDefault="0090367C" w:rsidP="00BD36F8">
            <w:pPr>
              <w:pStyle w:val="ListParagraph"/>
              <w:numPr>
                <w:ilvl w:val="0"/>
                <w:numId w:val="5"/>
              </w:numPr>
              <w:spacing w:after="60"/>
              <w:rPr>
                <w:rFonts w:cstheme="majorBidi"/>
                <w:szCs w:val="20"/>
                <w:lang w:val="en-GB" w:eastAsia="en-GB"/>
              </w:rPr>
            </w:pPr>
            <w:r w:rsidRPr="00845FB7">
              <w:rPr>
                <w:rFonts w:eastAsia="DengXian" w:cstheme="majorBidi"/>
                <w:szCs w:val="20"/>
                <w:lang w:val="en-GB" w:eastAsia="en-GB"/>
              </w:rPr>
              <w:t xml:space="preserve">Relevant information is collected and </w:t>
            </w:r>
            <w:r w:rsidR="002B40E4" w:rsidRPr="00845FB7">
              <w:rPr>
                <w:rFonts w:eastAsia="DengXian" w:cstheme="majorBidi"/>
                <w:szCs w:val="20"/>
                <w:lang w:val="en-GB" w:eastAsia="en-GB"/>
              </w:rPr>
              <w:t>disseminated,</w:t>
            </w:r>
            <w:r w:rsidRPr="00845FB7">
              <w:rPr>
                <w:rFonts w:eastAsia="DengXian" w:cstheme="majorBidi"/>
                <w:szCs w:val="20"/>
                <w:lang w:val="en-GB" w:eastAsia="en-GB"/>
              </w:rPr>
              <w:t xml:space="preserve"> and agreements drafted in a timely manner;</w:t>
            </w:r>
          </w:p>
          <w:p w14:paraId="74B1B8B0" w14:textId="48F5F758" w:rsidR="0090367C" w:rsidRPr="00845FB7" w:rsidRDefault="0090367C" w:rsidP="00BD36F8">
            <w:pPr>
              <w:pStyle w:val="ListParagraph"/>
              <w:numPr>
                <w:ilvl w:val="0"/>
                <w:numId w:val="5"/>
              </w:numPr>
              <w:spacing w:after="60"/>
              <w:rPr>
                <w:rFonts w:cstheme="majorBidi"/>
                <w:szCs w:val="20"/>
                <w:lang w:val="en-GB" w:eastAsia="en-GB"/>
              </w:rPr>
            </w:pPr>
            <w:r w:rsidRPr="00845FB7">
              <w:rPr>
                <w:rFonts w:cstheme="majorBidi"/>
                <w:szCs w:val="20"/>
                <w:lang w:val="en-GB" w:eastAsia="en-GB"/>
              </w:rPr>
              <w:t>Information of relevance to the chemicals and waste-related indicators for the Sustainable Development Goals is transmitted to UNEP</w:t>
            </w:r>
            <w:r w:rsidR="0074732E" w:rsidRPr="00845FB7">
              <w:rPr>
                <w:rFonts w:cstheme="majorBidi"/>
                <w:szCs w:val="20"/>
                <w:lang w:val="en-GB" w:eastAsia="en-GB"/>
              </w:rPr>
              <w:t>.</w:t>
            </w:r>
          </w:p>
        </w:tc>
        <w:tc>
          <w:tcPr>
            <w:tcW w:w="4508" w:type="dxa"/>
          </w:tcPr>
          <w:p w14:paraId="6DDC04FE" w14:textId="0153BDFE" w:rsidR="0090367C" w:rsidRPr="00845FB7" w:rsidRDefault="0090367C"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2CB884B4" w14:textId="2DBE320C" w:rsidR="0090367C" w:rsidRPr="00845FB7" w:rsidRDefault="0090367C"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Feedback from </w:t>
            </w:r>
            <w:r w:rsidR="00AE24F8" w:rsidRPr="00845FB7">
              <w:rPr>
                <w:rFonts w:cstheme="majorBidi"/>
                <w:szCs w:val="20"/>
                <w:lang w:val="en-GB" w:eastAsia="en-GB"/>
              </w:rPr>
              <w:t>P</w:t>
            </w:r>
            <w:r w:rsidRPr="00845FB7">
              <w:rPr>
                <w:rFonts w:cstheme="majorBidi"/>
                <w:szCs w:val="20"/>
                <w:lang w:val="en-GB" w:eastAsia="en-GB"/>
              </w:rPr>
              <w:t xml:space="preserve">arties and stakeholders, reports to the COP; </w:t>
            </w:r>
          </w:p>
          <w:p w14:paraId="3DC7ADC1" w14:textId="77777777" w:rsidR="0090367C" w:rsidRPr="00845FB7" w:rsidRDefault="0090367C"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Reports to the COP;</w:t>
            </w:r>
          </w:p>
          <w:p w14:paraId="3061A014" w14:textId="77777777" w:rsidR="0090367C" w:rsidRPr="00845FB7" w:rsidRDefault="0090367C"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Meeting reports, decisions and other documents developed in the framework of the organizations working on the sustainable development and environment agendas.</w:t>
            </w:r>
          </w:p>
        </w:tc>
      </w:tr>
    </w:tbl>
    <w:p w14:paraId="3700B2D0" w14:textId="591DDB18" w:rsidR="0090367C" w:rsidRPr="00845FB7" w:rsidRDefault="0090367C" w:rsidP="02FCE7CC">
      <w:pPr>
        <w:pStyle w:val="Heading2"/>
        <w:spacing w:before="360" w:after="120"/>
        <w:rPr>
          <w:rFonts w:eastAsia="DengXian" w:cstheme="majorBidi"/>
          <w:sz w:val="28"/>
          <w:szCs w:val="28"/>
          <w:lang w:val="en-GB"/>
        </w:rPr>
      </w:pPr>
      <w:r w:rsidRPr="00845FB7">
        <w:rPr>
          <w:sz w:val="28"/>
          <w:szCs w:val="28"/>
          <w:lang w:val="en-GB"/>
        </w:rPr>
        <w:t>Component 1</w:t>
      </w:r>
      <w:r w:rsidR="00473826" w:rsidRPr="00845FB7">
        <w:rPr>
          <w:sz w:val="28"/>
          <w:szCs w:val="28"/>
          <w:lang w:val="en-GB"/>
        </w:rPr>
        <w:t>4</w:t>
      </w:r>
      <w:r w:rsidRPr="00845FB7">
        <w:rPr>
          <w:sz w:val="28"/>
          <w:szCs w:val="28"/>
          <w:lang w:val="en-GB"/>
        </w:rPr>
        <w:t>.3.</w:t>
      </w:r>
      <w:r w:rsidR="3C1AF7D5" w:rsidRPr="00845FB7">
        <w:rPr>
          <w:rFonts w:eastAsia="DengXian" w:cstheme="majorBidi"/>
          <w:sz w:val="28"/>
          <w:szCs w:val="28"/>
          <w:lang w:val="en-GB"/>
        </w:rPr>
        <w:t xml:space="preserve"> National legislation, trade and enforcement</w:t>
      </w:r>
    </w:p>
    <w:p w14:paraId="30D8A969" w14:textId="77777777" w:rsidR="0090367C" w:rsidRPr="00845FB7" w:rsidRDefault="0090367C" w:rsidP="00BD36F8">
      <w:pPr>
        <w:spacing w:before="240"/>
        <w:rPr>
          <w:rFonts w:cstheme="majorBidi"/>
          <w:b/>
          <w:bCs/>
          <w:szCs w:val="20"/>
          <w:lang w:val="en-GB" w:eastAsia="en-GB"/>
        </w:rPr>
      </w:pPr>
      <w:r w:rsidRPr="00845FB7">
        <w:rPr>
          <w:rFonts w:cstheme="majorBidi"/>
          <w:b/>
          <w:bCs/>
          <w:szCs w:val="20"/>
          <w:lang w:val="en-GB" w:eastAsia="en-GB"/>
        </w:rPr>
        <w:t>OUTCOMES</w:t>
      </w:r>
    </w:p>
    <w:p w14:paraId="02E7DE71" w14:textId="77777777" w:rsidR="0090367C" w:rsidRPr="00845FB7" w:rsidRDefault="0090367C" w:rsidP="00BD36F8">
      <w:pPr>
        <w:spacing w:after="60"/>
        <w:rPr>
          <w:rFonts w:cstheme="majorBidi"/>
          <w:szCs w:val="20"/>
          <w:lang w:val="en-GB" w:eastAsia="en-GB"/>
        </w:rPr>
      </w:pPr>
      <w:r w:rsidRPr="00845FB7">
        <w:rPr>
          <w:rFonts w:cstheme="majorBidi"/>
          <w:szCs w:val="20"/>
          <w:lang w:val="en-GB" w:eastAsia="en-GB"/>
        </w:rPr>
        <w:t>Parties have a better understanding of and are in a better position to implement and comply with trade-related provisions of the Convention.</w:t>
      </w:r>
    </w:p>
    <w:p w14:paraId="144D387F" w14:textId="77777777" w:rsidR="0090367C" w:rsidRPr="00845FB7" w:rsidRDefault="0090367C" w:rsidP="00BD36F8">
      <w:pPr>
        <w:spacing w:before="240"/>
        <w:rPr>
          <w:rFonts w:cstheme="majorBidi"/>
          <w:b/>
          <w:bCs/>
          <w:szCs w:val="20"/>
          <w:lang w:val="en-GB" w:eastAsia="en-GB"/>
        </w:rPr>
      </w:pPr>
      <w:r w:rsidRPr="00845FB7">
        <w:rPr>
          <w:rFonts w:cstheme="majorBidi"/>
          <w:b/>
          <w:bCs/>
          <w:szCs w:val="20"/>
          <w:lang w:val="en-GB" w:eastAsia="en-GB"/>
        </w:rPr>
        <w:t>ACTIVITIES</w:t>
      </w:r>
    </w:p>
    <w:p w14:paraId="48E18C01" w14:textId="69BEA038" w:rsidR="00577BC4" w:rsidRPr="00845FB7" w:rsidRDefault="000700A1"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Support Parties in better understanding the trade provisions, their interrelation with other </w:t>
      </w:r>
      <w:r w:rsidR="0073418E">
        <w:rPr>
          <w:rFonts w:cstheme="majorBidi"/>
          <w:szCs w:val="20"/>
          <w:lang w:val="en-GB" w:eastAsia="en-GB"/>
        </w:rPr>
        <w:t>A</w:t>
      </w:r>
      <w:r w:rsidRPr="00845FB7">
        <w:rPr>
          <w:rFonts w:cstheme="majorBidi"/>
          <w:szCs w:val="20"/>
          <w:lang w:val="en-GB" w:eastAsia="en-GB"/>
        </w:rPr>
        <w:t>rticles of the Convention, and the use of trade forms adopted by the Conference of the Parties</w:t>
      </w:r>
      <w:r w:rsidR="00D74D14" w:rsidRPr="00845FB7">
        <w:rPr>
          <w:rFonts w:cstheme="majorBidi"/>
          <w:szCs w:val="20"/>
          <w:lang w:val="en-GB" w:eastAsia="en-GB"/>
        </w:rPr>
        <w:t>, subject to availability of resources</w:t>
      </w:r>
      <w:r w:rsidRPr="00845FB7">
        <w:rPr>
          <w:rFonts w:cstheme="majorBidi"/>
          <w:szCs w:val="20"/>
          <w:lang w:val="en-GB" w:eastAsia="en-GB"/>
        </w:rPr>
        <w:t>;</w:t>
      </w:r>
    </w:p>
    <w:p w14:paraId="1A874554" w14:textId="349C714C" w:rsidR="00746DD9" w:rsidRPr="00845FB7" w:rsidRDefault="00746DD9" w:rsidP="1EA59BF7">
      <w:pPr>
        <w:pStyle w:val="ListParagraph"/>
        <w:numPr>
          <w:ilvl w:val="0"/>
          <w:numId w:val="3"/>
        </w:numPr>
        <w:spacing w:after="60"/>
        <w:rPr>
          <w:rFonts w:cstheme="majorBidi"/>
          <w:lang w:val="en-GB" w:eastAsia="en-GB"/>
        </w:rPr>
      </w:pPr>
      <w:r w:rsidRPr="00845FB7">
        <w:rPr>
          <w:rFonts w:cstheme="majorBidi"/>
          <w:lang w:val="en-GB" w:eastAsia="en-GB"/>
        </w:rPr>
        <w:t xml:space="preserve">Develop </w:t>
      </w:r>
      <w:r w:rsidRPr="00845FB7">
        <w:rPr>
          <w:rStyle w:val="normaltextrun"/>
          <w:color w:val="000000"/>
          <w:shd w:val="clear" w:color="auto" w:fill="FFFFFF"/>
          <w:lang w:val="en-GB"/>
        </w:rPr>
        <w:t>awareness raising activities about provisions of the Convention on allowed uses and sources of mercury</w:t>
      </w:r>
      <w:r w:rsidR="0019065C" w:rsidRPr="00845FB7">
        <w:rPr>
          <w:rStyle w:val="normaltextrun"/>
          <w:color w:val="000000"/>
          <w:shd w:val="clear" w:color="auto" w:fill="FFFFFF"/>
          <w:lang w:val="en-GB"/>
        </w:rPr>
        <w:t xml:space="preserve">, subject to </w:t>
      </w:r>
      <w:r w:rsidR="646B44EB" w:rsidRPr="00845FB7">
        <w:rPr>
          <w:rStyle w:val="normaltextrun"/>
          <w:color w:val="000000"/>
          <w:shd w:val="clear" w:color="auto" w:fill="FFFFFF"/>
          <w:lang w:val="en-GB"/>
        </w:rPr>
        <w:t>availability</w:t>
      </w:r>
      <w:r w:rsidR="0019065C" w:rsidRPr="00845FB7">
        <w:rPr>
          <w:rStyle w:val="normaltextrun"/>
          <w:color w:val="000000"/>
          <w:shd w:val="clear" w:color="auto" w:fill="FFFFFF"/>
          <w:lang w:val="en-GB"/>
        </w:rPr>
        <w:t xml:space="preserve"> of </w:t>
      </w:r>
      <w:r w:rsidR="00A470D7" w:rsidRPr="00845FB7">
        <w:rPr>
          <w:rStyle w:val="normaltextrun"/>
          <w:color w:val="000000"/>
          <w:shd w:val="clear" w:color="auto" w:fill="FFFFFF"/>
          <w:lang w:val="en-GB"/>
        </w:rPr>
        <w:t xml:space="preserve">resources; </w:t>
      </w:r>
    </w:p>
    <w:p w14:paraId="717D1064" w14:textId="0E4BCAE5"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 xml:space="preserve">Assist </w:t>
      </w:r>
      <w:r w:rsidR="00594ADD" w:rsidRPr="00845FB7">
        <w:rPr>
          <w:rFonts w:cstheme="majorBidi"/>
          <w:szCs w:val="20"/>
          <w:lang w:val="en-GB" w:eastAsia="en-GB"/>
        </w:rPr>
        <w:t>P</w:t>
      </w:r>
      <w:r w:rsidRPr="00845FB7">
        <w:rPr>
          <w:rFonts w:cstheme="majorBidi"/>
          <w:szCs w:val="20"/>
          <w:lang w:val="en-GB" w:eastAsia="en-GB"/>
        </w:rPr>
        <w:t xml:space="preserve">arties on request to implement trade-related </w:t>
      </w:r>
      <w:r w:rsidR="00C103F8" w:rsidRPr="00845FB7">
        <w:rPr>
          <w:rFonts w:cstheme="majorBidi"/>
          <w:szCs w:val="20"/>
          <w:lang w:val="en-GB" w:eastAsia="en-GB"/>
        </w:rPr>
        <w:t xml:space="preserve">provisions </w:t>
      </w:r>
      <w:r w:rsidRPr="00845FB7">
        <w:rPr>
          <w:rFonts w:cstheme="majorBidi"/>
          <w:szCs w:val="20"/>
          <w:lang w:val="en-GB" w:eastAsia="en-GB"/>
        </w:rPr>
        <w:t>under Article 3 of the Convention (staff costs only);</w:t>
      </w:r>
    </w:p>
    <w:p w14:paraId="79458B4A" w14:textId="69ACA49B" w:rsidR="0090367C" w:rsidRPr="00845FB7" w:rsidRDefault="0090367C"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Cooperate with other MEAs and partners (e.g. IMPEL, INECE, UNEP, REN WCO, GCI, INTERPOL) to prevent and combat mercury trade which is not compliant with the Convention (staff costs only).</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90367C" w:rsidRPr="00845FB7" w14:paraId="513B873C" w14:textId="77777777" w:rsidTr="1EA59BF7">
        <w:tc>
          <w:tcPr>
            <w:tcW w:w="4508" w:type="dxa"/>
          </w:tcPr>
          <w:p w14:paraId="48825230" w14:textId="0EACAD6E" w:rsidR="0090367C" w:rsidRPr="00845FB7" w:rsidRDefault="0090367C" w:rsidP="00BD36F8">
            <w:pPr>
              <w:spacing w:before="240" w:after="120"/>
              <w:ind w:left="363"/>
              <w:rPr>
                <w:rFonts w:cstheme="majorBidi"/>
                <w:b/>
                <w:bCs/>
                <w:szCs w:val="20"/>
                <w:lang w:val="en-GB" w:eastAsia="en-GB"/>
              </w:rPr>
            </w:pPr>
            <w:r w:rsidRPr="00845FB7">
              <w:rPr>
                <w:rFonts w:cstheme="majorBidi"/>
                <w:b/>
                <w:bCs/>
                <w:szCs w:val="20"/>
                <w:lang w:val="en-GB" w:eastAsia="en-GB"/>
              </w:rPr>
              <w:t>INDICATORS OF ACHIEVEMENT</w:t>
            </w:r>
          </w:p>
          <w:p w14:paraId="4A97D2E1" w14:textId="77777777" w:rsidR="0090367C" w:rsidRPr="00845FB7" w:rsidRDefault="0090367C" w:rsidP="1EA59BF7">
            <w:pPr>
              <w:pStyle w:val="ListParagraph"/>
              <w:numPr>
                <w:ilvl w:val="0"/>
                <w:numId w:val="5"/>
              </w:numPr>
              <w:spacing w:after="60"/>
              <w:rPr>
                <w:rFonts w:cstheme="majorBidi"/>
                <w:lang w:val="en-GB" w:eastAsia="en-GB"/>
              </w:rPr>
            </w:pPr>
            <w:r w:rsidRPr="00845FB7">
              <w:rPr>
                <w:rFonts w:cstheme="majorBidi"/>
                <w:lang w:val="en-GB" w:eastAsia="en-GB"/>
              </w:rPr>
              <w:t>Parties’ requests for assistance in using trade related forms under Article 3 are dealt with to their satisfaction;</w:t>
            </w:r>
          </w:p>
          <w:p w14:paraId="28650C0F" w14:textId="03D34440" w:rsidR="00E305F0" w:rsidRPr="00845FB7" w:rsidRDefault="153FB8D7" w:rsidP="1EA59BF7">
            <w:pPr>
              <w:pStyle w:val="ListParagraph"/>
              <w:numPr>
                <w:ilvl w:val="0"/>
                <w:numId w:val="5"/>
              </w:numPr>
              <w:spacing w:after="60"/>
              <w:rPr>
                <w:rFonts w:ascii="Arial" w:eastAsia="Arial" w:hAnsi="Arial" w:cs="Arial"/>
                <w:b/>
                <w:bCs/>
                <w:color w:val="881798"/>
                <w:szCs w:val="20"/>
                <w:lang w:val="en-GB"/>
              </w:rPr>
            </w:pPr>
            <w:r w:rsidRPr="00845FB7">
              <w:rPr>
                <w:rFonts w:cstheme="majorBidi"/>
                <w:lang w:val="en-GB" w:eastAsia="en-GB"/>
              </w:rPr>
              <w:t>A report on challenges to the implementation of the trade-related obligations under Article 3 and experiences in addressing these challenges by Parties is prepared for consideration by COP.</w:t>
            </w:r>
          </w:p>
          <w:p w14:paraId="3D81DA9B" w14:textId="7AF69FE6" w:rsidR="0090367C" w:rsidRPr="00845FB7" w:rsidRDefault="0090367C"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 xml:space="preserve">Participation in at least 2 </w:t>
            </w:r>
            <w:r w:rsidR="002B40E4" w:rsidRPr="00845FB7">
              <w:rPr>
                <w:rFonts w:cstheme="majorBidi"/>
                <w:szCs w:val="20"/>
                <w:lang w:val="en-GB" w:eastAsia="en-GB"/>
              </w:rPr>
              <w:t>activities organized</w:t>
            </w:r>
            <w:r w:rsidRPr="00845FB7">
              <w:rPr>
                <w:rFonts w:cstheme="majorBidi"/>
                <w:szCs w:val="20"/>
                <w:lang w:val="en-GB" w:eastAsia="en-GB"/>
              </w:rPr>
              <w:t xml:space="preserve"> by or in cooperation with other MEAs and partners.</w:t>
            </w:r>
          </w:p>
        </w:tc>
        <w:tc>
          <w:tcPr>
            <w:tcW w:w="4508" w:type="dxa"/>
          </w:tcPr>
          <w:p w14:paraId="1DBED780" w14:textId="46DF48A0" w:rsidR="0090367C" w:rsidRPr="00845FB7" w:rsidRDefault="0090367C" w:rsidP="00BD36F8">
            <w:pPr>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3D5E12DB" w14:textId="0CB37E33" w:rsidR="0090367C" w:rsidRPr="00845FB7" w:rsidRDefault="0090367C"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Feedback from </w:t>
            </w:r>
            <w:r w:rsidR="00F0422D" w:rsidRPr="00845FB7">
              <w:rPr>
                <w:rFonts w:cstheme="majorBidi"/>
                <w:szCs w:val="20"/>
                <w:lang w:val="en-GB" w:eastAsia="en-GB"/>
              </w:rPr>
              <w:t>P</w:t>
            </w:r>
            <w:r w:rsidRPr="00845FB7">
              <w:rPr>
                <w:rFonts w:cstheme="majorBidi"/>
                <w:szCs w:val="20"/>
                <w:lang w:val="en-GB" w:eastAsia="en-GB"/>
              </w:rPr>
              <w:t xml:space="preserve">arties and other stakeholders; </w:t>
            </w:r>
          </w:p>
          <w:p w14:paraId="5D062EBA" w14:textId="77777777" w:rsidR="0090367C" w:rsidRPr="00845FB7" w:rsidRDefault="0090367C"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Report to the COP.</w:t>
            </w:r>
          </w:p>
        </w:tc>
      </w:tr>
    </w:tbl>
    <w:p w14:paraId="73BFF7B0" w14:textId="0381C3F2" w:rsidR="0090367C" w:rsidRPr="00845FB7" w:rsidRDefault="0090367C" w:rsidP="00F83634">
      <w:pPr>
        <w:pStyle w:val="Heading2"/>
        <w:keepNext/>
        <w:spacing w:before="360" w:after="120"/>
        <w:rPr>
          <w:sz w:val="28"/>
          <w:szCs w:val="28"/>
          <w:lang w:val="en-GB"/>
        </w:rPr>
      </w:pPr>
      <w:r w:rsidRPr="00845FB7">
        <w:rPr>
          <w:sz w:val="28"/>
          <w:szCs w:val="28"/>
          <w:lang w:val="en-GB"/>
        </w:rPr>
        <w:lastRenderedPageBreak/>
        <w:t>Component 1</w:t>
      </w:r>
      <w:r w:rsidR="00473826" w:rsidRPr="00845FB7">
        <w:rPr>
          <w:sz w:val="28"/>
          <w:szCs w:val="28"/>
          <w:lang w:val="en-GB"/>
        </w:rPr>
        <w:t>4</w:t>
      </w:r>
      <w:r w:rsidRPr="00845FB7">
        <w:rPr>
          <w:sz w:val="28"/>
          <w:szCs w:val="28"/>
          <w:lang w:val="en-GB"/>
        </w:rPr>
        <w:t xml:space="preserve">.4. </w:t>
      </w:r>
      <w:r w:rsidR="48924E8E" w:rsidRPr="00845FB7">
        <w:rPr>
          <w:sz w:val="28"/>
          <w:szCs w:val="28"/>
          <w:lang w:val="en-GB"/>
        </w:rPr>
        <w:t xml:space="preserve">Addressing the needs of groups vulnerable </w:t>
      </w:r>
      <w:r w:rsidR="00AF61A1">
        <w:rPr>
          <w:sz w:val="28"/>
          <w:szCs w:val="28"/>
          <w:lang w:val="en-GB"/>
        </w:rPr>
        <w:t>to mercury exposure</w:t>
      </w:r>
    </w:p>
    <w:p w14:paraId="268E148C" w14:textId="77777777" w:rsidR="0090367C" w:rsidRPr="00845FB7" w:rsidRDefault="0090367C" w:rsidP="00F83634">
      <w:pPr>
        <w:keepNext/>
        <w:spacing w:before="240"/>
        <w:rPr>
          <w:rFonts w:cstheme="majorBidi"/>
          <w:b/>
          <w:bCs/>
          <w:szCs w:val="20"/>
          <w:lang w:val="en-GB" w:eastAsia="en-GB"/>
        </w:rPr>
      </w:pPr>
      <w:r w:rsidRPr="00845FB7">
        <w:rPr>
          <w:rFonts w:cstheme="majorBidi"/>
          <w:b/>
          <w:bCs/>
          <w:szCs w:val="20"/>
          <w:lang w:val="en-GB" w:eastAsia="en-GB"/>
        </w:rPr>
        <w:t>OUTCOMES</w:t>
      </w:r>
    </w:p>
    <w:p w14:paraId="33B71135" w14:textId="55EC19E1" w:rsidR="0090367C" w:rsidRPr="00845FB7" w:rsidRDefault="0090367C" w:rsidP="00F83634">
      <w:pPr>
        <w:keepNext/>
        <w:spacing w:after="60"/>
        <w:rPr>
          <w:rFonts w:cstheme="majorBidi"/>
          <w:lang w:val="en-GB" w:eastAsia="en-GB"/>
        </w:rPr>
      </w:pPr>
      <w:r w:rsidRPr="00845FB7">
        <w:rPr>
          <w:rFonts w:cstheme="majorBidi"/>
          <w:lang w:val="en-GB" w:eastAsia="en-GB"/>
        </w:rPr>
        <w:t xml:space="preserve">Strengthened ability to </w:t>
      </w:r>
      <w:r w:rsidR="32A7353A" w:rsidRPr="00845FB7">
        <w:rPr>
          <w:rFonts w:cstheme="majorBidi"/>
          <w:lang w:val="en-GB" w:eastAsia="en-GB"/>
        </w:rPr>
        <w:t xml:space="preserve">address the needs of groups in vulnerable </w:t>
      </w:r>
      <w:r w:rsidR="002B40E4" w:rsidRPr="00845FB7">
        <w:rPr>
          <w:rFonts w:cstheme="majorBidi"/>
          <w:lang w:val="en-GB" w:eastAsia="en-GB"/>
        </w:rPr>
        <w:t>situations in</w:t>
      </w:r>
      <w:r w:rsidRPr="00845FB7">
        <w:rPr>
          <w:rFonts w:cstheme="majorBidi"/>
          <w:lang w:val="en-GB" w:eastAsia="en-GB"/>
        </w:rPr>
        <w:t xml:space="preserve"> the programme of work of the Minamata Convention.</w:t>
      </w:r>
    </w:p>
    <w:p w14:paraId="44CC547E" w14:textId="5944C4BE" w:rsidR="23E8AED2" w:rsidRPr="00845FB7" w:rsidRDefault="23E8AED2" w:rsidP="00F83634">
      <w:pPr>
        <w:spacing w:before="240" w:after="120"/>
        <w:rPr>
          <w:rFonts w:cstheme="majorBidi"/>
          <w:lang w:val="en-GB" w:eastAsia="en-GB"/>
        </w:rPr>
      </w:pPr>
      <w:r w:rsidRPr="00845FB7">
        <w:rPr>
          <w:rFonts w:cstheme="majorBidi"/>
          <w:b/>
          <w:bCs/>
          <w:lang w:val="en-GB" w:eastAsia="en-GB"/>
        </w:rPr>
        <w:t>ACTIVITIES ON I</w:t>
      </w:r>
      <w:r w:rsidR="1B86D2C3" w:rsidRPr="00845FB7">
        <w:rPr>
          <w:rFonts w:cstheme="majorBidi"/>
          <w:b/>
          <w:bCs/>
          <w:lang w:val="en-GB" w:eastAsia="en-GB"/>
        </w:rPr>
        <w:t>NDI</w:t>
      </w:r>
      <w:r w:rsidRPr="00845FB7">
        <w:rPr>
          <w:rFonts w:cstheme="majorBidi"/>
          <w:b/>
          <w:bCs/>
          <w:lang w:val="en-GB" w:eastAsia="en-GB"/>
        </w:rPr>
        <w:t xml:space="preserve">GENOUS PEOPLES AND </w:t>
      </w:r>
      <w:r w:rsidR="00D17B21">
        <w:rPr>
          <w:rFonts w:cstheme="majorBidi"/>
          <w:b/>
          <w:bCs/>
          <w:lang w:val="en-GB" w:eastAsia="en-GB"/>
        </w:rPr>
        <w:t xml:space="preserve">ON </w:t>
      </w:r>
      <w:r w:rsidRPr="00845FB7">
        <w:rPr>
          <w:rFonts w:cstheme="majorBidi"/>
          <w:b/>
          <w:bCs/>
          <w:lang w:val="en-GB" w:eastAsia="en-GB"/>
        </w:rPr>
        <w:t>LOCAL COMMUNITIES</w:t>
      </w:r>
      <w:r w:rsidRPr="00845FB7">
        <w:rPr>
          <w:rFonts w:cstheme="majorBidi"/>
          <w:lang w:val="en-GB" w:eastAsia="en-GB"/>
        </w:rPr>
        <w:t xml:space="preserve"> </w:t>
      </w:r>
    </w:p>
    <w:p w14:paraId="6B98466F" w14:textId="4E473E28" w:rsidR="004D4903" w:rsidRDefault="004D4903" w:rsidP="004D4903">
      <w:pPr>
        <w:pStyle w:val="ListParagraph"/>
        <w:numPr>
          <w:ilvl w:val="0"/>
          <w:numId w:val="1"/>
        </w:numPr>
        <w:spacing w:after="60"/>
        <w:contextualSpacing w:val="0"/>
        <w:rPr>
          <w:rFonts w:cstheme="majorBidi"/>
          <w:szCs w:val="20"/>
        </w:rPr>
      </w:pPr>
      <w:r>
        <w:rPr>
          <w:rFonts w:cstheme="majorBidi"/>
          <w:szCs w:val="20"/>
        </w:rPr>
        <w:t>Review best practices i</w:t>
      </w:r>
      <w:r w:rsidRPr="00307526">
        <w:rPr>
          <w:rFonts w:cstheme="majorBidi"/>
          <w:szCs w:val="20"/>
        </w:rPr>
        <w:t xml:space="preserve">n </w:t>
      </w:r>
      <w:r>
        <w:rPr>
          <w:rFonts w:cstheme="majorBidi"/>
          <w:szCs w:val="20"/>
        </w:rPr>
        <w:t xml:space="preserve">the </w:t>
      </w:r>
      <w:r w:rsidRPr="00307526">
        <w:rPr>
          <w:rFonts w:cstheme="majorBidi"/>
          <w:szCs w:val="20"/>
        </w:rPr>
        <w:t xml:space="preserve">effective engagement and participation of </w:t>
      </w:r>
      <w:r>
        <w:rPr>
          <w:rFonts w:cstheme="majorBidi"/>
          <w:szCs w:val="20"/>
        </w:rPr>
        <w:t>I</w:t>
      </w:r>
      <w:r w:rsidRPr="00307526">
        <w:rPr>
          <w:rFonts w:cstheme="majorBidi"/>
          <w:szCs w:val="20"/>
        </w:rPr>
        <w:t xml:space="preserve">ndigenous </w:t>
      </w:r>
      <w:r>
        <w:rPr>
          <w:rFonts w:cstheme="majorBidi"/>
          <w:szCs w:val="20"/>
        </w:rPr>
        <w:t>P</w:t>
      </w:r>
      <w:r w:rsidRPr="00307526">
        <w:rPr>
          <w:rFonts w:cstheme="majorBidi"/>
          <w:szCs w:val="20"/>
        </w:rPr>
        <w:t>eoples, local communities</w:t>
      </w:r>
      <w:r>
        <w:rPr>
          <w:rFonts w:cstheme="majorBidi"/>
          <w:szCs w:val="20"/>
        </w:rPr>
        <w:t xml:space="preserve"> </w:t>
      </w:r>
      <w:r w:rsidRPr="00307526">
        <w:rPr>
          <w:rFonts w:cstheme="majorBidi"/>
          <w:szCs w:val="20"/>
        </w:rPr>
        <w:t>and other stakeholders</w:t>
      </w:r>
      <w:r>
        <w:rPr>
          <w:rFonts w:cstheme="majorBidi"/>
          <w:szCs w:val="20"/>
        </w:rPr>
        <w:t xml:space="preserve"> in the </w:t>
      </w:r>
      <w:r>
        <w:rPr>
          <w:rStyle w:val="normaltextrun"/>
          <w:szCs w:val="20"/>
          <w:lang w:val="en-GB"/>
        </w:rPr>
        <w:t>development, implementation and review o</w:t>
      </w:r>
      <w:r w:rsidR="00C84F88">
        <w:rPr>
          <w:rStyle w:val="normaltextrun"/>
          <w:szCs w:val="20"/>
          <w:lang w:val="en-GB"/>
        </w:rPr>
        <w:t xml:space="preserve">f ASGM </w:t>
      </w:r>
      <w:r>
        <w:rPr>
          <w:rStyle w:val="normaltextrun"/>
          <w:szCs w:val="20"/>
          <w:lang w:val="en-GB"/>
        </w:rPr>
        <w:t>NAPs</w:t>
      </w:r>
      <w:r>
        <w:rPr>
          <w:rFonts w:cstheme="majorBidi"/>
          <w:szCs w:val="20"/>
        </w:rPr>
        <w:t>.</w:t>
      </w:r>
    </w:p>
    <w:p w14:paraId="09FCB7AC" w14:textId="05012E6A" w:rsidR="17504AAD" w:rsidRPr="00845FB7" w:rsidRDefault="00C86DE1" w:rsidP="006C6BA4">
      <w:pPr>
        <w:pStyle w:val="ListParagraph"/>
        <w:numPr>
          <w:ilvl w:val="0"/>
          <w:numId w:val="1"/>
        </w:numPr>
        <w:spacing w:after="60"/>
        <w:rPr>
          <w:lang w:val="en-GB"/>
        </w:rPr>
      </w:pPr>
      <w:r>
        <w:rPr>
          <w:rFonts w:cstheme="majorBidi"/>
          <w:szCs w:val="20"/>
          <w:lang w:val="en-GB" w:eastAsia="en-GB"/>
        </w:rPr>
        <w:t>C</w:t>
      </w:r>
      <w:r w:rsidR="00C456B8">
        <w:rPr>
          <w:rFonts w:cstheme="majorBidi"/>
          <w:szCs w:val="20"/>
          <w:lang w:val="en-GB" w:eastAsia="en-GB"/>
        </w:rPr>
        <w:t>ollaborate with relevant entities</w:t>
      </w:r>
      <w:r w:rsidR="005B7860">
        <w:rPr>
          <w:rFonts w:cstheme="majorBidi"/>
          <w:szCs w:val="20"/>
          <w:lang w:val="en-GB" w:eastAsia="en-GB"/>
        </w:rPr>
        <w:t xml:space="preserve"> to organize</w:t>
      </w:r>
      <w:r w:rsidR="00C456B8">
        <w:rPr>
          <w:rFonts w:cstheme="majorBidi"/>
          <w:szCs w:val="20"/>
          <w:lang w:val="en-GB" w:eastAsia="en-GB"/>
        </w:rPr>
        <w:t xml:space="preserve"> </w:t>
      </w:r>
      <w:r w:rsidR="604C899F" w:rsidRPr="00845FB7">
        <w:rPr>
          <w:rFonts w:cstheme="majorBidi"/>
          <w:szCs w:val="20"/>
          <w:lang w:val="en-GB" w:eastAsia="en-GB"/>
        </w:rPr>
        <w:t>capacity-building or information</w:t>
      </w:r>
      <w:r w:rsidR="17504AAD" w:rsidRPr="00845FB7">
        <w:rPr>
          <w:rFonts w:cstheme="majorBidi"/>
          <w:szCs w:val="20"/>
          <w:lang w:val="en-GB" w:eastAsia="en-GB"/>
        </w:rPr>
        <w:t xml:space="preserve"> workshops for Parties, Indigenous Peoples, as well as local communities </w:t>
      </w:r>
      <w:r w:rsidR="02BACAC6" w:rsidRPr="00845FB7">
        <w:rPr>
          <w:rFonts w:cstheme="majorBidi"/>
          <w:szCs w:val="20"/>
          <w:lang w:val="en-GB" w:eastAsia="en-GB"/>
        </w:rPr>
        <w:t>on</w:t>
      </w:r>
      <w:r w:rsidR="00272B80">
        <w:rPr>
          <w:rFonts w:cstheme="majorBidi"/>
          <w:szCs w:val="20"/>
          <w:lang w:val="en-GB" w:eastAsia="en-GB"/>
        </w:rPr>
        <w:t xml:space="preserve"> </w:t>
      </w:r>
      <w:r w:rsidR="005B7860" w:rsidRPr="006C6BA4">
        <w:rPr>
          <w:rFonts w:cstheme="majorBidi"/>
          <w:szCs w:val="20"/>
          <w:lang w:val="en-GB" w:eastAsia="en-GB"/>
        </w:rPr>
        <w:t>ensuring</w:t>
      </w:r>
      <w:r w:rsidR="00272B80" w:rsidRPr="006C6BA4">
        <w:rPr>
          <w:rFonts w:cstheme="majorBidi"/>
          <w:szCs w:val="20"/>
          <w:lang w:val="en-GB" w:eastAsia="en-GB"/>
        </w:rPr>
        <w:t xml:space="preserve"> </w:t>
      </w:r>
      <w:r w:rsidR="00C32408" w:rsidRPr="006C6BA4">
        <w:rPr>
          <w:rFonts w:eastAsia="Calibri" w:cs="Calibri"/>
          <w:color w:val="000000" w:themeColor="text1"/>
          <w:szCs w:val="20"/>
          <w:lang w:val="en-GB"/>
        </w:rPr>
        <w:t>effective engagement and participation of Indigenous Peoples and of local communities in the development</w:t>
      </w:r>
      <w:r w:rsidR="00207CAE" w:rsidRPr="006C6BA4">
        <w:rPr>
          <w:rFonts w:eastAsia="Calibri" w:cs="Calibri"/>
          <w:color w:val="000000" w:themeColor="text1"/>
          <w:szCs w:val="20"/>
          <w:lang w:val="en-GB"/>
        </w:rPr>
        <w:t xml:space="preserve">, </w:t>
      </w:r>
      <w:r w:rsidR="00C32408" w:rsidRPr="006C6BA4">
        <w:rPr>
          <w:rFonts w:eastAsia="Calibri" w:cs="Calibri"/>
          <w:color w:val="000000" w:themeColor="text1"/>
          <w:szCs w:val="20"/>
          <w:lang w:val="en-GB"/>
        </w:rPr>
        <w:t>implementation</w:t>
      </w:r>
      <w:r w:rsidR="00207CAE">
        <w:rPr>
          <w:rFonts w:eastAsia="Calibri" w:cs="Calibri"/>
          <w:color w:val="000000" w:themeColor="text1"/>
          <w:szCs w:val="20"/>
          <w:lang w:val="en-GB"/>
        </w:rPr>
        <w:t>, and reviews of</w:t>
      </w:r>
      <w:r w:rsidR="00C84F88">
        <w:rPr>
          <w:rFonts w:eastAsia="Calibri" w:cs="Calibri"/>
          <w:color w:val="000000" w:themeColor="text1"/>
          <w:szCs w:val="20"/>
          <w:lang w:val="en-GB"/>
        </w:rPr>
        <w:t xml:space="preserve"> ASGM NAPs</w:t>
      </w:r>
      <w:r w:rsidR="00207CAE">
        <w:rPr>
          <w:rFonts w:eastAsia="Calibri" w:cs="Calibri"/>
          <w:color w:val="000000" w:themeColor="text1"/>
          <w:szCs w:val="20"/>
          <w:lang w:val="en-GB"/>
        </w:rPr>
        <w:t>.</w:t>
      </w:r>
    </w:p>
    <w:p w14:paraId="4107E2A7" w14:textId="2B20DA57" w:rsidR="360E8315" w:rsidRPr="0073418E" w:rsidRDefault="004C73AD" w:rsidP="75111F23">
      <w:pPr>
        <w:pStyle w:val="ListParagraph"/>
        <w:numPr>
          <w:ilvl w:val="0"/>
          <w:numId w:val="1"/>
        </w:numPr>
        <w:spacing w:after="60"/>
        <w:rPr>
          <w:rFonts w:cstheme="majorBidi"/>
          <w:szCs w:val="20"/>
          <w:lang w:val="en-GB" w:eastAsia="en-GB"/>
        </w:rPr>
      </w:pPr>
      <w:r>
        <w:rPr>
          <w:rFonts w:cstheme="majorBidi"/>
          <w:szCs w:val="20"/>
          <w:lang w:val="en-GB" w:eastAsia="en-GB"/>
        </w:rPr>
        <w:t xml:space="preserve">Enhance </w:t>
      </w:r>
      <w:r w:rsidR="00A677C7">
        <w:rPr>
          <w:rFonts w:cstheme="majorBidi"/>
          <w:szCs w:val="20"/>
          <w:lang w:val="en-GB" w:eastAsia="en-GB"/>
        </w:rPr>
        <w:t xml:space="preserve">the </w:t>
      </w:r>
      <w:r w:rsidR="360E8315" w:rsidRPr="00845FB7">
        <w:rPr>
          <w:rFonts w:cstheme="majorBidi"/>
          <w:szCs w:val="20"/>
          <w:lang w:val="en-GB" w:eastAsia="en-GB"/>
        </w:rPr>
        <w:t>I</w:t>
      </w:r>
      <w:r w:rsidR="77F4FC55" w:rsidRPr="00845FB7">
        <w:rPr>
          <w:rFonts w:cstheme="majorBidi"/>
          <w:szCs w:val="20"/>
          <w:lang w:val="en-GB" w:eastAsia="en-GB"/>
        </w:rPr>
        <w:t xml:space="preserve">ndigenous </w:t>
      </w:r>
      <w:r w:rsidR="360E8315" w:rsidRPr="00845FB7">
        <w:rPr>
          <w:rFonts w:cstheme="majorBidi"/>
          <w:szCs w:val="20"/>
          <w:lang w:val="en-GB" w:eastAsia="en-GB"/>
        </w:rPr>
        <w:t>P</w:t>
      </w:r>
      <w:r w:rsidR="3B709D44" w:rsidRPr="00845FB7">
        <w:rPr>
          <w:rFonts w:cstheme="majorBidi"/>
          <w:szCs w:val="20"/>
          <w:lang w:val="en-GB" w:eastAsia="en-GB"/>
        </w:rPr>
        <w:t>eoples</w:t>
      </w:r>
      <w:r w:rsidR="360E8315" w:rsidRPr="00845FB7">
        <w:rPr>
          <w:rFonts w:cstheme="majorBidi"/>
          <w:szCs w:val="20"/>
          <w:lang w:val="en-GB" w:eastAsia="en-GB"/>
        </w:rPr>
        <w:t xml:space="preserve"> </w:t>
      </w:r>
      <w:r w:rsidR="00B0338A" w:rsidRPr="00845FB7">
        <w:rPr>
          <w:rFonts w:cstheme="majorBidi"/>
          <w:szCs w:val="20"/>
          <w:lang w:val="en-GB" w:eastAsia="en-GB"/>
        </w:rPr>
        <w:t>P</w:t>
      </w:r>
      <w:r w:rsidR="360E8315" w:rsidRPr="00845FB7">
        <w:rPr>
          <w:rFonts w:cstheme="majorBidi"/>
          <w:szCs w:val="20"/>
          <w:lang w:val="en-GB" w:eastAsia="en-GB"/>
        </w:rPr>
        <w:t>latform</w:t>
      </w:r>
      <w:r w:rsidR="00A677C7">
        <w:rPr>
          <w:rFonts w:cstheme="majorBidi"/>
          <w:szCs w:val="20"/>
          <w:lang w:val="en-GB" w:eastAsia="en-GB"/>
        </w:rPr>
        <w:t xml:space="preserve"> to i</w:t>
      </w:r>
      <w:r w:rsidR="00281E09">
        <w:rPr>
          <w:rFonts w:cstheme="majorBidi"/>
          <w:szCs w:val="20"/>
          <w:lang w:val="en-GB" w:eastAsia="en-GB"/>
        </w:rPr>
        <w:t xml:space="preserve">mprove access and </w:t>
      </w:r>
      <w:r w:rsidR="005761E7">
        <w:rPr>
          <w:rFonts w:cstheme="majorBidi"/>
          <w:szCs w:val="20"/>
          <w:lang w:val="en-GB" w:eastAsia="en-GB"/>
        </w:rPr>
        <w:t xml:space="preserve">usability </w:t>
      </w:r>
      <w:r w:rsidR="00546548">
        <w:rPr>
          <w:rFonts w:cstheme="majorBidi"/>
          <w:szCs w:val="20"/>
          <w:lang w:val="en-GB" w:eastAsia="en-GB"/>
        </w:rPr>
        <w:t xml:space="preserve">by Indigenous </w:t>
      </w:r>
      <w:r w:rsidR="005761E7">
        <w:rPr>
          <w:rFonts w:cstheme="majorBidi"/>
          <w:szCs w:val="20"/>
          <w:lang w:val="en-GB" w:eastAsia="en-GB"/>
        </w:rPr>
        <w:t>contribut</w:t>
      </w:r>
      <w:r w:rsidR="00546548">
        <w:rPr>
          <w:rFonts w:cstheme="majorBidi"/>
          <w:szCs w:val="20"/>
          <w:lang w:val="en-GB" w:eastAsia="en-GB"/>
        </w:rPr>
        <w:t>ors</w:t>
      </w:r>
      <w:r w:rsidR="005761E7">
        <w:rPr>
          <w:rFonts w:cstheme="majorBidi"/>
          <w:szCs w:val="20"/>
          <w:lang w:val="en-GB" w:eastAsia="en-GB"/>
        </w:rPr>
        <w:t xml:space="preserve"> </w:t>
      </w:r>
      <w:r w:rsidR="001A1A3B">
        <w:rPr>
          <w:rFonts w:cstheme="majorBidi"/>
          <w:szCs w:val="20"/>
          <w:lang w:val="en-GB" w:eastAsia="en-GB"/>
        </w:rPr>
        <w:t>to improve</w:t>
      </w:r>
      <w:r w:rsidR="005761E7">
        <w:rPr>
          <w:rFonts w:cstheme="majorBidi"/>
          <w:szCs w:val="20"/>
          <w:lang w:val="en-GB" w:eastAsia="en-GB"/>
        </w:rPr>
        <w:t xml:space="preserve"> dissemination</w:t>
      </w:r>
      <w:r w:rsidR="00907F02">
        <w:rPr>
          <w:rFonts w:cstheme="majorBidi"/>
          <w:szCs w:val="20"/>
          <w:lang w:val="en-GB" w:eastAsia="en-GB"/>
        </w:rPr>
        <w:t xml:space="preserve"> of</w:t>
      </w:r>
      <w:r w:rsidR="005761E7">
        <w:rPr>
          <w:rFonts w:cstheme="majorBidi"/>
          <w:szCs w:val="20"/>
          <w:lang w:val="en-GB" w:eastAsia="en-GB"/>
        </w:rPr>
        <w:t xml:space="preserve"> information</w:t>
      </w:r>
      <w:r w:rsidR="002A4589">
        <w:rPr>
          <w:rFonts w:cstheme="majorBidi"/>
          <w:szCs w:val="20"/>
          <w:lang w:val="en-GB" w:eastAsia="en-GB"/>
        </w:rPr>
        <w:t xml:space="preserve"> on mercury related </w:t>
      </w:r>
      <w:r w:rsidR="00421D48">
        <w:rPr>
          <w:rFonts w:cstheme="majorBidi"/>
          <w:szCs w:val="20"/>
          <w:lang w:val="en-GB" w:eastAsia="en-GB"/>
        </w:rPr>
        <w:t xml:space="preserve">and Indigenous </w:t>
      </w:r>
      <w:proofErr w:type="gramStart"/>
      <w:r w:rsidR="00421D48">
        <w:rPr>
          <w:rFonts w:cstheme="majorBidi"/>
          <w:szCs w:val="20"/>
          <w:lang w:val="en-GB" w:eastAsia="en-GB"/>
        </w:rPr>
        <w:t>led-</w:t>
      </w:r>
      <w:r w:rsidR="00DD24E8" w:rsidRPr="0073418E">
        <w:rPr>
          <w:rFonts w:cstheme="majorBidi"/>
          <w:szCs w:val="20"/>
          <w:lang w:val="en-GB" w:eastAsia="en-GB"/>
        </w:rPr>
        <w:t>activities</w:t>
      </w:r>
      <w:proofErr w:type="gramEnd"/>
      <w:r w:rsidR="00DD24E8" w:rsidRPr="0073418E">
        <w:rPr>
          <w:rFonts w:cstheme="majorBidi"/>
          <w:szCs w:val="20"/>
          <w:lang w:val="en-GB" w:eastAsia="en-GB"/>
        </w:rPr>
        <w:t xml:space="preserve"> </w:t>
      </w:r>
      <w:r w:rsidR="00B62CA0" w:rsidRPr="0073418E">
        <w:rPr>
          <w:rFonts w:cstheme="majorBidi"/>
          <w:szCs w:val="20"/>
          <w:lang w:val="en-GB" w:eastAsia="en-GB"/>
        </w:rPr>
        <w:t>addressing mercury pollution.</w:t>
      </w:r>
      <w:r w:rsidR="00DD24E8" w:rsidRPr="0073418E">
        <w:rPr>
          <w:rFonts w:cstheme="majorBidi"/>
          <w:szCs w:val="20"/>
          <w:lang w:val="en-GB" w:eastAsia="en-GB"/>
        </w:rPr>
        <w:t xml:space="preserve"> </w:t>
      </w:r>
      <w:r w:rsidR="00A677C7" w:rsidRPr="0073418E">
        <w:rPr>
          <w:rFonts w:cstheme="majorBidi"/>
          <w:szCs w:val="20"/>
          <w:lang w:val="en-GB" w:eastAsia="en-GB"/>
        </w:rPr>
        <w:t>…</w:t>
      </w:r>
    </w:p>
    <w:p w14:paraId="5400240D" w14:textId="356FA46D" w:rsidR="002B40E4" w:rsidRPr="00AA456A" w:rsidRDefault="005212DC" w:rsidP="00AA456A">
      <w:pPr>
        <w:pStyle w:val="ListParagraph"/>
        <w:numPr>
          <w:ilvl w:val="0"/>
          <w:numId w:val="1"/>
        </w:numPr>
        <w:spacing w:after="60"/>
        <w:rPr>
          <w:rFonts w:cstheme="majorBidi"/>
          <w:szCs w:val="20"/>
          <w:lang w:val="en-GB" w:eastAsia="en-GB"/>
        </w:rPr>
      </w:pPr>
      <w:r w:rsidRPr="006C6BA4">
        <w:rPr>
          <w:rFonts w:cstheme="majorBidi"/>
          <w:szCs w:val="20"/>
          <w:lang w:val="en-GB" w:eastAsia="en-GB"/>
        </w:rPr>
        <w:t>S</w:t>
      </w:r>
      <w:r w:rsidR="53BF5439" w:rsidRPr="006C6BA4">
        <w:rPr>
          <w:rFonts w:cstheme="majorBidi"/>
          <w:szCs w:val="20"/>
          <w:lang w:val="en-GB" w:eastAsia="en-GB"/>
        </w:rPr>
        <w:t>olicit</w:t>
      </w:r>
      <w:r w:rsidRPr="006C6BA4">
        <w:rPr>
          <w:color w:val="D13438"/>
          <w:szCs w:val="20"/>
          <w:shd w:val="clear" w:color="auto" w:fill="FFFFFF"/>
        </w:rPr>
        <w:t xml:space="preserve"> </w:t>
      </w:r>
      <w:r w:rsidRPr="006C6BA4">
        <w:rPr>
          <w:rFonts w:cstheme="majorBidi"/>
          <w:szCs w:val="20"/>
          <w:lang w:eastAsia="en-GB"/>
        </w:rPr>
        <w:t xml:space="preserve">financial and technical support, including travel assistance, to facilitate the meaningful participation of Indigenous Peoples and of local communities in the meetings of the Conference of the Parties and its subsidiary bodies, </w:t>
      </w:r>
      <w:r w:rsidRPr="006C6BA4">
        <w:rPr>
          <w:rFonts w:cstheme="majorBidi"/>
          <w:szCs w:val="20"/>
          <w:lang w:val="en-GB" w:eastAsia="en-GB"/>
        </w:rPr>
        <w:t>particularly those from developing countries and regions disproportionately impacted by mercury pollution</w:t>
      </w:r>
      <w:r w:rsidRPr="006C6BA4">
        <w:rPr>
          <w:rFonts w:cstheme="majorBidi"/>
          <w:szCs w:val="20"/>
          <w:lang w:eastAsia="en-GB"/>
        </w:rPr>
        <w:t>.</w:t>
      </w:r>
    </w:p>
    <w:p w14:paraId="111BE9A3" w14:textId="5DA9BE8E" w:rsidR="0090367C" w:rsidRPr="00845FB7" w:rsidRDefault="0090367C" w:rsidP="00F83634">
      <w:pPr>
        <w:spacing w:before="240" w:after="120"/>
        <w:rPr>
          <w:rFonts w:cstheme="majorBidi"/>
          <w:b/>
          <w:bCs/>
          <w:lang w:val="en-GB" w:eastAsia="en-GB"/>
        </w:rPr>
      </w:pPr>
      <w:r w:rsidRPr="00845FB7">
        <w:rPr>
          <w:rFonts w:cstheme="majorBidi"/>
          <w:b/>
          <w:bCs/>
          <w:lang w:val="en-GB" w:eastAsia="en-GB"/>
        </w:rPr>
        <w:t xml:space="preserve">ACTIVITIES </w:t>
      </w:r>
      <w:r w:rsidR="17353977" w:rsidRPr="00845FB7">
        <w:rPr>
          <w:rFonts w:cstheme="majorBidi"/>
          <w:b/>
          <w:bCs/>
          <w:lang w:val="en-GB" w:eastAsia="en-GB"/>
        </w:rPr>
        <w:t>ON WOMEN AND CHILDREN</w:t>
      </w:r>
    </w:p>
    <w:p w14:paraId="4DE54CCD" w14:textId="728472FC" w:rsidR="00720441" w:rsidRPr="00845FB7" w:rsidRDefault="4BFD295D" w:rsidP="2575CD71">
      <w:pPr>
        <w:pStyle w:val="ListParagraph"/>
        <w:numPr>
          <w:ilvl w:val="0"/>
          <w:numId w:val="3"/>
        </w:numPr>
        <w:spacing w:after="60"/>
        <w:jc w:val="left"/>
        <w:rPr>
          <w:rFonts w:cstheme="majorBidi"/>
          <w:szCs w:val="20"/>
          <w:lang w:val="en-GB" w:eastAsia="en-GB"/>
        </w:rPr>
      </w:pPr>
      <w:r w:rsidRPr="00845FB7">
        <w:rPr>
          <w:rFonts w:cstheme="majorBidi"/>
          <w:lang w:val="en-GB" w:eastAsia="en-GB"/>
        </w:rPr>
        <w:t xml:space="preserve">Implement the following activities identified under the gender action plan for the </w:t>
      </w:r>
      <w:r w:rsidR="006D33C4" w:rsidRPr="00845FB7">
        <w:rPr>
          <w:rFonts w:cstheme="majorBidi"/>
          <w:lang w:val="en-GB" w:eastAsia="en-GB"/>
        </w:rPr>
        <w:t>given biennium</w:t>
      </w:r>
      <w:r w:rsidRPr="00845FB7">
        <w:rPr>
          <w:rFonts w:cstheme="majorBidi"/>
          <w:lang w:val="en-GB" w:eastAsia="en-GB"/>
        </w:rPr>
        <w:t>:</w:t>
      </w:r>
    </w:p>
    <w:p w14:paraId="3807FDC8" w14:textId="315156EC" w:rsidR="00720441" w:rsidRPr="00845FB7" w:rsidRDefault="582C2618" w:rsidP="2575CD71">
      <w:pPr>
        <w:pStyle w:val="ListParagraph"/>
        <w:numPr>
          <w:ilvl w:val="0"/>
          <w:numId w:val="3"/>
        </w:numPr>
        <w:spacing w:after="60"/>
        <w:jc w:val="left"/>
        <w:rPr>
          <w:rFonts w:cstheme="majorBidi"/>
          <w:szCs w:val="20"/>
          <w:lang w:val="en-GB" w:eastAsia="en-GB"/>
        </w:rPr>
      </w:pPr>
      <w:r w:rsidRPr="00845FB7">
        <w:rPr>
          <w:rFonts w:cstheme="majorBidi"/>
          <w:szCs w:val="20"/>
          <w:lang w:val="en-GB" w:eastAsia="en-GB"/>
        </w:rPr>
        <w:t xml:space="preserve">Support the integration and monitoring of strategies to prevent the exposure of vulnerable populations, particularly children and women of childbearing age, especially pregnant women, to mercury used in artisanal and small-scale gold mining, as appropriate, in the reviews of national action plans to be submitted by </w:t>
      </w:r>
      <w:r w:rsidR="00AE24F8" w:rsidRPr="00845FB7">
        <w:rPr>
          <w:rFonts w:cstheme="majorBidi"/>
          <w:szCs w:val="20"/>
          <w:lang w:val="en-GB" w:eastAsia="en-GB"/>
        </w:rPr>
        <w:t>P</w:t>
      </w:r>
      <w:r w:rsidRPr="00845FB7">
        <w:rPr>
          <w:rFonts w:cstheme="majorBidi"/>
          <w:szCs w:val="20"/>
          <w:lang w:val="en-GB" w:eastAsia="en-GB"/>
        </w:rPr>
        <w:t xml:space="preserve">arties pursuant to subparagraph 3 (c) of </w:t>
      </w:r>
      <w:r w:rsidR="002B40E4" w:rsidRPr="00845FB7">
        <w:rPr>
          <w:rFonts w:cstheme="majorBidi"/>
          <w:szCs w:val="20"/>
          <w:lang w:val="en-GB" w:eastAsia="en-GB"/>
        </w:rPr>
        <w:t>A</w:t>
      </w:r>
      <w:r w:rsidRPr="00845FB7">
        <w:rPr>
          <w:rFonts w:cstheme="majorBidi"/>
          <w:szCs w:val="20"/>
          <w:lang w:val="en-GB" w:eastAsia="en-GB"/>
        </w:rPr>
        <w:t>rticle 7, in collaboration with the Chemicals and Health Branch of the United Nations Environment Programme;</w:t>
      </w:r>
    </w:p>
    <w:p w14:paraId="15E45DA0" w14:textId="7E70E901" w:rsidR="00720441" w:rsidRPr="00845FB7" w:rsidRDefault="582C2618" w:rsidP="002A243F">
      <w:pPr>
        <w:pStyle w:val="ListParagraph"/>
        <w:numPr>
          <w:ilvl w:val="0"/>
          <w:numId w:val="3"/>
        </w:numPr>
        <w:spacing w:after="60"/>
        <w:rPr>
          <w:szCs w:val="20"/>
          <w:lang w:val="en-GB" w:eastAsia="en-GB"/>
        </w:rPr>
      </w:pPr>
      <w:r w:rsidRPr="00845FB7">
        <w:rPr>
          <w:lang w:val="en-GB"/>
        </w:rPr>
        <w:t>Support the coordination of the women’s caucus of the Minamata Convention on Mercury to advance the equality and empowerment of women within the implementation of the Convention;</w:t>
      </w:r>
    </w:p>
    <w:p w14:paraId="785B6E00" w14:textId="164B090F" w:rsidR="00720441" w:rsidRPr="00845FB7" w:rsidRDefault="582C2618" w:rsidP="002A243F">
      <w:pPr>
        <w:pStyle w:val="ListParagraph"/>
        <w:numPr>
          <w:ilvl w:val="0"/>
          <w:numId w:val="3"/>
        </w:numPr>
        <w:spacing w:after="60"/>
        <w:rPr>
          <w:szCs w:val="20"/>
          <w:lang w:val="en-GB" w:eastAsia="en-GB"/>
        </w:rPr>
      </w:pPr>
      <w:r w:rsidRPr="00845FB7">
        <w:rPr>
          <w:lang w:val="en-GB"/>
        </w:rPr>
        <w:t xml:space="preserve">Collect information from </w:t>
      </w:r>
      <w:r w:rsidR="00AE24F8" w:rsidRPr="00845FB7">
        <w:rPr>
          <w:lang w:val="en-GB"/>
        </w:rPr>
        <w:t>P</w:t>
      </w:r>
      <w:r w:rsidRPr="00845FB7">
        <w:rPr>
          <w:lang w:val="en-GB"/>
        </w:rPr>
        <w:t>arties and other stakeholders on capacity-building needs and interests with respect to mercury exposure of women and children.</w:t>
      </w:r>
    </w:p>
    <w:p w14:paraId="214155A2" w14:textId="57E52C7D" w:rsidR="00B62CA0" w:rsidRPr="006C6BA4" w:rsidRDefault="00B62CA0" w:rsidP="006C6BA4">
      <w:pPr>
        <w:spacing w:before="240" w:after="120"/>
        <w:rPr>
          <w:rFonts w:eastAsia="DengXian" w:cstheme="majorBidi"/>
          <w:szCs w:val="20"/>
          <w:lang w:val="en-GB" w:eastAsia="en-GB"/>
        </w:rPr>
      </w:pPr>
      <w:r w:rsidRPr="006C6BA4">
        <w:rPr>
          <w:rFonts w:cstheme="majorBidi"/>
          <w:b/>
          <w:bCs/>
          <w:lang w:val="en-GB" w:eastAsia="en-GB"/>
        </w:rPr>
        <w:t>ACTIVITIES ON YOUTH</w:t>
      </w:r>
    </w:p>
    <w:p w14:paraId="76A6225B" w14:textId="55D62E74" w:rsidR="3374B0EF" w:rsidRPr="00845FB7" w:rsidRDefault="00F14FB9" w:rsidP="732C8DC8">
      <w:pPr>
        <w:pStyle w:val="ListParagraph"/>
        <w:numPr>
          <w:ilvl w:val="0"/>
          <w:numId w:val="3"/>
        </w:numPr>
        <w:spacing w:after="60"/>
        <w:rPr>
          <w:szCs w:val="20"/>
          <w:lang w:val="en-GB"/>
        </w:rPr>
      </w:pPr>
      <w:r w:rsidRPr="00845FB7">
        <w:rPr>
          <w:rFonts w:cstheme="majorBidi"/>
          <w:szCs w:val="20"/>
          <w:lang w:val="en-GB" w:eastAsia="en-GB"/>
        </w:rPr>
        <w:t>Liaise with</w:t>
      </w:r>
      <w:r w:rsidR="00EE238A">
        <w:rPr>
          <w:rFonts w:cstheme="majorBidi"/>
          <w:szCs w:val="20"/>
          <w:lang w:val="en-GB" w:eastAsia="en-GB"/>
        </w:rPr>
        <w:t xml:space="preserve"> the</w:t>
      </w:r>
      <w:r w:rsidRPr="00845FB7">
        <w:rPr>
          <w:rFonts w:cstheme="majorBidi"/>
          <w:szCs w:val="20"/>
          <w:lang w:val="en-GB" w:eastAsia="en-GB"/>
        </w:rPr>
        <w:t xml:space="preserve"> UN Major Group for Youth and Children, Chemicals and Waste Youth Platf</w:t>
      </w:r>
      <w:r w:rsidR="002C2D57">
        <w:rPr>
          <w:rFonts w:cstheme="majorBidi"/>
          <w:szCs w:val="20"/>
          <w:lang w:val="en-GB" w:eastAsia="en-GB"/>
        </w:rPr>
        <w:t>or</w:t>
      </w:r>
      <w:r w:rsidRPr="00845FB7">
        <w:rPr>
          <w:rFonts w:cstheme="majorBidi"/>
          <w:szCs w:val="20"/>
          <w:lang w:val="en-GB" w:eastAsia="en-GB"/>
        </w:rPr>
        <w:t>m, and relevant groups working on youth</w:t>
      </w:r>
      <w:r w:rsidR="005F1A01">
        <w:rPr>
          <w:rFonts w:cstheme="majorBidi"/>
          <w:szCs w:val="20"/>
          <w:lang w:val="en-GB" w:eastAsia="en-GB"/>
        </w:rPr>
        <w:t>-led or youth</w:t>
      </w:r>
      <w:r w:rsidRPr="00845FB7">
        <w:rPr>
          <w:rFonts w:cstheme="majorBidi"/>
          <w:szCs w:val="20"/>
          <w:lang w:val="en-GB" w:eastAsia="en-GB"/>
        </w:rPr>
        <w:t>-focused issues</w:t>
      </w:r>
      <w:r w:rsidR="3374B0EF" w:rsidRPr="003C587E">
        <w:rPr>
          <w:rFonts w:eastAsia="DengXian" w:cstheme="majorBidi"/>
          <w:szCs w:val="20"/>
          <w:lang w:val="en-GB" w:eastAsia="en-GB"/>
        </w:rPr>
        <w:t xml:space="preserve"> to participate in </w:t>
      </w:r>
      <w:r w:rsidR="00B11F23" w:rsidRPr="003C587E">
        <w:rPr>
          <w:rFonts w:eastAsia="DengXian" w:cstheme="majorBidi"/>
          <w:szCs w:val="20"/>
          <w:lang w:val="en-GB" w:eastAsia="en-GB"/>
        </w:rPr>
        <w:t xml:space="preserve">relevant </w:t>
      </w:r>
      <w:r w:rsidR="00001408" w:rsidRPr="003C587E">
        <w:rPr>
          <w:rFonts w:eastAsia="DengXian" w:cstheme="majorBidi"/>
          <w:szCs w:val="20"/>
          <w:lang w:val="en-GB" w:eastAsia="en-GB"/>
        </w:rPr>
        <w:t xml:space="preserve">workshops and meetings, including </w:t>
      </w:r>
      <w:r w:rsidR="3374B0EF" w:rsidRPr="0073418E">
        <w:rPr>
          <w:rFonts w:eastAsia="DengXian" w:cstheme="majorBidi"/>
          <w:szCs w:val="20"/>
          <w:lang w:val="en-GB" w:eastAsia="en-GB"/>
        </w:rPr>
        <w:t>the</w:t>
      </w:r>
      <w:r w:rsidR="0073418E" w:rsidRPr="0073418E">
        <w:rPr>
          <w:rFonts w:eastAsia="DengXian" w:cstheme="majorBidi"/>
          <w:szCs w:val="20"/>
          <w:lang w:val="en-GB" w:eastAsia="en-GB"/>
        </w:rPr>
        <w:t xml:space="preserve"> </w:t>
      </w:r>
      <w:r w:rsidR="003C587E" w:rsidRPr="006C6BA4">
        <w:rPr>
          <w:rFonts w:cstheme="majorBidi"/>
          <w:lang w:eastAsia="en-GB"/>
        </w:rPr>
        <w:t>meetings of the Conference of the Parties and its subsidiary bodies</w:t>
      </w:r>
      <w:r w:rsidR="003C587E" w:rsidRPr="00845FB7" w:rsidDel="00001408">
        <w:rPr>
          <w:rFonts w:eastAsia="DengXian" w:cstheme="majorBidi"/>
          <w:szCs w:val="20"/>
          <w:lang w:val="en-GB" w:eastAsia="en-GB"/>
        </w:rPr>
        <w:t xml:space="preserve"> </w:t>
      </w:r>
      <w:r w:rsidR="00117AB3">
        <w:rPr>
          <w:lang w:val="en-GB"/>
        </w:rPr>
        <w:t xml:space="preserve">Collaborate with relevant </w:t>
      </w:r>
      <w:r w:rsidR="000D5CE8">
        <w:rPr>
          <w:lang w:val="en-GB"/>
        </w:rPr>
        <w:t xml:space="preserve">Youth groups to organize </w:t>
      </w:r>
      <w:r w:rsidR="755F01AD" w:rsidRPr="00845FB7">
        <w:rPr>
          <w:lang w:val="en-GB"/>
        </w:rPr>
        <w:t>Youth</w:t>
      </w:r>
      <w:r w:rsidR="000D5CE8">
        <w:rPr>
          <w:lang w:val="en-GB"/>
        </w:rPr>
        <w:t>-focused</w:t>
      </w:r>
      <w:r w:rsidR="3374B0EF" w:rsidRPr="00845FB7">
        <w:rPr>
          <w:lang w:val="en-GB"/>
        </w:rPr>
        <w:t xml:space="preserve"> events </w:t>
      </w:r>
      <w:r w:rsidR="00B14619">
        <w:rPr>
          <w:lang w:val="en-GB"/>
        </w:rPr>
        <w:t xml:space="preserve">in the lead up to and </w:t>
      </w:r>
      <w:r w:rsidR="3374B0EF" w:rsidRPr="00845FB7">
        <w:rPr>
          <w:lang w:val="en-GB"/>
        </w:rPr>
        <w:t>at the seventh meeting of the Conference of the Parties.</w:t>
      </w:r>
    </w:p>
    <w:p w14:paraId="680AB7BE" w14:textId="20D73BB3" w:rsidR="03A28746" w:rsidRPr="00845FB7" w:rsidRDefault="03A28746" w:rsidP="732C8DC8">
      <w:pPr>
        <w:pStyle w:val="ListParagraph"/>
        <w:numPr>
          <w:ilvl w:val="0"/>
          <w:numId w:val="3"/>
        </w:numPr>
        <w:spacing w:after="60"/>
        <w:rPr>
          <w:szCs w:val="20"/>
          <w:lang w:val="en-GB"/>
        </w:rPr>
      </w:pPr>
      <w:r w:rsidRPr="00845FB7">
        <w:rPr>
          <w:szCs w:val="20"/>
          <w:lang w:val="en-GB"/>
        </w:rPr>
        <w:t xml:space="preserve">Invite sharing of </w:t>
      </w:r>
      <w:r w:rsidR="00DD7FE7">
        <w:rPr>
          <w:szCs w:val="20"/>
          <w:lang w:val="en-GB"/>
        </w:rPr>
        <w:t>mercury-related</w:t>
      </w:r>
      <w:r w:rsidR="00FC6D25">
        <w:rPr>
          <w:szCs w:val="20"/>
          <w:lang w:val="en-GB"/>
        </w:rPr>
        <w:t xml:space="preserve"> </w:t>
      </w:r>
      <w:r w:rsidRPr="00845FB7">
        <w:rPr>
          <w:szCs w:val="20"/>
          <w:lang w:val="en-GB"/>
        </w:rPr>
        <w:t xml:space="preserve">research, awareness-raising activities, and other </w:t>
      </w:r>
      <w:r w:rsidR="0073418E" w:rsidRPr="00845FB7">
        <w:rPr>
          <w:szCs w:val="20"/>
          <w:lang w:val="en-GB"/>
        </w:rPr>
        <w:t>rele</w:t>
      </w:r>
      <w:r w:rsidR="0073418E">
        <w:rPr>
          <w:szCs w:val="20"/>
          <w:lang w:val="en-GB"/>
        </w:rPr>
        <w:t>vant</w:t>
      </w:r>
      <w:r w:rsidRPr="00845FB7">
        <w:rPr>
          <w:szCs w:val="20"/>
          <w:lang w:val="en-GB"/>
        </w:rPr>
        <w:t xml:space="preserve"> activities that contribute to the implementation of the Minamata Convention through the Convention’s Youth Engagement page.</w:t>
      </w:r>
    </w:p>
    <w:tbl>
      <w:tblPr>
        <w:tblStyle w:val="TableGrid"/>
        <w:tblW w:w="9639"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395"/>
        <w:gridCol w:w="5244"/>
      </w:tblGrid>
      <w:tr w:rsidR="0090367C" w:rsidRPr="00845FB7" w14:paraId="13CF9DE4" w14:textId="77777777" w:rsidTr="2575CD71">
        <w:tc>
          <w:tcPr>
            <w:tcW w:w="4395" w:type="dxa"/>
          </w:tcPr>
          <w:p w14:paraId="2FF99138" w14:textId="69A25B62" w:rsidR="0090367C" w:rsidRPr="00845FB7" w:rsidRDefault="0090367C" w:rsidP="2575CD71">
            <w:pPr>
              <w:spacing w:before="240" w:after="120"/>
              <w:ind w:left="363"/>
              <w:rPr>
                <w:rFonts w:cstheme="majorBidi"/>
                <w:b/>
                <w:bCs/>
                <w:lang w:val="en-GB" w:eastAsia="en-GB"/>
              </w:rPr>
            </w:pPr>
            <w:r w:rsidRPr="00845FB7">
              <w:rPr>
                <w:rFonts w:cstheme="majorBidi"/>
                <w:b/>
                <w:bCs/>
                <w:lang w:val="en-GB" w:eastAsia="en-GB"/>
              </w:rPr>
              <w:t>INDICATORS OF ACHIEVEMENT</w:t>
            </w:r>
          </w:p>
          <w:p w14:paraId="1444CC8A" w14:textId="7BB7DFAF" w:rsidR="0090367C" w:rsidRPr="00845FB7" w:rsidRDefault="095E5270" w:rsidP="2575CD71">
            <w:pPr>
              <w:pStyle w:val="ListParagraph"/>
              <w:numPr>
                <w:ilvl w:val="0"/>
                <w:numId w:val="5"/>
              </w:numPr>
              <w:spacing w:after="60"/>
              <w:rPr>
                <w:rFonts w:cstheme="majorBidi"/>
                <w:lang w:val="en-GB" w:eastAsia="en-GB"/>
              </w:rPr>
            </w:pPr>
            <w:r w:rsidRPr="00845FB7">
              <w:rPr>
                <w:rFonts w:cstheme="majorBidi"/>
                <w:lang w:val="en-GB" w:eastAsia="en-GB"/>
              </w:rPr>
              <w:t>A</w:t>
            </w:r>
            <w:r w:rsidR="5C5804BA" w:rsidRPr="00845FB7">
              <w:rPr>
                <w:rFonts w:cstheme="majorBidi"/>
                <w:lang w:val="en-GB" w:eastAsia="en-GB"/>
              </w:rPr>
              <w:t>ctivities</w:t>
            </w:r>
            <w:r w:rsidR="02D72BBE" w:rsidRPr="00845FB7">
              <w:rPr>
                <w:rFonts w:cstheme="majorBidi"/>
                <w:lang w:val="en-GB" w:eastAsia="en-GB"/>
              </w:rPr>
              <w:t xml:space="preserve"> </w:t>
            </w:r>
            <w:r w:rsidR="3D183906" w:rsidRPr="00845FB7">
              <w:rPr>
                <w:rFonts w:cstheme="majorBidi"/>
                <w:lang w:val="en-GB" w:eastAsia="en-GB"/>
              </w:rPr>
              <w:t xml:space="preserve">to address the needs of groups in vulnerable situation </w:t>
            </w:r>
            <w:r w:rsidR="02D72BBE" w:rsidRPr="00845FB7">
              <w:rPr>
                <w:rFonts w:cstheme="majorBidi"/>
                <w:lang w:val="en-GB" w:eastAsia="en-GB"/>
              </w:rPr>
              <w:t>are</w:t>
            </w:r>
            <w:r w:rsidR="0090367C" w:rsidRPr="00845FB7">
              <w:rPr>
                <w:rFonts w:cstheme="majorBidi"/>
                <w:lang w:val="en-GB" w:eastAsia="en-GB"/>
              </w:rPr>
              <w:t xml:space="preserve"> integrated in </w:t>
            </w:r>
            <w:r w:rsidR="3597CA00" w:rsidRPr="00845FB7">
              <w:rPr>
                <w:rFonts w:cstheme="majorBidi"/>
                <w:lang w:val="en-GB" w:eastAsia="en-GB"/>
              </w:rPr>
              <w:t xml:space="preserve">the </w:t>
            </w:r>
            <w:r w:rsidR="0090367C" w:rsidRPr="00845FB7">
              <w:rPr>
                <w:rFonts w:cstheme="majorBidi"/>
                <w:lang w:val="en-GB" w:eastAsia="en-GB"/>
              </w:rPr>
              <w:t xml:space="preserve">programme of </w:t>
            </w:r>
            <w:r w:rsidR="00D33BE7" w:rsidRPr="00845FB7">
              <w:rPr>
                <w:rFonts w:cstheme="majorBidi"/>
                <w:lang w:val="en-GB" w:eastAsia="en-GB"/>
              </w:rPr>
              <w:t>work for</w:t>
            </w:r>
            <w:r w:rsidR="0090367C" w:rsidRPr="00845FB7">
              <w:rPr>
                <w:rFonts w:cstheme="majorBidi"/>
                <w:lang w:val="en-GB" w:eastAsia="en-GB"/>
              </w:rPr>
              <w:t xml:space="preserve"> the period 2026–2027</w:t>
            </w:r>
            <w:r w:rsidR="42EDE91E" w:rsidRPr="00845FB7">
              <w:rPr>
                <w:rFonts w:cstheme="majorBidi"/>
                <w:lang w:val="en-GB" w:eastAsia="en-GB"/>
              </w:rPr>
              <w:t>;</w:t>
            </w:r>
          </w:p>
          <w:p w14:paraId="76FC58B1" w14:textId="69E9F783" w:rsidR="0090367C" w:rsidRPr="00845FB7" w:rsidRDefault="70C1F638" w:rsidP="732C8DC8">
            <w:pPr>
              <w:pStyle w:val="ListParagraph"/>
              <w:numPr>
                <w:ilvl w:val="0"/>
                <w:numId w:val="5"/>
              </w:numPr>
              <w:spacing w:after="60"/>
              <w:rPr>
                <w:rFonts w:eastAsia="DengXian" w:cstheme="majorBidi"/>
                <w:lang w:val="en-GB" w:eastAsia="en-GB"/>
              </w:rPr>
            </w:pPr>
            <w:r w:rsidRPr="00845FB7">
              <w:rPr>
                <w:rFonts w:cstheme="majorBidi"/>
                <w:lang w:val="en-GB" w:eastAsia="en-GB"/>
              </w:rPr>
              <w:lastRenderedPageBreak/>
              <w:t>Particip</w:t>
            </w:r>
            <w:r w:rsidR="00D10B8C" w:rsidRPr="00845FB7">
              <w:rPr>
                <w:rFonts w:cstheme="majorBidi"/>
                <w:lang w:val="en-GB" w:eastAsia="en-GB"/>
              </w:rPr>
              <w:t>a</w:t>
            </w:r>
            <w:r w:rsidRPr="00845FB7">
              <w:rPr>
                <w:rFonts w:cstheme="majorBidi"/>
                <w:lang w:val="en-GB" w:eastAsia="en-GB"/>
              </w:rPr>
              <w:t xml:space="preserve">tion of representatives of groups in vulnerable situations </w:t>
            </w:r>
            <w:r w:rsidR="2575CD71" w:rsidRPr="00845FB7">
              <w:rPr>
                <w:rFonts w:cstheme="majorBidi"/>
                <w:lang w:val="en-GB" w:eastAsia="en-GB"/>
              </w:rPr>
              <w:t xml:space="preserve">to COP and other meetings </w:t>
            </w:r>
            <w:r w:rsidR="0090367C" w:rsidRPr="00845FB7">
              <w:rPr>
                <w:rFonts w:cstheme="majorBidi"/>
                <w:lang w:val="en-GB" w:eastAsia="en-GB"/>
              </w:rPr>
              <w:t>Training tools designed and delivered.</w:t>
            </w:r>
          </w:p>
          <w:p w14:paraId="45923C46" w14:textId="4CF8F51D" w:rsidR="0090367C" w:rsidRPr="00845FB7" w:rsidRDefault="012A9678" w:rsidP="732C8DC8">
            <w:pPr>
              <w:pStyle w:val="ListParagraph"/>
              <w:numPr>
                <w:ilvl w:val="0"/>
                <w:numId w:val="5"/>
              </w:numPr>
              <w:spacing w:after="60"/>
              <w:rPr>
                <w:rFonts w:eastAsia="DengXian" w:cstheme="majorBidi"/>
                <w:lang w:val="en-GB" w:eastAsia="en-GB"/>
              </w:rPr>
            </w:pPr>
            <w:r w:rsidRPr="00845FB7">
              <w:rPr>
                <w:rFonts w:eastAsia="DengXian" w:cstheme="majorBidi"/>
                <w:lang w:val="en-GB" w:eastAsia="en-GB"/>
              </w:rPr>
              <w:t>Online information workshops delivered.</w:t>
            </w:r>
          </w:p>
          <w:p w14:paraId="5A136896" w14:textId="2D0E83AD" w:rsidR="0090367C" w:rsidRPr="00845FB7" w:rsidRDefault="42E42997" w:rsidP="732C8DC8">
            <w:pPr>
              <w:pStyle w:val="ListParagraph"/>
              <w:numPr>
                <w:ilvl w:val="0"/>
                <w:numId w:val="5"/>
              </w:numPr>
              <w:spacing w:after="60"/>
              <w:rPr>
                <w:rFonts w:eastAsia="DengXian" w:cstheme="majorBidi"/>
                <w:lang w:val="en-GB" w:eastAsia="en-GB"/>
              </w:rPr>
            </w:pPr>
            <w:r w:rsidRPr="00845FB7">
              <w:rPr>
                <w:rFonts w:eastAsia="DengXian" w:cstheme="majorBidi"/>
                <w:lang w:val="en-GB" w:eastAsia="en-GB"/>
              </w:rPr>
              <w:t>Language accessible documents/briefs/primers developed</w:t>
            </w:r>
          </w:p>
        </w:tc>
        <w:tc>
          <w:tcPr>
            <w:tcW w:w="5244" w:type="dxa"/>
          </w:tcPr>
          <w:p w14:paraId="5B714EC8" w14:textId="0C61F882" w:rsidR="0090367C" w:rsidRPr="00845FB7" w:rsidRDefault="0090367C" w:rsidP="00BD36F8">
            <w:pPr>
              <w:spacing w:before="240" w:after="120"/>
              <w:ind w:left="363"/>
              <w:rPr>
                <w:rFonts w:cstheme="majorBidi"/>
                <w:b/>
                <w:bCs/>
                <w:szCs w:val="20"/>
                <w:lang w:val="en-GB" w:eastAsia="en-GB"/>
              </w:rPr>
            </w:pPr>
            <w:r w:rsidRPr="00845FB7">
              <w:rPr>
                <w:rFonts w:cstheme="majorBidi"/>
                <w:b/>
                <w:bCs/>
                <w:szCs w:val="20"/>
                <w:lang w:val="en-GB" w:eastAsia="en-GB"/>
              </w:rPr>
              <w:lastRenderedPageBreak/>
              <w:t>MEANS OF VERIFICATION</w:t>
            </w:r>
          </w:p>
          <w:p w14:paraId="7A9FB3B5" w14:textId="57059065" w:rsidR="0090367C" w:rsidRPr="00845FB7" w:rsidRDefault="0090367C">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Report on </w:t>
            </w:r>
            <w:r w:rsidR="00D33BE7" w:rsidRPr="00845FB7">
              <w:rPr>
                <w:rFonts w:cstheme="majorBidi"/>
                <w:szCs w:val="20"/>
                <w:lang w:val="en-GB" w:eastAsia="en-GB"/>
              </w:rPr>
              <w:t>S</w:t>
            </w:r>
            <w:r w:rsidRPr="00845FB7">
              <w:rPr>
                <w:rFonts w:cstheme="majorBidi"/>
                <w:szCs w:val="20"/>
                <w:lang w:val="en-GB" w:eastAsia="en-GB"/>
              </w:rPr>
              <w:t>ecretariat activities to COP;</w:t>
            </w:r>
          </w:p>
          <w:p w14:paraId="5BBE31AB" w14:textId="77777777" w:rsidR="0090367C" w:rsidRPr="00845FB7" w:rsidRDefault="0090367C"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Programme of work for the next biennia;</w:t>
            </w:r>
          </w:p>
          <w:p w14:paraId="3409EA58" w14:textId="77777777" w:rsidR="0090367C" w:rsidRPr="00845FB7" w:rsidRDefault="0090367C" w:rsidP="1EA59BF7">
            <w:pPr>
              <w:pStyle w:val="ListParagraph"/>
              <w:numPr>
                <w:ilvl w:val="0"/>
                <w:numId w:val="4"/>
              </w:numPr>
              <w:spacing w:after="60"/>
              <w:rPr>
                <w:rFonts w:cstheme="majorBidi"/>
                <w:lang w:val="en-GB" w:eastAsia="en-GB"/>
              </w:rPr>
            </w:pPr>
            <w:r w:rsidRPr="00845FB7">
              <w:rPr>
                <w:rFonts w:cstheme="majorBidi"/>
                <w:lang w:val="en-GB" w:eastAsia="en-GB"/>
              </w:rPr>
              <w:t>Training and workshop reports;</w:t>
            </w:r>
          </w:p>
          <w:p w14:paraId="169A6D3D" w14:textId="1F64F1EA" w:rsidR="22D38EEB" w:rsidRPr="00845FB7" w:rsidRDefault="22D38EEB" w:rsidP="1EA59BF7">
            <w:pPr>
              <w:pStyle w:val="ListParagraph"/>
              <w:numPr>
                <w:ilvl w:val="0"/>
                <w:numId w:val="4"/>
              </w:numPr>
              <w:spacing w:after="60"/>
              <w:rPr>
                <w:rFonts w:cstheme="majorBidi"/>
                <w:lang w:val="en-GB" w:eastAsia="en-GB"/>
              </w:rPr>
            </w:pPr>
            <w:r w:rsidRPr="00845FB7">
              <w:rPr>
                <w:rFonts w:cstheme="majorBidi"/>
                <w:lang w:val="en-GB" w:eastAsia="en-GB"/>
              </w:rPr>
              <w:t>Responses to surveys</w:t>
            </w:r>
          </w:p>
          <w:p w14:paraId="7B700729" w14:textId="1F85A65D" w:rsidR="0090367C" w:rsidRPr="00845FB7" w:rsidRDefault="45A98858" w:rsidP="2575CD71">
            <w:pPr>
              <w:pStyle w:val="ListParagraph"/>
              <w:numPr>
                <w:ilvl w:val="0"/>
                <w:numId w:val="4"/>
              </w:numPr>
              <w:spacing w:after="60"/>
              <w:rPr>
                <w:rFonts w:cstheme="majorBidi"/>
                <w:lang w:val="en-GB" w:eastAsia="en-GB"/>
              </w:rPr>
            </w:pPr>
            <w:r w:rsidRPr="00845FB7">
              <w:rPr>
                <w:rFonts w:cstheme="majorBidi"/>
                <w:lang w:val="en-GB" w:eastAsia="en-GB"/>
              </w:rPr>
              <w:lastRenderedPageBreak/>
              <w:t xml:space="preserve">Lists of </w:t>
            </w:r>
            <w:r w:rsidR="00F83634" w:rsidRPr="00845FB7">
              <w:rPr>
                <w:rFonts w:cstheme="majorBidi"/>
                <w:lang w:val="en-GB" w:eastAsia="en-GB"/>
              </w:rPr>
              <w:t>participants</w:t>
            </w:r>
            <w:r w:rsidR="0090367C" w:rsidRPr="00845FB7">
              <w:rPr>
                <w:rFonts w:cstheme="majorBidi"/>
                <w:lang w:val="en-GB" w:eastAsia="en-GB"/>
              </w:rPr>
              <w:t xml:space="preserve"> </w:t>
            </w:r>
            <w:r w:rsidR="2D83BACA" w:rsidRPr="00845FB7">
              <w:rPr>
                <w:rFonts w:cstheme="majorBidi"/>
                <w:lang w:val="en-GB" w:eastAsia="en-GB"/>
              </w:rPr>
              <w:t>of relevant meetings</w:t>
            </w:r>
            <w:r w:rsidR="0090367C" w:rsidRPr="00845FB7">
              <w:rPr>
                <w:rFonts w:cstheme="majorBidi"/>
                <w:lang w:val="en-GB" w:eastAsia="en-GB"/>
              </w:rPr>
              <w:t>.</w:t>
            </w:r>
          </w:p>
        </w:tc>
      </w:tr>
    </w:tbl>
    <w:p w14:paraId="1EE9002F" w14:textId="4BB9BB28" w:rsidR="0090367C" w:rsidRPr="00845FB7" w:rsidRDefault="0090367C" w:rsidP="0090367C">
      <w:pPr>
        <w:pStyle w:val="Heading3"/>
        <w:rPr>
          <w:sz w:val="24"/>
          <w:lang w:val="en-GB"/>
        </w:rPr>
      </w:pPr>
      <w:r w:rsidRPr="00845FB7">
        <w:rPr>
          <w:sz w:val="24"/>
          <w:lang w:val="en-GB"/>
        </w:rPr>
        <w:lastRenderedPageBreak/>
        <w:t>Partners</w:t>
      </w:r>
    </w:p>
    <w:p w14:paraId="6BB8C212" w14:textId="3E9F07C3" w:rsidR="0090367C" w:rsidRPr="00845FB7" w:rsidRDefault="0090367C" w:rsidP="00BD36F8">
      <w:pPr>
        <w:spacing w:after="120" w:line="276" w:lineRule="auto"/>
        <w:rPr>
          <w:rFonts w:cstheme="majorBidi"/>
          <w:lang w:val="en-GB"/>
        </w:rPr>
      </w:pPr>
      <w:r w:rsidRPr="00845FB7">
        <w:rPr>
          <w:rFonts w:cstheme="majorBidi"/>
          <w:lang w:val="en-GB"/>
        </w:rPr>
        <w:t xml:space="preserve">The </w:t>
      </w:r>
      <w:r w:rsidR="00D33BE7" w:rsidRPr="00845FB7">
        <w:rPr>
          <w:rFonts w:cstheme="majorBidi"/>
          <w:lang w:val="en-GB"/>
        </w:rPr>
        <w:t>S</w:t>
      </w:r>
      <w:r w:rsidRPr="00845FB7">
        <w:rPr>
          <w:rFonts w:cstheme="majorBidi"/>
          <w:lang w:val="en-GB"/>
        </w:rPr>
        <w:t xml:space="preserve">ecretariat’s legal and policy activities leverage partnerships and builds on the expertise of many actors in the chemicals and waste </w:t>
      </w:r>
      <w:r w:rsidR="00D33BE7" w:rsidRPr="00845FB7">
        <w:rPr>
          <w:rFonts w:cstheme="majorBidi"/>
          <w:lang w:val="en-GB"/>
        </w:rPr>
        <w:t>cluster.</w:t>
      </w:r>
      <w:r w:rsidRPr="00845FB7">
        <w:rPr>
          <w:rFonts w:cstheme="majorBidi"/>
          <w:lang w:val="en-GB"/>
        </w:rPr>
        <w:t xml:space="preserve"> </w:t>
      </w:r>
    </w:p>
    <w:p w14:paraId="29FA12D1" w14:textId="77777777" w:rsidR="0090367C" w:rsidRPr="00845FB7" w:rsidRDefault="0090367C" w:rsidP="00BD36F8">
      <w:pPr>
        <w:spacing w:after="120" w:line="276" w:lineRule="auto"/>
        <w:rPr>
          <w:rFonts w:cstheme="majorBidi"/>
          <w:szCs w:val="20"/>
          <w:lang w:val="en-GB"/>
        </w:rPr>
      </w:pPr>
      <w:r w:rsidRPr="00845FB7">
        <w:rPr>
          <w:rFonts w:cstheme="majorBidi"/>
          <w:b/>
          <w:bCs/>
          <w:szCs w:val="20"/>
          <w:lang w:val="en-GB"/>
        </w:rPr>
        <w:t xml:space="preserve">Work programme of the ICC: </w:t>
      </w:r>
      <w:r w:rsidRPr="00845FB7">
        <w:rPr>
          <w:rFonts w:cstheme="majorBidi"/>
          <w:szCs w:val="20"/>
          <w:lang w:val="en-GB"/>
        </w:rPr>
        <w:t xml:space="preserve">As decided by the ICC. </w:t>
      </w:r>
    </w:p>
    <w:p w14:paraId="79B0B384" w14:textId="489FE829" w:rsidR="0090367C" w:rsidRPr="00845FB7" w:rsidRDefault="0090367C" w:rsidP="00BD36F8">
      <w:pPr>
        <w:spacing w:after="120" w:line="276" w:lineRule="auto"/>
        <w:rPr>
          <w:rFonts w:cstheme="majorBidi"/>
          <w:szCs w:val="20"/>
          <w:lang w:val="en-GB"/>
        </w:rPr>
      </w:pPr>
      <w:r w:rsidRPr="00845FB7">
        <w:rPr>
          <w:rFonts w:cstheme="majorBidi"/>
          <w:b/>
          <w:bCs/>
          <w:szCs w:val="20"/>
          <w:lang w:val="en-GB"/>
        </w:rPr>
        <w:t>Core legal and policy activities:</w:t>
      </w:r>
      <w:r w:rsidRPr="00845FB7">
        <w:rPr>
          <w:rFonts w:cstheme="majorBidi"/>
          <w:szCs w:val="20"/>
          <w:lang w:val="en-GB"/>
        </w:rPr>
        <w:t xml:space="preserve"> </w:t>
      </w:r>
      <w:r w:rsidR="00AE24F8" w:rsidRPr="00845FB7">
        <w:rPr>
          <w:rFonts w:cstheme="majorBidi"/>
          <w:szCs w:val="20"/>
          <w:lang w:val="en-GB"/>
        </w:rPr>
        <w:t>P</w:t>
      </w:r>
      <w:r w:rsidRPr="00845FB7">
        <w:rPr>
          <w:rFonts w:cstheme="majorBidi"/>
          <w:szCs w:val="20"/>
          <w:lang w:val="en-GB"/>
        </w:rPr>
        <w:t>arties, BRS Conventions, Depositary and Office of Legal Affairs, UNEP, WTO, IMO, OHCHR, other IGOs, NGOs, private sector, COP Bureau, Implementation and Compliance Committee.</w:t>
      </w:r>
    </w:p>
    <w:p w14:paraId="0AE3B5C2" w14:textId="07F97972" w:rsidR="0090367C" w:rsidRPr="00845FB7" w:rsidRDefault="0090367C" w:rsidP="00BD36F8">
      <w:pPr>
        <w:spacing w:after="120" w:line="276" w:lineRule="auto"/>
        <w:rPr>
          <w:rFonts w:cstheme="majorBidi"/>
          <w:szCs w:val="20"/>
          <w:lang w:val="en-GB"/>
        </w:rPr>
      </w:pPr>
      <w:r w:rsidRPr="00845FB7">
        <w:rPr>
          <w:rFonts w:cstheme="majorBidi"/>
          <w:b/>
          <w:bCs/>
          <w:szCs w:val="20"/>
          <w:lang w:val="en-GB"/>
        </w:rPr>
        <w:t xml:space="preserve">Implementation of and compliance with trade related provisions: </w:t>
      </w:r>
      <w:r w:rsidR="0029051A" w:rsidRPr="00845FB7">
        <w:rPr>
          <w:rFonts w:cstheme="majorBidi"/>
          <w:szCs w:val="20"/>
          <w:lang w:val="en-GB"/>
        </w:rPr>
        <w:t>P</w:t>
      </w:r>
      <w:r w:rsidRPr="00845FB7">
        <w:rPr>
          <w:rFonts w:cstheme="majorBidi"/>
          <w:szCs w:val="20"/>
          <w:lang w:val="en-GB"/>
        </w:rPr>
        <w:t>arties, BCRCs, SCRCs, UNEP, Green Customs Initiative, INTERPOL, World Customs Organization, INECE, IMPEL, Asian Network, other IGOs and NGOs with a mandate on illegal traffic/trade issues.</w:t>
      </w:r>
    </w:p>
    <w:p w14:paraId="6E531BDF" w14:textId="2915105C" w:rsidR="0090367C" w:rsidRPr="00845FB7" w:rsidRDefault="32893100" w:rsidP="2575CD71">
      <w:pPr>
        <w:spacing w:after="120" w:line="276" w:lineRule="auto"/>
        <w:rPr>
          <w:rFonts w:cstheme="majorBidi"/>
          <w:b/>
          <w:bCs/>
          <w:lang w:val="en-GB"/>
        </w:rPr>
      </w:pPr>
      <w:r w:rsidRPr="00845FB7">
        <w:rPr>
          <w:rFonts w:cstheme="majorBidi"/>
          <w:b/>
          <w:bCs/>
          <w:lang w:val="en-GB"/>
        </w:rPr>
        <w:t>Women and children</w:t>
      </w:r>
      <w:r w:rsidR="00D53EB4">
        <w:rPr>
          <w:rFonts w:cstheme="majorBidi"/>
          <w:b/>
          <w:bCs/>
          <w:lang w:val="en-GB"/>
        </w:rPr>
        <w:t>; Indigenous Peoples</w:t>
      </w:r>
      <w:r w:rsidR="001B5AD8">
        <w:rPr>
          <w:rFonts w:cstheme="majorBidi"/>
          <w:b/>
          <w:bCs/>
          <w:lang w:val="en-GB"/>
        </w:rPr>
        <w:t>, as well as local communities</w:t>
      </w:r>
      <w:r w:rsidR="0090367C" w:rsidRPr="00845FB7">
        <w:rPr>
          <w:rFonts w:cstheme="majorBidi"/>
          <w:b/>
          <w:bCs/>
          <w:lang w:val="en-GB"/>
        </w:rPr>
        <w:t xml:space="preserve">: </w:t>
      </w:r>
      <w:r w:rsidR="13F4443A" w:rsidRPr="00845FB7">
        <w:rPr>
          <w:rFonts w:cstheme="majorBidi"/>
          <w:lang w:val="en-GB"/>
        </w:rPr>
        <w:t xml:space="preserve"> The </w:t>
      </w:r>
      <w:r w:rsidR="00D33BE7" w:rsidRPr="00845FB7">
        <w:rPr>
          <w:rFonts w:cstheme="majorBidi"/>
          <w:lang w:val="en-GB"/>
        </w:rPr>
        <w:t>S</w:t>
      </w:r>
      <w:r w:rsidR="13F4443A" w:rsidRPr="00845FB7">
        <w:rPr>
          <w:rFonts w:cstheme="majorBidi"/>
          <w:lang w:val="en-GB"/>
        </w:rPr>
        <w:t>ecretariat will promote equal participation of men and women in the work of the ICC and give due consideration to the differential needs of men, women and populations in vulnerable situations</w:t>
      </w:r>
      <w:r w:rsidR="161B72BD" w:rsidRPr="00845FB7">
        <w:rPr>
          <w:rFonts w:cstheme="majorBidi"/>
          <w:lang w:val="en-GB"/>
        </w:rPr>
        <w:t xml:space="preserve"> in the implementation of activity 14 overall. </w:t>
      </w:r>
      <w:r w:rsidR="00D33BE7" w:rsidRPr="00845FB7">
        <w:rPr>
          <w:rFonts w:cstheme="majorBidi"/>
          <w:lang w:val="en-GB"/>
        </w:rPr>
        <w:t>Listed</w:t>
      </w:r>
      <w:r w:rsidR="38FCAA18" w:rsidRPr="00845FB7">
        <w:rPr>
          <w:rFonts w:cstheme="majorBidi"/>
          <w:lang w:val="en-GB"/>
        </w:rPr>
        <w:t xml:space="preserve"> activities to address the needs of groups in vulnerable situations align with decision MC-5/15 on the gender action plan and </w:t>
      </w:r>
      <w:r w:rsidR="0073418E">
        <w:rPr>
          <w:rFonts w:cstheme="majorBidi"/>
          <w:lang w:val="en-GB"/>
        </w:rPr>
        <w:t xml:space="preserve">decision </w:t>
      </w:r>
      <w:r w:rsidR="38FCAA18" w:rsidRPr="00845FB7">
        <w:rPr>
          <w:rFonts w:cstheme="majorBidi"/>
          <w:lang w:val="en-GB"/>
        </w:rPr>
        <w:t xml:space="preserve">MC-5/1 on </w:t>
      </w:r>
      <w:r w:rsidR="4328985A" w:rsidRPr="00845FB7">
        <w:rPr>
          <w:rFonts w:cstheme="majorBidi"/>
          <w:lang w:val="en-GB"/>
        </w:rPr>
        <w:t>the effects of mercury pollution on Indigenous Peoples and on local communities.</w:t>
      </w:r>
    </w:p>
    <w:p w14:paraId="623C8258" w14:textId="3CD53C50" w:rsidR="0090367C" w:rsidRPr="00845FB7" w:rsidRDefault="0090367C" w:rsidP="00BD36F8">
      <w:pPr>
        <w:spacing w:after="120" w:line="276" w:lineRule="auto"/>
        <w:rPr>
          <w:rFonts w:cstheme="majorBidi"/>
          <w:szCs w:val="20"/>
          <w:lang w:val="en-GB"/>
        </w:rPr>
      </w:pPr>
      <w:r w:rsidRPr="00845FB7">
        <w:rPr>
          <w:rFonts w:cstheme="majorBidi"/>
          <w:szCs w:val="20"/>
          <w:lang w:val="en-GB"/>
        </w:rPr>
        <w:t>Other relevant key stakeholders, such as the IOMC organizations, Global Mercury Partnership, other multilateral environmental agreements (MEAs), UNEP Regional Offices, non-governmental organizations and private sector organizations, will also be engaged.</w:t>
      </w:r>
    </w:p>
    <w:p w14:paraId="466152A5" w14:textId="4DE04735" w:rsidR="0090367C" w:rsidRPr="00845FB7" w:rsidRDefault="0090367C" w:rsidP="0090367C">
      <w:pPr>
        <w:pStyle w:val="Heading3"/>
        <w:rPr>
          <w:sz w:val="24"/>
          <w:lang w:val="en-GB"/>
        </w:rPr>
      </w:pPr>
      <w:r w:rsidRPr="00845FB7">
        <w:rPr>
          <w:sz w:val="24"/>
          <w:lang w:val="en-GB"/>
        </w:rPr>
        <w:t>Socio-economic aspects</w:t>
      </w:r>
    </w:p>
    <w:p w14:paraId="1EAC5444" w14:textId="77777777" w:rsidR="0090367C" w:rsidRPr="00845FB7" w:rsidRDefault="0090367C"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All four parts of this activity will contribute to the implementation of the 2030 Agenda for Sustainable Development and the Sustainable Development Goals (SDGs), in particular, Goal 3 on ensuring healthy lives and promoting well-being for all at all ages; Goal 11 on making cities and human settlements inclusive, safe, resilient and sustainable; and Goal 12 on ensuring sustainable consumption and production patterns. Significant contributions will be made to the Goal 5 on Gender Equality.</w:t>
      </w:r>
    </w:p>
    <w:p w14:paraId="17FD7F1F" w14:textId="2C93793A" w:rsidR="0090367C" w:rsidRPr="00845FB7" w:rsidRDefault="0090367C" w:rsidP="00BD36F8">
      <w:pPr>
        <w:spacing w:after="120" w:line="276" w:lineRule="auto"/>
        <w:rPr>
          <w:rFonts w:cstheme="majorBidi"/>
          <w:szCs w:val="20"/>
          <w:lang w:val="en-GB"/>
        </w:rPr>
      </w:pPr>
      <w:r w:rsidRPr="00845FB7">
        <w:rPr>
          <w:rFonts w:cstheme="majorBidi"/>
          <w:b/>
          <w:bCs/>
          <w:szCs w:val="20"/>
          <w:lang w:val="en-GB"/>
        </w:rPr>
        <w:t xml:space="preserve">Integrated approach: </w:t>
      </w:r>
      <w:r w:rsidRPr="00845FB7">
        <w:rPr>
          <w:rFonts w:cstheme="majorBidi"/>
          <w:szCs w:val="20"/>
          <w:lang w:val="en-GB"/>
        </w:rPr>
        <w:t xml:space="preserve">All four parts of this activity can contribute to </w:t>
      </w:r>
      <w:proofErr w:type="spellStart"/>
      <w:r w:rsidRPr="00845FB7">
        <w:rPr>
          <w:rFonts w:cstheme="majorBidi"/>
          <w:szCs w:val="20"/>
          <w:lang w:val="en-GB"/>
        </w:rPr>
        <w:t>catalyzing</w:t>
      </w:r>
      <w:proofErr w:type="spellEnd"/>
      <w:r w:rsidRPr="00845FB7">
        <w:rPr>
          <w:rFonts w:cstheme="majorBidi"/>
          <w:szCs w:val="20"/>
          <w:lang w:val="en-GB"/>
        </w:rPr>
        <w:t xml:space="preserve"> coordination among relevant stakeholders within </w:t>
      </w:r>
      <w:r w:rsidR="00AE24F8" w:rsidRPr="00845FB7">
        <w:rPr>
          <w:rFonts w:cstheme="majorBidi"/>
          <w:szCs w:val="20"/>
          <w:lang w:val="en-GB"/>
        </w:rPr>
        <w:t>P</w:t>
      </w:r>
      <w:r w:rsidRPr="00845FB7">
        <w:rPr>
          <w:rFonts w:cstheme="majorBidi"/>
          <w:szCs w:val="20"/>
          <w:lang w:val="en-GB"/>
        </w:rPr>
        <w:t xml:space="preserve">arties, including civil society and </w:t>
      </w:r>
      <w:r w:rsidR="006D648D">
        <w:rPr>
          <w:rFonts w:cstheme="majorBidi"/>
          <w:szCs w:val="20"/>
          <w:lang w:val="en-GB"/>
        </w:rPr>
        <w:t xml:space="preserve">the </w:t>
      </w:r>
      <w:r w:rsidRPr="00845FB7">
        <w:rPr>
          <w:rFonts w:cstheme="majorBidi"/>
          <w:szCs w:val="20"/>
          <w:lang w:val="en-GB"/>
        </w:rPr>
        <w:t>private sector, as relevant, for an improved implementation and compliance with the Convention.</w:t>
      </w:r>
    </w:p>
    <w:p w14:paraId="7302760A" w14:textId="52B97CA5" w:rsidR="0090367C" w:rsidRPr="00845FB7" w:rsidRDefault="0090367C" w:rsidP="0090367C">
      <w:pPr>
        <w:jc w:val="left"/>
        <w:rPr>
          <w:rFonts w:cstheme="majorBidi"/>
          <w:szCs w:val="20"/>
          <w:lang w:val="en-GB"/>
        </w:rPr>
      </w:pPr>
    </w:p>
    <w:p w14:paraId="774F1D07" w14:textId="77777777" w:rsidR="00916316" w:rsidRPr="00845FB7" w:rsidRDefault="00916316" w:rsidP="0090367C">
      <w:pPr>
        <w:spacing w:line="276" w:lineRule="auto"/>
        <w:rPr>
          <w:rFonts w:cstheme="majorBidi"/>
          <w:szCs w:val="20"/>
          <w:lang w:val="en-GB"/>
        </w:rPr>
        <w:sectPr w:rsidR="00916316" w:rsidRPr="00845FB7" w:rsidSect="00FF568B">
          <w:headerReference w:type="first" r:id="rId84"/>
          <w:footerReference w:type="first" r:id="rId85"/>
          <w:pgSz w:w="11906" w:h="16838" w:code="9"/>
          <w:pgMar w:top="907" w:right="992" w:bottom="1418" w:left="1418" w:header="539" w:footer="975" w:gutter="0"/>
          <w:cols w:space="708"/>
          <w:titlePg/>
          <w:docGrid w:linePitch="360"/>
        </w:sectPr>
      </w:pPr>
    </w:p>
    <w:p w14:paraId="61AABF0D" w14:textId="7C1A0A41" w:rsidR="005375F5" w:rsidRPr="00845FB7" w:rsidRDefault="00A10E4D" w:rsidP="00BD36F8">
      <w:pPr>
        <w:pStyle w:val="Heading3"/>
        <w:rPr>
          <w:bCs/>
          <w:sz w:val="24"/>
          <w:lang w:val="en-GB"/>
        </w:rPr>
      </w:pPr>
      <w:r w:rsidRPr="00845FB7">
        <w:rPr>
          <w:bCs/>
          <w:sz w:val="24"/>
          <w:lang w:val="en-GB"/>
        </w:rPr>
        <w:lastRenderedPageBreak/>
        <w:t>Resources</w:t>
      </w:r>
      <w:r w:rsidRPr="00845FB7">
        <w:rPr>
          <w:sz w:val="24"/>
          <w:lang w:val="en-GB"/>
        </w:rPr>
        <w:t xml:space="preserve"> </w:t>
      </w:r>
      <w:r w:rsidR="0073418E">
        <w:rPr>
          <w:sz w:val="24"/>
          <w:lang w:val="en-GB"/>
        </w:rPr>
        <w:t>r</w:t>
      </w:r>
      <w:r w:rsidRPr="00845FB7">
        <w:rPr>
          <w:sz w:val="24"/>
          <w:lang w:val="en-GB"/>
        </w:rPr>
        <w:t>equirement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992"/>
        <w:gridCol w:w="709"/>
        <w:gridCol w:w="851"/>
        <w:gridCol w:w="992"/>
        <w:gridCol w:w="850"/>
        <w:gridCol w:w="851"/>
        <w:gridCol w:w="709"/>
        <w:gridCol w:w="708"/>
        <w:gridCol w:w="993"/>
        <w:gridCol w:w="992"/>
        <w:gridCol w:w="850"/>
        <w:gridCol w:w="851"/>
      </w:tblGrid>
      <w:tr w:rsidR="00E81C69" w:rsidRPr="00F83634" w14:paraId="443B78D8" w14:textId="77777777" w:rsidTr="00F83634">
        <w:trPr>
          <w:trHeight w:val="303"/>
        </w:trPr>
        <w:tc>
          <w:tcPr>
            <w:tcW w:w="4106" w:type="dxa"/>
            <w:vMerge w:val="restart"/>
            <w:noWrap/>
            <w:vAlign w:val="center"/>
            <w:hideMark/>
          </w:tcPr>
          <w:p w14:paraId="047AF09B" w14:textId="77777777"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Activity/Output</w:t>
            </w:r>
          </w:p>
        </w:tc>
        <w:tc>
          <w:tcPr>
            <w:tcW w:w="5245" w:type="dxa"/>
            <w:gridSpan w:val="6"/>
            <w:noWrap/>
            <w:vAlign w:val="center"/>
            <w:hideMark/>
          </w:tcPr>
          <w:p w14:paraId="7B6D1C5B" w14:textId="00F0F1A8"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5 per cent scenario (</w:t>
            </w:r>
            <w:r w:rsidR="00E2051A" w:rsidRPr="00F83634">
              <w:rPr>
                <w:rFonts w:eastAsia="Times New Roman" w:cstheme="majorBidi"/>
                <w:b/>
                <w:bCs/>
                <w:color w:val="000000"/>
                <w:sz w:val="16"/>
                <w:szCs w:val="16"/>
                <w:lang w:val="en-GB"/>
              </w:rPr>
              <w:t>2026–2027</w:t>
            </w:r>
            <w:r w:rsidRPr="00F83634">
              <w:rPr>
                <w:rFonts w:eastAsia="Times New Roman" w:cstheme="majorBidi"/>
                <w:b/>
                <w:bCs/>
                <w:color w:val="000000"/>
                <w:sz w:val="16"/>
                <w:szCs w:val="16"/>
                <w:lang w:val="en-GB"/>
              </w:rPr>
              <w:t>)</w:t>
            </w:r>
          </w:p>
        </w:tc>
        <w:tc>
          <w:tcPr>
            <w:tcW w:w="5103" w:type="dxa"/>
            <w:gridSpan w:val="6"/>
            <w:noWrap/>
            <w:vAlign w:val="center"/>
            <w:hideMark/>
          </w:tcPr>
          <w:p w14:paraId="23E5DC27" w14:textId="066AB853"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Zero nominal growth scenario (</w:t>
            </w:r>
            <w:r w:rsidR="00E2051A" w:rsidRPr="00F83634">
              <w:rPr>
                <w:rFonts w:eastAsia="Times New Roman" w:cstheme="majorBidi"/>
                <w:b/>
                <w:bCs/>
                <w:color w:val="000000"/>
                <w:sz w:val="16"/>
                <w:szCs w:val="16"/>
                <w:lang w:val="en-GB"/>
              </w:rPr>
              <w:t>2026–2027</w:t>
            </w:r>
            <w:r w:rsidRPr="00F83634">
              <w:rPr>
                <w:rFonts w:eastAsia="Times New Roman" w:cstheme="majorBidi"/>
                <w:b/>
                <w:bCs/>
                <w:color w:val="000000"/>
                <w:sz w:val="16"/>
                <w:szCs w:val="16"/>
                <w:lang w:val="en-GB"/>
              </w:rPr>
              <w:t>)</w:t>
            </w:r>
          </w:p>
        </w:tc>
      </w:tr>
      <w:tr w:rsidR="00295CD0" w:rsidRPr="00F83634" w14:paraId="499BA0DC" w14:textId="77777777" w:rsidTr="00F83634">
        <w:trPr>
          <w:trHeight w:val="303"/>
        </w:trPr>
        <w:tc>
          <w:tcPr>
            <w:tcW w:w="4106" w:type="dxa"/>
            <w:vMerge/>
            <w:vAlign w:val="center"/>
            <w:hideMark/>
          </w:tcPr>
          <w:p w14:paraId="3897C48B" w14:textId="77777777" w:rsidR="00AA3B4E" w:rsidRPr="00F83634" w:rsidRDefault="00AA3B4E" w:rsidP="00052C6F">
            <w:pPr>
              <w:spacing w:after="0" w:line="240" w:lineRule="auto"/>
              <w:contextualSpacing/>
              <w:jc w:val="left"/>
              <w:rPr>
                <w:rFonts w:eastAsia="Times New Roman" w:cstheme="majorBidi"/>
                <w:b/>
                <w:bCs/>
                <w:color w:val="000000"/>
                <w:sz w:val="16"/>
                <w:szCs w:val="16"/>
                <w:lang w:val="en-GB"/>
              </w:rPr>
            </w:pPr>
          </w:p>
        </w:tc>
        <w:tc>
          <w:tcPr>
            <w:tcW w:w="2552" w:type="dxa"/>
            <w:gridSpan w:val="3"/>
            <w:vAlign w:val="center"/>
            <w:hideMark/>
          </w:tcPr>
          <w:p w14:paraId="315BECAD" w14:textId="77777777"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General trust fund</w:t>
            </w:r>
          </w:p>
        </w:tc>
        <w:tc>
          <w:tcPr>
            <w:tcW w:w="2693" w:type="dxa"/>
            <w:gridSpan w:val="3"/>
            <w:vAlign w:val="center"/>
          </w:tcPr>
          <w:p w14:paraId="2E937D12" w14:textId="77777777"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Special trust fund</w:t>
            </w:r>
          </w:p>
        </w:tc>
        <w:tc>
          <w:tcPr>
            <w:tcW w:w="2410" w:type="dxa"/>
            <w:gridSpan w:val="3"/>
            <w:vAlign w:val="center"/>
            <w:hideMark/>
          </w:tcPr>
          <w:p w14:paraId="6B31D54E" w14:textId="77777777"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General trust fund</w:t>
            </w:r>
          </w:p>
        </w:tc>
        <w:tc>
          <w:tcPr>
            <w:tcW w:w="2693" w:type="dxa"/>
            <w:gridSpan w:val="3"/>
            <w:vAlign w:val="center"/>
          </w:tcPr>
          <w:p w14:paraId="71D11342" w14:textId="77777777"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Special trust fund</w:t>
            </w:r>
          </w:p>
        </w:tc>
      </w:tr>
      <w:tr w:rsidR="00761007" w:rsidRPr="00F83634" w14:paraId="5B5D7B9F" w14:textId="77777777" w:rsidTr="00F83634">
        <w:trPr>
          <w:trHeight w:val="546"/>
        </w:trPr>
        <w:tc>
          <w:tcPr>
            <w:tcW w:w="4106" w:type="dxa"/>
            <w:noWrap/>
            <w:vAlign w:val="center"/>
            <w:hideMark/>
          </w:tcPr>
          <w:p w14:paraId="3D3D7787" w14:textId="77777777"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 </w:t>
            </w:r>
          </w:p>
        </w:tc>
        <w:tc>
          <w:tcPr>
            <w:tcW w:w="992" w:type="dxa"/>
            <w:vAlign w:val="center"/>
            <w:hideMark/>
          </w:tcPr>
          <w:p w14:paraId="7A1F4BAF" w14:textId="031CD7A8"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6</w:t>
            </w:r>
          </w:p>
        </w:tc>
        <w:tc>
          <w:tcPr>
            <w:tcW w:w="709" w:type="dxa"/>
            <w:vAlign w:val="center"/>
            <w:hideMark/>
          </w:tcPr>
          <w:p w14:paraId="1DA76A05" w14:textId="66805E32"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7</w:t>
            </w:r>
          </w:p>
        </w:tc>
        <w:tc>
          <w:tcPr>
            <w:tcW w:w="851" w:type="dxa"/>
            <w:vAlign w:val="center"/>
            <w:hideMark/>
          </w:tcPr>
          <w:p w14:paraId="3A9AF598" w14:textId="4A26A0A4"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 xml:space="preserve">Total </w:t>
            </w:r>
            <w:r w:rsidRPr="00F83634">
              <w:rPr>
                <w:rFonts w:eastAsia="Times New Roman" w:cstheme="majorBidi"/>
                <w:b/>
                <w:bCs/>
                <w:color w:val="000000"/>
                <w:sz w:val="16"/>
                <w:szCs w:val="16"/>
                <w:lang w:val="en-GB"/>
              </w:rPr>
              <w:br/>
              <w:t>(</w:t>
            </w:r>
            <w:r w:rsidR="00E2051A" w:rsidRPr="00F83634">
              <w:rPr>
                <w:rFonts w:eastAsia="Times New Roman" w:cstheme="majorBidi"/>
                <w:b/>
                <w:bCs/>
                <w:color w:val="000000"/>
                <w:sz w:val="16"/>
                <w:szCs w:val="16"/>
                <w:lang w:val="en-GB"/>
              </w:rPr>
              <w:t>2026–2027</w:t>
            </w:r>
            <w:r w:rsidRPr="00F83634">
              <w:rPr>
                <w:rFonts w:eastAsia="Times New Roman" w:cstheme="majorBidi"/>
                <w:b/>
                <w:bCs/>
                <w:color w:val="000000"/>
                <w:sz w:val="16"/>
                <w:szCs w:val="16"/>
                <w:lang w:val="en-GB"/>
              </w:rPr>
              <w:t>)</w:t>
            </w:r>
          </w:p>
        </w:tc>
        <w:tc>
          <w:tcPr>
            <w:tcW w:w="992" w:type="dxa"/>
            <w:vAlign w:val="center"/>
            <w:hideMark/>
          </w:tcPr>
          <w:p w14:paraId="65CC8F66" w14:textId="37054861"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6</w:t>
            </w:r>
          </w:p>
        </w:tc>
        <w:tc>
          <w:tcPr>
            <w:tcW w:w="850" w:type="dxa"/>
            <w:vAlign w:val="center"/>
            <w:hideMark/>
          </w:tcPr>
          <w:p w14:paraId="73A62B52" w14:textId="2C1F5844"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7</w:t>
            </w:r>
          </w:p>
        </w:tc>
        <w:tc>
          <w:tcPr>
            <w:tcW w:w="851" w:type="dxa"/>
            <w:vAlign w:val="center"/>
            <w:hideMark/>
          </w:tcPr>
          <w:p w14:paraId="48D8DEE0" w14:textId="258D2E8F"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 xml:space="preserve">Total </w:t>
            </w:r>
            <w:r w:rsidRPr="00F83634">
              <w:rPr>
                <w:rFonts w:eastAsia="Times New Roman" w:cstheme="majorBidi"/>
                <w:b/>
                <w:bCs/>
                <w:color w:val="000000"/>
                <w:sz w:val="16"/>
                <w:szCs w:val="16"/>
                <w:lang w:val="en-GB"/>
              </w:rPr>
              <w:br/>
              <w:t>(</w:t>
            </w:r>
            <w:r w:rsidR="00E2051A" w:rsidRPr="00F83634">
              <w:rPr>
                <w:rFonts w:eastAsia="Times New Roman" w:cstheme="majorBidi"/>
                <w:b/>
                <w:bCs/>
                <w:color w:val="000000"/>
                <w:sz w:val="16"/>
                <w:szCs w:val="16"/>
                <w:lang w:val="en-GB"/>
              </w:rPr>
              <w:t>2026–2027</w:t>
            </w:r>
            <w:r w:rsidRPr="00F83634">
              <w:rPr>
                <w:rFonts w:eastAsia="Times New Roman" w:cstheme="majorBidi"/>
                <w:b/>
                <w:bCs/>
                <w:color w:val="000000"/>
                <w:sz w:val="16"/>
                <w:szCs w:val="16"/>
                <w:lang w:val="en-GB"/>
              </w:rPr>
              <w:t>)</w:t>
            </w:r>
          </w:p>
        </w:tc>
        <w:tc>
          <w:tcPr>
            <w:tcW w:w="709" w:type="dxa"/>
            <w:vAlign w:val="center"/>
            <w:hideMark/>
          </w:tcPr>
          <w:p w14:paraId="42EB1B68" w14:textId="7B4F3A41"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6</w:t>
            </w:r>
          </w:p>
        </w:tc>
        <w:tc>
          <w:tcPr>
            <w:tcW w:w="708" w:type="dxa"/>
            <w:vAlign w:val="center"/>
            <w:hideMark/>
          </w:tcPr>
          <w:p w14:paraId="50872B10" w14:textId="742542B6"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7</w:t>
            </w:r>
          </w:p>
        </w:tc>
        <w:tc>
          <w:tcPr>
            <w:tcW w:w="993" w:type="dxa"/>
            <w:vAlign w:val="center"/>
            <w:hideMark/>
          </w:tcPr>
          <w:p w14:paraId="6C8BED2F" w14:textId="11BF30AF"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 xml:space="preserve">Total </w:t>
            </w:r>
            <w:r w:rsidRPr="00F83634">
              <w:rPr>
                <w:rFonts w:eastAsia="Times New Roman" w:cstheme="majorBidi"/>
                <w:b/>
                <w:bCs/>
                <w:color w:val="000000"/>
                <w:sz w:val="16"/>
                <w:szCs w:val="16"/>
                <w:lang w:val="en-GB"/>
              </w:rPr>
              <w:br/>
              <w:t>(</w:t>
            </w:r>
            <w:r w:rsidR="00E2051A" w:rsidRPr="00F83634">
              <w:rPr>
                <w:rFonts w:eastAsia="Times New Roman" w:cstheme="majorBidi"/>
                <w:b/>
                <w:bCs/>
                <w:color w:val="000000"/>
                <w:sz w:val="16"/>
                <w:szCs w:val="16"/>
                <w:lang w:val="en-GB"/>
              </w:rPr>
              <w:t>2026–2027</w:t>
            </w:r>
            <w:r w:rsidRPr="00F83634">
              <w:rPr>
                <w:rFonts w:eastAsia="Times New Roman" w:cstheme="majorBidi"/>
                <w:b/>
                <w:bCs/>
                <w:color w:val="000000"/>
                <w:sz w:val="16"/>
                <w:szCs w:val="16"/>
                <w:lang w:val="en-GB"/>
              </w:rPr>
              <w:t>)</w:t>
            </w:r>
          </w:p>
        </w:tc>
        <w:tc>
          <w:tcPr>
            <w:tcW w:w="992" w:type="dxa"/>
            <w:vAlign w:val="center"/>
            <w:hideMark/>
          </w:tcPr>
          <w:p w14:paraId="4F172540" w14:textId="21AD53D3"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6</w:t>
            </w:r>
          </w:p>
        </w:tc>
        <w:tc>
          <w:tcPr>
            <w:tcW w:w="850" w:type="dxa"/>
            <w:vAlign w:val="center"/>
            <w:hideMark/>
          </w:tcPr>
          <w:p w14:paraId="45FCE7C9" w14:textId="656B1FAF"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202</w:t>
            </w:r>
            <w:r w:rsidR="00D800EE" w:rsidRPr="00F83634">
              <w:rPr>
                <w:rFonts w:eastAsia="Times New Roman" w:cstheme="majorBidi"/>
                <w:b/>
                <w:bCs/>
                <w:color w:val="000000"/>
                <w:sz w:val="16"/>
                <w:szCs w:val="16"/>
                <w:lang w:val="en-GB"/>
              </w:rPr>
              <w:t>7</w:t>
            </w:r>
          </w:p>
        </w:tc>
        <w:tc>
          <w:tcPr>
            <w:tcW w:w="851" w:type="dxa"/>
            <w:vAlign w:val="center"/>
            <w:hideMark/>
          </w:tcPr>
          <w:p w14:paraId="1254D434" w14:textId="271B344F" w:rsidR="00AA3B4E" w:rsidRPr="00F83634" w:rsidRDefault="00AA3B4E" w:rsidP="00052C6F">
            <w:pPr>
              <w:spacing w:after="0" w:line="240" w:lineRule="auto"/>
              <w:contextualSpacing/>
              <w:jc w:val="center"/>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 xml:space="preserve">Total </w:t>
            </w:r>
            <w:r w:rsidRPr="00F83634">
              <w:rPr>
                <w:rFonts w:eastAsia="Times New Roman" w:cstheme="majorBidi"/>
                <w:b/>
                <w:bCs/>
                <w:color w:val="000000"/>
                <w:sz w:val="16"/>
                <w:szCs w:val="16"/>
                <w:lang w:val="en-GB"/>
              </w:rPr>
              <w:br/>
              <w:t>(</w:t>
            </w:r>
            <w:r w:rsidR="00E2051A" w:rsidRPr="00F83634">
              <w:rPr>
                <w:rFonts w:eastAsia="Times New Roman" w:cstheme="majorBidi"/>
                <w:b/>
                <w:bCs/>
                <w:color w:val="000000"/>
                <w:sz w:val="16"/>
                <w:szCs w:val="16"/>
                <w:lang w:val="en-GB"/>
              </w:rPr>
              <w:t>2026–2027</w:t>
            </w:r>
            <w:r w:rsidRPr="00F83634">
              <w:rPr>
                <w:rFonts w:eastAsia="Times New Roman" w:cstheme="majorBidi"/>
                <w:b/>
                <w:bCs/>
                <w:color w:val="000000"/>
                <w:sz w:val="16"/>
                <w:szCs w:val="16"/>
                <w:lang w:val="en-GB"/>
              </w:rPr>
              <w:t>)</w:t>
            </w:r>
          </w:p>
        </w:tc>
      </w:tr>
      <w:tr w:rsidR="00E81C69" w:rsidRPr="00F83634" w14:paraId="70E01484" w14:textId="77777777" w:rsidTr="00F83634">
        <w:trPr>
          <w:trHeight w:val="303"/>
        </w:trPr>
        <w:tc>
          <w:tcPr>
            <w:tcW w:w="14454" w:type="dxa"/>
            <w:gridSpan w:val="13"/>
            <w:noWrap/>
            <w:vAlign w:val="center"/>
            <w:hideMark/>
          </w:tcPr>
          <w:p w14:paraId="2C5C6D76" w14:textId="77777777" w:rsidR="00AA3B4E" w:rsidRPr="00F83634" w:rsidRDefault="00AA3B4E" w:rsidP="00052C6F">
            <w:pPr>
              <w:spacing w:after="0" w:line="240" w:lineRule="auto"/>
              <w:contextualSpacing/>
              <w:jc w:val="left"/>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 xml:space="preserve">14. </w:t>
            </w:r>
            <w:r w:rsidRPr="00F83634">
              <w:rPr>
                <w:rFonts w:cstheme="majorBidi"/>
                <w:b/>
                <w:bCs/>
                <w:sz w:val="16"/>
                <w:szCs w:val="16"/>
                <w:lang w:val="en-GB"/>
              </w:rPr>
              <w:t xml:space="preserve"> </w:t>
            </w:r>
            <w:r w:rsidRPr="00F83634">
              <w:rPr>
                <w:rFonts w:eastAsia="Times New Roman" w:cstheme="majorBidi"/>
                <w:b/>
                <w:bCs/>
                <w:color w:val="000000"/>
                <w:sz w:val="16"/>
                <w:szCs w:val="16"/>
                <w:lang w:val="en-GB"/>
              </w:rPr>
              <w:t>Legal and Policy Activities</w:t>
            </w:r>
          </w:p>
        </w:tc>
      </w:tr>
      <w:tr w:rsidR="00E81C69" w:rsidRPr="00F83634" w14:paraId="4D53D861" w14:textId="77777777" w:rsidTr="00F83634">
        <w:trPr>
          <w:trHeight w:val="303"/>
        </w:trPr>
        <w:tc>
          <w:tcPr>
            <w:tcW w:w="14454" w:type="dxa"/>
            <w:gridSpan w:val="13"/>
            <w:noWrap/>
            <w:vAlign w:val="center"/>
            <w:hideMark/>
          </w:tcPr>
          <w:p w14:paraId="5F80052F" w14:textId="77777777" w:rsidR="00AA3B4E" w:rsidRPr="00F83634" w:rsidRDefault="00AA3B4E" w:rsidP="00052C6F">
            <w:pPr>
              <w:spacing w:after="0" w:line="240" w:lineRule="auto"/>
              <w:contextualSpacing/>
              <w:jc w:val="left"/>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 xml:space="preserve">14.1.    </w:t>
            </w:r>
            <w:r w:rsidRPr="00F83634">
              <w:rPr>
                <w:rFonts w:cstheme="majorBidi"/>
                <w:b/>
                <w:bCs/>
                <w:sz w:val="16"/>
                <w:szCs w:val="16"/>
                <w:lang w:val="en-GB"/>
              </w:rPr>
              <w:t xml:space="preserve"> </w:t>
            </w:r>
            <w:r w:rsidRPr="00F83634">
              <w:rPr>
                <w:rFonts w:eastAsia="Times New Roman" w:cstheme="majorBidi"/>
                <w:b/>
                <w:bCs/>
                <w:color w:val="000000"/>
                <w:sz w:val="16"/>
                <w:szCs w:val="16"/>
                <w:lang w:val="en-GB"/>
              </w:rPr>
              <w:t>Implementation and Compliance Committee</w:t>
            </w:r>
          </w:p>
        </w:tc>
      </w:tr>
      <w:tr w:rsidR="00761007" w:rsidRPr="00F83634" w14:paraId="48F0B0BB" w14:textId="77777777" w:rsidTr="00F83634">
        <w:trPr>
          <w:trHeight w:val="425"/>
        </w:trPr>
        <w:tc>
          <w:tcPr>
            <w:tcW w:w="4106" w:type="dxa"/>
            <w:vAlign w:val="center"/>
            <w:hideMark/>
          </w:tcPr>
          <w:p w14:paraId="24A0E831"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r w:rsidRPr="00F83634">
              <w:rPr>
                <w:rFonts w:eastAsia="Times New Roman" w:cstheme="majorBidi"/>
                <w:color w:val="000000"/>
                <w:sz w:val="16"/>
                <w:szCs w:val="16"/>
                <w:lang w:val="en-GB"/>
              </w:rPr>
              <w:t xml:space="preserve">Work programme of the ICC </w:t>
            </w:r>
          </w:p>
        </w:tc>
        <w:tc>
          <w:tcPr>
            <w:tcW w:w="992" w:type="dxa"/>
            <w:noWrap/>
            <w:vAlign w:val="center"/>
            <w:hideMark/>
          </w:tcPr>
          <w:p w14:paraId="4BF8694E"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color w:val="000000"/>
                <w:sz w:val="16"/>
                <w:szCs w:val="16"/>
                <w:lang w:val="en-GB"/>
              </w:rPr>
              <w:t> </w:t>
            </w:r>
          </w:p>
        </w:tc>
        <w:tc>
          <w:tcPr>
            <w:tcW w:w="709" w:type="dxa"/>
            <w:noWrap/>
            <w:vAlign w:val="center"/>
            <w:hideMark/>
          </w:tcPr>
          <w:p w14:paraId="13ECB672"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hideMark/>
          </w:tcPr>
          <w:p w14:paraId="7B1FF67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hideMark/>
          </w:tcPr>
          <w:p w14:paraId="143F6F9A"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hideMark/>
          </w:tcPr>
          <w:p w14:paraId="60A9334C"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hideMark/>
          </w:tcPr>
          <w:p w14:paraId="5621C7F8"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hideMark/>
          </w:tcPr>
          <w:p w14:paraId="69015B5E"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color w:val="000000"/>
                <w:sz w:val="16"/>
                <w:szCs w:val="16"/>
                <w:lang w:val="en-GB"/>
              </w:rPr>
              <w:t> </w:t>
            </w:r>
          </w:p>
        </w:tc>
        <w:tc>
          <w:tcPr>
            <w:tcW w:w="708" w:type="dxa"/>
            <w:noWrap/>
            <w:vAlign w:val="center"/>
            <w:hideMark/>
          </w:tcPr>
          <w:p w14:paraId="741B2306"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hideMark/>
          </w:tcPr>
          <w:p w14:paraId="501BA360"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hideMark/>
          </w:tcPr>
          <w:p w14:paraId="4F578000"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hideMark/>
          </w:tcPr>
          <w:p w14:paraId="6AD66FF1"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hideMark/>
          </w:tcPr>
          <w:p w14:paraId="3F9158A0"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r>
      <w:tr w:rsidR="00761007" w:rsidRPr="00F83634" w14:paraId="59910BCB" w14:textId="77777777" w:rsidTr="00F83634">
        <w:trPr>
          <w:trHeight w:val="368"/>
        </w:trPr>
        <w:tc>
          <w:tcPr>
            <w:tcW w:w="4106" w:type="dxa"/>
            <w:noWrap/>
            <w:vAlign w:val="center"/>
            <w:hideMark/>
          </w:tcPr>
          <w:p w14:paraId="4FB5407C" w14:textId="77777777" w:rsidR="00AA3B4E" w:rsidRPr="00F83634" w:rsidRDefault="00AA3B4E" w:rsidP="002A243F">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Component total</w:t>
            </w:r>
          </w:p>
        </w:tc>
        <w:tc>
          <w:tcPr>
            <w:tcW w:w="992" w:type="dxa"/>
            <w:noWrap/>
            <w:vAlign w:val="center"/>
            <w:hideMark/>
          </w:tcPr>
          <w:p w14:paraId="7777BFF7"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color w:val="000000"/>
                <w:sz w:val="16"/>
                <w:szCs w:val="16"/>
                <w:lang w:val="en-GB"/>
              </w:rPr>
              <w:t> </w:t>
            </w:r>
          </w:p>
        </w:tc>
        <w:tc>
          <w:tcPr>
            <w:tcW w:w="709" w:type="dxa"/>
            <w:noWrap/>
            <w:vAlign w:val="center"/>
            <w:hideMark/>
          </w:tcPr>
          <w:p w14:paraId="480C6EA6"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hideMark/>
          </w:tcPr>
          <w:p w14:paraId="1FFDC354"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hideMark/>
          </w:tcPr>
          <w:p w14:paraId="653B2C01"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hideMark/>
          </w:tcPr>
          <w:p w14:paraId="2A140EF0"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hideMark/>
          </w:tcPr>
          <w:p w14:paraId="5E8DC83B"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hideMark/>
          </w:tcPr>
          <w:p w14:paraId="00475E5F"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r w:rsidRPr="00F83634">
              <w:rPr>
                <w:rFonts w:eastAsia="Times New Roman" w:cstheme="majorBidi"/>
                <w:color w:val="000000"/>
                <w:sz w:val="16"/>
                <w:szCs w:val="16"/>
                <w:lang w:val="en-GB"/>
              </w:rPr>
              <w:t xml:space="preserve">              </w:t>
            </w:r>
          </w:p>
        </w:tc>
        <w:tc>
          <w:tcPr>
            <w:tcW w:w="708" w:type="dxa"/>
            <w:noWrap/>
            <w:vAlign w:val="center"/>
            <w:hideMark/>
          </w:tcPr>
          <w:p w14:paraId="4CFC1B4F"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hideMark/>
          </w:tcPr>
          <w:p w14:paraId="7EB07366"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hideMark/>
          </w:tcPr>
          <w:p w14:paraId="52480624"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hideMark/>
          </w:tcPr>
          <w:p w14:paraId="3020771C"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hideMark/>
          </w:tcPr>
          <w:p w14:paraId="68863374"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r>
      <w:tr w:rsidR="00761007" w:rsidRPr="00F83634" w14:paraId="7A415BC9" w14:textId="77777777" w:rsidTr="00F83634">
        <w:trPr>
          <w:trHeight w:val="368"/>
        </w:trPr>
        <w:tc>
          <w:tcPr>
            <w:tcW w:w="4106" w:type="dxa"/>
            <w:noWrap/>
            <w:vAlign w:val="center"/>
          </w:tcPr>
          <w:p w14:paraId="26228FC5" w14:textId="53FD7920" w:rsidR="00AA3B4E" w:rsidRPr="00F83634" w:rsidRDefault="39594CA0" w:rsidP="02FCE7CC">
            <w:pPr>
              <w:spacing w:after="0" w:line="240" w:lineRule="auto"/>
              <w:contextualSpacing/>
              <w:jc w:val="left"/>
              <w:rPr>
                <w:rFonts w:eastAsia="Times New Roman" w:cstheme="majorBidi"/>
                <w:b/>
                <w:bCs/>
                <w:color w:val="000000"/>
                <w:sz w:val="16"/>
                <w:szCs w:val="16"/>
                <w:lang w:val="en-GB"/>
              </w:rPr>
            </w:pPr>
            <w:r w:rsidRPr="00F83634">
              <w:rPr>
                <w:rFonts w:eastAsia="Times New Roman" w:cstheme="majorBidi"/>
                <w:b/>
                <w:bCs/>
                <w:color w:val="000000" w:themeColor="text1"/>
                <w:sz w:val="16"/>
                <w:szCs w:val="16"/>
                <w:lang w:val="en-GB"/>
              </w:rPr>
              <w:t xml:space="preserve">14.2. </w:t>
            </w:r>
            <w:r w:rsidR="45EFA258" w:rsidRPr="00F83634">
              <w:rPr>
                <w:rFonts w:eastAsia="Times New Roman" w:cstheme="majorBidi"/>
                <w:b/>
                <w:bCs/>
                <w:color w:val="000000" w:themeColor="text1"/>
                <w:sz w:val="16"/>
                <w:szCs w:val="16"/>
                <w:lang w:val="en-GB"/>
              </w:rPr>
              <w:t>L</w:t>
            </w:r>
            <w:r w:rsidRPr="00F83634">
              <w:rPr>
                <w:rFonts w:eastAsia="Times New Roman" w:cstheme="majorBidi"/>
                <w:b/>
                <w:bCs/>
                <w:color w:val="000000" w:themeColor="text1"/>
                <w:sz w:val="16"/>
                <w:szCs w:val="16"/>
                <w:lang w:val="en-GB"/>
              </w:rPr>
              <w:t xml:space="preserve">egal activities </w:t>
            </w:r>
          </w:p>
        </w:tc>
        <w:tc>
          <w:tcPr>
            <w:tcW w:w="992" w:type="dxa"/>
            <w:noWrap/>
            <w:vAlign w:val="center"/>
          </w:tcPr>
          <w:p w14:paraId="16F231BD"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646AE9D6"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7499B033"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47097F3A"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5262A0B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2CBCAC14"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5D22510F"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p>
        </w:tc>
        <w:tc>
          <w:tcPr>
            <w:tcW w:w="708" w:type="dxa"/>
            <w:noWrap/>
            <w:vAlign w:val="center"/>
          </w:tcPr>
          <w:p w14:paraId="088C8578"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11E8F7FB"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317E122E"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4C8C38D1"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3A6C760E"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r>
      <w:tr w:rsidR="00761007" w:rsidRPr="00F83634" w14:paraId="30F695D0" w14:textId="77777777" w:rsidTr="00F83634">
        <w:trPr>
          <w:trHeight w:val="368"/>
        </w:trPr>
        <w:tc>
          <w:tcPr>
            <w:tcW w:w="4106" w:type="dxa"/>
            <w:noWrap/>
            <w:vAlign w:val="center"/>
          </w:tcPr>
          <w:p w14:paraId="213603C6" w14:textId="77777777" w:rsidR="00AA3B4E" w:rsidRPr="00F83634" w:rsidRDefault="00AA3B4E" w:rsidP="002A243F">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Component total</w:t>
            </w:r>
          </w:p>
        </w:tc>
        <w:tc>
          <w:tcPr>
            <w:tcW w:w="992" w:type="dxa"/>
            <w:noWrap/>
            <w:vAlign w:val="center"/>
          </w:tcPr>
          <w:p w14:paraId="303B997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797B88ED"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1340E15D"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3B126A9A"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4C906A2A"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5B45AD64"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1B19B0E5"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p>
        </w:tc>
        <w:tc>
          <w:tcPr>
            <w:tcW w:w="708" w:type="dxa"/>
            <w:noWrap/>
            <w:vAlign w:val="center"/>
          </w:tcPr>
          <w:p w14:paraId="43A3F352"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03BA5820"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1ED3741B"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3119F74B"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4C30B6A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r>
      <w:tr w:rsidR="00C737E2" w:rsidRPr="00F83634" w14:paraId="0FFA313D" w14:textId="77777777" w:rsidTr="00F83634">
        <w:trPr>
          <w:trHeight w:val="368"/>
        </w:trPr>
        <w:tc>
          <w:tcPr>
            <w:tcW w:w="4106" w:type="dxa"/>
            <w:noWrap/>
            <w:vAlign w:val="center"/>
          </w:tcPr>
          <w:p w14:paraId="37025A2A" w14:textId="14219BB2" w:rsidR="00AA3B4E" w:rsidRPr="00F83634" w:rsidRDefault="39594CA0" w:rsidP="02FCE7CC">
            <w:pPr>
              <w:spacing w:after="0" w:line="240" w:lineRule="auto"/>
              <w:contextualSpacing/>
              <w:jc w:val="left"/>
              <w:rPr>
                <w:rFonts w:eastAsia="Times New Roman" w:cstheme="majorBidi"/>
                <w:b/>
                <w:bCs/>
                <w:color w:val="000000"/>
                <w:sz w:val="16"/>
                <w:szCs w:val="16"/>
                <w:lang w:val="en-GB"/>
              </w:rPr>
            </w:pPr>
            <w:r w:rsidRPr="00F83634">
              <w:rPr>
                <w:rFonts w:eastAsia="Times New Roman" w:cstheme="majorBidi"/>
                <w:b/>
                <w:bCs/>
                <w:color w:val="000000" w:themeColor="text1"/>
                <w:sz w:val="16"/>
                <w:szCs w:val="16"/>
                <w:lang w:val="en-GB"/>
              </w:rPr>
              <w:t>14.3.</w:t>
            </w:r>
            <w:r w:rsidR="00963FAA" w:rsidRPr="00F83634">
              <w:rPr>
                <w:rFonts w:eastAsia="Times New Roman" w:cstheme="majorBidi"/>
                <w:b/>
                <w:bCs/>
                <w:color w:val="000000" w:themeColor="text1"/>
                <w:sz w:val="16"/>
                <w:szCs w:val="16"/>
                <w:lang w:val="en-GB"/>
              </w:rPr>
              <w:t xml:space="preserve"> </w:t>
            </w:r>
            <w:r w:rsidR="571920B3" w:rsidRPr="00F83634">
              <w:rPr>
                <w:rFonts w:eastAsia="Times New Roman" w:cstheme="majorBidi"/>
                <w:b/>
                <w:bCs/>
                <w:color w:val="000000" w:themeColor="text1"/>
                <w:sz w:val="16"/>
                <w:szCs w:val="16"/>
                <w:lang w:val="en-GB"/>
              </w:rPr>
              <w:t>National legislation</w:t>
            </w:r>
            <w:r w:rsidR="3FF75888" w:rsidRPr="00F83634">
              <w:rPr>
                <w:rFonts w:eastAsia="Times New Roman" w:cstheme="majorBidi"/>
                <w:b/>
                <w:bCs/>
                <w:color w:val="000000" w:themeColor="text1"/>
                <w:sz w:val="16"/>
                <w:szCs w:val="16"/>
                <w:lang w:val="en-GB"/>
              </w:rPr>
              <w:t>, trade and enforcement</w:t>
            </w:r>
          </w:p>
          <w:p w14:paraId="7049DBD1"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p>
        </w:tc>
        <w:tc>
          <w:tcPr>
            <w:tcW w:w="992" w:type="dxa"/>
            <w:noWrap/>
            <w:vAlign w:val="center"/>
          </w:tcPr>
          <w:p w14:paraId="5C82C39B"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1F96F3B1"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7D0F93BB"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59A3633E"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6C233A88"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1E895AA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1667C490"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p>
        </w:tc>
        <w:tc>
          <w:tcPr>
            <w:tcW w:w="708" w:type="dxa"/>
            <w:noWrap/>
            <w:vAlign w:val="center"/>
          </w:tcPr>
          <w:p w14:paraId="25EC8083"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7D0ADDE7"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24EFEF97"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23C73352"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2C08A4DC"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r>
      <w:tr w:rsidR="00761007" w:rsidRPr="00F83634" w14:paraId="54345004" w14:textId="77777777" w:rsidTr="00F83634">
        <w:trPr>
          <w:trHeight w:val="368"/>
        </w:trPr>
        <w:tc>
          <w:tcPr>
            <w:tcW w:w="4106" w:type="dxa"/>
            <w:noWrap/>
            <w:vAlign w:val="center"/>
          </w:tcPr>
          <w:p w14:paraId="168C88B5" w14:textId="77777777" w:rsidR="00AA3B4E" w:rsidRPr="00F83634" w:rsidRDefault="00AA3B4E" w:rsidP="002A243F">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Component total</w:t>
            </w:r>
          </w:p>
        </w:tc>
        <w:tc>
          <w:tcPr>
            <w:tcW w:w="992" w:type="dxa"/>
            <w:noWrap/>
            <w:vAlign w:val="center"/>
          </w:tcPr>
          <w:p w14:paraId="28653922"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4E4D9BBA"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125C0843"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6FB5B613"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2916D88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6C7DCD51"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313A9C8E"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p>
        </w:tc>
        <w:tc>
          <w:tcPr>
            <w:tcW w:w="708" w:type="dxa"/>
            <w:noWrap/>
            <w:vAlign w:val="center"/>
          </w:tcPr>
          <w:p w14:paraId="3094BE71"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555ABA22"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14A39654"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62CABE2D"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16EE9DE4"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r>
      <w:tr w:rsidR="00761007" w:rsidRPr="00F83634" w14:paraId="5A0C15F3" w14:textId="77777777" w:rsidTr="00F83634">
        <w:trPr>
          <w:trHeight w:val="368"/>
        </w:trPr>
        <w:tc>
          <w:tcPr>
            <w:tcW w:w="4106" w:type="dxa"/>
            <w:noWrap/>
            <w:vAlign w:val="center"/>
          </w:tcPr>
          <w:p w14:paraId="3EAE8900" w14:textId="3B7AED8A" w:rsidR="00AA3B4E" w:rsidRPr="00F83634" w:rsidRDefault="4DD81292" w:rsidP="02FCE7CC">
            <w:pPr>
              <w:spacing w:after="0" w:line="240" w:lineRule="auto"/>
              <w:contextualSpacing/>
              <w:jc w:val="left"/>
              <w:rPr>
                <w:rFonts w:eastAsia="Times New Roman" w:cstheme="majorBidi"/>
                <w:b/>
                <w:bCs/>
                <w:color w:val="000000"/>
                <w:sz w:val="16"/>
                <w:szCs w:val="16"/>
                <w:lang w:val="en-GB"/>
              </w:rPr>
            </w:pPr>
            <w:r w:rsidRPr="00F83634">
              <w:rPr>
                <w:rFonts w:eastAsia="Times New Roman" w:cstheme="majorBidi"/>
                <w:b/>
                <w:bCs/>
                <w:color w:val="000000" w:themeColor="text1"/>
                <w:sz w:val="16"/>
                <w:szCs w:val="16"/>
                <w:lang w:val="en-GB"/>
              </w:rPr>
              <w:t xml:space="preserve">14.4. </w:t>
            </w:r>
            <w:r w:rsidR="00C737E2" w:rsidRPr="00F83634">
              <w:rPr>
                <w:rFonts w:eastAsia="Times New Roman" w:cstheme="majorBidi"/>
                <w:b/>
                <w:bCs/>
                <w:color w:val="000000" w:themeColor="text1"/>
                <w:sz w:val="16"/>
                <w:szCs w:val="16"/>
                <w:lang w:val="en-GB"/>
              </w:rPr>
              <w:t>Addressing</w:t>
            </w:r>
            <w:r w:rsidR="002F7707" w:rsidRPr="00F83634">
              <w:rPr>
                <w:rFonts w:eastAsia="Times New Roman" w:cstheme="majorBidi"/>
                <w:b/>
                <w:bCs/>
                <w:color w:val="000000" w:themeColor="text1"/>
                <w:sz w:val="16"/>
                <w:szCs w:val="16"/>
                <w:lang w:val="en-GB"/>
              </w:rPr>
              <w:t xml:space="preserve"> the needs of g</w:t>
            </w:r>
            <w:r w:rsidR="73A1B2C3" w:rsidRPr="00F83634">
              <w:rPr>
                <w:rFonts w:eastAsia="Times New Roman" w:cstheme="majorBidi"/>
                <w:b/>
                <w:bCs/>
                <w:color w:val="000000" w:themeColor="text1"/>
                <w:sz w:val="16"/>
                <w:szCs w:val="16"/>
                <w:lang w:val="en-GB"/>
              </w:rPr>
              <w:t>roups</w:t>
            </w:r>
            <w:r w:rsidR="755288B4" w:rsidRPr="00F83634">
              <w:rPr>
                <w:rFonts w:eastAsia="Times New Roman" w:cstheme="majorBidi"/>
                <w:b/>
                <w:bCs/>
                <w:color w:val="000000" w:themeColor="text1"/>
                <w:sz w:val="16"/>
                <w:szCs w:val="16"/>
                <w:lang w:val="en-GB"/>
              </w:rPr>
              <w:t xml:space="preserve"> in vulnerable situations </w:t>
            </w:r>
          </w:p>
        </w:tc>
        <w:tc>
          <w:tcPr>
            <w:tcW w:w="992" w:type="dxa"/>
            <w:noWrap/>
            <w:vAlign w:val="center"/>
          </w:tcPr>
          <w:p w14:paraId="48CA91BA" w14:textId="50D3749B" w:rsidR="00AA3B4E" w:rsidRPr="00F83634" w:rsidRDefault="0024053D"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color w:val="000000" w:themeColor="text1"/>
                <w:sz w:val="16"/>
                <w:szCs w:val="16"/>
                <w:lang w:val="en-GB"/>
              </w:rPr>
              <w:t>16,000</w:t>
            </w:r>
          </w:p>
        </w:tc>
        <w:tc>
          <w:tcPr>
            <w:tcW w:w="709" w:type="dxa"/>
            <w:noWrap/>
            <w:vAlign w:val="center"/>
          </w:tcPr>
          <w:p w14:paraId="1E45666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67769BD0" w14:textId="40DCE76C" w:rsidR="00AA3B4E" w:rsidRPr="00F83634" w:rsidRDefault="0024053D"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themeColor="text1"/>
                <w:sz w:val="16"/>
                <w:szCs w:val="16"/>
                <w:lang w:val="en-GB"/>
              </w:rPr>
              <w:t>16,000</w:t>
            </w:r>
          </w:p>
        </w:tc>
        <w:tc>
          <w:tcPr>
            <w:tcW w:w="992" w:type="dxa"/>
            <w:noWrap/>
            <w:vAlign w:val="center"/>
          </w:tcPr>
          <w:p w14:paraId="4C447A51" w14:textId="061E1D34" w:rsidR="00AA3B4E" w:rsidRPr="00F83634" w:rsidRDefault="00AF3F48" w:rsidP="00052C6F">
            <w:pPr>
              <w:spacing w:after="0" w:line="240" w:lineRule="auto"/>
              <w:contextualSpacing/>
              <w:jc w:val="right"/>
              <w:rPr>
                <w:rFonts w:eastAsia="Times New Roman" w:cstheme="majorBidi"/>
                <w:color w:val="000000"/>
                <w:sz w:val="16"/>
                <w:szCs w:val="16"/>
                <w:lang w:val="en-GB"/>
              </w:rPr>
            </w:pPr>
            <w:r>
              <w:rPr>
                <w:rFonts w:eastAsia="Times New Roman" w:cstheme="majorBidi"/>
                <w:color w:val="000000"/>
                <w:sz w:val="16"/>
                <w:szCs w:val="16"/>
                <w:lang w:val="en-GB"/>
              </w:rPr>
              <w:t>20,000</w:t>
            </w:r>
          </w:p>
        </w:tc>
        <w:tc>
          <w:tcPr>
            <w:tcW w:w="850" w:type="dxa"/>
            <w:noWrap/>
            <w:vAlign w:val="center"/>
          </w:tcPr>
          <w:p w14:paraId="7A1543A6" w14:textId="3672BB40" w:rsidR="00AA3B4E" w:rsidRPr="00F83634" w:rsidRDefault="00AF3F48" w:rsidP="00052C6F">
            <w:pPr>
              <w:spacing w:after="0" w:line="240" w:lineRule="auto"/>
              <w:contextualSpacing/>
              <w:jc w:val="right"/>
              <w:rPr>
                <w:rFonts w:eastAsia="Times New Roman" w:cstheme="majorBidi"/>
                <w:color w:val="000000"/>
                <w:sz w:val="16"/>
                <w:szCs w:val="16"/>
                <w:lang w:val="en-GB"/>
              </w:rPr>
            </w:pPr>
            <w:r>
              <w:rPr>
                <w:rFonts w:eastAsia="Times New Roman" w:cstheme="majorBidi"/>
                <w:color w:val="000000"/>
                <w:sz w:val="16"/>
                <w:szCs w:val="16"/>
                <w:lang w:val="en-GB"/>
              </w:rPr>
              <w:t>20,000</w:t>
            </w:r>
          </w:p>
        </w:tc>
        <w:tc>
          <w:tcPr>
            <w:tcW w:w="851" w:type="dxa"/>
            <w:noWrap/>
            <w:vAlign w:val="center"/>
          </w:tcPr>
          <w:p w14:paraId="1CD1296C" w14:textId="689E621E" w:rsidR="00AA3B4E" w:rsidRPr="00F83634" w:rsidRDefault="00017F0B" w:rsidP="00052C6F">
            <w:pPr>
              <w:spacing w:after="0" w:line="240" w:lineRule="auto"/>
              <w:contextualSpacing/>
              <w:jc w:val="right"/>
              <w:rPr>
                <w:rFonts w:eastAsia="Times New Roman" w:cstheme="majorBidi"/>
                <w:color w:val="000000"/>
                <w:sz w:val="16"/>
                <w:szCs w:val="16"/>
                <w:lang w:val="en-GB"/>
              </w:rPr>
            </w:pPr>
            <w:r>
              <w:rPr>
                <w:rFonts w:eastAsia="Times New Roman" w:cstheme="majorBidi"/>
                <w:color w:val="000000"/>
                <w:sz w:val="16"/>
                <w:szCs w:val="16"/>
                <w:lang w:val="en-GB"/>
              </w:rPr>
              <w:t>40,000</w:t>
            </w:r>
          </w:p>
        </w:tc>
        <w:tc>
          <w:tcPr>
            <w:tcW w:w="709" w:type="dxa"/>
            <w:noWrap/>
            <w:vAlign w:val="center"/>
          </w:tcPr>
          <w:p w14:paraId="1F2EE04A" w14:textId="77777777" w:rsidR="00AA3B4E" w:rsidRPr="00F83634" w:rsidRDefault="00AA3B4E" w:rsidP="00052C6F">
            <w:pPr>
              <w:spacing w:after="0" w:line="240" w:lineRule="auto"/>
              <w:contextualSpacing/>
              <w:jc w:val="left"/>
              <w:rPr>
                <w:rFonts w:eastAsia="Times New Roman" w:cstheme="majorBidi"/>
                <w:color w:val="000000"/>
                <w:sz w:val="16"/>
                <w:szCs w:val="16"/>
                <w:lang w:val="en-GB"/>
              </w:rPr>
            </w:pPr>
          </w:p>
        </w:tc>
        <w:tc>
          <w:tcPr>
            <w:tcW w:w="708" w:type="dxa"/>
            <w:noWrap/>
            <w:vAlign w:val="center"/>
          </w:tcPr>
          <w:p w14:paraId="645F385E"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340264E9"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5AE614A9" w14:textId="6053085D" w:rsidR="00AA3B4E" w:rsidRPr="00F83634" w:rsidRDefault="006208AE" w:rsidP="00052C6F">
            <w:pPr>
              <w:spacing w:after="0" w:line="240" w:lineRule="auto"/>
              <w:contextualSpacing/>
              <w:jc w:val="right"/>
              <w:rPr>
                <w:rFonts w:eastAsia="Times New Roman" w:cstheme="majorBidi"/>
                <w:color w:val="000000"/>
                <w:sz w:val="16"/>
                <w:szCs w:val="16"/>
                <w:lang w:val="en-GB"/>
              </w:rPr>
            </w:pPr>
            <w:r>
              <w:rPr>
                <w:rFonts w:eastAsia="Times New Roman" w:cstheme="majorBidi"/>
                <w:color w:val="000000"/>
                <w:sz w:val="16"/>
                <w:szCs w:val="16"/>
                <w:lang w:val="en-GB"/>
              </w:rPr>
              <w:t>20,000</w:t>
            </w:r>
          </w:p>
        </w:tc>
        <w:tc>
          <w:tcPr>
            <w:tcW w:w="850" w:type="dxa"/>
            <w:noWrap/>
            <w:vAlign w:val="center"/>
          </w:tcPr>
          <w:p w14:paraId="47B38550" w14:textId="0DDB9930" w:rsidR="00AA3B4E" w:rsidRPr="00F83634" w:rsidRDefault="006208AE" w:rsidP="00052C6F">
            <w:pPr>
              <w:spacing w:after="0" w:line="240" w:lineRule="auto"/>
              <w:contextualSpacing/>
              <w:jc w:val="right"/>
              <w:rPr>
                <w:rFonts w:eastAsia="Times New Roman" w:cstheme="majorBidi"/>
                <w:color w:val="000000"/>
                <w:sz w:val="16"/>
                <w:szCs w:val="16"/>
                <w:lang w:val="en-GB"/>
              </w:rPr>
            </w:pPr>
            <w:r>
              <w:rPr>
                <w:rFonts w:eastAsia="Times New Roman" w:cstheme="majorBidi"/>
                <w:color w:val="000000"/>
                <w:sz w:val="16"/>
                <w:szCs w:val="16"/>
                <w:lang w:val="en-GB"/>
              </w:rPr>
              <w:t>20,000</w:t>
            </w:r>
          </w:p>
        </w:tc>
        <w:tc>
          <w:tcPr>
            <w:tcW w:w="851" w:type="dxa"/>
            <w:noWrap/>
            <w:vAlign w:val="center"/>
          </w:tcPr>
          <w:p w14:paraId="4D0E39CF" w14:textId="3E6B9D6F" w:rsidR="00AA3B4E" w:rsidRPr="00F83634" w:rsidRDefault="006208AE" w:rsidP="00052C6F">
            <w:pPr>
              <w:spacing w:after="0" w:line="240" w:lineRule="auto"/>
              <w:contextualSpacing/>
              <w:jc w:val="right"/>
              <w:rPr>
                <w:rFonts w:eastAsia="Times New Roman" w:cstheme="majorBidi"/>
                <w:color w:val="000000"/>
                <w:sz w:val="16"/>
                <w:szCs w:val="16"/>
                <w:lang w:val="en-GB"/>
              </w:rPr>
            </w:pPr>
            <w:r>
              <w:rPr>
                <w:rFonts w:eastAsia="Times New Roman" w:cstheme="majorBidi"/>
                <w:color w:val="000000"/>
                <w:sz w:val="16"/>
                <w:szCs w:val="16"/>
                <w:lang w:val="en-GB"/>
              </w:rPr>
              <w:t>40,000</w:t>
            </w:r>
          </w:p>
        </w:tc>
      </w:tr>
      <w:tr w:rsidR="00761007" w:rsidRPr="00F83634" w14:paraId="1A233133" w14:textId="77777777" w:rsidTr="00F83634">
        <w:trPr>
          <w:trHeight w:val="368"/>
        </w:trPr>
        <w:tc>
          <w:tcPr>
            <w:tcW w:w="4106" w:type="dxa"/>
            <w:noWrap/>
            <w:vAlign w:val="center"/>
          </w:tcPr>
          <w:p w14:paraId="057D481E" w14:textId="063C1745" w:rsidR="00AA3B4E" w:rsidRPr="00F83634" w:rsidRDefault="00AA3B4E" w:rsidP="5A33BAD2">
            <w:pPr>
              <w:spacing w:after="0" w:line="240" w:lineRule="auto"/>
              <w:contextualSpacing/>
              <w:jc w:val="left"/>
              <w:rPr>
                <w:rFonts w:eastAsia="Calibri" w:cs="Calibri"/>
                <w:sz w:val="16"/>
                <w:szCs w:val="16"/>
                <w:lang w:val="en-GB"/>
              </w:rPr>
            </w:pPr>
          </w:p>
        </w:tc>
        <w:tc>
          <w:tcPr>
            <w:tcW w:w="992" w:type="dxa"/>
            <w:noWrap/>
            <w:vAlign w:val="center"/>
          </w:tcPr>
          <w:p w14:paraId="32445B93" w14:textId="7D022D2D" w:rsidR="00AA3B4E" w:rsidRPr="00F83634" w:rsidRDefault="00AA3B4E" w:rsidP="02FCE7CC">
            <w:pPr>
              <w:spacing w:after="0" w:line="240" w:lineRule="auto"/>
              <w:contextualSpacing/>
              <w:jc w:val="right"/>
              <w:rPr>
                <w:rFonts w:eastAsia="Times New Roman" w:cstheme="majorBidi"/>
                <w:color w:val="000000"/>
                <w:sz w:val="16"/>
                <w:szCs w:val="16"/>
                <w:lang w:val="en-GB"/>
              </w:rPr>
            </w:pPr>
          </w:p>
        </w:tc>
        <w:tc>
          <w:tcPr>
            <w:tcW w:w="709" w:type="dxa"/>
            <w:noWrap/>
            <w:vAlign w:val="center"/>
          </w:tcPr>
          <w:p w14:paraId="0379E47B"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763F007F" w14:textId="2E11F32C" w:rsidR="00AA3B4E" w:rsidRPr="00F83634" w:rsidRDefault="00AA3B4E" w:rsidP="02FCE7CC">
            <w:pPr>
              <w:spacing w:after="0" w:line="240" w:lineRule="auto"/>
              <w:contextualSpacing/>
              <w:jc w:val="right"/>
              <w:rPr>
                <w:rFonts w:eastAsia="Times New Roman" w:cstheme="majorBidi"/>
                <w:b/>
                <w:bCs/>
                <w:color w:val="000000"/>
                <w:sz w:val="16"/>
                <w:szCs w:val="16"/>
                <w:lang w:val="en-GB"/>
              </w:rPr>
            </w:pPr>
          </w:p>
        </w:tc>
        <w:tc>
          <w:tcPr>
            <w:tcW w:w="992" w:type="dxa"/>
            <w:noWrap/>
            <w:vAlign w:val="center"/>
          </w:tcPr>
          <w:p w14:paraId="6A0302B8" w14:textId="01AA9C5B" w:rsidR="00AA3B4E" w:rsidRPr="00F83634" w:rsidRDefault="00AA3B4E" w:rsidP="5A33BAD2">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108C2CFB" w14:textId="093CF979" w:rsidR="00AA3B4E" w:rsidRPr="00F83634" w:rsidRDefault="00AA3B4E" w:rsidP="2575CD71">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6CA64E61" w14:textId="033B4319" w:rsidR="00AA3B4E" w:rsidRPr="00F83634" w:rsidRDefault="00AA3B4E" w:rsidP="7EAA2ABE">
            <w:pPr>
              <w:spacing w:after="0" w:line="240" w:lineRule="auto"/>
              <w:contextualSpacing/>
              <w:jc w:val="right"/>
              <w:rPr>
                <w:rFonts w:eastAsia="Times New Roman" w:cstheme="majorBidi"/>
                <w:b/>
                <w:bCs/>
                <w:color w:val="000000"/>
                <w:sz w:val="16"/>
                <w:szCs w:val="16"/>
                <w:lang w:val="en-GB"/>
              </w:rPr>
            </w:pPr>
          </w:p>
        </w:tc>
        <w:tc>
          <w:tcPr>
            <w:tcW w:w="709" w:type="dxa"/>
            <w:noWrap/>
            <w:vAlign w:val="center"/>
          </w:tcPr>
          <w:p w14:paraId="4319DE18"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708" w:type="dxa"/>
            <w:noWrap/>
            <w:vAlign w:val="center"/>
          </w:tcPr>
          <w:p w14:paraId="526A0620"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4879D76F" w14:textId="7777777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054AA70D" w14:textId="336AFA1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0" w:type="dxa"/>
            <w:noWrap/>
            <w:vAlign w:val="center"/>
          </w:tcPr>
          <w:p w14:paraId="1BF75C84" w14:textId="2A090AB7" w:rsidR="00AA3B4E" w:rsidRPr="00F83634" w:rsidRDefault="00AA3B4E"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7BA4EFAB" w14:textId="1412A090" w:rsidR="00AA3B4E" w:rsidRPr="00F83634" w:rsidRDefault="00AA3B4E" w:rsidP="00052C6F">
            <w:pPr>
              <w:spacing w:after="0" w:line="240" w:lineRule="auto"/>
              <w:contextualSpacing/>
              <w:jc w:val="right"/>
              <w:rPr>
                <w:rFonts w:eastAsia="Times New Roman" w:cstheme="majorBidi"/>
                <w:b/>
                <w:bCs/>
                <w:color w:val="000000"/>
                <w:sz w:val="16"/>
                <w:szCs w:val="16"/>
                <w:lang w:val="en-GB"/>
              </w:rPr>
            </w:pPr>
          </w:p>
        </w:tc>
      </w:tr>
      <w:tr w:rsidR="00761007" w:rsidRPr="00F83634" w14:paraId="1B293C6F" w14:textId="77777777" w:rsidTr="00F83634">
        <w:trPr>
          <w:trHeight w:val="368"/>
        </w:trPr>
        <w:tc>
          <w:tcPr>
            <w:tcW w:w="4106" w:type="dxa"/>
            <w:noWrap/>
            <w:vAlign w:val="center"/>
          </w:tcPr>
          <w:p w14:paraId="5C7DF836" w14:textId="24B2DB6A" w:rsidR="00705A73" w:rsidRPr="00F83634" w:rsidRDefault="00705A73" w:rsidP="002A243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sz w:val="16"/>
                <w:szCs w:val="16"/>
                <w:lang w:val="en-GB"/>
              </w:rPr>
              <w:t>Component total</w:t>
            </w:r>
          </w:p>
        </w:tc>
        <w:tc>
          <w:tcPr>
            <w:tcW w:w="992" w:type="dxa"/>
            <w:noWrap/>
            <w:vAlign w:val="center"/>
          </w:tcPr>
          <w:p w14:paraId="67A8270D" w14:textId="42000407" w:rsidR="00705A73" w:rsidRPr="00F83634" w:rsidRDefault="00705A73" w:rsidP="00052C6F">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themeColor="text1"/>
                <w:sz w:val="16"/>
                <w:szCs w:val="16"/>
                <w:lang w:val="en-GB"/>
              </w:rPr>
              <w:t>16,000</w:t>
            </w:r>
          </w:p>
        </w:tc>
        <w:tc>
          <w:tcPr>
            <w:tcW w:w="709" w:type="dxa"/>
            <w:noWrap/>
            <w:vAlign w:val="center"/>
          </w:tcPr>
          <w:p w14:paraId="38EF178F" w14:textId="77777777" w:rsidR="00705A73" w:rsidRPr="00F83634" w:rsidRDefault="00705A73" w:rsidP="00052C6F">
            <w:pPr>
              <w:spacing w:after="0" w:line="240" w:lineRule="auto"/>
              <w:contextualSpacing/>
              <w:jc w:val="right"/>
              <w:rPr>
                <w:rFonts w:eastAsia="Times New Roman" w:cstheme="majorBidi"/>
                <w:color w:val="000000"/>
                <w:sz w:val="16"/>
                <w:szCs w:val="16"/>
                <w:lang w:val="en-GB"/>
              </w:rPr>
            </w:pPr>
          </w:p>
        </w:tc>
        <w:tc>
          <w:tcPr>
            <w:tcW w:w="851" w:type="dxa"/>
            <w:noWrap/>
            <w:vAlign w:val="center"/>
          </w:tcPr>
          <w:p w14:paraId="476789C3" w14:textId="6BFD0A6D" w:rsidR="00705A73" w:rsidRPr="00F83634" w:rsidRDefault="00705A73" w:rsidP="00052C6F">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themeColor="text1"/>
                <w:sz w:val="16"/>
                <w:szCs w:val="16"/>
                <w:lang w:val="en-GB"/>
              </w:rPr>
              <w:t>16,000</w:t>
            </w:r>
          </w:p>
        </w:tc>
        <w:tc>
          <w:tcPr>
            <w:tcW w:w="992" w:type="dxa"/>
            <w:noWrap/>
            <w:vAlign w:val="center"/>
          </w:tcPr>
          <w:p w14:paraId="6A1CDC3F" w14:textId="5DE43029" w:rsidR="00705A73" w:rsidRPr="00F83634" w:rsidRDefault="00D56AEB" w:rsidP="7EAA2ABE">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themeColor="text1"/>
                <w:sz w:val="16"/>
                <w:szCs w:val="16"/>
                <w:lang w:val="en-GB"/>
              </w:rPr>
              <w:t>2</w:t>
            </w:r>
            <w:r w:rsidR="00705A73" w:rsidRPr="00F83634">
              <w:rPr>
                <w:rFonts w:eastAsia="Times New Roman" w:cstheme="majorBidi"/>
                <w:b/>
                <w:bCs/>
                <w:color w:val="000000" w:themeColor="text1"/>
                <w:sz w:val="16"/>
                <w:szCs w:val="16"/>
                <w:lang w:val="en-GB"/>
              </w:rPr>
              <w:t>0,000</w:t>
            </w:r>
          </w:p>
        </w:tc>
        <w:tc>
          <w:tcPr>
            <w:tcW w:w="850" w:type="dxa"/>
            <w:noWrap/>
            <w:vAlign w:val="center"/>
          </w:tcPr>
          <w:p w14:paraId="703A57FE" w14:textId="068A5A56" w:rsidR="00705A73" w:rsidRPr="00F83634" w:rsidRDefault="00D56AEB" w:rsidP="7EAA2ABE">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themeColor="text1"/>
                <w:sz w:val="16"/>
                <w:szCs w:val="16"/>
                <w:lang w:val="en-GB"/>
              </w:rPr>
              <w:t>2</w:t>
            </w:r>
            <w:r w:rsidR="00705A73" w:rsidRPr="00F83634">
              <w:rPr>
                <w:rFonts w:eastAsia="Times New Roman" w:cstheme="majorBidi"/>
                <w:b/>
                <w:bCs/>
                <w:color w:val="000000" w:themeColor="text1"/>
                <w:sz w:val="16"/>
                <w:szCs w:val="16"/>
                <w:lang w:val="en-GB"/>
              </w:rPr>
              <w:t>0,000</w:t>
            </w:r>
          </w:p>
        </w:tc>
        <w:tc>
          <w:tcPr>
            <w:tcW w:w="851" w:type="dxa"/>
            <w:noWrap/>
            <w:vAlign w:val="center"/>
          </w:tcPr>
          <w:p w14:paraId="094E95D3" w14:textId="09762AC3" w:rsidR="00705A73" w:rsidRPr="00F83634" w:rsidRDefault="00D56AEB" w:rsidP="7EAA2ABE">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themeColor="text1"/>
                <w:sz w:val="16"/>
                <w:szCs w:val="16"/>
                <w:lang w:val="en-GB"/>
              </w:rPr>
              <w:t>4</w:t>
            </w:r>
            <w:r w:rsidR="00705A73" w:rsidRPr="00F83634">
              <w:rPr>
                <w:rFonts w:eastAsia="Times New Roman" w:cstheme="majorBidi"/>
                <w:b/>
                <w:bCs/>
                <w:color w:val="000000" w:themeColor="text1"/>
                <w:sz w:val="16"/>
                <w:szCs w:val="16"/>
                <w:lang w:val="en-GB"/>
              </w:rPr>
              <w:t>0,000</w:t>
            </w:r>
          </w:p>
        </w:tc>
        <w:tc>
          <w:tcPr>
            <w:tcW w:w="709" w:type="dxa"/>
            <w:noWrap/>
            <w:vAlign w:val="center"/>
          </w:tcPr>
          <w:p w14:paraId="26D67E85" w14:textId="77777777" w:rsidR="00705A73" w:rsidRPr="00F83634" w:rsidRDefault="00705A73" w:rsidP="00052C6F">
            <w:pPr>
              <w:spacing w:after="0" w:line="240" w:lineRule="auto"/>
              <w:contextualSpacing/>
              <w:jc w:val="right"/>
              <w:rPr>
                <w:rFonts w:eastAsia="Times New Roman" w:cstheme="majorBidi"/>
                <w:color w:val="000000"/>
                <w:sz w:val="16"/>
                <w:szCs w:val="16"/>
                <w:lang w:val="en-GB"/>
              </w:rPr>
            </w:pPr>
          </w:p>
        </w:tc>
        <w:tc>
          <w:tcPr>
            <w:tcW w:w="708" w:type="dxa"/>
            <w:noWrap/>
            <w:vAlign w:val="center"/>
          </w:tcPr>
          <w:p w14:paraId="0DC07702" w14:textId="77777777" w:rsidR="00705A73" w:rsidRPr="00F83634" w:rsidRDefault="00705A73"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2BA22E2B" w14:textId="77777777" w:rsidR="00705A73" w:rsidRPr="00F83634" w:rsidRDefault="00705A73"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07D1E212" w14:textId="15B6B495" w:rsidR="00705A73" w:rsidRPr="00F83634" w:rsidRDefault="00705A73"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sz w:val="16"/>
                <w:szCs w:val="16"/>
                <w:lang w:val="en-GB"/>
              </w:rPr>
              <w:t>20,000</w:t>
            </w:r>
          </w:p>
        </w:tc>
        <w:tc>
          <w:tcPr>
            <w:tcW w:w="850" w:type="dxa"/>
            <w:noWrap/>
            <w:vAlign w:val="center"/>
          </w:tcPr>
          <w:p w14:paraId="19DA73BB" w14:textId="49F37A29" w:rsidR="00705A73" w:rsidRPr="00F83634" w:rsidRDefault="00705A73"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sz w:val="16"/>
                <w:szCs w:val="16"/>
                <w:lang w:val="en-GB"/>
              </w:rPr>
              <w:t>20,000</w:t>
            </w:r>
          </w:p>
        </w:tc>
        <w:tc>
          <w:tcPr>
            <w:tcW w:w="851" w:type="dxa"/>
            <w:noWrap/>
            <w:vAlign w:val="center"/>
          </w:tcPr>
          <w:p w14:paraId="6C968055" w14:textId="4C868DFB" w:rsidR="00705A73" w:rsidRPr="00F83634" w:rsidRDefault="00705A73" w:rsidP="00052C6F">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40,000</w:t>
            </w:r>
          </w:p>
        </w:tc>
      </w:tr>
      <w:tr w:rsidR="00761007" w:rsidRPr="00F83634" w14:paraId="3AA32086" w14:textId="77777777" w:rsidTr="00F83634">
        <w:trPr>
          <w:trHeight w:val="368"/>
        </w:trPr>
        <w:tc>
          <w:tcPr>
            <w:tcW w:w="4106" w:type="dxa"/>
            <w:noWrap/>
            <w:vAlign w:val="center"/>
          </w:tcPr>
          <w:p w14:paraId="21DD7A80" w14:textId="531D1B09" w:rsidR="00CD1A3C" w:rsidRPr="00F83634" w:rsidRDefault="00CD1A3C" w:rsidP="7EAA2ABE">
            <w:pPr>
              <w:spacing w:after="0" w:line="240" w:lineRule="auto"/>
              <w:contextualSpacing/>
              <w:jc w:val="left"/>
              <w:rPr>
                <w:rFonts w:eastAsia="Times New Roman" w:cstheme="majorBidi"/>
                <w:color w:val="000000"/>
                <w:sz w:val="16"/>
                <w:szCs w:val="16"/>
                <w:lang w:val="en-GB"/>
              </w:rPr>
            </w:pPr>
            <w:r w:rsidRPr="00F83634" w:rsidDel="004C7EA4">
              <w:rPr>
                <w:rFonts w:eastAsia="Times New Roman" w:cstheme="majorBidi"/>
                <w:b/>
                <w:bCs/>
                <w:color w:val="000000"/>
                <w:sz w:val="16"/>
                <w:szCs w:val="16"/>
                <w:lang w:val="en-GB"/>
              </w:rPr>
              <w:t xml:space="preserve">Grand Total </w:t>
            </w:r>
          </w:p>
        </w:tc>
        <w:tc>
          <w:tcPr>
            <w:tcW w:w="992" w:type="dxa"/>
            <w:noWrap/>
            <w:vAlign w:val="center"/>
          </w:tcPr>
          <w:p w14:paraId="48B15552" w14:textId="456EDF6C" w:rsidR="00CD1A3C" w:rsidRPr="00F83634" w:rsidRDefault="00CD1A3C" w:rsidP="00052C6F">
            <w:pPr>
              <w:spacing w:after="0" w:line="240" w:lineRule="auto"/>
              <w:contextualSpacing/>
              <w:jc w:val="right"/>
              <w:rPr>
                <w:rFonts w:eastAsia="Times New Roman" w:cstheme="majorBidi"/>
                <w:b/>
                <w:bCs/>
                <w:color w:val="000000"/>
                <w:sz w:val="16"/>
                <w:szCs w:val="16"/>
                <w:lang w:val="en-GB"/>
              </w:rPr>
            </w:pPr>
            <w:r w:rsidRPr="00F83634" w:rsidDel="004C7EA4">
              <w:rPr>
                <w:rFonts w:eastAsia="Times New Roman" w:cstheme="majorBidi"/>
                <w:b/>
                <w:bCs/>
                <w:color w:val="000000" w:themeColor="text1"/>
                <w:sz w:val="16"/>
                <w:szCs w:val="16"/>
                <w:lang w:val="en-GB"/>
              </w:rPr>
              <w:t>16,000 </w:t>
            </w:r>
          </w:p>
        </w:tc>
        <w:tc>
          <w:tcPr>
            <w:tcW w:w="709" w:type="dxa"/>
            <w:noWrap/>
            <w:vAlign w:val="center"/>
          </w:tcPr>
          <w:p w14:paraId="5622F5F1" w14:textId="77777777" w:rsidR="00CD1A3C" w:rsidRPr="00F83634" w:rsidRDefault="00CD1A3C" w:rsidP="00052C6F">
            <w:pPr>
              <w:spacing w:after="0" w:line="240" w:lineRule="auto"/>
              <w:contextualSpacing/>
              <w:jc w:val="right"/>
              <w:rPr>
                <w:rFonts w:eastAsia="Times New Roman" w:cstheme="majorBidi"/>
                <w:b/>
                <w:bCs/>
                <w:color w:val="000000"/>
                <w:sz w:val="16"/>
                <w:szCs w:val="16"/>
                <w:lang w:val="en-GB"/>
              </w:rPr>
            </w:pPr>
          </w:p>
        </w:tc>
        <w:tc>
          <w:tcPr>
            <w:tcW w:w="851" w:type="dxa"/>
            <w:noWrap/>
            <w:vAlign w:val="center"/>
          </w:tcPr>
          <w:p w14:paraId="1641FF83" w14:textId="351D589B" w:rsidR="00CD1A3C" w:rsidRPr="00F83634" w:rsidRDefault="00CD1A3C" w:rsidP="00052C6F">
            <w:pPr>
              <w:spacing w:after="0" w:line="240" w:lineRule="auto"/>
              <w:contextualSpacing/>
              <w:jc w:val="right"/>
              <w:rPr>
                <w:rFonts w:eastAsia="Times New Roman" w:cstheme="majorBidi"/>
                <w:b/>
                <w:bCs/>
                <w:color w:val="000000"/>
                <w:sz w:val="16"/>
                <w:szCs w:val="16"/>
                <w:lang w:val="en-GB"/>
              </w:rPr>
            </w:pPr>
            <w:r w:rsidRPr="00F83634" w:rsidDel="004C7EA4">
              <w:rPr>
                <w:rFonts w:eastAsia="Times New Roman" w:cstheme="majorBidi"/>
                <w:b/>
                <w:bCs/>
                <w:color w:val="000000" w:themeColor="text1"/>
                <w:sz w:val="16"/>
                <w:szCs w:val="16"/>
                <w:lang w:val="en-GB"/>
              </w:rPr>
              <w:t>16,000</w:t>
            </w:r>
          </w:p>
        </w:tc>
        <w:tc>
          <w:tcPr>
            <w:tcW w:w="992" w:type="dxa"/>
            <w:noWrap/>
            <w:vAlign w:val="center"/>
          </w:tcPr>
          <w:p w14:paraId="7CF3F9B6" w14:textId="670281BC" w:rsidR="00CD1A3C" w:rsidRPr="00F83634" w:rsidRDefault="00CD1A3C" w:rsidP="7EAA2ABE">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themeColor="text1"/>
                <w:sz w:val="16"/>
                <w:szCs w:val="16"/>
                <w:lang w:val="en-GB"/>
              </w:rPr>
              <w:t>20,000</w:t>
            </w:r>
          </w:p>
        </w:tc>
        <w:tc>
          <w:tcPr>
            <w:tcW w:w="850" w:type="dxa"/>
            <w:noWrap/>
            <w:vAlign w:val="center"/>
          </w:tcPr>
          <w:p w14:paraId="36BFB301" w14:textId="1A10D77B" w:rsidR="00CD1A3C" w:rsidRPr="00F83634" w:rsidRDefault="00CD1A3C" w:rsidP="7EAA2ABE">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themeColor="text1"/>
                <w:sz w:val="16"/>
                <w:szCs w:val="16"/>
                <w:lang w:val="en-GB"/>
              </w:rPr>
              <w:t>20,000</w:t>
            </w:r>
          </w:p>
        </w:tc>
        <w:tc>
          <w:tcPr>
            <w:tcW w:w="851" w:type="dxa"/>
            <w:noWrap/>
            <w:vAlign w:val="center"/>
          </w:tcPr>
          <w:p w14:paraId="7342F8D0" w14:textId="7BEFB218" w:rsidR="00CD1A3C" w:rsidRPr="00F83634" w:rsidRDefault="00CD1A3C" w:rsidP="7EAA2ABE">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themeColor="text1"/>
                <w:sz w:val="16"/>
                <w:szCs w:val="16"/>
                <w:lang w:val="en-GB"/>
              </w:rPr>
              <w:t>40,000</w:t>
            </w:r>
          </w:p>
        </w:tc>
        <w:tc>
          <w:tcPr>
            <w:tcW w:w="709" w:type="dxa"/>
            <w:noWrap/>
            <w:vAlign w:val="center"/>
          </w:tcPr>
          <w:p w14:paraId="6B504064" w14:textId="77777777" w:rsidR="00CD1A3C" w:rsidRPr="00F83634" w:rsidRDefault="00CD1A3C" w:rsidP="00052C6F">
            <w:pPr>
              <w:spacing w:after="0" w:line="240" w:lineRule="auto"/>
              <w:contextualSpacing/>
              <w:jc w:val="right"/>
              <w:rPr>
                <w:rFonts w:eastAsia="Times New Roman" w:cstheme="majorBidi"/>
                <w:color w:val="000000"/>
                <w:sz w:val="16"/>
                <w:szCs w:val="16"/>
                <w:lang w:val="en-GB"/>
              </w:rPr>
            </w:pPr>
          </w:p>
        </w:tc>
        <w:tc>
          <w:tcPr>
            <w:tcW w:w="708" w:type="dxa"/>
            <w:noWrap/>
            <w:vAlign w:val="center"/>
          </w:tcPr>
          <w:p w14:paraId="00C32DD9" w14:textId="77777777" w:rsidR="00CD1A3C" w:rsidRPr="00F83634" w:rsidRDefault="00CD1A3C" w:rsidP="00052C6F">
            <w:pPr>
              <w:spacing w:after="0" w:line="240" w:lineRule="auto"/>
              <w:contextualSpacing/>
              <w:jc w:val="right"/>
              <w:rPr>
                <w:rFonts w:eastAsia="Times New Roman" w:cstheme="majorBidi"/>
                <w:color w:val="000000"/>
                <w:sz w:val="16"/>
                <w:szCs w:val="16"/>
                <w:lang w:val="en-GB"/>
              </w:rPr>
            </w:pPr>
          </w:p>
        </w:tc>
        <w:tc>
          <w:tcPr>
            <w:tcW w:w="993" w:type="dxa"/>
            <w:noWrap/>
            <w:vAlign w:val="center"/>
          </w:tcPr>
          <w:p w14:paraId="5AC29880" w14:textId="77777777" w:rsidR="00CD1A3C" w:rsidRPr="00F83634" w:rsidRDefault="00CD1A3C" w:rsidP="00052C6F">
            <w:pPr>
              <w:spacing w:after="0" w:line="240" w:lineRule="auto"/>
              <w:contextualSpacing/>
              <w:jc w:val="right"/>
              <w:rPr>
                <w:rFonts w:eastAsia="Times New Roman" w:cstheme="majorBidi"/>
                <w:color w:val="000000"/>
                <w:sz w:val="16"/>
                <w:szCs w:val="16"/>
                <w:lang w:val="en-GB"/>
              </w:rPr>
            </w:pPr>
          </w:p>
        </w:tc>
        <w:tc>
          <w:tcPr>
            <w:tcW w:w="992" w:type="dxa"/>
            <w:noWrap/>
            <w:vAlign w:val="center"/>
          </w:tcPr>
          <w:p w14:paraId="766148F4" w14:textId="755992D6" w:rsidR="00CD1A3C" w:rsidRPr="00F83634" w:rsidRDefault="00CD1A3C"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sz w:val="16"/>
                <w:szCs w:val="16"/>
                <w:lang w:val="en-GB"/>
              </w:rPr>
              <w:t>20,000</w:t>
            </w:r>
          </w:p>
        </w:tc>
        <w:tc>
          <w:tcPr>
            <w:tcW w:w="850" w:type="dxa"/>
            <w:noWrap/>
            <w:vAlign w:val="center"/>
          </w:tcPr>
          <w:p w14:paraId="0D38B7DF" w14:textId="04E3C4E9" w:rsidR="00CD1A3C" w:rsidRPr="00F83634" w:rsidRDefault="00CD1A3C" w:rsidP="00052C6F">
            <w:pPr>
              <w:spacing w:after="0" w:line="240" w:lineRule="auto"/>
              <w:contextualSpacing/>
              <w:jc w:val="right"/>
              <w:rPr>
                <w:rFonts w:eastAsia="Times New Roman" w:cstheme="majorBidi"/>
                <w:color w:val="000000"/>
                <w:sz w:val="16"/>
                <w:szCs w:val="16"/>
                <w:lang w:val="en-GB"/>
              </w:rPr>
            </w:pPr>
            <w:r w:rsidRPr="00F83634">
              <w:rPr>
                <w:rFonts w:eastAsia="Times New Roman" w:cstheme="majorBidi"/>
                <w:b/>
                <w:bCs/>
                <w:color w:val="000000"/>
                <w:sz w:val="16"/>
                <w:szCs w:val="16"/>
                <w:lang w:val="en-GB"/>
              </w:rPr>
              <w:t>20,000</w:t>
            </w:r>
          </w:p>
        </w:tc>
        <w:tc>
          <w:tcPr>
            <w:tcW w:w="851" w:type="dxa"/>
            <w:noWrap/>
            <w:vAlign w:val="center"/>
          </w:tcPr>
          <w:p w14:paraId="53F2A9F9" w14:textId="16966A3F" w:rsidR="00CD1A3C" w:rsidRPr="00F83634" w:rsidRDefault="00CD1A3C" w:rsidP="00052C6F">
            <w:pPr>
              <w:spacing w:after="0" w:line="240" w:lineRule="auto"/>
              <w:contextualSpacing/>
              <w:jc w:val="right"/>
              <w:rPr>
                <w:rFonts w:eastAsia="Times New Roman" w:cstheme="majorBidi"/>
                <w:b/>
                <w:bCs/>
                <w:color w:val="000000"/>
                <w:sz w:val="16"/>
                <w:szCs w:val="16"/>
                <w:lang w:val="en-GB"/>
              </w:rPr>
            </w:pPr>
            <w:r w:rsidRPr="00F83634">
              <w:rPr>
                <w:rFonts w:eastAsia="Times New Roman" w:cstheme="majorBidi"/>
                <w:b/>
                <w:bCs/>
                <w:color w:val="000000"/>
                <w:sz w:val="16"/>
                <w:szCs w:val="16"/>
                <w:lang w:val="en-GB"/>
              </w:rPr>
              <w:t>40,000</w:t>
            </w:r>
          </w:p>
        </w:tc>
      </w:tr>
    </w:tbl>
    <w:p w14:paraId="497261B1" w14:textId="7AE5CB96" w:rsidR="00FC73EA" w:rsidRPr="00845FB7" w:rsidRDefault="00FC73EA" w:rsidP="00BD36F8">
      <w:pPr>
        <w:rPr>
          <w:lang w:val="en-GB"/>
        </w:rPr>
        <w:sectPr w:rsidR="00FC73EA" w:rsidRPr="00845FB7" w:rsidSect="00BD36F8">
          <w:headerReference w:type="first" r:id="rId86"/>
          <w:footerReference w:type="first" r:id="rId87"/>
          <w:type w:val="continuous"/>
          <w:pgSz w:w="16838" w:h="11906" w:orient="landscape" w:code="9"/>
          <w:pgMar w:top="907" w:right="992" w:bottom="1418" w:left="1418" w:header="539" w:footer="975" w:gutter="0"/>
          <w:cols w:space="708"/>
          <w:titlePg/>
          <w:docGrid w:linePitch="360"/>
        </w:sectPr>
      </w:pPr>
    </w:p>
    <w:p w14:paraId="6147805A" w14:textId="5F59DE14" w:rsidR="0090367C" w:rsidRPr="00845FB7" w:rsidRDefault="0090367C" w:rsidP="0090367C">
      <w:pPr>
        <w:pStyle w:val="Heading3"/>
        <w:rPr>
          <w:bCs/>
          <w:sz w:val="24"/>
          <w:lang w:val="en-GB"/>
        </w:rPr>
      </w:pPr>
      <w:r w:rsidRPr="00845FB7">
        <w:rPr>
          <w:sz w:val="24"/>
          <w:lang w:val="en-GB"/>
        </w:rPr>
        <w:lastRenderedPageBreak/>
        <w:t>Overview of resources</w:t>
      </w:r>
    </w:p>
    <w:tbl>
      <w:tblPr>
        <w:tblStyle w:val="TableGridLight"/>
        <w:tblW w:w="9918" w:type="dxa"/>
        <w:tblLook w:val="04A0" w:firstRow="1" w:lastRow="0" w:firstColumn="1" w:lastColumn="0" w:noHBand="0" w:noVBand="1"/>
      </w:tblPr>
      <w:tblGrid>
        <w:gridCol w:w="4390"/>
        <w:gridCol w:w="1842"/>
        <w:gridCol w:w="1843"/>
        <w:gridCol w:w="1843"/>
      </w:tblGrid>
      <w:tr w:rsidR="00F80898" w:rsidRPr="00845FB7" w14:paraId="759FB56E" w14:textId="77777777" w:rsidTr="007D7E63">
        <w:trPr>
          <w:trHeight w:val="383"/>
        </w:trPr>
        <w:tc>
          <w:tcPr>
            <w:tcW w:w="4390" w:type="dxa"/>
            <w:noWrap/>
            <w:hideMark/>
          </w:tcPr>
          <w:p w14:paraId="0F13F0EA" w14:textId="77777777" w:rsidR="0090367C" w:rsidRPr="00845FB7" w:rsidRDefault="0090367C" w:rsidP="00A10FE4">
            <w:pPr>
              <w:rPr>
                <w:rFonts w:cstheme="majorBidi"/>
                <w:b/>
                <w:bCs/>
                <w:szCs w:val="20"/>
                <w:lang w:val="en-GB"/>
              </w:rPr>
            </w:pPr>
            <w:r w:rsidRPr="00845FB7">
              <w:rPr>
                <w:rFonts w:cstheme="majorBidi"/>
                <w:b/>
                <w:bCs/>
                <w:szCs w:val="20"/>
                <w:lang w:val="en-GB"/>
              </w:rPr>
              <w:t>Budget</w:t>
            </w:r>
          </w:p>
        </w:tc>
        <w:tc>
          <w:tcPr>
            <w:tcW w:w="1842" w:type="dxa"/>
            <w:hideMark/>
          </w:tcPr>
          <w:p w14:paraId="0B0DE9EC" w14:textId="01D894D0" w:rsidR="0090367C" w:rsidRPr="00845FB7" w:rsidRDefault="0090367C" w:rsidP="00D14BA5">
            <w:pPr>
              <w:jc w:val="center"/>
              <w:rPr>
                <w:rFonts w:cstheme="majorBidi"/>
                <w:b/>
                <w:bCs/>
                <w:szCs w:val="20"/>
                <w:lang w:val="en-GB"/>
              </w:rPr>
            </w:pPr>
            <w:r w:rsidRPr="00845FB7">
              <w:rPr>
                <w:rFonts w:cstheme="majorBidi"/>
                <w:b/>
                <w:bCs/>
                <w:szCs w:val="20"/>
                <w:lang w:val="en-GB"/>
              </w:rPr>
              <w:t xml:space="preserve">General </w:t>
            </w:r>
            <w:r w:rsidR="00DC5A08" w:rsidRPr="00845FB7">
              <w:rPr>
                <w:rFonts w:cstheme="majorBidi"/>
                <w:b/>
                <w:bCs/>
                <w:szCs w:val="20"/>
                <w:lang w:val="en-GB"/>
              </w:rPr>
              <w:t>t</w:t>
            </w:r>
            <w:r w:rsidRPr="00845FB7">
              <w:rPr>
                <w:rFonts w:cstheme="majorBidi"/>
                <w:b/>
                <w:bCs/>
                <w:szCs w:val="20"/>
                <w:lang w:val="en-GB"/>
              </w:rPr>
              <w:t xml:space="preserve">rust </w:t>
            </w:r>
            <w:r w:rsidR="00DC5A08" w:rsidRPr="00845FB7">
              <w:rPr>
                <w:rFonts w:cstheme="majorBidi"/>
                <w:b/>
                <w:bCs/>
                <w:szCs w:val="20"/>
                <w:lang w:val="en-GB"/>
              </w:rPr>
              <w:t>f</w:t>
            </w:r>
            <w:r w:rsidRPr="00845FB7">
              <w:rPr>
                <w:rFonts w:cstheme="majorBidi"/>
                <w:b/>
                <w:bCs/>
                <w:szCs w:val="20"/>
                <w:lang w:val="en-GB"/>
              </w:rPr>
              <w:t>und</w:t>
            </w:r>
          </w:p>
        </w:tc>
        <w:tc>
          <w:tcPr>
            <w:tcW w:w="1843" w:type="dxa"/>
            <w:hideMark/>
          </w:tcPr>
          <w:p w14:paraId="2FD3BCF4" w14:textId="6CD19732" w:rsidR="0090367C" w:rsidRPr="00845FB7" w:rsidRDefault="0090367C" w:rsidP="00B42CEB">
            <w:pPr>
              <w:jc w:val="center"/>
              <w:rPr>
                <w:rFonts w:cstheme="majorBidi"/>
                <w:b/>
                <w:bCs/>
                <w:szCs w:val="20"/>
                <w:lang w:val="en-GB"/>
              </w:rPr>
            </w:pPr>
            <w:r w:rsidRPr="00845FB7">
              <w:rPr>
                <w:rFonts w:cstheme="majorBidi"/>
                <w:b/>
                <w:bCs/>
                <w:szCs w:val="20"/>
                <w:lang w:val="en-GB"/>
              </w:rPr>
              <w:t xml:space="preserve">Special </w:t>
            </w:r>
            <w:r w:rsidR="00DC5A08" w:rsidRPr="00845FB7">
              <w:rPr>
                <w:rFonts w:cstheme="majorBidi"/>
                <w:b/>
                <w:bCs/>
                <w:szCs w:val="20"/>
                <w:lang w:val="en-GB"/>
              </w:rPr>
              <w:t>t</w:t>
            </w:r>
            <w:r w:rsidRPr="00845FB7">
              <w:rPr>
                <w:rFonts w:cstheme="majorBidi"/>
                <w:b/>
                <w:bCs/>
                <w:szCs w:val="20"/>
                <w:lang w:val="en-GB"/>
              </w:rPr>
              <w:t>rust Fund</w:t>
            </w:r>
          </w:p>
        </w:tc>
        <w:tc>
          <w:tcPr>
            <w:tcW w:w="1843" w:type="dxa"/>
            <w:hideMark/>
          </w:tcPr>
          <w:p w14:paraId="6904BBA6" w14:textId="3FA25CBE" w:rsidR="0090367C" w:rsidRPr="00845FB7" w:rsidRDefault="0090367C" w:rsidP="00D14BA5">
            <w:pPr>
              <w:jc w:val="center"/>
              <w:rPr>
                <w:rFonts w:cstheme="majorBidi"/>
                <w:b/>
                <w:bCs/>
                <w:szCs w:val="20"/>
                <w:lang w:val="en-GB"/>
              </w:rPr>
            </w:pPr>
            <w:r w:rsidRPr="00845FB7">
              <w:rPr>
                <w:rFonts w:cstheme="majorBidi"/>
                <w:b/>
                <w:bCs/>
                <w:szCs w:val="20"/>
                <w:lang w:val="en-GB"/>
              </w:rPr>
              <w:t xml:space="preserve">Total </w:t>
            </w:r>
            <w:r w:rsidR="00DC5A08" w:rsidRPr="00845FB7">
              <w:rPr>
                <w:rFonts w:cstheme="majorBidi"/>
                <w:b/>
                <w:bCs/>
                <w:szCs w:val="20"/>
                <w:lang w:val="en-GB"/>
              </w:rPr>
              <w:t>c</w:t>
            </w:r>
            <w:r w:rsidRPr="00845FB7">
              <w:rPr>
                <w:rFonts w:cstheme="majorBidi"/>
                <w:b/>
                <w:bCs/>
                <w:szCs w:val="20"/>
                <w:lang w:val="en-GB"/>
              </w:rPr>
              <w:t>ontribution</w:t>
            </w:r>
          </w:p>
        </w:tc>
      </w:tr>
      <w:tr w:rsidR="00F80898" w:rsidRPr="00845FB7" w14:paraId="46A43552" w14:textId="77777777" w:rsidTr="007D7E63">
        <w:trPr>
          <w:trHeight w:val="340"/>
        </w:trPr>
        <w:tc>
          <w:tcPr>
            <w:tcW w:w="4390" w:type="dxa"/>
            <w:noWrap/>
            <w:hideMark/>
          </w:tcPr>
          <w:p w14:paraId="0B002CE8" w14:textId="2AD301A6" w:rsidR="0090367C" w:rsidRPr="00845FB7" w:rsidRDefault="0090367C" w:rsidP="00A10FE4">
            <w:pPr>
              <w:jc w:val="left"/>
              <w:rPr>
                <w:rFonts w:cstheme="majorBidi"/>
                <w:szCs w:val="20"/>
                <w:lang w:val="en-GB"/>
              </w:rPr>
            </w:pPr>
            <w:r w:rsidRPr="00845FB7">
              <w:rPr>
                <w:rFonts w:cstheme="majorBidi"/>
                <w:szCs w:val="20"/>
                <w:lang w:val="en-GB"/>
              </w:rPr>
              <w:t>202</w:t>
            </w:r>
            <w:r w:rsidR="00DD4A38" w:rsidRPr="00845FB7">
              <w:rPr>
                <w:rFonts w:cstheme="majorBidi"/>
                <w:szCs w:val="20"/>
                <w:lang w:val="en-GB"/>
              </w:rPr>
              <w:t>4</w:t>
            </w:r>
            <w:r w:rsidRPr="00845FB7">
              <w:rPr>
                <w:rFonts w:cstheme="majorBidi"/>
                <w:szCs w:val="20"/>
                <w:lang w:val="en-GB"/>
              </w:rPr>
              <w:t>-202</w:t>
            </w:r>
            <w:r w:rsidR="00DD4A38" w:rsidRPr="00845FB7">
              <w:rPr>
                <w:rFonts w:cstheme="majorBidi"/>
                <w:szCs w:val="20"/>
                <w:lang w:val="en-GB"/>
              </w:rPr>
              <w:t>5</w:t>
            </w:r>
            <w:r w:rsidRPr="00845FB7">
              <w:rPr>
                <w:rFonts w:cstheme="majorBidi"/>
                <w:szCs w:val="20"/>
                <w:lang w:val="en-GB"/>
              </w:rPr>
              <w:t xml:space="preserve"> approved</w:t>
            </w:r>
          </w:p>
        </w:tc>
        <w:tc>
          <w:tcPr>
            <w:tcW w:w="1842" w:type="dxa"/>
            <w:noWrap/>
          </w:tcPr>
          <w:p w14:paraId="20C78225" w14:textId="79F24F89" w:rsidR="0090367C" w:rsidRPr="00845FB7" w:rsidRDefault="0090367C" w:rsidP="00A10FE4">
            <w:pPr>
              <w:rPr>
                <w:rFonts w:cstheme="majorBidi"/>
                <w:szCs w:val="20"/>
                <w:lang w:val="en-GB"/>
              </w:rPr>
            </w:pPr>
          </w:p>
        </w:tc>
        <w:tc>
          <w:tcPr>
            <w:tcW w:w="1843" w:type="dxa"/>
            <w:noWrap/>
          </w:tcPr>
          <w:p w14:paraId="20D89252" w14:textId="227FC919" w:rsidR="0090367C" w:rsidRPr="00845FB7" w:rsidRDefault="00817CD6" w:rsidP="002A243F">
            <w:pPr>
              <w:jc w:val="right"/>
              <w:rPr>
                <w:rFonts w:cstheme="majorBidi"/>
                <w:b/>
                <w:bCs/>
                <w:szCs w:val="20"/>
                <w:lang w:val="en-GB"/>
              </w:rPr>
            </w:pPr>
            <w:r w:rsidRPr="00845FB7">
              <w:rPr>
                <w:rFonts w:cstheme="majorBidi"/>
                <w:b/>
                <w:bCs/>
                <w:szCs w:val="20"/>
                <w:lang w:val="en-GB"/>
              </w:rPr>
              <w:t xml:space="preserve"> </w:t>
            </w:r>
            <w:r w:rsidR="00E4375C" w:rsidRPr="00845FB7">
              <w:rPr>
                <w:rFonts w:cstheme="majorBidi"/>
                <w:b/>
                <w:bCs/>
                <w:szCs w:val="20"/>
                <w:lang w:val="en-GB"/>
              </w:rPr>
              <w:t>73,000</w:t>
            </w:r>
          </w:p>
        </w:tc>
        <w:tc>
          <w:tcPr>
            <w:tcW w:w="1843" w:type="dxa"/>
            <w:noWrap/>
          </w:tcPr>
          <w:p w14:paraId="2F721534" w14:textId="338DAB0A" w:rsidR="0090367C" w:rsidRPr="00845FB7" w:rsidRDefault="000664B6" w:rsidP="000A3B28">
            <w:pPr>
              <w:jc w:val="right"/>
              <w:rPr>
                <w:rFonts w:cstheme="majorBidi"/>
                <w:b/>
                <w:bCs/>
                <w:szCs w:val="20"/>
                <w:lang w:val="en-GB"/>
              </w:rPr>
            </w:pPr>
            <w:r w:rsidRPr="00845FB7">
              <w:rPr>
                <w:rFonts w:cstheme="majorBidi"/>
                <w:b/>
                <w:bCs/>
                <w:szCs w:val="20"/>
                <w:lang w:val="en-GB"/>
              </w:rPr>
              <w:t>73</w:t>
            </w:r>
            <w:r w:rsidR="000A3B28" w:rsidRPr="00845FB7">
              <w:rPr>
                <w:rFonts w:cstheme="majorBidi"/>
                <w:b/>
                <w:bCs/>
                <w:szCs w:val="20"/>
                <w:lang w:val="en-GB"/>
              </w:rPr>
              <w:t>,000</w:t>
            </w:r>
          </w:p>
        </w:tc>
      </w:tr>
      <w:tr w:rsidR="00F80898" w:rsidRPr="00845FB7" w14:paraId="57477A8F" w14:textId="77777777" w:rsidTr="007D7E63">
        <w:trPr>
          <w:trHeight w:val="340"/>
        </w:trPr>
        <w:tc>
          <w:tcPr>
            <w:tcW w:w="4390" w:type="dxa"/>
            <w:hideMark/>
          </w:tcPr>
          <w:p w14:paraId="249E64EE" w14:textId="2FC0F197" w:rsidR="0090367C" w:rsidRPr="00845FB7" w:rsidRDefault="00E2051A" w:rsidP="00A10FE4">
            <w:pPr>
              <w:jc w:val="left"/>
              <w:rPr>
                <w:rFonts w:cstheme="majorBidi"/>
                <w:szCs w:val="20"/>
                <w:lang w:val="en-GB"/>
              </w:rPr>
            </w:pPr>
            <w:r w:rsidRPr="00845FB7">
              <w:rPr>
                <w:rFonts w:cstheme="majorBidi"/>
                <w:szCs w:val="20"/>
                <w:lang w:val="en-GB"/>
              </w:rPr>
              <w:t>2026–2027</w:t>
            </w:r>
            <w:r w:rsidR="0090367C" w:rsidRPr="00845FB7">
              <w:rPr>
                <w:rFonts w:cstheme="majorBidi"/>
                <w:szCs w:val="20"/>
                <w:lang w:val="en-GB"/>
              </w:rPr>
              <w:t xml:space="preserve"> requested in</w:t>
            </w:r>
            <w:r w:rsidR="00DC5A08" w:rsidRPr="00845FB7">
              <w:rPr>
                <w:rFonts w:cstheme="majorBidi"/>
                <w:szCs w:val="20"/>
                <w:lang w:val="en-GB"/>
              </w:rPr>
              <w:t xml:space="preserve"> the</w:t>
            </w:r>
            <w:r w:rsidR="0090367C" w:rsidRPr="00845FB7">
              <w:rPr>
                <w:rFonts w:cstheme="majorBidi"/>
                <w:szCs w:val="20"/>
                <w:lang w:val="en-GB"/>
              </w:rPr>
              <w:t xml:space="preserve"> </w:t>
            </w:r>
            <w:r w:rsidR="00B707DF" w:rsidRPr="00845FB7">
              <w:rPr>
                <w:rFonts w:cstheme="majorBidi"/>
                <w:szCs w:val="20"/>
                <w:lang w:val="en-GB"/>
              </w:rPr>
              <w:t>5</w:t>
            </w:r>
            <w:r w:rsidR="00DC5A08" w:rsidRPr="00845FB7">
              <w:rPr>
                <w:rFonts w:cstheme="majorBidi"/>
                <w:szCs w:val="20"/>
                <w:lang w:val="en-GB"/>
              </w:rPr>
              <w:t xml:space="preserve"> per </w:t>
            </w:r>
            <w:r w:rsidR="00826417" w:rsidRPr="00845FB7">
              <w:rPr>
                <w:rFonts w:cstheme="majorBidi"/>
                <w:szCs w:val="20"/>
                <w:lang w:val="en-GB"/>
              </w:rPr>
              <w:t>cent scenario</w:t>
            </w:r>
          </w:p>
        </w:tc>
        <w:tc>
          <w:tcPr>
            <w:tcW w:w="1842" w:type="dxa"/>
            <w:noWrap/>
          </w:tcPr>
          <w:p w14:paraId="6B92C5A4" w14:textId="105984A3" w:rsidR="0090367C" w:rsidRPr="00845FB7" w:rsidRDefault="00FD2288" w:rsidP="002A243F">
            <w:pPr>
              <w:jc w:val="center"/>
              <w:rPr>
                <w:rFonts w:cstheme="majorBidi"/>
                <w:b/>
                <w:bCs/>
                <w:szCs w:val="20"/>
                <w:lang w:val="en-GB"/>
              </w:rPr>
            </w:pPr>
            <w:r w:rsidRPr="00845FB7">
              <w:rPr>
                <w:rFonts w:cstheme="majorBidi"/>
                <w:b/>
                <w:bCs/>
                <w:szCs w:val="20"/>
                <w:lang w:val="en-GB"/>
              </w:rPr>
              <w:t>1</w:t>
            </w:r>
            <w:r w:rsidR="000664B6" w:rsidRPr="00845FB7">
              <w:rPr>
                <w:rFonts w:cstheme="majorBidi"/>
                <w:b/>
                <w:bCs/>
                <w:szCs w:val="20"/>
                <w:lang w:val="en-GB"/>
              </w:rPr>
              <w:t>6</w:t>
            </w:r>
            <w:r w:rsidRPr="00845FB7">
              <w:rPr>
                <w:rFonts w:cstheme="majorBidi"/>
                <w:b/>
                <w:bCs/>
                <w:szCs w:val="20"/>
                <w:lang w:val="en-GB"/>
              </w:rPr>
              <w:t>,000</w:t>
            </w:r>
          </w:p>
        </w:tc>
        <w:tc>
          <w:tcPr>
            <w:tcW w:w="1843" w:type="dxa"/>
            <w:noWrap/>
          </w:tcPr>
          <w:p w14:paraId="78B513D8" w14:textId="331FAED6" w:rsidR="0090367C" w:rsidRPr="00845FB7" w:rsidRDefault="000B4074" w:rsidP="000A3B28">
            <w:pPr>
              <w:jc w:val="right"/>
              <w:rPr>
                <w:rFonts w:cstheme="majorBidi"/>
                <w:b/>
                <w:bCs/>
                <w:szCs w:val="20"/>
                <w:lang w:val="en-GB"/>
              </w:rPr>
            </w:pPr>
            <w:r w:rsidRPr="00845FB7">
              <w:rPr>
                <w:rFonts w:cstheme="majorBidi"/>
                <w:b/>
                <w:bCs/>
                <w:szCs w:val="20"/>
                <w:lang w:val="en-GB"/>
              </w:rPr>
              <w:t>4</w:t>
            </w:r>
            <w:r w:rsidR="00632056" w:rsidRPr="00845FB7">
              <w:rPr>
                <w:rFonts w:cstheme="majorBidi"/>
                <w:b/>
                <w:bCs/>
                <w:szCs w:val="20"/>
                <w:lang w:val="en-GB"/>
              </w:rPr>
              <w:t>0,000</w:t>
            </w:r>
          </w:p>
        </w:tc>
        <w:tc>
          <w:tcPr>
            <w:tcW w:w="1843" w:type="dxa"/>
            <w:noWrap/>
          </w:tcPr>
          <w:p w14:paraId="55C73BA1" w14:textId="2D038D53" w:rsidR="0090367C" w:rsidRPr="00845FB7" w:rsidRDefault="000B4074" w:rsidP="000A3B28">
            <w:pPr>
              <w:jc w:val="right"/>
              <w:rPr>
                <w:rFonts w:cstheme="majorBidi"/>
                <w:b/>
                <w:bCs/>
                <w:szCs w:val="20"/>
                <w:lang w:val="en-GB"/>
              </w:rPr>
            </w:pPr>
            <w:r w:rsidRPr="00845FB7">
              <w:rPr>
                <w:rFonts w:cstheme="majorBidi"/>
                <w:b/>
                <w:bCs/>
                <w:szCs w:val="20"/>
                <w:lang w:val="en-GB"/>
              </w:rPr>
              <w:t>56</w:t>
            </w:r>
            <w:r w:rsidR="00632056" w:rsidRPr="00845FB7">
              <w:rPr>
                <w:rFonts w:cstheme="majorBidi"/>
                <w:b/>
                <w:bCs/>
                <w:szCs w:val="20"/>
                <w:lang w:val="en-GB"/>
              </w:rPr>
              <w:t>,000</w:t>
            </w:r>
          </w:p>
        </w:tc>
      </w:tr>
      <w:tr w:rsidR="00F80898" w:rsidRPr="00845FB7" w14:paraId="0110AE25" w14:textId="77777777" w:rsidTr="007D7E63">
        <w:trPr>
          <w:trHeight w:val="340"/>
        </w:trPr>
        <w:tc>
          <w:tcPr>
            <w:tcW w:w="4390" w:type="dxa"/>
            <w:hideMark/>
          </w:tcPr>
          <w:p w14:paraId="6C35AF71" w14:textId="627B59E3" w:rsidR="0090367C" w:rsidRPr="00845FB7" w:rsidRDefault="00E2051A" w:rsidP="00A10FE4">
            <w:pPr>
              <w:jc w:val="left"/>
              <w:rPr>
                <w:rFonts w:cstheme="majorBidi"/>
                <w:szCs w:val="20"/>
                <w:lang w:val="en-GB"/>
              </w:rPr>
            </w:pPr>
            <w:r w:rsidRPr="00845FB7">
              <w:rPr>
                <w:rFonts w:cstheme="majorBidi"/>
                <w:szCs w:val="20"/>
                <w:lang w:val="en-GB"/>
              </w:rPr>
              <w:t>2026–2027</w:t>
            </w:r>
            <w:r w:rsidR="0090367C" w:rsidRPr="00845FB7">
              <w:rPr>
                <w:rFonts w:cstheme="majorBidi"/>
                <w:szCs w:val="20"/>
                <w:lang w:val="en-GB"/>
              </w:rPr>
              <w:t xml:space="preserve"> requested in </w:t>
            </w:r>
            <w:r w:rsidR="00DC5A08" w:rsidRPr="00845FB7">
              <w:rPr>
                <w:rFonts w:cstheme="majorBidi"/>
                <w:szCs w:val="20"/>
                <w:lang w:val="en-GB"/>
              </w:rPr>
              <w:t>the z</w:t>
            </w:r>
            <w:r w:rsidR="0090367C" w:rsidRPr="00845FB7">
              <w:rPr>
                <w:rFonts w:cstheme="majorBidi"/>
                <w:szCs w:val="20"/>
                <w:lang w:val="en-GB"/>
              </w:rPr>
              <w:t>ero nominal growth scenario</w:t>
            </w:r>
          </w:p>
        </w:tc>
        <w:tc>
          <w:tcPr>
            <w:tcW w:w="1842" w:type="dxa"/>
            <w:noWrap/>
          </w:tcPr>
          <w:p w14:paraId="629866AD" w14:textId="03E486D2" w:rsidR="0090367C" w:rsidRPr="00845FB7" w:rsidRDefault="0090367C" w:rsidP="00A10FE4">
            <w:pPr>
              <w:rPr>
                <w:rFonts w:cstheme="majorBidi"/>
                <w:szCs w:val="20"/>
                <w:lang w:val="en-GB"/>
              </w:rPr>
            </w:pPr>
          </w:p>
        </w:tc>
        <w:tc>
          <w:tcPr>
            <w:tcW w:w="1843" w:type="dxa"/>
            <w:noWrap/>
          </w:tcPr>
          <w:p w14:paraId="0BA7F8F5" w14:textId="5B058567" w:rsidR="0090367C" w:rsidRPr="00845FB7" w:rsidRDefault="000B4074" w:rsidP="000A3B28">
            <w:pPr>
              <w:jc w:val="right"/>
              <w:rPr>
                <w:rFonts w:cstheme="majorBidi"/>
                <w:b/>
                <w:bCs/>
                <w:szCs w:val="20"/>
                <w:lang w:val="en-GB"/>
              </w:rPr>
            </w:pPr>
            <w:r w:rsidRPr="00845FB7">
              <w:rPr>
                <w:rFonts w:cstheme="majorBidi"/>
                <w:b/>
                <w:bCs/>
                <w:szCs w:val="20"/>
                <w:lang w:val="en-GB"/>
              </w:rPr>
              <w:t>4</w:t>
            </w:r>
            <w:r w:rsidR="000A3B28" w:rsidRPr="00845FB7">
              <w:rPr>
                <w:rFonts w:cstheme="majorBidi"/>
                <w:b/>
                <w:bCs/>
                <w:szCs w:val="20"/>
                <w:lang w:val="en-GB"/>
              </w:rPr>
              <w:t>0,000</w:t>
            </w:r>
          </w:p>
        </w:tc>
        <w:tc>
          <w:tcPr>
            <w:tcW w:w="1843" w:type="dxa"/>
            <w:noWrap/>
          </w:tcPr>
          <w:p w14:paraId="46067704" w14:textId="0A18A6AD" w:rsidR="0090367C" w:rsidRPr="00845FB7" w:rsidRDefault="00350D5A" w:rsidP="000A3B28">
            <w:pPr>
              <w:jc w:val="right"/>
              <w:rPr>
                <w:rFonts w:cstheme="majorBidi"/>
                <w:b/>
                <w:bCs/>
                <w:szCs w:val="20"/>
                <w:lang w:val="en-GB"/>
              </w:rPr>
            </w:pPr>
            <w:r w:rsidRPr="00845FB7">
              <w:rPr>
                <w:rFonts w:cstheme="majorBidi"/>
                <w:b/>
                <w:bCs/>
                <w:szCs w:val="20"/>
                <w:lang w:val="en-GB"/>
              </w:rPr>
              <w:t>40</w:t>
            </w:r>
            <w:r w:rsidR="000B4074" w:rsidRPr="00845FB7">
              <w:rPr>
                <w:rFonts w:cstheme="majorBidi"/>
                <w:b/>
                <w:bCs/>
                <w:szCs w:val="20"/>
                <w:lang w:val="en-GB"/>
              </w:rPr>
              <w:t>,</w:t>
            </w:r>
            <w:r w:rsidR="000A3B28" w:rsidRPr="00845FB7">
              <w:rPr>
                <w:rFonts w:cstheme="majorBidi"/>
                <w:b/>
                <w:bCs/>
                <w:szCs w:val="20"/>
                <w:lang w:val="en-GB"/>
              </w:rPr>
              <w:t>000</w:t>
            </w:r>
          </w:p>
        </w:tc>
      </w:tr>
    </w:tbl>
    <w:p w14:paraId="77F5852C" w14:textId="77777777" w:rsidR="0090367C" w:rsidRPr="00845FB7" w:rsidRDefault="0090367C" w:rsidP="0090367C">
      <w:pPr>
        <w:rPr>
          <w:rFonts w:cstheme="majorBidi"/>
          <w:color w:val="0563C1" w:themeColor="hyperlink"/>
          <w:szCs w:val="20"/>
          <w:u w:val="single"/>
          <w:lang w:val="en-GB"/>
        </w:rPr>
      </w:pPr>
    </w:p>
    <w:p w14:paraId="0835211E" w14:textId="0491262B" w:rsidR="001F3CCC" w:rsidRPr="00845FB7" w:rsidRDefault="001F3CCC">
      <w:pPr>
        <w:jc w:val="left"/>
        <w:rPr>
          <w:rFonts w:cstheme="majorBidi"/>
          <w:szCs w:val="20"/>
          <w:lang w:val="en-GB"/>
        </w:rPr>
      </w:pPr>
      <w:r w:rsidRPr="00845FB7">
        <w:rPr>
          <w:rFonts w:cstheme="majorBidi"/>
          <w:szCs w:val="20"/>
          <w:lang w:val="en-GB"/>
        </w:rPr>
        <w:br w:type="page"/>
      </w:r>
    </w:p>
    <w:p w14:paraId="6FB503D1" w14:textId="6C43E54A" w:rsidR="00D76F54" w:rsidRPr="00845FB7" w:rsidRDefault="00D76F54" w:rsidP="00D76F54">
      <w:pPr>
        <w:pStyle w:val="Heading1"/>
        <w:rPr>
          <w:szCs w:val="40"/>
          <w:lang w:val="en-GB"/>
        </w:rPr>
      </w:pPr>
      <w:r w:rsidRPr="00845FB7">
        <w:rPr>
          <w:b w:val="0"/>
          <w:noProof/>
          <w:szCs w:val="40"/>
          <w:lang w:val="en-GB" w:bidi="fr-FR"/>
        </w:rPr>
        <w:lastRenderedPageBreak/>
        <mc:AlternateContent>
          <mc:Choice Requires="wps">
            <w:drawing>
              <wp:anchor distT="0" distB="0" distL="114300" distR="114300" simplePos="0" relativeHeight="251658246" behindDoc="1" locked="0" layoutInCell="1" allowOverlap="1" wp14:anchorId="0237DB56" wp14:editId="29CF5903">
                <wp:simplePos x="0" y="0"/>
                <wp:positionH relativeFrom="column">
                  <wp:posOffset>-11430</wp:posOffset>
                </wp:positionH>
                <wp:positionV relativeFrom="paragraph">
                  <wp:posOffset>-17145</wp:posOffset>
                </wp:positionV>
                <wp:extent cx="6089650" cy="633910"/>
                <wp:effectExtent l="0" t="0" r="6350" b="0"/>
                <wp:wrapNone/>
                <wp:docPr id="24" name="Rectangle 24" descr="P3585#y1"/>
                <wp:cNvGraphicFramePr/>
                <a:graphic xmlns:a="http://schemas.openxmlformats.org/drawingml/2006/main">
                  <a:graphicData uri="http://schemas.microsoft.com/office/word/2010/wordprocessingShape">
                    <wps:wsp>
                      <wps:cNvSpPr/>
                      <wps:spPr>
                        <a:xfrm>
                          <a:off x="0" y="0"/>
                          <a:ext cx="6089650" cy="633910"/>
                        </a:xfrm>
                        <a:prstGeom prst="rect">
                          <a:avLst/>
                        </a:prstGeom>
                        <a:solidFill>
                          <a:srgbClr val="E8B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5DCCBD23">
              <v:rect id="Rectangle 24" style="position:absolute;margin-left:-.9pt;margin-top:-1.35pt;width:479.5pt;height:49.9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P3585#y1" o:spid="_x0000_s1026" fillcolor="#e8bc00" stroked="f" strokeweight="1pt" w14:anchorId="130F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"/>
            </w:pict>
          </mc:Fallback>
        </mc:AlternateContent>
      </w:r>
      <w:r w:rsidRPr="00845FB7">
        <w:rPr>
          <w:szCs w:val="40"/>
          <w:lang w:val="en-GB"/>
        </w:rPr>
        <w:t>Fact sheet G. Office maintenance and services</w:t>
      </w:r>
    </w:p>
    <w:p w14:paraId="0E606709" w14:textId="6B67CC39" w:rsidR="00D76F54" w:rsidRPr="00845FB7" w:rsidRDefault="00D76F54" w:rsidP="00D76F54">
      <w:pPr>
        <w:pStyle w:val="Heading2"/>
        <w:rPr>
          <w:rFonts w:cstheme="majorBidi"/>
          <w:color w:val="FFC000"/>
          <w:sz w:val="36"/>
          <w:szCs w:val="36"/>
          <w:lang w:val="en-GB"/>
        </w:rPr>
      </w:pPr>
      <w:r w:rsidRPr="00845FB7">
        <w:rPr>
          <w:rFonts w:cstheme="majorBidi"/>
          <w:color w:val="FFC000"/>
          <w:sz w:val="36"/>
          <w:szCs w:val="36"/>
          <w:lang w:val="en-GB"/>
        </w:rPr>
        <w:t>Activity 15. Office maintenance and services</w:t>
      </w:r>
    </w:p>
    <w:p w14:paraId="235D6C5C" w14:textId="643D315D" w:rsidR="00D76F54" w:rsidRPr="00845FB7" w:rsidRDefault="00D76F54" w:rsidP="00D76F54">
      <w:pPr>
        <w:pStyle w:val="Heading3"/>
        <w:rPr>
          <w:sz w:val="24"/>
          <w:lang w:val="en-GB"/>
        </w:rPr>
      </w:pPr>
      <w:r w:rsidRPr="00845FB7">
        <w:rPr>
          <w:sz w:val="24"/>
          <w:lang w:val="en-GB"/>
        </w:rPr>
        <w:t>Budget</w:t>
      </w:r>
    </w:p>
    <w:p w14:paraId="5212BFB7" w14:textId="40046538" w:rsidR="00D76F54" w:rsidRPr="00845FB7" w:rsidRDefault="00D76F54" w:rsidP="00D76F54">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5303AD"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calcOnExit w:val="0"/>
            <w:checkBox>
              <w:sizeAuto/>
              <w:default w:val="0"/>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5303AD" w:rsidRPr="00845FB7">
        <w:rPr>
          <w:rFonts w:cstheme="majorBidi"/>
          <w:szCs w:val="20"/>
          <w:lang w:val="en-GB"/>
        </w:rPr>
        <w:t>Special Trust Fund</w:t>
      </w:r>
    </w:p>
    <w:p w14:paraId="3451B575" w14:textId="589888D6" w:rsidR="00D76F54" w:rsidRPr="00845FB7" w:rsidRDefault="00D76F54" w:rsidP="00D76F54">
      <w:pPr>
        <w:pStyle w:val="Heading3"/>
        <w:rPr>
          <w:sz w:val="24"/>
          <w:lang w:val="en-GB"/>
        </w:rPr>
      </w:pPr>
      <w:r w:rsidRPr="00845FB7">
        <w:rPr>
          <w:sz w:val="24"/>
          <w:lang w:val="en-GB"/>
        </w:rPr>
        <w:t>Reference</w:t>
      </w:r>
    </w:p>
    <w:p w14:paraId="0B095276" w14:textId="3E66DD8E" w:rsidR="00BD66DF" w:rsidRPr="00845FB7" w:rsidRDefault="00BD66DF" w:rsidP="00BD66DF">
      <w:pPr>
        <w:spacing w:after="60"/>
        <w:ind w:left="1985" w:hanging="1985"/>
        <w:rPr>
          <w:rFonts w:cstheme="majorBidi"/>
          <w:szCs w:val="20"/>
          <w:lang w:val="en-GB"/>
        </w:rPr>
      </w:pPr>
      <w:r w:rsidRPr="00845FB7">
        <w:rPr>
          <w:rFonts w:cstheme="majorBidi"/>
          <w:b/>
          <w:bCs/>
          <w:szCs w:val="20"/>
          <w:lang w:val="en-GB"/>
        </w:rPr>
        <w:t>UNEP/MC/COP.6/2</w:t>
      </w:r>
      <w:r w:rsidR="00066388" w:rsidRPr="00845FB7">
        <w:rPr>
          <w:rFonts w:cstheme="majorBidi"/>
          <w:b/>
          <w:bCs/>
          <w:szCs w:val="20"/>
          <w:lang w:val="en-GB"/>
        </w:rPr>
        <w:t>3</w:t>
      </w:r>
      <w:r w:rsidRPr="00845FB7">
        <w:rPr>
          <w:rFonts w:cstheme="majorBidi"/>
          <w:b/>
          <w:bCs/>
          <w:szCs w:val="20"/>
          <w:lang w:val="en-GB"/>
        </w:rPr>
        <w:t>:</w:t>
      </w:r>
      <w:r w:rsidRPr="00845FB7">
        <w:rPr>
          <w:rFonts w:cstheme="majorBidi"/>
          <w:szCs w:val="20"/>
          <w:lang w:val="en-GB"/>
        </w:rPr>
        <w:t xml:space="preserve"> Programme of work and budget: proposed operational budgets for the two funding scenarios for the biennium </w:t>
      </w:r>
      <w:r w:rsidR="00E2051A" w:rsidRPr="00845FB7">
        <w:rPr>
          <w:rFonts w:cstheme="majorBidi"/>
          <w:szCs w:val="20"/>
          <w:lang w:val="en-GB"/>
        </w:rPr>
        <w:t>2026–2027</w:t>
      </w:r>
    </w:p>
    <w:p w14:paraId="6AB10A8B" w14:textId="1DA63919" w:rsidR="00D76F54" w:rsidRPr="00845FB7" w:rsidRDefault="00D76F54" w:rsidP="00D76F54">
      <w:pPr>
        <w:pStyle w:val="Heading3"/>
        <w:rPr>
          <w:sz w:val="24"/>
          <w:lang w:val="en-GB"/>
        </w:rPr>
      </w:pPr>
      <w:r w:rsidRPr="00845FB7">
        <w:rPr>
          <w:sz w:val="24"/>
          <w:lang w:val="en-GB"/>
        </w:rPr>
        <w:t>Background and rationale</w:t>
      </w:r>
    </w:p>
    <w:p w14:paraId="24EE5B0D" w14:textId="62D3DFE5" w:rsidR="00D76F54" w:rsidRPr="00845FB7" w:rsidRDefault="00D76F54" w:rsidP="00BD36F8">
      <w:pPr>
        <w:spacing w:after="60" w:line="276" w:lineRule="auto"/>
        <w:rPr>
          <w:rFonts w:cstheme="majorBidi"/>
          <w:szCs w:val="20"/>
          <w:lang w:val="en-GB"/>
        </w:rPr>
      </w:pPr>
      <w:r w:rsidRPr="00845FB7">
        <w:rPr>
          <w:rFonts w:cstheme="majorBidi"/>
          <w:szCs w:val="20"/>
          <w:lang w:val="en-GB"/>
        </w:rPr>
        <w:t xml:space="preserve">The provision of office maintenance, services and space are necessary for the operations of the </w:t>
      </w:r>
      <w:r w:rsidR="000C0C15" w:rsidRPr="00845FB7">
        <w:rPr>
          <w:rFonts w:cstheme="majorBidi"/>
          <w:szCs w:val="20"/>
          <w:lang w:val="en-GB"/>
        </w:rPr>
        <w:t>S</w:t>
      </w:r>
      <w:r w:rsidRPr="00845FB7">
        <w:rPr>
          <w:rFonts w:cstheme="majorBidi"/>
          <w:szCs w:val="20"/>
          <w:lang w:val="en-GB"/>
        </w:rPr>
        <w:t>ecretariat.</w:t>
      </w:r>
    </w:p>
    <w:p w14:paraId="6727D26B" w14:textId="63066BC2" w:rsidR="00D76F54" w:rsidRPr="00845FB7" w:rsidRDefault="00D76F54" w:rsidP="00D76F54">
      <w:pPr>
        <w:pStyle w:val="Heading3"/>
        <w:rPr>
          <w:sz w:val="24"/>
          <w:lang w:val="en-GB"/>
        </w:rPr>
      </w:pPr>
      <w:r w:rsidRPr="00845FB7">
        <w:rPr>
          <w:sz w:val="24"/>
          <w:lang w:val="en-GB"/>
        </w:rPr>
        <w:t>Outcomes and activities</w:t>
      </w:r>
    </w:p>
    <w:p w14:paraId="7DC044C2" w14:textId="09CE15EE" w:rsidR="00D76F54" w:rsidRPr="00845FB7" w:rsidRDefault="00D76F54" w:rsidP="00BD36F8">
      <w:pPr>
        <w:pStyle w:val="Heading2"/>
        <w:spacing w:before="360" w:after="120"/>
        <w:rPr>
          <w:sz w:val="28"/>
          <w:szCs w:val="28"/>
          <w:lang w:val="en-GB"/>
        </w:rPr>
      </w:pPr>
      <w:r w:rsidRPr="00845FB7">
        <w:rPr>
          <w:sz w:val="28"/>
          <w:szCs w:val="28"/>
          <w:lang w:val="en-GB"/>
        </w:rPr>
        <w:t>Component 1</w:t>
      </w:r>
      <w:r w:rsidR="00A54B88" w:rsidRPr="00845FB7">
        <w:rPr>
          <w:sz w:val="28"/>
          <w:szCs w:val="28"/>
          <w:lang w:val="en-GB"/>
        </w:rPr>
        <w:t>5</w:t>
      </w:r>
      <w:r w:rsidRPr="00845FB7">
        <w:rPr>
          <w:sz w:val="28"/>
          <w:szCs w:val="28"/>
          <w:lang w:val="en-GB"/>
        </w:rPr>
        <w:t>.1. Office maintenance and services</w:t>
      </w:r>
    </w:p>
    <w:p w14:paraId="541ACA46" w14:textId="77777777" w:rsidR="00D76F54" w:rsidRPr="00845FB7" w:rsidRDefault="00D76F54" w:rsidP="00BD36F8">
      <w:pPr>
        <w:spacing w:before="240"/>
        <w:rPr>
          <w:rFonts w:cstheme="majorBidi"/>
          <w:b/>
          <w:bCs/>
          <w:szCs w:val="20"/>
          <w:lang w:val="en-GB" w:eastAsia="en-GB"/>
        </w:rPr>
      </w:pPr>
      <w:r w:rsidRPr="00845FB7">
        <w:rPr>
          <w:rFonts w:cstheme="majorBidi"/>
          <w:b/>
          <w:bCs/>
          <w:szCs w:val="20"/>
          <w:lang w:val="en-GB" w:eastAsia="en-GB"/>
        </w:rPr>
        <w:t>OUTCOMES</w:t>
      </w:r>
    </w:p>
    <w:p w14:paraId="22CECCC1" w14:textId="04598B6E" w:rsidR="00D76F54" w:rsidRPr="00845FB7" w:rsidRDefault="00D76F54" w:rsidP="00BD36F8">
      <w:pPr>
        <w:spacing w:after="60"/>
        <w:rPr>
          <w:rFonts w:cstheme="majorBidi"/>
          <w:szCs w:val="20"/>
          <w:lang w:val="en-GB" w:eastAsia="en-GB"/>
        </w:rPr>
      </w:pPr>
      <w:r w:rsidRPr="00845FB7">
        <w:rPr>
          <w:rFonts w:cstheme="majorBidi"/>
          <w:szCs w:val="20"/>
          <w:lang w:val="en-GB" w:eastAsia="en-GB"/>
        </w:rPr>
        <w:t xml:space="preserve">Sufficient office facilities, services and supplies are available to enable the </w:t>
      </w:r>
      <w:r w:rsidR="00D33BE7" w:rsidRPr="00845FB7">
        <w:rPr>
          <w:rFonts w:cstheme="majorBidi"/>
          <w:szCs w:val="20"/>
          <w:lang w:val="en-GB" w:eastAsia="en-GB"/>
        </w:rPr>
        <w:t>S</w:t>
      </w:r>
      <w:r w:rsidRPr="00845FB7">
        <w:rPr>
          <w:rFonts w:cstheme="majorBidi"/>
          <w:szCs w:val="20"/>
          <w:lang w:val="en-GB" w:eastAsia="en-GB"/>
        </w:rPr>
        <w:t>ecretariat to operate in an efficient and effective manner.</w:t>
      </w:r>
    </w:p>
    <w:p w14:paraId="7291BC1C" w14:textId="77777777" w:rsidR="00D76F54" w:rsidRPr="00845FB7" w:rsidRDefault="00D76F54" w:rsidP="00BD36F8">
      <w:pPr>
        <w:spacing w:before="240"/>
        <w:rPr>
          <w:rFonts w:cstheme="majorBidi"/>
          <w:b/>
          <w:bCs/>
          <w:szCs w:val="20"/>
          <w:lang w:val="en-GB" w:eastAsia="en-GB"/>
        </w:rPr>
      </w:pPr>
      <w:r w:rsidRPr="00845FB7">
        <w:rPr>
          <w:rFonts w:cstheme="majorBidi"/>
          <w:b/>
          <w:bCs/>
          <w:szCs w:val="20"/>
          <w:lang w:val="en-GB" w:eastAsia="en-GB"/>
        </w:rPr>
        <w:t>ACTIVITIES</w:t>
      </w:r>
    </w:p>
    <w:p w14:paraId="5BEA809F" w14:textId="563DA324" w:rsidR="00D76F54" w:rsidRPr="00845FB7" w:rsidRDefault="00D76F5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Operating costs (e.g. UN Security, diplomatic services, UN services (such as procurement), UMOJA</w:t>
      </w:r>
      <w:r w:rsidR="006D4F41" w:rsidRPr="00845FB7">
        <w:rPr>
          <w:rFonts w:cstheme="majorBidi"/>
          <w:szCs w:val="20"/>
          <w:lang w:val="en-GB" w:eastAsia="en-GB"/>
        </w:rPr>
        <w:t xml:space="preserve"> costs</w:t>
      </w:r>
      <w:r w:rsidRPr="00845FB7">
        <w:rPr>
          <w:rFonts w:cstheme="majorBidi"/>
          <w:szCs w:val="20"/>
          <w:lang w:val="en-GB" w:eastAsia="en-GB"/>
        </w:rPr>
        <w:t>, network printing);</w:t>
      </w:r>
    </w:p>
    <w:p w14:paraId="4E5536BE" w14:textId="77777777" w:rsidR="00D76F54" w:rsidRPr="00845FB7" w:rsidRDefault="00D76F5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Office maintenance and utilities;</w:t>
      </w:r>
    </w:p>
    <w:p w14:paraId="3621EED7" w14:textId="77777777" w:rsidR="00D76F54" w:rsidRPr="00845FB7" w:rsidRDefault="00D76F5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Communications (fixed and mobile, supplies and services, including website hosting);</w:t>
      </w:r>
    </w:p>
    <w:p w14:paraId="4ED48373" w14:textId="77777777" w:rsidR="00D76F54" w:rsidRPr="00845FB7" w:rsidRDefault="00D76F5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Office equipment and other non-expendable items;</w:t>
      </w:r>
    </w:p>
    <w:p w14:paraId="721E2270" w14:textId="7EDD2491" w:rsidR="00D76F54" w:rsidRPr="00845FB7" w:rsidRDefault="00D76F5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Office supplies and other expendable items.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5670"/>
        <w:gridCol w:w="3346"/>
      </w:tblGrid>
      <w:tr w:rsidR="00D76F54" w:rsidRPr="00845FB7" w14:paraId="23FE7951" w14:textId="77777777" w:rsidTr="00BD36F8">
        <w:tc>
          <w:tcPr>
            <w:tcW w:w="5670" w:type="dxa"/>
          </w:tcPr>
          <w:p w14:paraId="18172F22" w14:textId="1331A948" w:rsidR="00D76F54" w:rsidRPr="00845FB7" w:rsidRDefault="00D76F54" w:rsidP="00BD36F8">
            <w:pPr>
              <w:spacing w:before="160" w:after="120"/>
              <w:ind w:left="363"/>
              <w:rPr>
                <w:rFonts w:cstheme="majorBidi"/>
                <w:b/>
                <w:bCs/>
                <w:szCs w:val="20"/>
                <w:lang w:val="en-GB" w:eastAsia="en-GB"/>
              </w:rPr>
            </w:pPr>
            <w:r w:rsidRPr="00845FB7">
              <w:rPr>
                <w:rFonts w:cstheme="majorBidi"/>
                <w:b/>
                <w:bCs/>
                <w:szCs w:val="20"/>
                <w:lang w:val="en-GB" w:eastAsia="en-GB"/>
              </w:rPr>
              <w:t>INDICATORS OF ACHIEVEMENT</w:t>
            </w:r>
          </w:p>
          <w:p w14:paraId="4C77D9A8" w14:textId="77777777" w:rsidR="00D76F54" w:rsidRPr="00845FB7" w:rsidRDefault="00D76F54" w:rsidP="00BD36F8">
            <w:pPr>
              <w:pStyle w:val="ListParagraph"/>
              <w:numPr>
                <w:ilvl w:val="0"/>
                <w:numId w:val="5"/>
              </w:numPr>
              <w:spacing w:after="60"/>
              <w:rPr>
                <w:rFonts w:cstheme="majorBidi"/>
                <w:b/>
                <w:bCs/>
                <w:szCs w:val="20"/>
                <w:lang w:val="en-GB" w:eastAsia="en-GB"/>
              </w:rPr>
            </w:pPr>
            <w:r w:rsidRPr="00845FB7">
              <w:rPr>
                <w:rFonts w:cstheme="majorBidi"/>
                <w:szCs w:val="20"/>
                <w:lang w:val="en-GB" w:eastAsia="en-GB"/>
              </w:rPr>
              <w:t>Availability of office space, services and equipment to facilitate the delivery of the programme of work.</w:t>
            </w:r>
          </w:p>
        </w:tc>
        <w:tc>
          <w:tcPr>
            <w:tcW w:w="3346" w:type="dxa"/>
          </w:tcPr>
          <w:p w14:paraId="0AA67AE0" w14:textId="2BF5776D" w:rsidR="00D76F54" w:rsidRPr="00845FB7" w:rsidRDefault="00D76F54" w:rsidP="00BD36F8">
            <w:pPr>
              <w:spacing w:before="160" w:after="120"/>
              <w:ind w:left="363"/>
              <w:rPr>
                <w:rFonts w:cstheme="majorBidi"/>
                <w:b/>
                <w:bCs/>
                <w:szCs w:val="20"/>
                <w:lang w:val="en-GB" w:eastAsia="en-GB"/>
              </w:rPr>
            </w:pPr>
            <w:r w:rsidRPr="00845FB7">
              <w:rPr>
                <w:rFonts w:cstheme="majorBidi"/>
                <w:b/>
                <w:bCs/>
                <w:szCs w:val="20"/>
                <w:lang w:val="en-GB" w:eastAsia="en-GB"/>
              </w:rPr>
              <w:t xml:space="preserve">MEANS OF VERIFICATION </w:t>
            </w:r>
          </w:p>
          <w:p w14:paraId="2FC497C0" w14:textId="4DC0D81D" w:rsidR="00D76F54" w:rsidRPr="00845FB7" w:rsidRDefault="00D76F54" w:rsidP="00BD36F8">
            <w:pPr>
              <w:pStyle w:val="ListParagraph"/>
              <w:numPr>
                <w:ilvl w:val="0"/>
                <w:numId w:val="4"/>
              </w:numPr>
              <w:spacing w:after="60"/>
              <w:rPr>
                <w:rFonts w:cstheme="majorBidi"/>
                <w:szCs w:val="20"/>
                <w:lang w:val="en-GB" w:eastAsia="en-GB"/>
              </w:rPr>
            </w:pPr>
            <w:r w:rsidRPr="00845FB7">
              <w:rPr>
                <w:rFonts w:cstheme="majorBidi"/>
                <w:szCs w:val="20"/>
                <w:lang w:val="en-GB" w:eastAsia="en-GB"/>
              </w:rPr>
              <w:t xml:space="preserve">Reports to the </w:t>
            </w:r>
            <w:r w:rsidR="00AE24F8" w:rsidRPr="00845FB7">
              <w:rPr>
                <w:rFonts w:cstheme="majorBidi"/>
                <w:szCs w:val="20"/>
                <w:lang w:val="en-GB" w:eastAsia="en-GB"/>
              </w:rPr>
              <w:t>P</w:t>
            </w:r>
            <w:r w:rsidRPr="00845FB7">
              <w:rPr>
                <w:rFonts w:cstheme="majorBidi"/>
                <w:szCs w:val="20"/>
                <w:lang w:val="en-GB" w:eastAsia="en-GB"/>
              </w:rPr>
              <w:t>arties and data in Umoja.</w:t>
            </w:r>
          </w:p>
        </w:tc>
      </w:tr>
    </w:tbl>
    <w:p w14:paraId="7480E6B9" w14:textId="35AE07CE" w:rsidR="00D76F54" w:rsidRPr="00845FB7" w:rsidRDefault="00D76F54" w:rsidP="00BD36F8">
      <w:pPr>
        <w:pStyle w:val="Heading3"/>
        <w:spacing w:before="240"/>
        <w:rPr>
          <w:sz w:val="24"/>
          <w:lang w:val="en-GB"/>
        </w:rPr>
      </w:pPr>
      <w:r w:rsidRPr="00845FB7">
        <w:rPr>
          <w:sz w:val="24"/>
          <w:lang w:val="en-GB"/>
        </w:rPr>
        <w:t>Partners</w:t>
      </w:r>
    </w:p>
    <w:p w14:paraId="05702AC5" w14:textId="6E0DAAE2" w:rsidR="002D6542" w:rsidRPr="00845FB7" w:rsidRDefault="00D76F54" w:rsidP="00BD36F8">
      <w:pPr>
        <w:spacing w:after="60" w:line="276" w:lineRule="auto"/>
        <w:rPr>
          <w:rFonts w:cstheme="majorBidi"/>
          <w:szCs w:val="20"/>
          <w:lang w:val="en-GB"/>
        </w:rPr>
      </w:pPr>
      <w:r w:rsidRPr="00845FB7">
        <w:rPr>
          <w:rFonts w:cstheme="majorBidi"/>
          <w:szCs w:val="20"/>
          <w:lang w:val="en-GB"/>
        </w:rPr>
        <w:t>UNON, UNOG, UNEP and external service provider</w:t>
      </w:r>
    </w:p>
    <w:p w14:paraId="3B257D11" w14:textId="7B307AAA" w:rsidR="002D6542" w:rsidRPr="00845FB7" w:rsidRDefault="002D6542" w:rsidP="00BD36F8">
      <w:pPr>
        <w:pStyle w:val="Heading3"/>
        <w:spacing w:before="240"/>
        <w:rPr>
          <w:sz w:val="24"/>
          <w:lang w:val="en-GB"/>
        </w:rPr>
      </w:pPr>
      <w:r w:rsidRPr="00845FB7">
        <w:rPr>
          <w:sz w:val="24"/>
          <w:lang w:val="en-GB"/>
        </w:rPr>
        <w:t>Socio-economic aspects</w:t>
      </w:r>
    </w:p>
    <w:p w14:paraId="283BC32E" w14:textId="77777777" w:rsidR="002D6542" w:rsidRPr="00845FB7" w:rsidRDefault="002D6542"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N/A</w:t>
      </w:r>
    </w:p>
    <w:p w14:paraId="0D26B04B" w14:textId="77777777" w:rsidR="002D6542" w:rsidRPr="00845FB7" w:rsidRDefault="002D6542" w:rsidP="00BD36F8">
      <w:pPr>
        <w:spacing w:after="120" w:line="276" w:lineRule="auto"/>
        <w:rPr>
          <w:rFonts w:cstheme="majorBidi"/>
          <w:b/>
          <w:bCs/>
          <w:szCs w:val="20"/>
          <w:lang w:val="en-GB"/>
        </w:rPr>
      </w:pPr>
      <w:r w:rsidRPr="00845FB7">
        <w:rPr>
          <w:rFonts w:cstheme="majorBidi"/>
          <w:b/>
          <w:bCs/>
          <w:szCs w:val="20"/>
          <w:lang w:val="en-GB"/>
        </w:rPr>
        <w:t>Integrated Approach:</w:t>
      </w:r>
      <w:r w:rsidRPr="00845FB7">
        <w:rPr>
          <w:rFonts w:cstheme="majorBidi"/>
          <w:szCs w:val="20"/>
          <w:lang w:val="en-GB"/>
        </w:rPr>
        <w:t xml:space="preserve"> N/A</w:t>
      </w:r>
      <w:r w:rsidRPr="00845FB7">
        <w:rPr>
          <w:rFonts w:cstheme="majorBidi"/>
          <w:b/>
          <w:bCs/>
          <w:szCs w:val="20"/>
          <w:lang w:val="en-GB"/>
        </w:rPr>
        <w:t xml:space="preserve"> </w:t>
      </w:r>
    </w:p>
    <w:p w14:paraId="1020404B" w14:textId="337E0AC6" w:rsidR="002D6542" w:rsidRPr="00845FB7" w:rsidRDefault="002D6542" w:rsidP="00D76F54">
      <w:pPr>
        <w:spacing w:line="276" w:lineRule="auto"/>
        <w:rPr>
          <w:rFonts w:cstheme="majorBidi"/>
          <w:szCs w:val="20"/>
          <w:lang w:val="en-GB"/>
        </w:rPr>
        <w:sectPr w:rsidR="002D6542" w:rsidRPr="00845FB7" w:rsidSect="00BD36F8">
          <w:headerReference w:type="first" r:id="rId88"/>
          <w:footerReference w:type="first" r:id="rId89"/>
          <w:type w:val="continuous"/>
          <w:pgSz w:w="11906" w:h="16838" w:code="9"/>
          <w:pgMar w:top="907" w:right="992" w:bottom="1418" w:left="1418" w:header="522" w:footer="975" w:gutter="0"/>
          <w:cols w:space="708"/>
          <w:titlePg/>
          <w:docGrid w:linePitch="360"/>
        </w:sectPr>
      </w:pPr>
    </w:p>
    <w:p w14:paraId="541A5919" w14:textId="35A90AC2" w:rsidR="00D76F54" w:rsidRPr="00845FB7" w:rsidRDefault="00D76F54" w:rsidP="00D76F54">
      <w:pPr>
        <w:pStyle w:val="Heading3"/>
        <w:rPr>
          <w:sz w:val="24"/>
          <w:lang w:val="en-GB"/>
        </w:rPr>
      </w:pPr>
      <w:r w:rsidRPr="00845FB7">
        <w:rPr>
          <w:sz w:val="24"/>
          <w:lang w:val="en-GB"/>
        </w:rPr>
        <w:lastRenderedPageBreak/>
        <w:t>Resources requirements</w:t>
      </w:r>
    </w:p>
    <w:tbl>
      <w:tblPr>
        <w:tblW w:w="5000" w:type="pct"/>
        <w:tblLook w:val="04A0" w:firstRow="1" w:lastRow="0" w:firstColumn="1" w:lastColumn="0" w:noHBand="0" w:noVBand="1"/>
      </w:tblPr>
      <w:tblGrid>
        <w:gridCol w:w="3691"/>
        <w:gridCol w:w="894"/>
        <w:gridCol w:w="1084"/>
        <w:gridCol w:w="1162"/>
        <w:gridCol w:w="764"/>
        <w:gridCol w:w="629"/>
        <w:gridCol w:w="1027"/>
        <w:gridCol w:w="882"/>
        <w:gridCol w:w="882"/>
        <w:gridCol w:w="1116"/>
        <w:gridCol w:w="629"/>
        <w:gridCol w:w="629"/>
        <w:gridCol w:w="1029"/>
      </w:tblGrid>
      <w:tr w:rsidR="00D76F54" w:rsidRPr="00826417" w14:paraId="6AF9A9C7" w14:textId="77777777" w:rsidTr="00BD36F8">
        <w:trPr>
          <w:trHeight w:val="300"/>
        </w:trPr>
        <w:tc>
          <w:tcPr>
            <w:tcW w:w="1280" w:type="pct"/>
            <w:vMerge w:val="restart"/>
            <w:tcBorders>
              <w:top w:val="single" w:sz="4" w:space="0" w:color="auto"/>
              <w:left w:val="single" w:sz="4" w:space="0" w:color="auto"/>
              <w:bottom w:val="single" w:sz="4" w:space="0" w:color="auto"/>
              <w:right w:val="single" w:sz="4" w:space="0" w:color="auto"/>
            </w:tcBorders>
            <w:noWrap/>
            <w:vAlign w:val="center"/>
            <w:hideMark/>
          </w:tcPr>
          <w:p w14:paraId="11D902D4" w14:textId="7777777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Activity/Output</w:t>
            </w:r>
          </w:p>
        </w:tc>
        <w:tc>
          <w:tcPr>
            <w:tcW w:w="1928" w:type="pct"/>
            <w:gridSpan w:val="6"/>
            <w:tcBorders>
              <w:top w:val="single" w:sz="4" w:space="0" w:color="auto"/>
              <w:left w:val="nil"/>
              <w:bottom w:val="single" w:sz="4" w:space="0" w:color="auto"/>
              <w:right w:val="single" w:sz="4" w:space="0" w:color="auto"/>
            </w:tcBorders>
            <w:noWrap/>
            <w:vAlign w:val="center"/>
            <w:hideMark/>
          </w:tcPr>
          <w:p w14:paraId="4D4E4453" w14:textId="59BA7040"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5</w:t>
            </w:r>
            <w:r w:rsidR="001F3CCC" w:rsidRPr="00826417">
              <w:rPr>
                <w:rFonts w:eastAsia="Times New Roman" w:cstheme="majorBidi"/>
                <w:b/>
                <w:bCs/>
                <w:color w:val="000000"/>
                <w:sz w:val="16"/>
                <w:szCs w:val="16"/>
                <w:lang w:val="en-GB"/>
              </w:rPr>
              <w:t xml:space="preserve"> per cent</w:t>
            </w:r>
            <w:r w:rsidRPr="00826417">
              <w:rPr>
                <w:rFonts w:eastAsia="Times New Roman" w:cstheme="majorBidi"/>
                <w:b/>
                <w:bCs/>
                <w:color w:val="000000"/>
                <w:sz w:val="16"/>
                <w:szCs w:val="16"/>
                <w:lang w:val="en-GB"/>
              </w:rPr>
              <w:t xml:space="preserve"> scenario (</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1792" w:type="pct"/>
            <w:gridSpan w:val="6"/>
            <w:tcBorders>
              <w:top w:val="single" w:sz="4" w:space="0" w:color="auto"/>
              <w:left w:val="nil"/>
              <w:bottom w:val="single" w:sz="4" w:space="0" w:color="auto"/>
              <w:right w:val="single" w:sz="4" w:space="0" w:color="auto"/>
            </w:tcBorders>
            <w:noWrap/>
            <w:vAlign w:val="center"/>
            <w:hideMark/>
          </w:tcPr>
          <w:p w14:paraId="4E9FFEAA" w14:textId="73988CC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Zero nominal growth scenario (</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r>
      <w:tr w:rsidR="00D76F54" w:rsidRPr="00826417" w14:paraId="0A430829" w14:textId="77777777" w:rsidTr="00BD36F8">
        <w:trPr>
          <w:trHeight w:val="300"/>
        </w:trPr>
        <w:tc>
          <w:tcPr>
            <w:tcW w:w="1280" w:type="pct"/>
            <w:vMerge/>
            <w:tcBorders>
              <w:top w:val="single" w:sz="4" w:space="0" w:color="auto"/>
              <w:left w:val="single" w:sz="4" w:space="0" w:color="auto"/>
              <w:bottom w:val="single" w:sz="4" w:space="0" w:color="auto"/>
              <w:right w:val="single" w:sz="4" w:space="0" w:color="auto"/>
            </w:tcBorders>
            <w:vAlign w:val="center"/>
            <w:hideMark/>
          </w:tcPr>
          <w:p w14:paraId="06F33853" w14:textId="77777777" w:rsidR="00D76F54" w:rsidRPr="00826417" w:rsidRDefault="00D76F54" w:rsidP="00A10FE4">
            <w:pPr>
              <w:spacing w:after="0" w:line="240" w:lineRule="auto"/>
              <w:jc w:val="left"/>
              <w:rPr>
                <w:rFonts w:eastAsia="Times New Roman" w:cstheme="majorBidi"/>
                <w:b/>
                <w:bCs/>
                <w:color w:val="000000"/>
                <w:sz w:val="16"/>
                <w:szCs w:val="16"/>
                <w:lang w:val="en-GB"/>
              </w:rPr>
            </w:pPr>
          </w:p>
        </w:tc>
        <w:tc>
          <w:tcPr>
            <w:tcW w:w="1089" w:type="pct"/>
            <w:gridSpan w:val="3"/>
            <w:tcBorders>
              <w:top w:val="single" w:sz="4" w:space="0" w:color="auto"/>
              <w:left w:val="nil"/>
              <w:bottom w:val="single" w:sz="4" w:space="0" w:color="auto"/>
              <w:right w:val="single" w:sz="4" w:space="0" w:color="auto"/>
            </w:tcBorders>
            <w:vAlign w:val="center"/>
            <w:hideMark/>
          </w:tcPr>
          <w:p w14:paraId="3BC47389" w14:textId="77945704"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General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c>
          <w:tcPr>
            <w:tcW w:w="839" w:type="pct"/>
            <w:gridSpan w:val="3"/>
            <w:tcBorders>
              <w:top w:val="single" w:sz="4" w:space="0" w:color="auto"/>
              <w:left w:val="nil"/>
              <w:bottom w:val="single" w:sz="4" w:space="0" w:color="auto"/>
              <w:right w:val="single" w:sz="4" w:space="0" w:color="auto"/>
            </w:tcBorders>
            <w:vAlign w:val="center"/>
            <w:hideMark/>
          </w:tcPr>
          <w:p w14:paraId="7A912F20" w14:textId="57B75D7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Special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c>
          <w:tcPr>
            <w:tcW w:w="999" w:type="pct"/>
            <w:gridSpan w:val="3"/>
            <w:tcBorders>
              <w:top w:val="single" w:sz="4" w:space="0" w:color="auto"/>
              <w:left w:val="nil"/>
              <w:bottom w:val="single" w:sz="4" w:space="0" w:color="auto"/>
              <w:right w:val="single" w:sz="4" w:space="0" w:color="auto"/>
            </w:tcBorders>
            <w:vAlign w:val="center"/>
            <w:hideMark/>
          </w:tcPr>
          <w:p w14:paraId="2EC9CF18" w14:textId="52D17AAF"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General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c>
          <w:tcPr>
            <w:tcW w:w="793" w:type="pct"/>
            <w:gridSpan w:val="3"/>
            <w:tcBorders>
              <w:top w:val="single" w:sz="4" w:space="0" w:color="auto"/>
              <w:left w:val="nil"/>
              <w:bottom w:val="single" w:sz="4" w:space="0" w:color="auto"/>
              <w:right w:val="single" w:sz="4" w:space="0" w:color="auto"/>
            </w:tcBorders>
            <w:vAlign w:val="center"/>
            <w:hideMark/>
          </w:tcPr>
          <w:p w14:paraId="0F1A97ED" w14:textId="0E1699A1"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Special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r>
      <w:tr w:rsidR="00D76F54" w:rsidRPr="00826417" w14:paraId="41A2FF6F" w14:textId="77777777" w:rsidTr="00BD36F8">
        <w:trPr>
          <w:trHeight w:val="480"/>
        </w:trPr>
        <w:tc>
          <w:tcPr>
            <w:tcW w:w="1280" w:type="pct"/>
            <w:tcBorders>
              <w:top w:val="nil"/>
              <w:left w:val="single" w:sz="4" w:space="0" w:color="auto"/>
              <w:bottom w:val="single" w:sz="4" w:space="0" w:color="auto"/>
              <w:right w:val="single" w:sz="4" w:space="0" w:color="auto"/>
            </w:tcBorders>
            <w:noWrap/>
            <w:vAlign w:val="center"/>
            <w:hideMark/>
          </w:tcPr>
          <w:p w14:paraId="489CD50D" w14:textId="7777777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w:t>
            </w:r>
          </w:p>
        </w:tc>
        <w:tc>
          <w:tcPr>
            <w:tcW w:w="310" w:type="pct"/>
            <w:tcBorders>
              <w:top w:val="nil"/>
              <w:left w:val="nil"/>
              <w:bottom w:val="single" w:sz="4" w:space="0" w:color="auto"/>
              <w:right w:val="single" w:sz="4" w:space="0" w:color="auto"/>
            </w:tcBorders>
            <w:vAlign w:val="center"/>
            <w:hideMark/>
          </w:tcPr>
          <w:p w14:paraId="43A62A7D" w14:textId="3980AD96"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6</w:t>
            </w:r>
          </w:p>
        </w:tc>
        <w:tc>
          <w:tcPr>
            <w:tcW w:w="376" w:type="pct"/>
            <w:tcBorders>
              <w:top w:val="nil"/>
              <w:left w:val="nil"/>
              <w:bottom w:val="single" w:sz="4" w:space="0" w:color="auto"/>
              <w:right w:val="single" w:sz="4" w:space="0" w:color="auto"/>
            </w:tcBorders>
            <w:vAlign w:val="center"/>
            <w:hideMark/>
          </w:tcPr>
          <w:p w14:paraId="58B8E449" w14:textId="4E9AC88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7</w:t>
            </w:r>
          </w:p>
        </w:tc>
        <w:tc>
          <w:tcPr>
            <w:tcW w:w="403" w:type="pct"/>
            <w:tcBorders>
              <w:top w:val="nil"/>
              <w:left w:val="nil"/>
              <w:bottom w:val="single" w:sz="4" w:space="0" w:color="auto"/>
              <w:right w:val="single" w:sz="4" w:space="0" w:color="auto"/>
            </w:tcBorders>
            <w:vAlign w:val="center"/>
            <w:hideMark/>
          </w:tcPr>
          <w:p w14:paraId="481AAD6B" w14:textId="28A06B0B"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265" w:type="pct"/>
            <w:tcBorders>
              <w:top w:val="nil"/>
              <w:left w:val="nil"/>
              <w:bottom w:val="single" w:sz="4" w:space="0" w:color="auto"/>
              <w:right w:val="single" w:sz="4" w:space="0" w:color="auto"/>
            </w:tcBorders>
            <w:vAlign w:val="center"/>
            <w:hideMark/>
          </w:tcPr>
          <w:p w14:paraId="427BC719" w14:textId="3C9765BD"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6</w:t>
            </w:r>
          </w:p>
        </w:tc>
        <w:tc>
          <w:tcPr>
            <w:tcW w:w="218" w:type="pct"/>
            <w:tcBorders>
              <w:top w:val="nil"/>
              <w:left w:val="nil"/>
              <w:bottom w:val="single" w:sz="4" w:space="0" w:color="auto"/>
              <w:right w:val="single" w:sz="4" w:space="0" w:color="auto"/>
            </w:tcBorders>
            <w:vAlign w:val="center"/>
            <w:hideMark/>
          </w:tcPr>
          <w:p w14:paraId="2191F322" w14:textId="3F2112F5"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7</w:t>
            </w:r>
          </w:p>
        </w:tc>
        <w:tc>
          <w:tcPr>
            <w:tcW w:w="355" w:type="pct"/>
            <w:tcBorders>
              <w:top w:val="nil"/>
              <w:left w:val="nil"/>
              <w:bottom w:val="single" w:sz="4" w:space="0" w:color="auto"/>
              <w:right w:val="single" w:sz="4" w:space="0" w:color="auto"/>
            </w:tcBorders>
            <w:vAlign w:val="center"/>
            <w:hideMark/>
          </w:tcPr>
          <w:p w14:paraId="77292C26" w14:textId="3EAE7B64"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306" w:type="pct"/>
            <w:tcBorders>
              <w:top w:val="nil"/>
              <w:left w:val="nil"/>
              <w:bottom w:val="single" w:sz="4" w:space="0" w:color="auto"/>
              <w:right w:val="single" w:sz="4" w:space="0" w:color="auto"/>
            </w:tcBorders>
            <w:vAlign w:val="center"/>
            <w:hideMark/>
          </w:tcPr>
          <w:p w14:paraId="018FB4FB" w14:textId="7869F769"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6</w:t>
            </w:r>
          </w:p>
        </w:tc>
        <w:tc>
          <w:tcPr>
            <w:tcW w:w="306" w:type="pct"/>
            <w:tcBorders>
              <w:top w:val="nil"/>
              <w:left w:val="nil"/>
              <w:bottom w:val="single" w:sz="4" w:space="0" w:color="auto"/>
              <w:right w:val="single" w:sz="4" w:space="0" w:color="auto"/>
            </w:tcBorders>
            <w:vAlign w:val="center"/>
            <w:hideMark/>
          </w:tcPr>
          <w:p w14:paraId="011EA860" w14:textId="31BEFC3F"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7</w:t>
            </w:r>
          </w:p>
        </w:tc>
        <w:tc>
          <w:tcPr>
            <w:tcW w:w="386" w:type="pct"/>
            <w:tcBorders>
              <w:top w:val="nil"/>
              <w:left w:val="nil"/>
              <w:bottom w:val="single" w:sz="4" w:space="0" w:color="auto"/>
              <w:right w:val="single" w:sz="4" w:space="0" w:color="auto"/>
            </w:tcBorders>
            <w:vAlign w:val="center"/>
            <w:hideMark/>
          </w:tcPr>
          <w:p w14:paraId="102E1E48" w14:textId="624BB998"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218" w:type="pct"/>
            <w:tcBorders>
              <w:top w:val="nil"/>
              <w:left w:val="nil"/>
              <w:bottom w:val="single" w:sz="4" w:space="0" w:color="auto"/>
              <w:right w:val="single" w:sz="4" w:space="0" w:color="auto"/>
            </w:tcBorders>
            <w:vAlign w:val="center"/>
            <w:hideMark/>
          </w:tcPr>
          <w:p w14:paraId="544C5FFF" w14:textId="24454705"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6</w:t>
            </w:r>
          </w:p>
        </w:tc>
        <w:tc>
          <w:tcPr>
            <w:tcW w:w="218" w:type="pct"/>
            <w:tcBorders>
              <w:top w:val="nil"/>
              <w:left w:val="nil"/>
              <w:bottom w:val="single" w:sz="4" w:space="0" w:color="auto"/>
              <w:right w:val="single" w:sz="4" w:space="0" w:color="auto"/>
            </w:tcBorders>
            <w:vAlign w:val="center"/>
            <w:hideMark/>
          </w:tcPr>
          <w:p w14:paraId="110B8ECC" w14:textId="3F78156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BD6E0F" w:rsidRPr="00826417">
              <w:rPr>
                <w:rFonts w:eastAsia="Times New Roman" w:cstheme="majorBidi"/>
                <w:b/>
                <w:bCs/>
                <w:color w:val="000000"/>
                <w:sz w:val="16"/>
                <w:szCs w:val="16"/>
                <w:lang w:val="en-GB"/>
              </w:rPr>
              <w:t>7</w:t>
            </w:r>
          </w:p>
        </w:tc>
        <w:tc>
          <w:tcPr>
            <w:tcW w:w="356" w:type="pct"/>
            <w:tcBorders>
              <w:top w:val="nil"/>
              <w:left w:val="nil"/>
              <w:bottom w:val="single" w:sz="4" w:space="0" w:color="auto"/>
              <w:right w:val="single" w:sz="4" w:space="0" w:color="auto"/>
            </w:tcBorders>
            <w:vAlign w:val="center"/>
            <w:hideMark/>
          </w:tcPr>
          <w:p w14:paraId="0371D91E" w14:textId="5F319520"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r>
      <w:tr w:rsidR="00D76F54" w:rsidRPr="00826417" w14:paraId="72BF5ED6" w14:textId="77777777" w:rsidTr="00BD36F8">
        <w:trPr>
          <w:trHeight w:val="30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252E0D42" w14:textId="2E4A3E91" w:rsidR="00D76F54" w:rsidRPr="00826417" w:rsidRDefault="00D76F54" w:rsidP="00A10FE4">
            <w:pPr>
              <w:spacing w:after="0" w:line="240" w:lineRule="auto"/>
              <w:jc w:val="lef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A54B88" w:rsidRPr="00826417">
              <w:rPr>
                <w:rFonts w:eastAsia="Times New Roman" w:cstheme="majorBidi"/>
                <w:b/>
                <w:bCs/>
                <w:color w:val="000000"/>
                <w:sz w:val="16"/>
                <w:szCs w:val="16"/>
                <w:lang w:val="en-GB"/>
              </w:rPr>
              <w:t>5</w:t>
            </w:r>
            <w:r w:rsidRPr="00826417">
              <w:rPr>
                <w:rFonts w:eastAsia="Times New Roman" w:cstheme="majorBidi"/>
                <w:b/>
                <w:bCs/>
                <w:color w:val="000000"/>
                <w:sz w:val="16"/>
                <w:szCs w:val="16"/>
                <w:lang w:val="en-GB"/>
              </w:rPr>
              <w:t>. Office maintenance and services</w:t>
            </w:r>
          </w:p>
        </w:tc>
      </w:tr>
      <w:tr w:rsidR="00D76F54" w:rsidRPr="00826417" w14:paraId="2BCBC71C" w14:textId="77777777" w:rsidTr="00BD36F8">
        <w:trPr>
          <w:trHeight w:val="30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32A62AFC" w14:textId="7F942FD5" w:rsidR="00D76F54" w:rsidRPr="00826417" w:rsidRDefault="00D76F54" w:rsidP="00A10FE4">
            <w:pPr>
              <w:spacing w:after="0" w:line="240" w:lineRule="auto"/>
              <w:jc w:val="lef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A54B88" w:rsidRPr="00826417">
              <w:rPr>
                <w:rFonts w:eastAsia="Times New Roman" w:cstheme="majorBidi"/>
                <w:b/>
                <w:bCs/>
                <w:color w:val="000000"/>
                <w:sz w:val="16"/>
                <w:szCs w:val="16"/>
                <w:lang w:val="en-GB"/>
              </w:rPr>
              <w:t>5</w:t>
            </w:r>
            <w:r w:rsidRPr="00826417">
              <w:rPr>
                <w:rFonts w:eastAsia="Times New Roman" w:cstheme="majorBidi"/>
                <w:b/>
                <w:bCs/>
                <w:color w:val="000000"/>
                <w:sz w:val="16"/>
                <w:szCs w:val="16"/>
                <w:lang w:val="en-GB"/>
              </w:rPr>
              <w:t>.1. Office maintenance and services</w:t>
            </w:r>
          </w:p>
        </w:tc>
      </w:tr>
      <w:tr w:rsidR="00D76F54" w:rsidRPr="00826417" w14:paraId="766179A5" w14:textId="77777777" w:rsidTr="00BD36F8">
        <w:trPr>
          <w:trHeight w:val="480"/>
        </w:trPr>
        <w:tc>
          <w:tcPr>
            <w:tcW w:w="1280" w:type="pct"/>
            <w:tcBorders>
              <w:top w:val="nil"/>
              <w:left w:val="single" w:sz="4" w:space="0" w:color="auto"/>
              <w:bottom w:val="single" w:sz="4" w:space="0" w:color="auto"/>
              <w:right w:val="single" w:sz="4" w:space="0" w:color="auto"/>
            </w:tcBorders>
            <w:vAlign w:val="center"/>
            <w:hideMark/>
          </w:tcPr>
          <w:p w14:paraId="43A2548A" w14:textId="77777777"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Operating costs (Security, diplomatic services, UMOJA, network printing etc.)</w:t>
            </w:r>
          </w:p>
        </w:tc>
        <w:tc>
          <w:tcPr>
            <w:tcW w:w="310" w:type="pct"/>
            <w:tcBorders>
              <w:top w:val="nil"/>
              <w:left w:val="nil"/>
              <w:bottom w:val="single" w:sz="4" w:space="0" w:color="auto"/>
              <w:right w:val="single" w:sz="4" w:space="0" w:color="auto"/>
            </w:tcBorders>
            <w:noWrap/>
            <w:vAlign w:val="center"/>
            <w:hideMark/>
          </w:tcPr>
          <w:p w14:paraId="45920408"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120,000</w:t>
            </w:r>
          </w:p>
        </w:tc>
        <w:tc>
          <w:tcPr>
            <w:tcW w:w="376" w:type="pct"/>
            <w:tcBorders>
              <w:top w:val="nil"/>
              <w:left w:val="nil"/>
              <w:bottom w:val="single" w:sz="4" w:space="0" w:color="auto"/>
              <w:right w:val="single" w:sz="4" w:space="0" w:color="auto"/>
            </w:tcBorders>
            <w:noWrap/>
            <w:vAlign w:val="center"/>
            <w:hideMark/>
          </w:tcPr>
          <w:p w14:paraId="0DB16ED7" w14:textId="402F4511"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     120,</w:t>
            </w:r>
            <w:r w:rsidR="003D4CAB" w:rsidRPr="00826417">
              <w:rPr>
                <w:rFonts w:eastAsia="Times New Roman" w:cstheme="majorBidi"/>
                <w:color w:val="000000"/>
                <w:sz w:val="16"/>
                <w:szCs w:val="16"/>
                <w:lang w:val="en-GB"/>
              </w:rPr>
              <w:t>00</w:t>
            </w:r>
            <w:r w:rsidRPr="00826417">
              <w:rPr>
                <w:rFonts w:eastAsia="Times New Roman" w:cstheme="majorBidi"/>
                <w:color w:val="000000"/>
                <w:sz w:val="16"/>
                <w:szCs w:val="16"/>
                <w:lang w:val="en-GB"/>
              </w:rPr>
              <w:t xml:space="preserve"> </w:t>
            </w:r>
          </w:p>
        </w:tc>
        <w:tc>
          <w:tcPr>
            <w:tcW w:w="403" w:type="pct"/>
            <w:tcBorders>
              <w:top w:val="nil"/>
              <w:left w:val="nil"/>
              <w:bottom w:val="single" w:sz="4" w:space="0" w:color="auto"/>
              <w:right w:val="single" w:sz="4" w:space="0" w:color="auto"/>
            </w:tcBorders>
            <w:noWrap/>
            <w:vAlign w:val="center"/>
            <w:hideMark/>
          </w:tcPr>
          <w:p w14:paraId="6AF5EFF7" w14:textId="43AB7494"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240,</w:t>
            </w:r>
            <w:r w:rsidR="003D4CAB" w:rsidRPr="00826417">
              <w:rPr>
                <w:rFonts w:eastAsia="Times New Roman" w:cstheme="majorBidi"/>
                <w:b/>
                <w:bCs/>
                <w:color w:val="000000"/>
                <w:sz w:val="16"/>
                <w:szCs w:val="16"/>
                <w:lang w:val="en-GB"/>
              </w:rPr>
              <w:t>000</w:t>
            </w:r>
          </w:p>
        </w:tc>
        <w:tc>
          <w:tcPr>
            <w:tcW w:w="265" w:type="pct"/>
            <w:tcBorders>
              <w:top w:val="nil"/>
              <w:left w:val="nil"/>
              <w:bottom w:val="single" w:sz="4" w:space="0" w:color="auto"/>
              <w:right w:val="single" w:sz="4" w:space="0" w:color="auto"/>
            </w:tcBorders>
            <w:noWrap/>
            <w:vAlign w:val="center"/>
            <w:hideMark/>
          </w:tcPr>
          <w:p w14:paraId="7803C9F8"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44681705"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5" w:type="pct"/>
            <w:tcBorders>
              <w:top w:val="nil"/>
              <w:left w:val="nil"/>
              <w:bottom w:val="single" w:sz="4" w:space="0" w:color="auto"/>
              <w:right w:val="single" w:sz="4" w:space="0" w:color="auto"/>
            </w:tcBorders>
            <w:noWrap/>
            <w:vAlign w:val="center"/>
            <w:hideMark/>
          </w:tcPr>
          <w:p w14:paraId="6847F241"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06" w:type="pct"/>
            <w:tcBorders>
              <w:top w:val="nil"/>
              <w:left w:val="nil"/>
              <w:bottom w:val="single" w:sz="4" w:space="0" w:color="auto"/>
              <w:right w:val="single" w:sz="4" w:space="0" w:color="auto"/>
            </w:tcBorders>
            <w:noWrap/>
            <w:vAlign w:val="center"/>
            <w:hideMark/>
          </w:tcPr>
          <w:p w14:paraId="2B25A6D8"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120,000</w:t>
            </w:r>
          </w:p>
        </w:tc>
        <w:tc>
          <w:tcPr>
            <w:tcW w:w="306" w:type="pct"/>
            <w:tcBorders>
              <w:top w:val="nil"/>
              <w:left w:val="nil"/>
              <w:bottom w:val="single" w:sz="4" w:space="0" w:color="auto"/>
              <w:right w:val="single" w:sz="4" w:space="0" w:color="auto"/>
            </w:tcBorders>
            <w:noWrap/>
            <w:vAlign w:val="center"/>
            <w:hideMark/>
          </w:tcPr>
          <w:p w14:paraId="5E7E7047" w14:textId="2729CBEF"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120,</w:t>
            </w:r>
            <w:r w:rsidR="00CF423A" w:rsidRPr="00826417">
              <w:rPr>
                <w:rFonts w:eastAsia="Times New Roman" w:cstheme="majorBidi"/>
                <w:color w:val="000000"/>
                <w:sz w:val="16"/>
                <w:szCs w:val="16"/>
                <w:lang w:val="en-GB"/>
              </w:rPr>
              <w:t>000</w:t>
            </w:r>
          </w:p>
        </w:tc>
        <w:tc>
          <w:tcPr>
            <w:tcW w:w="386" w:type="pct"/>
            <w:tcBorders>
              <w:top w:val="nil"/>
              <w:left w:val="nil"/>
              <w:bottom w:val="single" w:sz="4" w:space="0" w:color="auto"/>
              <w:right w:val="single" w:sz="4" w:space="0" w:color="auto"/>
            </w:tcBorders>
            <w:noWrap/>
            <w:vAlign w:val="center"/>
            <w:hideMark/>
          </w:tcPr>
          <w:p w14:paraId="33A63C65" w14:textId="2A5FF2AF"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240,</w:t>
            </w:r>
            <w:r w:rsidR="00CF423A" w:rsidRPr="00826417">
              <w:rPr>
                <w:rFonts w:eastAsia="Times New Roman" w:cstheme="majorBidi"/>
                <w:b/>
                <w:bCs/>
                <w:color w:val="000000"/>
                <w:sz w:val="16"/>
                <w:szCs w:val="16"/>
                <w:lang w:val="en-GB"/>
              </w:rPr>
              <w:t>000</w:t>
            </w:r>
          </w:p>
        </w:tc>
        <w:tc>
          <w:tcPr>
            <w:tcW w:w="218" w:type="pct"/>
            <w:tcBorders>
              <w:top w:val="nil"/>
              <w:left w:val="nil"/>
              <w:bottom w:val="single" w:sz="4" w:space="0" w:color="auto"/>
              <w:right w:val="single" w:sz="4" w:space="0" w:color="auto"/>
            </w:tcBorders>
            <w:noWrap/>
            <w:vAlign w:val="center"/>
            <w:hideMark/>
          </w:tcPr>
          <w:p w14:paraId="0B67B80D"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250C7788"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6" w:type="pct"/>
            <w:tcBorders>
              <w:top w:val="nil"/>
              <w:left w:val="nil"/>
              <w:bottom w:val="single" w:sz="4" w:space="0" w:color="auto"/>
              <w:right w:val="single" w:sz="4" w:space="0" w:color="auto"/>
            </w:tcBorders>
            <w:noWrap/>
            <w:vAlign w:val="center"/>
            <w:hideMark/>
          </w:tcPr>
          <w:p w14:paraId="6A5267B5"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D76F54" w:rsidRPr="00826417" w14:paraId="417031A5" w14:textId="77777777" w:rsidTr="00BD36F8">
        <w:trPr>
          <w:trHeight w:val="300"/>
        </w:trPr>
        <w:tc>
          <w:tcPr>
            <w:tcW w:w="1280" w:type="pct"/>
            <w:tcBorders>
              <w:top w:val="nil"/>
              <w:left w:val="single" w:sz="4" w:space="0" w:color="auto"/>
              <w:bottom w:val="single" w:sz="4" w:space="0" w:color="auto"/>
              <w:right w:val="single" w:sz="4" w:space="0" w:color="auto"/>
            </w:tcBorders>
            <w:vAlign w:val="center"/>
            <w:hideMark/>
          </w:tcPr>
          <w:p w14:paraId="1484A88E" w14:textId="77777777"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Office maintenance and utilities</w:t>
            </w:r>
          </w:p>
        </w:tc>
        <w:tc>
          <w:tcPr>
            <w:tcW w:w="310" w:type="pct"/>
            <w:tcBorders>
              <w:top w:val="nil"/>
              <w:left w:val="nil"/>
              <w:bottom w:val="single" w:sz="4" w:space="0" w:color="auto"/>
              <w:right w:val="single" w:sz="4" w:space="0" w:color="auto"/>
            </w:tcBorders>
            <w:noWrap/>
            <w:vAlign w:val="center"/>
            <w:hideMark/>
          </w:tcPr>
          <w:p w14:paraId="4042FB92" w14:textId="2B403102"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3</w:t>
            </w:r>
            <w:r w:rsidR="00BB2E5C" w:rsidRPr="00826417">
              <w:rPr>
                <w:rFonts w:eastAsia="Times New Roman" w:cstheme="majorBidi"/>
                <w:color w:val="000000"/>
                <w:sz w:val="16"/>
                <w:szCs w:val="16"/>
                <w:lang w:val="en-GB"/>
              </w:rPr>
              <w:t>2</w:t>
            </w:r>
            <w:r w:rsidRPr="00826417">
              <w:rPr>
                <w:rFonts w:eastAsia="Times New Roman" w:cstheme="majorBidi"/>
                <w:color w:val="000000"/>
                <w:sz w:val="16"/>
                <w:szCs w:val="16"/>
                <w:lang w:val="en-GB"/>
              </w:rPr>
              <w:t>,000</w:t>
            </w:r>
          </w:p>
        </w:tc>
        <w:tc>
          <w:tcPr>
            <w:tcW w:w="376" w:type="pct"/>
            <w:tcBorders>
              <w:top w:val="nil"/>
              <w:left w:val="nil"/>
              <w:bottom w:val="single" w:sz="4" w:space="0" w:color="auto"/>
              <w:right w:val="single" w:sz="4" w:space="0" w:color="auto"/>
            </w:tcBorders>
            <w:noWrap/>
            <w:vAlign w:val="center"/>
            <w:hideMark/>
          </w:tcPr>
          <w:p w14:paraId="64B9DB6A" w14:textId="58A4DD9C"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       3</w:t>
            </w:r>
            <w:r w:rsidR="00BB2E5C" w:rsidRPr="00826417">
              <w:rPr>
                <w:rFonts w:eastAsia="Times New Roman" w:cstheme="majorBidi"/>
                <w:color w:val="000000"/>
                <w:sz w:val="16"/>
                <w:szCs w:val="16"/>
                <w:lang w:val="en-GB"/>
              </w:rPr>
              <w:t>2</w:t>
            </w:r>
            <w:r w:rsidRPr="00826417">
              <w:rPr>
                <w:rFonts w:eastAsia="Times New Roman" w:cstheme="majorBidi"/>
                <w:color w:val="000000"/>
                <w:sz w:val="16"/>
                <w:szCs w:val="16"/>
                <w:lang w:val="en-GB"/>
              </w:rPr>
              <w:t xml:space="preserve">,000 </w:t>
            </w:r>
          </w:p>
        </w:tc>
        <w:tc>
          <w:tcPr>
            <w:tcW w:w="403" w:type="pct"/>
            <w:tcBorders>
              <w:top w:val="nil"/>
              <w:left w:val="nil"/>
              <w:bottom w:val="single" w:sz="4" w:space="0" w:color="auto"/>
              <w:right w:val="single" w:sz="4" w:space="0" w:color="auto"/>
            </w:tcBorders>
            <w:noWrap/>
            <w:vAlign w:val="center"/>
            <w:hideMark/>
          </w:tcPr>
          <w:p w14:paraId="4923675F" w14:textId="47D6993D" w:rsidR="00D76F54" w:rsidRPr="00826417" w:rsidRDefault="002C3A2C"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64</w:t>
            </w:r>
            <w:r w:rsidR="00D76F54" w:rsidRPr="00826417">
              <w:rPr>
                <w:rFonts w:eastAsia="Times New Roman" w:cstheme="majorBidi"/>
                <w:b/>
                <w:bCs/>
                <w:color w:val="000000"/>
                <w:sz w:val="16"/>
                <w:szCs w:val="16"/>
                <w:lang w:val="en-GB"/>
              </w:rPr>
              <w:t>,000</w:t>
            </w:r>
          </w:p>
        </w:tc>
        <w:tc>
          <w:tcPr>
            <w:tcW w:w="265" w:type="pct"/>
            <w:tcBorders>
              <w:top w:val="nil"/>
              <w:left w:val="nil"/>
              <w:bottom w:val="single" w:sz="4" w:space="0" w:color="auto"/>
              <w:right w:val="single" w:sz="4" w:space="0" w:color="auto"/>
            </w:tcBorders>
            <w:noWrap/>
            <w:vAlign w:val="center"/>
            <w:hideMark/>
          </w:tcPr>
          <w:p w14:paraId="6E4176A2"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60711DDC"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5" w:type="pct"/>
            <w:tcBorders>
              <w:top w:val="nil"/>
              <w:left w:val="nil"/>
              <w:bottom w:val="single" w:sz="4" w:space="0" w:color="auto"/>
              <w:right w:val="single" w:sz="4" w:space="0" w:color="auto"/>
            </w:tcBorders>
            <w:noWrap/>
            <w:vAlign w:val="center"/>
            <w:hideMark/>
          </w:tcPr>
          <w:p w14:paraId="6E93683F"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06" w:type="pct"/>
            <w:tcBorders>
              <w:top w:val="nil"/>
              <w:left w:val="nil"/>
              <w:bottom w:val="single" w:sz="4" w:space="0" w:color="auto"/>
              <w:right w:val="single" w:sz="4" w:space="0" w:color="auto"/>
            </w:tcBorders>
            <w:noWrap/>
            <w:vAlign w:val="center"/>
            <w:hideMark/>
          </w:tcPr>
          <w:p w14:paraId="2813253C" w14:textId="0EC1A4C3"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3</w:t>
            </w:r>
            <w:r w:rsidR="00FB1C23" w:rsidRPr="00826417">
              <w:rPr>
                <w:rFonts w:eastAsia="Times New Roman" w:cstheme="majorBidi"/>
                <w:color w:val="000000"/>
                <w:sz w:val="16"/>
                <w:szCs w:val="16"/>
                <w:lang w:val="en-GB"/>
              </w:rPr>
              <w:t>2</w:t>
            </w:r>
            <w:r w:rsidRPr="00826417">
              <w:rPr>
                <w:rFonts w:eastAsia="Times New Roman" w:cstheme="majorBidi"/>
                <w:color w:val="000000"/>
                <w:sz w:val="16"/>
                <w:szCs w:val="16"/>
                <w:lang w:val="en-GB"/>
              </w:rPr>
              <w:t>,000</w:t>
            </w:r>
          </w:p>
        </w:tc>
        <w:tc>
          <w:tcPr>
            <w:tcW w:w="306" w:type="pct"/>
            <w:tcBorders>
              <w:top w:val="nil"/>
              <w:left w:val="nil"/>
              <w:bottom w:val="single" w:sz="4" w:space="0" w:color="auto"/>
              <w:right w:val="single" w:sz="4" w:space="0" w:color="auto"/>
            </w:tcBorders>
            <w:noWrap/>
            <w:vAlign w:val="center"/>
            <w:hideMark/>
          </w:tcPr>
          <w:p w14:paraId="01883B74" w14:textId="35DA7A06"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3</w:t>
            </w:r>
            <w:r w:rsidR="00FB1C23" w:rsidRPr="00826417">
              <w:rPr>
                <w:rFonts w:eastAsia="Times New Roman" w:cstheme="majorBidi"/>
                <w:color w:val="000000"/>
                <w:sz w:val="16"/>
                <w:szCs w:val="16"/>
                <w:lang w:val="en-GB"/>
              </w:rPr>
              <w:t>2</w:t>
            </w:r>
            <w:r w:rsidRPr="00826417">
              <w:rPr>
                <w:rFonts w:eastAsia="Times New Roman" w:cstheme="majorBidi"/>
                <w:color w:val="000000"/>
                <w:sz w:val="16"/>
                <w:szCs w:val="16"/>
                <w:lang w:val="en-GB"/>
              </w:rPr>
              <w:t>,000</w:t>
            </w:r>
          </w:p>
        </w:tc>
        <w:tc>
          <w:tcPr>
            <w:tcW w:w="386" w:type="pct"/>
            <w:tcBorders>
              <w:top w:val="nil"/>
              <w:left w:val="nil"/>
              <w:bottom w:val="single" w:sz="4" w:space="0" w:color="auto"/>
              <w:right w:val="single" w:sz="4" w:space="0" w:color="auto"/>
            </w:tcBorders>
            <w:noWrap/>
            <w:vAlign w:val="center"/>
            <w:hideMark/>
          </w:tcPr>
          <w:p w14:paraId="625D7DA5" w14:textId="1987FFF7" w:rsidR="00D76F54" w:rsidRPr="00826417" w:rsidRDefault="000428F9"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64</w:t>
            </w:r>
            <w:r w:rsidR="00D76F54" w:rsidRPr="00826417">
              <w:rPr>
                <w:rFonts w:eastAsia="Times New Roman" w:cstheme="majorBidi"/>
                <w:b/>
                <w:bCs/>
                <w:color w:val="000000"/>
                <w:sz w:val="16"/>
                <w:szCs w:val="16"/>
                <w:lang w:val="en-GB"/>
              </w:rPr>
              <w:t>,000</w:t>
            </w:r>
          </w:p>
        </w:tc>
        <w:tc>
          <w:tcPr>
            <w:tcW w:w="218" w:type="pct"/>
            <w:tcBorders>
              <w:top w:val="nil"/>
              <w:left w:val="nil"/>
              <w:bottom w:val="single" w:sz="4" w:space="0" w:color="auto"/>
              <w:right w:val="single" w:sz="4" w:space="0" w:color="auto"/>
            </w:tcBorders>
            <w:noWrap/>
            <w:vAlign w:val="center"/>
            <w:hideMark/>
          </w:tcPr>
          <w:p w14:paraId="37AA1F19"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1477E690"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6" w:type="pct"/>
            <w:tcBorders>
              <w:top w:val="nil"/>
              <w:left w:val="nil"/>
              <w:bottom w:val="single" w:sz="4" w:space="0" w:color="auto"/>
              <w:right w:val="single" w:sz="4" w:space="0" w:color="auto"/>
            </w:tcBorders>
            <w:noWrap/>
            <w:vAlign w:val="center"/>
            <w:hideMark/>
          </w:tcPr>
          <w:p w14:paraId="56D4EC0A"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D76F54" w:rsidRPr="00826417" w14:paraId="38E27FE8" w14:textId="77777777" w:rsidTr="00BD36F8">
        <w:trPr>
          <w:trHeight w:val="480"/>
        </w:trPr>
        <w:tc>
          <w:tcPr>
            <w:tcW w:w="1280" w:type="pct"/>
            <w:tcBorders>
              <w:top w:val="nil"/>
              <w:left w:val="single" w:sz="4" w:space="0" w:color="auto"/>
              <w:bottom w:val="single" w:sz="4" w:space="0" w:color="auto"/>
              <w:right w:val="single" w:sz="4" w:space="0" w:color="auto"/>
            </w:tcBorders>
            <w:vAlign w:val="center"/>
            <w:hideMark/>
          </w:tcPr>
          <w:p w14:paraId="082D6402" w14:textId="4D4DDC7E"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 xml:space="preserve">Communications (fixed and mobile, supplies and services, </w:t>
            </w:r>
            <w:proofErr w:type="spellStart"/>
            <w:r w:rsidRPr="00826417">
              <w:rPr>
                <w:rFonts w:eastAsia="Times New Roman" w:cstheme="majorBidi"/>
                <w:sz w:val="16"/>
                <w:szCs w:val="16"/>
                <w:lang w:val="en-GB"/>
              </w:rPr>
              <w:t>incl</w:t>
            </w:r>
            <w:proofErr w:type="spellEnd"/>
            <w:r w:rsidRPr="00826417">
              <w:rPr>
                <w:rFonts w:eastAsia="Times New Roman" w:cstheme="majorBidi"/>
                <w:sz w:val="16"/>
                <w:szCs w:val="16"/>
                <w:lang w:val="en-GB"/>
              </w:rPr>
              <w:t xml:space="preserve"> website hosting))</w:t>
            </w:r>
          </w:p>
        </w:tc>
        <w:tc>
          <w:tcPr>
            <w:tcW w:w="310" w:type="pct"/>
            <w:tcBorders>
              <w:top w:val="nil"/>
              <w:left w:val="nil"/>
              <w:bottom w:val="single" w:sz="4" w:space="0" w:color="auto"/>
              <w:right w:val="single" w:sz="4" w:space="0" w:color="auto"/>
            </w:tcBorders>
            <w:noWrap/>
            <w:vAlign w:val="center"/>
            <w:hideMark/>
          </w:tcPr>
          <w:p w14:paraId="506244C4" w14:textId="11735AA9" w:rsidR="00D76F54" w:rsidRPr="00826417" w:rsidRDefault="00007C05"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6</w:t>
            </w:r>
            <w:r w:rsidR="00D76F54" w:rsidRPr="00826417">
              <w:rPr>
                <w:rFonts w:eastAsia="Times New Roman" w:cstheme="majorBidi"/>
                <w:color w:val="000000"/>
                <w:sz w:val="16"/>
                <w:szCs w:val="16"/>
                <w:lang w:val="en-GB"/>
              </w:rPr>
              <w:t>,000</w:t>
            </w:r>
          </w:p>
        </w:tc>
        <w:tc>
          <w:tcPr>
            <w:tcW w:w="376" w:type="pct"/>
            <w:tcBorders>
              <w:top w:val="nil"/>
              <w:left w:val="nil"/>
              <w:bottom w:val="single" w:sz="4" w:space="0" w:color="auto"/>
              <w:right w:val="single" w:sz="4" w:space="0" w:color="auto"/>
            </w:tcBorders>
            <w:noWrap/>
            <w:vAlign w:val="center"/>
            <w:hideMark/>
          </w:tcPr>
          <w:p w14:paraId="64F4FB34" w14:textId="1169B42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       </w:t>
            </w:r>
            <w:r w:rsidR="00007C05" w:rsidRPr="00826417">
              <w:rPr>
                <w:rFonts w:eastAsia="Times New Roman" w:cstheme="majorBidi"/>
                <w:color w:val="000000"/>
                <w:sz w:val="16"/>
                <w:szCs w:val="16"/>
                <w:lang w:val="en-GB"/>
              </w:rPr>
              <w:t>6</w:t>
            </w:r>
            <w:r w:rsidRPr="00826417">
              <w:rPr>
                <w:rFonts w:eastAsia="Times New Roman" w:cstheme="majorBidi"/>
                <w:color w:val="000000"/>
                <w:sz w:val="16"/>
                <w:szCs w:val="16"/>
                <w:lang w:val="en-GB"/>
              </w:rPr>
              <w:t xml:space="preserve">,000 </w:t>
            </w:r>
          </w:p>
        </w:tc>
        <w:tc>
          <w:tcPr>
            <w:tcW w:w="403" w:type="pct"/>
            <w:tcBorders>
              <w:top w:val="nil"/>
              <w:left w:val="nil"/>
              <w:bottom w:val="single" w:sz="4" w:space="0" w:color="auto"/>
              <w:right w:val="single" w:sz="4" w:space="0" w:color="auto"/>
            </w:tcBorders>
            <w:noWrap/>
            <w:vAlign w:val="center"/>
            <w:hideMark/>
          </w:tcPr>
          <w:p w14:paraId="2555D83A" w14:textId="1F30FCD5" w:rsidR="00D76F54" w:rsidRPr="00826417" w:rsidRDefault="002C3A2C"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12</w:t>
            </w:r>
            <w:r w:rsidR="00D76F54" w:rsidRPr="00826417">
              <w:rPr>
                <w:rFonts w:eastAsia="Times New Roman" w:cstheme="majorBidi"/>
                <w:b/>
                <w:bCs/>
                <w:color w:val="000000"/>
                <w:sz w:val="16"/>
                <w:szCs w:val="16"/>
                <w:lang w:val="en-GB"/>
              </w:rPr>
              <w:t>,000</w:t>
            </w:r>
          </w:p>
        </w:tc>
        <w:tc>
          <w:tcPr>
            <w:tcW w:w="265" w:type="pct"/>
            <w:tcBorders>
              <w:top w:val="nil"/>
              <w:left w:val="nil"/>
              <w:bottom w:val="single" w:sz="4" w:space="0" w:color="auto"/>
              <w:right w:val="single" w:sz="4" w:space="0" w:color="auto"/>
            </w:tcBorders>
            <w:noWrap/>
            <w:vAlign w:val="center"/>
            <w:hideMark/>
          </w:tcPr>
          <w:p w14:paraId="6954F6D8"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7B8EAB22"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5" w:type="pct"/>
            <w:tcBorders>
              <w:top w:val="nil"/>
              <w:left w:val="nil"/>
              <w:bottom w:val="single" w:sz="4" w:space="0" w:color="auto"/>
              <w:right w:val="single" w:sz="4" w:space="0" w:color="auto"/>
            </w:tcBorders>
            <w:noWrap/>
            <w:vAlign w:val="center"/>
            <w:hideMark/>
          </w:tcPr>
          <w:p w14:paraId="2B48426C"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06" w:type="pct"/>
            <w:tcBorders>
              <w:top w:val="nil"/>
              <w:left w:val="nil"/>
              <w:bottom w:val="single" w:sz="4" w:space="0" w:color="auto"/>
              <w:right w:val="single" w:sz="4" w:space="0" w:color="auto"/>
            </w:tcBorders>
            <w:noWrap/>
            <w:vAlign w:val="center"/>
            <w:hideMark/>
          </w:tcPr>
          <w:p w14:paraId="0E28E182" w14:textId="356047DA" w:rsidR="00D76F54" w:rsidRPr="00826417" w:rsidRDefault="000428F9"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6</w:t>
            </w:r>
            <w:r w:rsidR="00D76F54" w:rsidRPr="00826417">
              <w:rPr>
                <w:rFonts w:eastAsia="Times New Roman" w:cstheme="majorBidi"/>
                <w:color w:val="000000"/>
                <w:sz w:val="16"/>
                <w:szCs w:val="16"/>
                <w:lang w:val="en-GB"/>
              </w:rPr>
              <w:t>,000</w:t>
            </w:r>
          </w:p>
        </w:tc>
        <w:tc>
          <w:tcPr>
            <w:tcW w:w="306" w:type="pct"/>
            <w:tcBorders>
              <w:top w:val="nil"/>
              <w:left w:val="nil"/>
              <w:bottom w:val="single" w:sz="4" w:space="0" w:color="auto"/>
              <w:right w:val="single" w:sz="4" w:space="0" w:color="auto"/>
            </w:tcBorders>
            <w:noWrap/>
            <w:vAlign w:val="center"/>
            <w:hideMark/>
          </w:tcPr>
          <w:p w14:paraId="515FFB83" w14:textId="49B1532E" w:rsidR="00D76F54" w:rsidRPr="00826417" w:rsidRDefault="000428F9"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6</w:t>
            </w:r>
            <w:r w:rsidR="00D76F54" w:rsidRPr="00826417">
              <w:rPr>
                <w:rFonts w:eastAsia="Times New Roman" w:cstheme="majorBidi"/>
                <w:color w:val="000000"/>
                <w:sz w:val="16"/>
                <w:szCs w:val="16"/>
                <w:lang w:val="en-GB"/>
              </w:rPr>
              <w:t>,000</w:t>
            </w:r>
          </w:p>
        </w:tc>
        <w:tc>
          <w:tcPr>
            <w:tcW w:w="386" w:type="pct"/>
            <w:tcBorders>
              <w:top w:val="nil"/>
              <w:left w:val="nil"/>
              <w:bottom w:val="single" w:sz="4" w:space="0" w:color="auto"/>
              <w:right w:val="single" w:sz="4" w:space="0" w:color="auto"/>
            </w:tcBorders>
            <w:noWrap/>
            <w:vAlign w:val="center"/>
            <w:hideMark/>
          </w:tcPr>
          <w:p w14:paraId="6A40AEC6" w14:textId="32D0F583" w:rsidR="00D76F54" w:rsidRPr="00826417" w:rsidRDefault="00970442"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12</w:t>
            </w:r>
            <w:r w:rsidR="00D76F54" w:rsidRPr="00826417">
              <w:rPr>
                <w:rFonts w:eastAsia="Times New Roman" w:cstheme="majorBidi"/>
                <w:b/>
                <w:bCs/>
                <w:color w:val="000000"/>
                <w:sz w:val="16"/>
                <w:szCs w:val="16"/>
                <w:lang w:val="en-GB"/>
              </w:rPr>
              <w:t>,000</w:t>
            </w:r>
          </w:p>
        </w:tc>
        <w:tc>
          <w:tcPr>
            <w:tcW w:w="218" w:type="pct"/>
            <w:tcBorders>
              <w:top w:val="nil"/>
              <w:left w:val="nil"/>
              <w:bottom w:val="single" w:sz="4" w:space="0" w:color="auto"/>
              <w:right w:val="single" w:sz="4" w:space="0" w:color="auto"/>
            </w:tcBorders>
            <w:noWrap/>
            <w:vAlign w:val="center"/>
            <w:hideMark/>
          </w:tcPr>
          <w:p w14:paraId="4E7DC822"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4A7390E6"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6" w:type="pct"/>
            <w:tcBorders>
              <w:top w:val="nil"/>
              <w:left w:val="nil"/>
              <w:bottom w:val="single" w:sz="4" w:space="0" w:color="auto"/>
              <w:right w:val="single" w:sz="4" w:space="0" w:color="auto"/>
            </w:tcBorders>
            <w:noWrap/>
            <w:vAlign w:val="center"/>
            <w:hideMark/>
          </w:tcPr>
          <w:p w14:paraId="4E8AAB82"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D76F54" w:rsidRPr="00826417" w14:paraId="729C3D2C" w14:textId="77777777" w:rsidTr="00BD36F8">
        <w:trPr>
          <w:trHeight w:val="300"/>
        </w:trPr>
        <w:tc>
          <w:tcPr>
            <w:tcW w:w="1280" w:type="pct"/>
            <w:tcBorders>
              <w:top w:val="nil"/>
              <w:left w:val="single" w:sz="4" w:space="0" w:color="auto"/>
              <w:bottom w:val="single" w:sz="4" w:space="0" w:color="auto"/>
              <w:right w:val="single" w:sz="4" w:space="0" w:color="auto"/>
            </w:tcBorders>
            <w:vAlign w:val="center"/>
            <w:hideMark/>
          </w:tcPr>
          <w:p w14:paraId="6451AD6A" w14:textId="77777777"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Office equipment and other non-expendable items</w:t>
            </w:r>
          </w:p>
        </w:tc>
        <w:tc>
          <w:tcPr>
            <w:tcW w:w="310" w:type="pct"/>
            <w:tcBorders>
              <w:top w:val="nil"/>
              <w:left w:val="nil"/>
              <w:bottom w:val="single" w:sz="4" w:space="0" w:color="auto"/>
              <w:right w:val="single" w:sz="4" w:space="0" w:color="auto"/>
            </w:tcBorders>
            <w:noWrap/>
            <w:vAlign w:val="center"/>
            <w:hideMark/>
          </w:tcPr>
          <w:p w14:paraId="2C7695F3"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2,000</w:t>
            </w:r>
          </w:p>
        </w:tc>
        <w:tc>
          <w:tcPr>
            <w:tcW w:w="376" w:type="pct"/>
            <w:tcBorders>
              <w:top w:val="nil"/>
              <w:left w:val="nil"/>
              <w:bottom w:val="single" w:sz="4" w:space="0" w:color="auto"/>
              <w:right w:val="single" w:sz="4" w:space="0" w:color="auto"/>
            </w:tcBorders>
            <w:noWrap/>
            <w:vAlign w:val="center"/>
            <w:hideMark/>
          </w:tcPr>
          <w:p w14:paraId="5C6347F8"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         2,000 </w:t>
            </w:r>
          </w:p>
        </w:tc>
        <w:tc>
          <w:tcPr>
            <w:tcW w:w="403" w:type="pct"/>
            <w:tcBorders>
              <w:top w:val="nil"/>
              <w:left w:val="nil"/>
              <w:bottom w:val="single" w:sz="4" w:space="0" w:color="auto"/>
              <w:right w:val="single" w:sz="4" w:space="0" w:color="auto"/>
            </w:tcBorders>
            <w:noWrap/>
            <w:vAlign w:val="center"/>
            <w:hideMark/>
          </w:tcPr>
          <w:p w14:paraId="67CCD3E0"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4,000</w:t>
            </w:r>
          </w:p>
        </w:tc>
        <w:tc>
          <w:tcPr>
            <w:tcW w:w="265" w:type="pct"/>
            <w:tcBorders>
              <w:top w:val="nil"/>
              <w:left w:val="nil"/>
              <w:bottom w:val="single" w:sz="4" w:space="0" w:color="auto"/>
              <w:right w:val="single" w:sz="4" w:space="0" w:color="auto"/>
            </w:tcBorders>
            <w:noWrap/>
            <w:vAlign w:val="center"/>
            <w:hideMark/>
          </w:tcPr>
          <w:p w14:paraId="37E92FF6"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07E1C650"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5" w:type="pct"/>
            <w:tcBorders>
              <w:top w:val="nil"/>
              <w:left w:val="nil"/>
              <w:bottom w:val="single" w:sz="4" w:space="0" w:color="auto"/>
              <w:right w:val="single" w:sz="4" w:space="0" w:color="auto"/>
            </w:tcBorders>
            <w:noWrap/>
            <w:vAlign w:val="center"/>
            <w:hideMark/>
          </w:tcPr>
          <w:p w14:paraId="7B81ABA6"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06" w:type="pct"/>
            <w:tcBorders>
              <w:top w:val="nil"/>
              <w:left w:val="nil"/>
              <w:bottom w:val="single" w:sz="4" w:space="0" w:color="auto"/>
              <w:right w:val="single" w:sz="4" w:space="0" w:color="auto"/>
            </w:tcBorders>
            <w:noWrap/>
            <w:vAlign w:val="center"/>
            <w:hideMark/>
          </w:tcPr>
          <w:p w14:paraId="38A2EF2C"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2,000</w:t>
            </w:r>
          </w:p>
        </w:tc>
        <w:tc>
          <w:tcPr>
            <w:tcW w:w="306" w:type="pct"/>
            <w:tcBorders>
              <w:top w:val="nil"/>
              <w:left w:val="nil"/>
              <w:bottom w:val="single" w:sz="4" w:space="0" w:color="auto"/>
              <w:right w:val="single" w:sz="4" w:space="0" w:color="auto"/>
            </w:tcBorders>
            <w:noWrap/>
            <w:vAlign w:val="center"/>
            <w:hideMark/>
          </w:tcPr>
          <w:p w14:paraId="5DBE4C2A"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2,000</w:t>
            </w:r>
          </w:p>
        </w:tc>
        <w:tc>
          <w:tcPr>
            <w:tcW w:w="386" w:type="pct"/>
            <w:tcBorders>
              <w:top w:val="nil"/>
              <w:left w:val="nil"/>
              <w:bottom w:val="single" w:sz="4" w:space="0" w:color="auto"/>
              <w:right w:val="single" w:sz="4" w:space="0" w:color="auto"/>
            </w:tcBorders>
            <w:noWrap/>
            <w:vAlign w:val="center"/>
            <w:hideMark/>
          </w:tcPr>
          <w:p w14:paraId="687CD7A6"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4,000</w:t>
            </w:r>
          </w:p>
        </w:tc>
        <w:tc>
          <w:tcPr>
            <w:tcW w:w="218" w:type="pct"/>
            <w:tcBorders>
              <w:top w:val="nil"/>
              <w:left w:val="nil"/>
              <w:bottom w:val="single" w:sz="4" w:space="0" w:color="auto"/>
              <w:right w:val="single" w:sz="4" w:space="0" w:color="auto"/>
            </w:tcBorders>
            <w:noWrap/>
            <w:vAlign w:val="center"/>
            <w:hideMark/>
          </w:tcPr>
          <w:p w14:paraId="1869E6D4"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31C91F98"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6" w:type="pct"/>
            <w:tcBorders>
              <w:top w:val="nil"/>
              <w:left w:val="nil"/>
              <w:bottom w:val="single" w:sz="4" w:space="0" w:color="auto"/>
              <w:right w:val="single" w:sz="4" w:space="0" w:color="auto"/>
            </w:tcBorders>
            <w:noWrap/>
            <w:vAlign w:val="center"/>
            <w:hideMark/>
          </w:tcPr>
          <w:p w14:paraId="0BCDD620"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D76F54" w:rsidRPr="00826417" w14:paraId="61814B59" w14:textId="77777777" w:rsidTr="00BD36F8">
        <w:trPr>
          <w:trHeight w:val="300"/>
        </w:trPr>
        <w:tc>
          <w:tcPr>
            <w:tcW w:w="1280" w:type="pct"/>
            <w:tcBorders>
              <w:top w:val="nil"/>
              <w:left w:val="single" w:sz="4" w:space="0" w:color="auto"/>
              <w:bottom w:val="single" w:sz="4" w:space="0" w:color="auto"/>
              <w:right w:val="single" w:sz="4" w:space="0" w:color="auto"/>
            </w:tcBorders>
            <w:vAlign w:val="center"/>
            <w:hideMark/>
          </w:tcPr>
          <w:p w14:paraId="6EE3BFFC" w14:textId="77777777"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Office supplies and other expendable items</w:t>
            </w:r>
          </w:p>
        </w:tc>
        <w:tc>
          <w:tcPr>
            <w:tcW w:w="310" w:type="pct"/>
            <w:tcBorders>
              <w:top w:val="nil"/>
              <w:left w:val="nil"/>
              <w:bottom w:val="single" w:sz="4" w:space="0" w:color="auto"/>
              <w:right w:val="single" w:sz="4" w:space="0" w:color="auto"/>
            </w:tcBorders>
            <w:noWrap/>
            <w:vAlign w:val="center"/>
            <w:hideMark/>
          </w:tcPr>
          <w:p w14:paraId="32492241"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5000</w:t>
            </w:r>
          </w:p>
        </w:tc>
        <w:tc>
          <w:tcPr>
            <w:tcW w:w="376" w:type="pct"/>
            <w:tcBorders>
              <w:top w:val="nil"/>
              <w:left w:val="nil"/>
              <w:bottom w:val="single" w:sz="4" w:space="0" w:color="auto"/>
              <w:right w:val="single" w:sz="4" w:space="0" w:color="auto"/>
            </w:tcBorders>
            <w:noWrap/>
            <w:vAlign w:val="center"/>
            <w:hideMark/>
          </w:tcPr>
          <w:p w14:paraId="3AB3ED42"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         5,000 </w:t>
            </w:r>
          </w:p>
        </w:tc>
        <w:tc>
          <w:tcPr>
            <w:tcW w:w="403" w:type="pct"/>
            <w:tcBorders>
              <w:top w:val="nil"/>
              <w:left w:val="nil"/>
              <w:bottom w:val="single" w:sz="4" w:space="0" w:color="auto"/>
              <w:right w:val="single" w:sz="4" w:space="0" w:color="auto"/>
            </w:tcBorders>
            <w:noWrap/>
            <w:vAlign w:val="center"/>
            <w:hideMark/>
          </w:tcPr>
          <w:p w14:paraId="23A1C80F"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10,000</w:t>
            </w:r>
          </w:p>
        </w:tc>
        <w:tc>
          <w:tcPr>
            <w:tcW w:w="265" w:type="pct"/>
            <w:tcBorders>
              <w:top w:val="nil"/>
              <w:left w:val="nil"/>
              <w:bottom w:val="single" w:sz="4" w:space="0" w:color="auto"/>
              <w:right w:val="single" w:sz="4" w:space="0" w:color="auto"/>
            </w:tcBorders>
            <w:noWrap/>
            <w:vAlign w:val="center"/>
            <w:hideMark/>
          </w:tcPr>
          <w:p w14:paraId="10849B14"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4A3E0783"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5" w:type="pct"/>
            <w:tcBorders>
              <w:top w:val="nil"/>
              <w:left w:val="nil"/>
              <w:bottom w:val="single" w:sz="4" w:space="0" w:color="auto"/>
              <w:right w:val="single" w:sz="4" w:space="0" w:color="auto"/>
            </w:tcBorders>
            <w:noWrap/>
            <w:vAlign w:val="center"/>
            <w:hideMark/>
          </w:tcPr>
          <w:p w14:paraId="48B2FDBD"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06" w:type="pct"/>
            <w:tcBorders>
              <w:top w:val="nil"/>
              <w:left w:val="nil"/>
              <w:bottom w:val="single" w:sz="4" w:space="0" w:color="auto"/>
              <w:right w:val="single" w:sz="4" w:space="0" w:color="auto"/>
            </w:tcBorders>
            <w:noWrap/>
            <w:vAlign w:val="center"/>
            <w:hideMark/>
          </w:tcPr>
          <w:p w14:paraId="15BD0AA3"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5000</w:t>
            </w:r>
          </w:p>
        </w:tc>
        <w:tc>
          <w:tcPr>
            <w:tcW w:w="306" w:type="pct"/>
            <w:tcBorders>
              <w:top w:val="nil"/>
              <w:left w:val="nil"/>
              <w:bottom w:val="single" w:sz="4" w:space="0" w:color="auto"/>
              <w:right w:val="single" w:sz="4" w:space="0" w:color="auto"/>
            </w:tcBorders>
            <w:noWrap/>
            <w:vAlign w:val="center"/>
            <w:hideMark/>
          </w:tcPr>
          <w:p w14:paraId="104DD3ED"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5,000</w:t>
            </w:r>
          </w:p>
        </w:tc>
        <w:tc>
          <w:tcPr>
            <w:tcW w:w="386" w:type="pct"/>
            <w:tcBorders>
              <w:top w:val="nil"/>
              <w:left w:val="nil"/>
              <w:bottom w:val="single" w:sz="4" w:space="0" w:color="auto"/>
              <w:right w:val="single" w:sz="4" w:space="0" w:color="auto"/>
            </w:tcBorders>
            <w:noWrap/>
            <w:vAlign w:val="center"/>
            <w:hideMark/>
          </w:tcPr>
          <w:p w14:paraId="14C7F43B"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10,000</w:t>
            </w:r>
          </w:p>
        </w:tc>
        <w:tc>
          <w:tcPr>
            <w:tcW w:w="218" w:type="pct"/>
            <w:tcBorders>
              <w:top w:val="nil"/>
              <w:left w:val="nil"/>
              <w:bottom w:val="single" w:sz="4" w:space="0" w:color="auto"/>
              <w:right w:val="single" w:sz="4" w:space="0" w:color="auto"/>
            </w:tcBorders>
            <w:noWrap/>
            <w:vAlign w:val="center"/>
            <w:hideMark/>
          </w:tcPr>
          <w:p w14:paraId="55F139B3"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18" w:type="pct"/>
            <w:tcBorders>
              <w:top w:val="nil"/>
              <w:left w:val="nil"/>
              <w:bottom w:val="single" w:sz="4" w:space="0" w:color="auto"/>
              <w:right w:val="single" w:sz="4" w:space="0" w:color="auto"/>
            </w:tcBorders>
            <w:noWrap/>
            <w:vAlign w:val="center"/>
            <w:hideMark/>
          </w:tcPr>
          <w:p w14:paraId="223F5FB2"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56" w:type="pct"/>
            <w:tcBorders>
              <w:top w:val="nil"/>
              <w:left w:val="nil"/>
              <w:bottom w:val="single" w:sz="4" w:space="0" w:color="auto"/>
              <w:right w:val="single" w:sz="4" w:space="0" w:color="auto"/>
            </w:tcBorders>
            <w:noWrap/>
            <w:vAlign w:val="center"/>
            <w:hideMark/>
          </w:tcPr>
          <w:p w14:paraId="7446F711"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D76F54" w:rsidRPr="00826417" w14:paraId="2D74D189" w14:textId="77777777" w:rsidTr="00BD36F8">
        <w:trPr>
          <w:trHeight w:val="300"/>
        </w:trPr>
        <w:tc>
          <w:tcPr>
            <w:tcW w:w="1280" w:type="pct"/>
            <w:tcBorders>
              <w:top w:val="nil"/>
              <w:left w:val="single" w:sz="4" w:space="0" w:color="auto"/>
              <w:bottom w:val="single" w:sz="4" w:space="0" w:color="auto"/>
              <w:right w:val="single" w:sz="4" w:space="0" w:color="auto"/>
            </w:tcBorders>
            <w:noWrap/>
            <w:vAlign w:val="center"/>
            <w:hideMark/>
          </w:tcPr>
          <w:p w14:paraId="38347F0F"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Component total</w:t>
            </w:r>
          </w:p>
        </w:tc>
        <w:tc>
          <w:tcPr>
            <w:tcW w:w="310" w:type="pct"/>
            <w:tcBorders>
              <w:top w:val="nil"/>
              <w:left w:val="nil"/>
              <w:bottom w:val="single" w:sz="4" w:space="0" w:color="auto"/>
              <w:right w:val="single" w:sz="4" w:space="0" w:color="auto"/>
            </w:tcBorders>
            <w:noWrap/>
            <w:vAlign w:val="center"/>
            <w:hideMark/>
          </w:tcPr>
          <w:p w14:paraId="50FB213D" w14:textId="1567685A"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2C3A2C"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5,000</w:t>
            </w:r>
          </w:p>
        </w:tc>
        <w:tc>
          <w:tcPr>
            <w:tcW w:w="376" w:type="pct"/>
            <w:tcBorders>
              <w:top w:val="nil"/>
              <w:left w:val="nil"/>
              <w:bottom w:val="single" w:sz="4" w:space="0" w:color="auto"/>
              <w:right w:val="single" w:sz="4" w:space="0" w:color="auto"/>
            </w:tcBorders>
            <w:noWrap/>
            <w:vAlign w:val="center"/>
            <w:hideMark/>
          </w:tcPr>
          <w:p w14:paraId="4D37033E" w14:textId="1A0F4BDD"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1A0C16"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w:t>
            </w:r>
            <w:r w:rsidR="003D4CAB" w:rsidRPr="00826417">
              <w:rPr>
                <w:rFonts w:eastAsia="Times New Roman" w:cstheme="majorBidi"/>
                <w:b/>
                <w:bCs/>
                <w:color w:val="000000"/>
                <w:sz w:val="16"/>
                <w:szCs w:val="16"/>
                <w:lang w:val="en-GB"/>
              </w:rPr>
              <w:t>000</w:t>
            </w:r>
          </w:p>
        </w:tc>
        <w:tc>
          <w:tcPr>
            <w:tcW w:w="403" w:type="pct"/>
            <w:tcBorders>
              <w:top w:val="nil"/>
              <w:left w:val="nil"/>
              <w:bottom w:val="single" w:sz="4" w:space="0" w:color="auto"/>
              <w:right w:val="single" w:sz="4" w:space="0" w:color="auto"/>
            </w:tcBorders>
            <w:noWrap/>
            <w:vAlign w:val="center"/>
            <w:hideMark/>
          </w:tcPr>
          <w:p w14:paraId="52843272" w14:textId="36C15868"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3</w:t>
            </w:r>
            <w:r w:rsidR="001A0C16" w:rsidRPr="00826417">
              <w:rPr>
                <w:rFonts w:eastAsia="Times New Roman" w:cstheme="majorBidi"/>
                <w:b/>
                <w:bCs/>
                <w:color w:val="000000"/>
                <w:sz w:val="16"/>
                <w:szCs w:val="16"/>
                <w:lang w:val="en-GB"/>
              </w:rPr>
              <w:t>30</w:t>
            </w:r>
            <w:r w:rsidRPr="00826417">
              <w:rPr>
                <w:rFonts w:eastAsia="Times New Roman" w:cstheme="majorBidi"/>
                <w:b/>
                <w:bCs/>
                <w:color w:val="000000"/>
                <w:sz w:val="16"/>
                <w:szCs w:val="16"/>
                <w:lang w:val="en-GB"/>
              </w:rPr>
              <w:t>,</w:t>
            </w:r>
            <w:r w:rsidR="003D4CAB" w:rsidRPr="00826417">
              <w:rPr>
                <w:rFonts w:eastAsia="Times New Roman" w:cstheme="majorBidi"/>
                <w:b/>
                <w:bCs/>
                <w:color w:val="000000"/>
                <w:sz w:val="16"/>
                <w:szCs w:val="16"/>
                <w:lang w:val="en-GB"/>
              </w:rPr>
              <w:t>000</w:t>
            </w:r>
          </w:p>
        </w:tc>
        <w:tc>
          <w:tcPr>
            <w:tcW w:w="265" w:type="pct"/>
            <w:tcBorders>
              <w:top w:val="nil"/>
              <w:left w:val="nil"/>
              <w:bottom w:val="single" w:sz="4" w:space="0" w:color="auto"/>
              <w:right w:val="single" w:sz="4" w:space="0" w:color="auto"/>
            </w:tcBorders>
            <w:noWrap/>
            <w:vAlign w:val="center"/>
          </w:tcPr>
          <w:p w14:paraId="34901FD9" w14:textId="5D280C27" w:rsidR="00D76F54" w:rsidRPr="00826417" w:rsidRDefault="00D76F54" w:rsidP="00A10FE4">
            <w:pPr>
              <w:spacing w:after="0" w:line="240" w:lineRule="auto"/>
              <w:jc w:val="left"/>
              <w:rPr>
                <w:rFonts w:eastAsia="Times New Roman" w:cstheme="majorBidi"/>
                <w:color w:val="000000"/>
                <w:sz w:val="16"/>
                <w:szCs w:val="16"/>
                <w:lang w:val="en-GB"/>
              </w:rPr>
            </w:pPr>
          </w:p>
        </w:tc>
        <w:tc>
          <w:tcPr>
            <w:tcW w:w="218" w:type="pct"/>
            <w:tcBorders>
              <w:top w:val="nil"/>
              <w:left w:val="nil"/>
              <w:bottom w:val="single" w:sz="4" w:space="0" w:color="auto"/>
              <w:right w:val="single" w:sz="4" w:space="0" w:color="auto"/>
            </w:tcBorders>
            <w:noWrap/>
            <w:vAlign w:val="center"/>
          </w:tcPr>
          <w:p w14:paraId="182298E8" w14:textId="20439E99" w:rsidR="00D76F54" w:rsidRPr="00826417" w:rsidRDefault="00D76F54" w:rsidP="00A10FE4">
            <w:pPr>
              <w:spacing w:after="0" w:line="240" w:lineRule="auto"/>
              <w:jc w:val="left"/>
              <w:rPr>
                <w:rFonts w:eastAsia="Times New Roman" w:cstheme="majorBidi"/>
                <w:color w:val="000000"/>
                <w:sz w:val="16"/>
                <w:szCs w:val="16"/>
                <w:lang w:val="en-GB"/>
              </w:rPr>
            </w:pPr>
          </w:p>
        </w:tc>
        <w:tc>
          <w:tcPr>
            <w:tcW w:w="355" w:type="pct"/>
            <w:tcBorders>
              <w:top w:val="nil"/>
              <w:left w:val="nil"/>
              <w:bottom w:val="single" w:sz="4" w:space="0" w:color="auto"/>
              <w:right w:val="single" w:sz="4" w:space="0" w:color="auto"/>
            </w:tcBorders>
            <w:noWrap/>
            <w:vAlign w:val="center"/>
          </w:tcPr>
          <w:p w14:paraId="0250C44B" w14:textId="72BB8E01" w:rsidR="00D76F54" w:rsidRPr="00826417" w:rsidRDefault="00D76F54" w:rsidP="00A10FE4">
            <w:pPr>
              <w:spacing w:after="0" w:line="240" w:lineRule="auto"/>
              <w:jc w:val="left"/>
              <w:rPr>
                <w:rFonts w:eastAsia="Times New Roman" w:cstheme="majorBidi"/>
                <w:color w:val="000000"/>
                <w:sz w:val="16"/>
                <w:szCs w:val="16"/>
                <w:lang w:val="en-GB"/>
              </w:rPr>
            </w:pPr>
          </w:p>
        </w:tc>
        <w:tc>
          <w:tcPr>
            <w:tcW w:w="306" w:type="pct"/>
            <w:tcBorders>
              <w:top w:val="nil"/>
              <w:left w:val="nil"/>
              <w:bottom w:val="single" w:sz="4" w:space="0" w:color="auto"/>
              <w:right w:val="single" w:sz="4" w:space="0" w:color="auto"/>
            </w:tcBorders>
            <w:noWrap/>
            <w:vAlign w:val="center"/>
            <w:hideMark/>
          </w:tcPr>
          <w:p w14:paraId="6F8713B6" w14:textId="4B746598"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970442"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5,000</w:t>
            </w:r>
          </w:p>
        </w:tc>
        <w:tc>
          <w:tcPr>
            <w:tcW w:w="306" w:type="pct"/>
            <w:tcBorders>
              <w:top w:val="nil"/>
              <w:left w:val="nil"/>
              <w:bottom w:val="single" w:sz="4" w:space="0" w:color="auto"/>
              <w:right w:val="single" w:sz="4" w:space="0" w:color="auto"/>
            </w:tcBorders>
            <w:noWrap/>
            <w:vAlign w:val="center"/>
            <w:hideMark/>
          </w:tcPr>
          <w:p w14:paraId="2C0C1C3D" w14:textId="1E47131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CB3CE6"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w:t>
            </w:r>
            <w:r w:rsidR="00CF423A" w:rsidRPr="00826417">
              <w:rPr>
                <w:rFonts w:eastAsia="Times New Roman" w:cstheme="majorBidi"/>
                <w:b/>
                <w:bCs/>
                <w:color w:val="000000"/>
                <w:sz w:val="16"/>
                <w:szCs w:val="16"/>
                <w:lang w:val="en-GB"/>
              </w:rPr>
              <w:t>000</w:t>
            </w:r>
          </w:p>
        </w:tc>
        <w:tc>
          <w:tcPr>
            <w:tcW w:w="386" w:type="pct"/>
            <w:tcBorders>
              <w:top w:val="nil"/>
              <w:left w:val="nil"/>
              <w:bottom w:val="single" w:sz="4" w:space="0" w:color="auto"/>
              <w:right w:val="single" w:sz="4" w:space="0" w:color="auto"/>
            </w:tcBorders>
            <w:noWrap/>
            <w:vAlign w:val="center"/>
            <w:hideMark/>
          </w:tcPr>
          <w:p w14:paraId="67A428F3" w14:textId="5179ABCF"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3</w:t>
            </w:r>
            <w:r w:rsidR="00CB3CE6" w:rsidRPr="00826417">
              <w:rPr>
                <w:rFonts w:eastAsia="Times New Roman" w:cstheme="majorBidi"/>
                <w:b/>
                <w:bCs/>
                <w:color w:val="000000"/>
                <w:sz w:val="16"/>
                <w:szCs w:val="16"/>
                <w:lang w:val="en-GB"/>
              </w:rPr>
              <w:t>3</w:t>
            </w:r>
            <w:r w:rsidRPr="00826417">
              <w:rPr>
                <w:rFonts w:eastAsia="Times New Roman" w:cstheme="majorBidi"/>
                <w:b/>
                <w:bCs/>
                <w:color w:val="000000"/>
                <w:sz w:val="16"/>
                <w:szCs w:val="16"/>
                <w:lang w:val="en-GB"/>
              </w:rPr>
              <w:t>0,</w:t>
            </w:r>
            <w:r w:rsidR="00CF423A" w:rsidRPr="00826417">
              <w:rPr>
                <w:rFonts w:eastAsia="Times New Roman" w:cstheme="majorBidi"/>
                <w:b/>
                <w:bCs/>
                <w:color w:val="000000"/>
                <w:sz w:val="16"/>
                <w:szCs w:val="16"/>
                <w:lang w:val="en-GB"/>
              </w:rPr>
              <w:t>000</w:t>
            </w:r>
          </w:p>
        </w:tc>
        <w:tc>
          <w:tcPr>
            <w:tcW w:w="218" w:type="pct"/>
            <w:tcBorders>
              <w:top w:val="nil"/>
              <w:left w:val="nil"/>
              <w:bottom w:val="single" w:sz="4" w:space="0" w:color="auto"/>
              <w:right w:val="single" w:sz="4" w:space="0" w:color="auto"/>
            </w:tcBorders>
            <w:noWrap/>
            <w:vAlign w:val="center"/>
          </w:tcPr>
          <w:p w14:paraId="1FC3D57C" w14:textId="080FE71D" w:rsidR="00D76F54" w:rsidRPr="00826417" w:rsidRDefault="00D76F54" w:rsidP="00A10FE4">
            <w:pPr>
              <w:spacing w:after="0" w:line="240" w:lineRule="auto"/>
              <w:jc w:val="left"/>
              <w:rPr>
                <w:rFonts w:eastAsia="Times New Roman" w:cstheme="majorBidi"/>
                <w:color w:val="000000"/>
                <w:sz w:val="16"/>
                <w:szCs w:val="16"/>
                <w:lang w:val="en-GB"/>
              </w:rPr>
            </w:pPr>
          </w:p>
        </w:tc>
        <w:tc>
          <w:tcPr>
            <w:tcW w:w="218" w:type="pct"/>
            <w:tcBorders>
              <w:top w:val="nil"/>
              <w:left w:val="nil"/>
              <w:bottom w:val="single" w:sz="4" w:space="0" w:color="auto"/>
              <w:right w:val="single" w:sz="4" w:space="0" w:color="auto"/>
            </w:tcBorders>
            <w:noWrap/>
            <w:vAlign w:val="center"/>
          </w:tcPr>
          <w:p w14:paraId="36E1BC68" w14:textId="37105168" w:rsidR="00D76F54" w:rsidRPr="00826417" w:rsidRDefault="00D76F54" w:rsidP="00A10FE4">
            <w:pPr>
              <w:spacing w:after="0" w:line="240" w:lineRule="auto"/>
              <w:jc w:val="left"/>
              <w:rPr>
                <w:rFonts w:eastAsia="Times New Roman" w:cstheme="majorBidi"/>
                <w:color w:val="000000"/>
                <w:sz w:val="16"/>
                <w:szCs w:val="16"/>
                <w:lang w:val="en-GB"/>
              </w:rPr>
            </w:pPr>
          </w:p>
        </w:tc>
        <w:tc>
          <w:tcPr>
            <w:tcW w:w="356" w:type="pct"/>
            <w:tcBorders>
              <w:top w:val="nil"/>
              <w:left w:val="nil"/>
              <w:bottom w:val="single" w:sz="4" w:space="0" w:color="auto"/>
              <w:right w:val="single" w:sz="4" w:space="0" w:color="auto"/>
            </w:tcBorders>
            <w:noWrap/>
            <w:vAlign w:val="center"/>
          </w:tcPr>
          <w:p w14:paraId="0D05AAC4" w14:textId="1AC5F337" w:rsidR="00D76F54" w:rsidRPr="00826417" w:rsidRDefault="00D76F54" w:rsidP="00A10FE4">
            <w:pPr>
              <w:spacing w:after="0" w:line="240" w:lineRule="auto"/>
              <w:jc w:val="left"/>
              <w:rPr>
                <w:rFonts w:eastAsia="Times New Roman" w:cstheme="majorBidi"/>
                <w:color w:val="000000"/>
                <w:sz w:val="16"/>
                <w:szCs w:val="16"/>
                <w:lang w:val="en-GB"/>
              </w:rPr>
            </w:pPr>
          </w:p>
        </w:tc>
      </w:tr>
      <w:tr w:rsidR="00D76F54" w:rsidRPr="00826417" w14:paraId="5D17BE5D" w14:textId="77777777" w:rsidTr="00BD36F8">
        <w:trPr>
          <w:trHeight w:val="300"/>
        </w:trPr>
        <w:tc>
          <w:tcPr>
            <w:tcW w:w="1280" w:type="pct"/>
            <w:tcBorders>
              <w:top w:val="nil"/>
              <w:left w:val="single" w:sz="4" w:space="0" w:color="auto"/>
              <w:bottom w:val="single" w:sz="4" w:space="0" w:color="auto"/>
              <w:right w:val="single" w:sz="4" w:space="0" w:color="auto"/>
            </w:tcBorders>
            <w:noWrap/>
            <w:vAlign w:val="center"/>
            <w:hideMark/>
          </w:tcPr>
          <w:p w14:paraId="75972E50" w14:textId="77777777" w:rsidR="00D76F54" w:rsidRPr="00826417" w:rsidRDefault="00D76F54" w:rsidP="00A10FE4">
            <w:pPr>
              <w:spacing w:after="0" w:line="240" w:lineRule="auto"/>
              <w:jc w:val="lef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Grand Total </w:t>
            </w:r>
          </w:p>
        </w:tc>
        <w:tc>
          <w:tcPr>
            <w:tcW w:w="310" w:type="pct"/>
            <w:tcBorders>
              <w:top w:val="nil"/>
              <w:left w:val="nil"/>
              <w:bottom w:val="single" w:sz="4" w:space="0" w:color="auto"/>
              <w:right w:val="single" w:sz="4" w:space="0" w:color="auto"/>
            </w:tcBorders>
            <w:noWrap/>
            <w:vAlign w:val="center"/>
            <w:hideMark/>
          </w:tcPr>
          <w:p w14:paraId="43D8A015" w14:textId="6E6CF838"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2C3A2C"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5,000</w:t>
            </w:r>
          </w:p>
        </w:tc>
        <w:tc>
          <w:tcPr>
            <w:tcW w:w="376" w:type="pct"/>
            <w:tcBorders>
              <w:top w:val="nil"/>
              <w:left w:val="nil"/>
              <w:bottom w:val="single" w:sz="4" w:space="0" w:color="auto"/>
              <w:right w:val="single" w:sz="4" w:space="0" w:color="auto"/>
            </w:tcBorders>
            <w:noWrap/>
            <w:vAlign w:val="center"/>
            <w:hideMark/>
          </w:tcPr>
          <w:p w14:paraId="68822A8E" w14:textId="61E9EFC9"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1A0C16"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w:t>
            </w:r>
            <w:r w:rsidR="003D4CAB" w:rsidRPr="00826417">
              <w:rPr>
                <w:rFonts w:eastAsia="Times New Roman" w:cstheme="majorBidi"/>
                <w:b/>
                <w:bCs/>
                <w:color w:val="000000"/>
                <w:sz w:val="16"/>
                <w:szCs w:val="16"/>
                <w:lang w:val="en-GB"/>
              </w:rPr>
              <w:t>000</w:t>
            </w:r>
          </w:p>
        </w:tc>
        <w:tc>
          <w:tcPr>
            <w:tcW w:w="403" w:type="pct"/>
            <w:tcBorders>
              <w:top w:val="nil"/>
              <w:left w:val="nil"/>
              <w:bottom w:val="single" w:sz="4" w:space="0" w:color="auto"/>
              <w:right w:val="single" w:sz="4" w:space="0" w:color="auto"/>
            </w:tcBorders>
            <w:noWrap/>
            <w:vAlign w:val="center"/>
            <w:hideMark/>
          </w:tcPr>
          <w:p w14:paraId="64A77D20" w14:textId="4675251C"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3</w:t>
            </w:r>
            <w:r w:rsidR="001A0C16" w:rsidRPr="00826417">
              <w:rPr>
                <w:rFonts w:eastAsia="Times New Roman" w:cstheme="majorBidi"/>
                <w:b/>
                <w:bCs/>
                <w:color w:val="000000"/>
                <w:sz w:val="16"/>
                <w:szCs w:val="16"/>
                <w:lang w:val="en-GB"/>
              </w:rPr>
              <w:t>3</w:t>
            </w:r>
            <w:r w:rsidRPr="00826417">
              <w:rPr>
                <w:rFonts w:eastAsia="Times New Roman" w:cstheme="majorBidi"/>
                <w:b/>
                <w:bCs/>
                <w:color w:val="000000"/>
                <w:sz w:val="16"/>
                <w:szCs w:val="16"/>
                <w:lang w:val="en-GB"/>
              </w:rPr>
              <w:t>0,</w:t>
            </w:r>
            <w:r w:rsidR="003D4CAB" w:rsidRPr="00826417">
              <w:rPr>
                <w:rFonts w:eastAsia="Times New Roman" w:cstheme="majorBidi"/>
                <w:b/>
                <w:bCs/>
                <w:color w:val="000000"/>
                <w:sz w:val="16"/>
                <w:szCs w:val="16"/>
                <w:lang w:val="en-GB"/>
              </w:rPr>
              <w:t>000</w:t>
            </w:r>
          </w:p>
        </w:tc>
        <w:tc>
          <w:tcPr>
            <w:tcW w:w="265" w:type="pct"/>
            <w:tcBorders>
              <w:top w:val="nil"/>
              <w:left w:val="nil"/>
              <w:bottom w:val="single" w:sz="4" w:space="0" w:color="auto"/>
              <w:right w:val="single" w:sz="4" w:space="0" w:color="auto"/>
            </w:tcBorders>
            <w:noWrap/>
            <w:vAlign w:val="center"/>
          </w:tcPr>
          <w:p w14:paraId="087811EA" w14:textId="531B64AE" w:rsidR="00D76F54" w:rsidRPr="00826417" w:rsidRDefault="00D76F54" w:rsidP="00A10FE4">
            <w:pPr>
              <w:spacing w:after="0" w:line="240" w:lineRule="auto"/>
              <w:jc w:val="left"/>
              <w:rPr>
                <w:rFonts w:eastAsia="Times New Roman" w:cstheme="majorBidi"/>
                <w:color w:val="000000"/>
                <w:sz w:val="16"/>
                <w:szCs w:val="16"/>
                <w:lang w:val="en-GB"/>
              </w:rPr>
            </w:pPr>
          </w:p>
        </w:tc>
        <w:tc>
          <w:tcPr>
            <w:tcW w:w="218" w:type="pct"/>
            <w:tcBorders>
              <w:top w:val="nil"/>
              <w:left w:val="nil"/>
              <w:bottom w:val="single" w:sz="4" w:space="0" w:color="auto"/>
              <w:right w:val="single" w:sz="4" w:space="0" w:color="auto"/>
            </w:tcBorders>
            <w:noWrap/>
            <w:vAlign w:val="center"/>
          </w:tcPr>
          <w:p w14:paraId="0153F6F5" w14:textId="615D4B37" w:rsidR="00D76F54" w:rsidRPr="00826417" w:rsidRDefault="00D76F54" w:rsidP="00A10FE4">
            <w:pPr>
              <w:spacing w:after="0" w:line="240" w:lineRule="auto"/>
              <w:jc w:val="left"/>
              <w:rPr>
                <w:rFonts w:eastAsia="Times New Roman" w:cstheme="majorBidi"/>
                <w:color w:val="000000"/>
                <w:sz w:val="16"/>
                <w:szCs w:val="16"/>
                <w:lang w:val="en-GB"/>
              </w:rPr>
            </w:pPr>
          </w:p>
        </w:tc>
        <w:tc>
          <w:tcPr>
            <w:tcW w:w="355" w:type="pct"/>
            <w:tcBorders>
              <w:top w:val="nil"/>
              <w:left w:val="nil"/>
              <w:bottom w:val="single" w:sz="4" w:space="0" w:color="auto"/>
              <w:right w:val="single" w:sz="4" w:space="0" w:color="auto"/>
            </w:tcBorders>
            <w:noWrap/>
            <w:vAlign w:val="center"/>
          </w:tcPr>
          <w:p w14:paraId="0D35CA48" w14:textId="64671353" w:rsidR="00D76F54" w:rsidRPr="00826417" w:rsidRDefault="00D76F54" w:rsidP="00A10FE4">
            <w:pPr>
              <w:spacing w:after="0" w:line="240" w:lineRule="auto"/>
              <w:jc w:val="left"/>
              <w:rPr>
                <w:rFonts w:eastAsia="Times New Roman" w:cstheme="majorBidi"/>
                <w:color w:val="000000"/>
                <w:sz w:val="16"/>
                <w:szCs w:val="16"/>
                <w:lang w:val="en-GB"/>
              </w:rPr>
            </w:pPr>
          </w:p>
        </w:tc>
        <w:tc>
          <w:tcPr>
            <w:tcW w:w="306" w:type="pct"/>
            <w:tcBorders>
              <w:top w:val="nil"/>
              <w:left w:val="nil"/>
              <w:bottom w:val="single" w:sz="4" w:space="0" w:color="auto"/>
              <w:right w:val="single" w:sz="4" w:space="0" w:color="auto"/>
            </w:tcBorders>
            <w:noWrap/>
            <w:vAlign w:val="center"/>
            <w:hideMark/>
          </w:tcPr>
          <w:p w14:paraId="639DE540" w14:textId="2B6C1A5A"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970442"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5,000</w:t>
            </w:r>
          </w:p>
        </w:tc>
        <w:tc>
          <w:tcPr>
            <w:tcW w:w="306" w:type="pct"/>
            <w:tcBorders>
              <w:top w:val="nil"/>
              <w:left w:val="nil"/>
              <w:bottom w:val="single" w:sz="4" w:space="0" w:color="auto"/>
              <w:right w:val="single" w:sz="4" w:space="0" w:color="auto"/>
            </w:tcBorders>
            <w:noWrap/>
            <w:vAlign w:val="center"/>
            <w:hideMark/>
          </w:tcPr>
          <w:p w14:paraId="3B70BD53" w14:textId="5F8F5435"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CB3CE6"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5,</w:t>
            </w:r>
            <w:r w:rsidR="00CF423A" w:rsidRPr="00826417">
              <w:rPr>
                <w:rFonts w:eastAsia="Times New Roman" w:cstheme="majorBidi"/>
                <w:b/>
                <w:bCs/>
                <w:color w:val="000000"/>
                <w:sz w:val="16"/>
                <w:szCs w:val="16"/>
                <w:lang w:val="en-GB"/>
              </w:rPr>
              <w:t>000</w:t>
            </w:r>
          </w:p>
        </w:tc>
        <w:tc>
          <w:tcPr>
            <w:tcW w:w="386" w:type="pct"/>
            <w:tcBorders>
              <w:top w:val="nil"/>
              <w:left w:val="nil"/>
              <w:bottom w:val="single" w:sz="4" w:space="0" w:color="auto"/>
              <w:right w:val="single" w:sz="4" w:space="0" w:color="auto"/>
            </w:tcBorders>
            <w:noWrap/>
            <w:vAlign w:val="center"/>
            <w:hideMark/>
          </w:tcPr>
          <w:p w14:paraId="6F1BFF0D" w14:textId="30131A24"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3</w:t>
            </w:r>
            <w:r w:rsidR="00CB3CE6" w:rsidRPr="00826417">
              <w:rPr>
                <w:rFonts w:eastAsia="Times New Roman" w:cstheme="majorBidi"/>
                <w:b/>
                <w:bCs/>
                <w:color w:val="000000"/>
                <w:sz w:val="16"/>
                <w:szCs w:val="16"/>
                <w:lang w:val="en-GB"/>
              </w:rPr>
              <w:t>30</w:t>
            </w:r>
            <w:r w:rsidRPr="00826417">
              <w:rPr>
                <w:rFonts w:eastAsia="Times New Roman" w:cstheme="majorBidi"/>
                <w:b/>
                <w:bCs/>
                <w:color w:val="000000"/>
                <w:sz w:val="16"/>
                <w:szCs w:val="16"/>
                <w:lang w:val="en-GB"/>
              </w:rPr>
              <w:t>,</w:t>
            </w:r>
            <w:r w:rsidR="00CF423A" w:rsidRPr="00826417">
              <w:rPr>
                <w:rFonts w:eastAsia="Times New Roman" w:cstheme="majorBidi"/>
                <w:b/>
                <w:bCs/>
                <w:color w:val="000000"/>
                <w:sz w:val="16"/>
                <w:szCs w:val="16"/>
                <w:lang w:val="en-GB"/>
              </w:rPr>
              <w:t>000</w:t>
            </w:r>
          </w:p>
        </w:tc>
        <w:tc>
          <w:tcPr>
            <w:tcW w:w="218" w:type="pct"/>
            <w:tcBorders>
              <w:top w:val="nil"/>
              <w:left w:val="nil"/>
              <w:bottom w:val="single" w:sz="4" w:space="0" w:color="auto"/>
              <w:right w:val="single" w:sz="4" w:space="0" w:color="auto"/>
            </w:tcBorders>
            <w:noWrap/>
            <w:vAlign w:val="center"/>
          </w:tcPr>
          <w:p w14:paraId="20149720" w14:textId="7BA19F17" w:rsidR="00D76F54" w:rsidRPr="00826417" w:rsidRDefault="00D76F54" w:rsidP="00A10FE4">
            <w:pPr>
              <w:spacing w:after="0" w:line="240" w:lineRule="auto"/>
              <w:jc w:val="left"/>
              <w:rPr>
                <w:rFonts w:eastAsia="Times New Roman" w:cstheme="majorBidi"/>
                <w:color w:val="000000"/>
                <w:sz w:val="16"/>
                <w:szCs w:val="16"/>
                <w:lang w:val="en-GB"/>
              </w:rPr>
            </w:pPr>
          </w:p>
        </w:tc>
        <w:tc>
          <w:tcPr>
            <w:tcW w:w="218" w:type="pct"/>
            <w:tcBorders>
              <w:top w:val="nil"/>
              <w:left w:val="nil"/>
              <w:bottom w:val="single" w:sz="4" w:space="0" w:color="auto"/>
              <w:right w:val="single" w:sz="4" w:space="0" w:color="auto"/>
            </w:tcBorders>
            <w:noWrap/>
            <w:vAlign w:val="center"/>
          </w:tcPr>
          <w:p w14:paraId="50F674C6" w14:textId="644D1168" w:rsidR="00D76F54" w:rsidRPr="00826417" w:rsidRDefault="00D76F54" w:rsidP="00A10FE4">
            <w:pPr>
              <w:spacing w:after="0" w:line="240" w:lineRule="auto"/>
              <w:jc w:val="left"/>
              <w:rPr>
                <w:rFonts w:eastAsia="Times New Roman" w:cstheme="majorBidi"/>
                <w:color w:val="000000"/>
                <w:sz w:val="16"/>
                <w:szCs w:val="16"/>
                <w:lang w:val="en-GB"/>
              </w:rPr>
            </w:pPr>
          </w:p>
        </w:tc>
        <w:tc>
          <w:tcPr>
            <w:tcW w:w="356" w:type="pct"/>
            <w:tcBorders>
              <w:top w:val="nil"/>
              <w:left w:val="nil"/>
              <w:bottom w:val="single" w:sz="4" w:space="0" w:color="auto"/>
              <w:right w:val="single" w:sz="4" w:space="0" w:color="auto"/>
            </w:tcBorders>
            <w:noWrap/>
            <w:vAlign w:val="center"/>
          </w:tcPr>
          <w:p w14:paraId="19EABB14" w14:textId="6521FF53" w:rsidR="00D76F54" w:rsidRPr="00826417" w:rsidRDefault="00D76F54" w:rsidP="00A10FE4">
            <w:pPr>
              <w:spacing w:after="0" w:line="240" w:lineRule="auto"/>
              <w:jc w:val="left"/>
              <w:rPr>
                <w:rFonts w:eastAsia="Times New Roman" w:cstheme="majorBidi"/>
                <w:color w:val="000000"/>
                <w:sz w:val="16"/>
                <w:szCs w:val="16"/>
                <w:lang w:val="en-GB"/>
              </w:rPr>
            </w:pPr>
          </w:p>
        </w:tc>
      </w:tr>
    </w:tbl>
    <w:p w14:paraId="61E1EE33" w14:textId="5640E8EF" w:rsidR="0077429C" w:rsidRPr="00845FB7" w:rsidRDefault="0077429C" w:rsidP="00496732">
      <w:pPr>
        <w:pStyle w:val="Heading3"/>
        <w:rPr>
          <w:sz w:val="24"/>
          <w:lang w:val="en-GB"/>
        </w:rPr>
      </w:pPr>
      <w:r w:rsidRPr="00845FB7">
        <w:rPr>
          <w:sz w:val="24"/>
          <w:lang w:val="en-GB"/>
        </w:rPr>
        <w:t>Overview of resources</w:t>
      </w:r>
    </w:p>
    <w:tbl>
      <w:tblPr>
        <w:tblW w:w="9979" w:type="dxa"/>
        <w:tblLook w:val="04A0" w:firstRow="1" w:lastRow="0" w:firstColumn="1" w:lastColumn="0" w:noHBand="0" w:noVBand="1"/>
      </w:tblPr>
      <w:tblGrid>
        <w:gridCol w:w="5807"/>
        <w:gridCol w:w="2268"/>
        <w:gridCol w:w="2268"/>
        <w:gridCol w:w="2410"/>
      </w:tblGrid>
      <w:tr w:rsidR="0077429C" w:rsidRPr="00845FB7" w14:paraId="20DFDC01" w14:textId="77777777" w:rsidTr="00847ABD">
        <w:trPr>
          <w:trHeight w:val="340"/>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337C145D" w14:textId="77777777" w:rsidR="0077429C" w:rsidRPr="00845FB7" w:rsidRDefault="0077429C" w:rsidP="00CD11AC">
            <w:pPr>
              <w:spacing w:after="0" w:line="240" w:lineRule="auto"/>
              <w:jc w:val="center"/>
              <w:rPr>
                <w:rFonts w:eastAsia="Times New Roman" w:cstheme="majorBidi"/>
                <w:b/>
                <w:bCs/>
                <w:color w:val="000000"/>
                <w:szCs w:val="20"/>
                <w:lang w:val="en-GB"/>
              </w:rPr>
            </w:pPr>
            <w:r w:rsidRPr="00845FB7">
              <w:rPr>
                <w:rFonts w:eastAsia="Times New Roman" w:cstheme="majorBidi"/>
                <w:b/>
                <w:bCs/>
                <w:color w:val="000000"/>
                <w:szCs w:val="20"/>
                <w:lang w:val="en-GB"/>
              </w:rPr>
              <w:t>Budget</w:t>
            </w:r>
          </w:p>
        </w:tc>
        <w:tc>
          <w:tcPr>
            <w:tcW w:w="2268" w:type="dxa"/>
            <w:tcBorders>
              <w:top w:val="single" w:sz="4" w:space="0" w:color="auto"/>
              <w:left w:val="nil"/>
              <w:bottom w:val="single" w:sz="4" w:space="0" w:color="auto"/>
              <w:right w:val="single" w:sz="4" w:space="0" w:color="auto"/>
            </w:tcBorders>
            <w:vAlign w:val="center"/>
            <w:hideMark/>
          </w:tcPr>
          <w:p w14:paraId="3A25F499" w14:textId="669612AC" w:rsidR="0077429C" w:rsidRPr="00845FB7" w:rsidRDefault="0077429C" w:rsidP="00CD11AC">
            <w:pPr>
              <w:spacing w:after="0" w:line="240" w:lineRule="auto"/>
              <w:jc w:val="center"/>
              <w:rPr>
                <w:rFonts w:eastAsia="Times New Roman" w:cstheme="majorBidi"/>
                <w:b/>
                <w:bCs/>
                <w:color w:val="000000"/>
                <w:szCs w:val="20"/>
                <w:lang w:val="en-GB"/>
              </w:rPr>
            </w:pPr>
            <w:r w:rsidRPr="00845FB7">
              <w:rPr>
                <w:rFonts w:eastAsia="Times New Roman" w:cstheme="majorBidi"/>
                <w:b/>
                <w:bCs/>
                <w:color w:val="000000"/>
                <w:szCs w:val="20"/>
                <w:lang w:val="en-GB"/>
              </w:rPr>
              <w:t xml:space="preserve">General </w:t>
            </w:r>
            <w:r w:rsidR="001F3CCC" w:rsidRPr="00845FB7">
              <w:rPr>
                <w:rFonts w:eastAsia="Times New Roman" w:cstheme="majorBidi"/>
                <w:b/>
                <w:bCs/>
                <w:color w:val="000000"/>
                <w:szCs w:val="20"/>
                <w:lang w:val="en-GB"/>
              </w:rPr>
              <w:t>t</w:t>
            </w:r>
            <w:r w:rsidRPr="00845FB7">
              <w:rPr>
                <w:rFonts w:eastAsia="Times New Roman" w:cstheme="majorBidi"/>
                <w:b/>
                <w:bCs/>
                <w:color w:val="000000"/>
                <w:szCs w:val="20"/>
                <w:lang w:val="en-GB"/>
              </w:rPr>
              <w:t xml:space="preserve">rust </w:t>
            </w:r>
            <w:r w:rsidR="001F3CCC" w:rsidRPr="00845FB7">
              <w:rPr>
                <w:rFonts w:eastAsia="Times New Roman" w:cstheme="majorBidi"/>
                <w:b/>
                <w:bCs/>
                <w:color w:val="000000"/>
                <w:szCs w:val="20"/>
                <w:lang w:val="en-GB"/>
              </w:rPr>
              <w:t>f</w:t>
            </w:r>
            <w:r w:rsidRPr="00845FB7">
              <w:rPr>
                <w:rFonts w:eastAsia="Times New Roman" w:cstheme="majorBidi"/>
                <w:b/>
                <w:bCs/>
                <w:color w:val="000000"/>
                <w:szCs w:val="20"/>
                <w:lang w:val="en-GB"/>
              </w:rPr>
              <w:t>und</w:t>
            </w:r>
          </w:p>
        </w:tc>
        <w:tc>
          <w:tcPr>
            <w:tcW w:w="2268" w:type="dxa"/>
            <w:tcBorders>
              <w:top w:val="single" w:sz="4" w:space="0" w:color="auto"/>
              <w:left w:val="nil"/>
              <w:bottom w:val="single" w:sz="4" w:space="0" w:color="auto"/>
              <w:right w:val="single" w:sz="4" w:space="0" w:color="auto"/>
            </w:tcBorders>
            <w:vAlign w:val="center"/>
            <w:hideMark/>
          </w:tcPr>
          <w:p w14:paraId="5D256FFD" w14:textId="3EBD23DF" w:rsidR="0077429C" w:rsidRPr="00845FB7" w:rsidRDefault="0077429C" w:rsidP="00CD11AC">
            <w:pPr>
              <w:spacing w:after="0" w:line="240" w:lineRule="auto"/>
              <w:jc w:val="center"/>
              <w:rPr>
                <w:rFonts w:eastAsia="Times New Roman" w:cstheme="majorBidi"/>
                <w:b/>
                <w:bCs/>
                <w:color w:val="000000"/>
                <w:szCs w:val="20"/>
                <w:lang w:val="en-GB"/>
              </w:rPr>
            </w:pPr>
            <w:r w:rsidRPr="00845FB7">
              <w:rPr>
                <w:rFonts w:eastAsia="Times New Roman" w:cstheme="majorBidi"/>
                <w:b/>
                <w:bCs/>
                <w:color w:val="000000"/>
                <w:szCs w:val="20"/>
                <w:lang w:val="en-GB"/>
              </w:rPr>
              <w:t xml:space="preserve">Special </w:t>
            </w:r>
            <w:r w:rsidR="001F3CCC" w:rsidRPr="00845FB7">
              <w:rPr>
                <w:rFonts w:eastAsia="Times New Roman" w:cstheme="majorBidi"/>
                <w:b/>
                <w:bCs/>
                <w:color w:val="000000"/>
                <w:szCs w:val="20"/>
                <w:lang w:val="en-GB"/>
              </w:rPr>
              <w:t>t</w:t>
            </w:r>
            <w:r w:rsidRPr="00845FB7">
              <w:rPr>
                <w:rFonts w:eastAsia="Times New Roman" w:cstheme="majorBidi"/>
                <w:b/>
                <w:bCs/>
                <w:color w:val="000000"/>
                <w:szCs w:val="20"/>
                <w:lang w:val="en-GB"/>
              </w:rPr>
              <w:t xml:space="preserve">rust </w:t>
            </w:r>
            <w:r w:rsidR="001F3CCC" w:rsidRPr="00845FB7">
              <w:rPr>
                <w:rFonts w:eastAsia="Times New Roman" w:cstheme="majorBidi"/>
                <w:b/>
                <w:bCs/>
                <w:color w:val="000000"/>
                <w:szCs w:val="20"/>
                <w:lang w:val="en-GB"/>
              </w:rPr>
              <w:t>f</w:t>
            </w:r>
            <w:r w:rsidRPr="00845FB7">
              <w:rPr>
                <w:rFonts w:eastAsia="Times New Roman" w:cstheme="majorBidi"/>
                <w:b/>
                <w:bCs/>
                <w:color w:val="000000"/>
                <w:szCs w:val="20"/>
                <w:lang w:val="en-GB"/>
              </w:rPr>
              <w:t>und</w:t>
            </w:r>
          </w:p>
        </w:tc>
        <w:tc>
          <w:tcPr>
            <w:tcW w:w="2410" w:type="dxa"/>
            <w:tcBorders>
              <w:top w:val="single" w:sz="4" w:space="0" w:color="auto"/>
              <w:left w:val="nil"/>
              <w:bottom w:val="single" w:sz="4" w:space="0" w:color="auto"/>
              <w:right w:val="single" w:sz="4" w:space="0" w:color="auto"/>
            </w:tcBorders>
            <w:vAlign w:val="center"/>
            <w:hideMark/>
          </w:tcPr>
          <w:p w14:paraId="00463806" w14:textId="067C9EB3" w:rsidR="0077429C" w:rsidRPr="00845FB7" w:rsidRDefault="0077429C" w:rsidP="00CD11AC">
            <w:pPr>
              <w:spacing w:after="0" w:line="240" w:lineRule="auto"/>
              <w:jc w:val="center"/>
              <w:rPr>
                <w:rFonts w:eastAsia="Times New Roman" w:cstheme="majorBidi"/>
                <w:b/>
                <w:bCs/>
                <w:color w:val="000000"/>
                <w:szCs w:val="20"/>
                <w:lang w:val="en-GB"/>
              </w:rPr>
            </w:pPr>
            <w:r w:rsidRPr="00845FB7">
              <w:rPr>
                <w:rFonts w:eastAsia="Times New Roman" w:cstheme="majorBidi"/>
                <w:b/>
                <w:bCs/>
                <w:color w:val="000000"/>
                <w:szCs w:val="20"/>
                <w:lang w:val="en-GB"/>
              </w:rPr>
              <w:t xml:space="preserve">Total </w:t>
            </w:r>
            <w:r w:rsidR="001F3CCC" w:rsidRPr="00845FB7">
              <w:rPr>
                <w:rFonts w:eastAsia="Times New Roman" w:cstheme="majorBidi"/>
                <w:b/>
                <w:bCs/>
                <w:color w:val="000000"/>
                <w:szCs w:val="20"/>
                <w:lang w:val="en-GB"/>
              </w:rPr>
              <w:t>c</w:t>
            </w:r>
            <w:r w:rsidRPr="00845FB7">
              <w:rPr>
                <w:rFonts w:eastAsia="Times New Roman" w:cstheme="majorBidi"/>
                <w:b/>
                <w:bCs/>
                <w:color w:val="000000"/>
                <w:szCs w:val="20"/>
                <w:lang w:val="en-GB"/>
              </w:rPr>
              <w:t>ontribution</w:t>
            </w:r>
          </w:p>
        </w:tc>
      </w:tr>
      <w:tr w:rsidR="0077429C" w:rsidRPr="00845FB7" w14:paraId="6820AC81" w14:textId="77777777" w:rsidTr="00847ABD">
        <w:trPr>
          <w:trHeight w:val="340"/>
        </w:trPr>
        <w:tc>
          <w:tcPr>
            <w:tcW w:w="5807" w:type="dxa"/>
            <w:tcBorders>
              <w:top w:val="nil"/>
              <w:left w:val="single" w:sz="4" w:space="0" w:color="auto"/>
              <w:bottom w:val="single" w:sz="4" w:space="0" w:color="auto"/>
              <w:right w:val="single" w:sz="4" w:space="0" w:color="auto"/>
            </w:tcBorders>
            <w:noWrap/>
            <w:vAlign w:val="center"/>
            <w:hideMark/>
          </w:tcPr>
          <w:p w14:paraId="4707D114" w14:textId="4E4AA010" w:rsidR="0077429C" w:rsidRPr="00845FB7" w:rsidRDefault="0077429C" w:rsidP="00CD11AC">
            <w:pPr>
              <w:spacing w:after="0" w:line="240" w:lineRule="auto"/>
              <w:jc w:val="left"/>
              <w:rPr>
                <w:rFonts w:eastAsia="Times New Roman" w:cstheme="majorBidi"/>
                <w:color w:val="000000"/>
                <w:szCs w:val="20"/>
                <w:lang w:val="en-GB"/>
              </w:rPr>
            </w:pPr>
            <w:r w:rsidRPr="00845FB7">
              <w:rPr>
                <w:rFonts w:eastAsia="Times New Roman" w:cstheme="majorBidi"/>
                <w:color w:val="000000"/>
                <w:szCs w:val="20"/>
                <w:lang w:val="en-GB"/>
              </w:rPr>
              <w:t>202</w:t>
            </w:r>
            <w:r w:rsidR="00CF423A" w:rsidRPr="00845FB7">
              <w:rPr>
                <w:rFonts w:eastAsia="Times New Roman" w:cstheme="majorBidi"/>
                <w:color w:val="000000"/>
                <w:szCs w:val="20"/>
                <w:lang w:val="en-GB"/>
              </w:rPr>
              <w:t>4</w:t>
            </w:r>
            <w:r w:rsidRPr="00845FB7">
              <w:rPr>
                <w:rFonts w:eastAsia="Times New Roman" w:cstheme="majorBidi"/>
                <w:color w:val="000000"/>
                <w:szCs w:val="20"/>
                <w:lang w:val="en-GB"/>
              </w:rPr>
              <w:t>-202</w:t>
            </w:r>
            <w:r w:rsidR="00334D65" w:rsidRPr="00845FB7">
              <w:rPr>
                <w:rFonts w:eastAsia="Times New Roman" w:cstheme="majorBidi"/>
                <w:color w:val="000000"/>
                <w:szCs w:val="20"/>
                <w:lang w:val="en-GB"/>
              </w:rPr>
              <w:t>5</w:t>
            </w:r>
            <w:r w:rsidRPr="00845FB7">
              <w:rPr>
                <w:rFonts w:eastAsia="Times New Roman" w:cstheme="majorBidi"/>
                <w:color w:val="000000"/>
                <w:szCs w:val="20"/>
                <w:lang w:val="en-GB"/>
              </w:rPr>
              <w:t xml:space="preserve"> approved</w:t>
            </w:r>
          </w:p>
        </w:tc>
        <w:tc>
          <w:tcPr>
            <w:tcW w:w="2268" w:type="dxa"/>
            <w:tcBorders>
              <w:top w:val="nil"/>
              <w:left w:val="nil"/>
              <w:bottom w:val="single" w:sz="4" w:space="0" w:color="auto"/>
              <w:right w:val="single" w:sz="4" w:space="0" w:color="auto"/>
            </w:tcBorders>
            <w:noWrap/>
            <w:vAlign w:val="center"/>
            <w:hideMark/>
          </w:tcPr>
          <w:p w14:paraId="11ECD5C5" w14:textId="6287F042" w:rsidR="0077429C" w:rsidRPr="00845FB7" w:rsidRDefault="00171156" w:rsidP="00CD11AC">
            <w:pPr>
              <w:spacing w:after="0" w:line="240" w:lineRule="auto"/>
              <w:jc w:val="right"/>
              <w:rPr>
                <w:rFonts w:eastAsia="Times New Roman" w:cstheme="majorBidi"/>
                <w:b/>
                <w:bCs/>
                <w:color w:val="000000"/>
                <w:szCs w:val="20"/>
                <w:lang w:val="en-GB"/>
              </w:rPr>
            </w:pPr>
            <w:r w:rsidRPr="00845FB7">
              <w:rPr>
                <w:rFonts w:eastAsia="Times New Roman" w:cstheme="majorBidi"/>
                <w:b/>
                <w:bCs/>
                <w:color w:val="000000"/>
                <w:szCs w:val="20"/>
                <w:lang w:val="en-GB"/>
              </w:rPr>
              <w:t>330</w:t>
            </w:r>
            <w:r w:rsidR="0077429C" w:rsidRPr="00845FB7">
              <w:rPr>
                <w:rFonts w:eastAsia="Times New Roman" w:cstheme="majorBidi"/>
                <w:b/>
                <w:bCs/>
                <w:color w:val="000000"/>
                <w:szCs w:val="20"/>
                <w:lang w:val="en-GB"/>
              </w:rPr>
              <w:t>,</w:t>
            </w:r>
            <w:r w:rsidR="00EC663F" w:rsidRPr="00845FB7">
              <w:rPr>
                <w:rFonts w:eastAsia="Times New Roman" w:cstheme="majorBidi"/>
                <w:b/>
                <w:bCs/>
                <w:color w:val="000000"/>
                <w:szCs w:val="20"/>
                <w:lang w:val="en-GB"/>
              </w:rPr>
              <w:t>866</w:t>
            </w:r>
          </w:p>
        </w:tc>
        <w:tc>
          <w:tcPr>
            <w:tcW w:w="2268" w:type="dxa"/>
            <w:tcBorders>
              <w:top w:val="nil"/>
              <w:left w:val="nil"/>
              <w:bottom w:val="single" w:sz="4" w:space="0" w:color="auto"/>
              <w:right w:val="single" w:sz="4" w:space="0" w:color="auto"/>
            </w:tcBorders>
            <w:noWrap/>
            <w:vAlign w:val="center"/>
            <w:hideMark/>
          </w:tcPr>
          <w:p w14:paraId="45D19074" w14:textId="77777777" w:rsidR="0077429C" w:rsidRPr="00845FB7" w:rsidRDefault="0077429C" w:rsidP="00CD11AC">
            <w:pPr>
              <w:spacing w:after="0" w:line="240" w:lineRule="auto"/>
              <w:jc w:val="right"/>
              <w:rPr>
                <w:rFonts w:eastAsia="Times New Roman" w:cstheme="majorBidi"/>
                <w:color w:val="000000"/>
                <w:szCs w:val="20"/>
                <w:lang w:val="en-GB"/>
              </w:rPr>
            </w:pPr>
            <w:r w:rsidRPr="00845FB7">
              <w:rPr>
                <w:rFonts w:eastAsia="Times New Roman" w:cstheme="majorBidi"/>
                <w:color w:val="000000"/>
                <w:szCs w:val="20"/>
                <w:lang w:val="en-GB"/>
              </w:rPr>
              <w:t> </w:t>
            </w:r>
          </w:p>
        </w:tc>
        <w:tc>
          <w:tcPr>
            <w:tcW w:w="2410" w:type="dxa"/>
            <w:tcBorders>
              <w:top w:val="nil"/>
              <w:left w:val="nil"/>
              <w:bottom w:val="single" w:sz="4" w:space="0" w:color="auto"/>
              <w:right w:val="single" w:sz="4" w:space="0" w:color="auto"/>
            </w:tcBorders>
            <w:noWrap/>
            <w:vAlign w:val="center"/>
            <w:hideMark/>
          </w:tcPr>
          <w:p w14:paraId="139F7A3A" w14:textId="1866687A" w:rsidR="0077429C" w:rsidRPr="00845FB7" w:rsidRDefault="00607284" w:rsidP="00CD11AC">
            <w:pPr>
              <w:spacing w:after="0" w:line="240" w:lineRule="auto"/>
              <w:jc w:val="right"/>
              <w:rPr>
                <w:rFonts w:eastAsia="Times New Roman" w:cstheme="majorBidi"/>
                <w:b/>
                <w:bCs/>
                <w:color w:val="000000"/>
                <w:szCs w:val="20"/>
                <w:lang w:val="en-GB"/>
              </w:rPr>
            </w:pPr>
            <w:r w:rsidRPr="00845FB7">
              <w:rPr>
                <w:rFonts w:eastAsia="Times New Roman" w:cstheme="majorBidi"/>
                <w:b/>
                <w:bCs/>
                <w:color w:val="000000"/>
                <w:szCs w:val="20"/>
                <w:lang w:val="en-GB"/>
              </w:rPr>
              <w:t>330</w:t>
            </w:r>
            <w:r w:rsidR="0077429C" w:rsidRPr="00845FB7">
              <w:rPr>
                <w:rFonts w:eastAsia="Times New Roman" w:cstheme="majorBidi"/>
                <w:b/>
                <w:bCs/>
                <w:color w:val="000000"/>
                <w:szCs w:val="20"/>
                <w:lang w:val="en-GB"/>
              </w:rPr>
              <w:t>,</w:t>
            </w:r>
            <w:r w:rsidR="00EC663F" w:rsidRPr="00845FB7">
              <w:rPr>
                <w:rFonts w:eastAsia="Times New Roman" w:cstheme="majorBidi"/>
                <w:b/>
                <w:bCs/>
                <w:color w:val="000000"/>
                <w:szCs w:val="20"/>
                <w:lang w:val="en-GB"/>
              </w:rPr>
              <w:t>866</w:t>
            </w:r>
          </w:p>
        </w:tc>
      </w:tr>
      <w:tr w:rsidR="0077429C" w:rsidRPr="00845FB7" w14:paraId="035A7EE5" w14:textId="77777777" w:rsidTr="00847ABD">
        <w:trPr>
          <w:trHeight w:val="340"/>
        </w:trPr>
        <w:tc>
          <w:tcPr>
            <w:tcW w:w="5807" w:type="dxa"/>
            <w:tcBorders>
              <w:top w:val="nil"/>
              <w:left w:val="single" w:sz="4" w:space="0" w:color="auto"/>
              <w:bottom w:val="single" w:sz="4" w:space="0" w:color="auto"/>
              <w:right w:val="single" w:sz="4" w:space="0" w:color="auto"/>
            </w:tcBorders>
            <w:vAlign w:val="center"/>
            <w:hideMark/>
          </w:tcPr>
          <w:p w14:paraId="4886BBDC" w14:textId="153C1AA7" w:rsidR="0077429C" w:rsidRPr="00845FB7" w:rsidRDefault="00E2051A" w:rsidP="00CD11AC">
            <w:pPr>
              <w:spacing w:after="0" w:line="240" w:lineRule="auto"/>
              <w:jc w:val="left"/>
              <w:rPr>
                <w:rFonts w:eastAsia="Times New Roman" w:cstheme="majorBidi"/>
                <w:color w:val="000000"/>
                <w:szCs w:val="20"/>
                <w:lang w:val="en-GB"/>
              </w:rPr>
            </w:pPr>
            <w:r w:rsidRPr="00845FB7">
              <w:rPr>
                <w:rFonts w:eastAsia="Times New Roman" w:cstheme="majorBidi"/>
                <w:color w:val="000000"/>
                <w:szCs w:val="20"/>
                <w:lang w:val="en-GB"/>
              </w:rPr>
              <w:t>2026–2027</w:t>
            </w:r>
            <w:r w:rsidR="0077429C" w:rsidRPr="00845FB7">
              <w:rPr>
                <w:rFonts w:eastAsia="Times New Roman" w:cstheme="majorBidi"/>
                <w:color w:val="000000"/>
                <w:szCs w:val="20"/>
                <w:lang w:val="en-GB"/>
              </w:rPr>
              <w:t xml:space="preserve"> requested in </w:t>
            </w:r>
            <w:r w:rsidR="001F3CCC" w:rsidRPr="00845FB7">
              <w:rPr>
                <w:rFonts w:eastAsia="Times New Roman" w:cstheme="majorBidi"/>
                <w:color w:val="000000"/>
                <w:szCs w:val="20"/>
                <w:lang w:val="en-GB"/>
              </w:rPr>
              <w:t xml:space="preserve">the </w:t>
            </w:r>
            <w:r w:rsidR="0077429C" w:rsidRPr="00845FB7">
              <w:rPr>
                <w:rFonts w:eastAsia="Times New Roman" w:cstheme="majorBidi"/>
                <w:color w:val="000000"/>
                <w:szCs w:val="20"/>
                <w:lang w:val="en-GB"/>
              </w:rPr>
              <w:t>5</w:t>
            </w:r>
            <w:r w:rsidR="001F3CCC" w:rsidRPr="00845FB7">
              <w:rPr>
                <w:rFonts w:eastAsia="Times New Roman" w:cstheme="majorBidi"/>
                <w:color w:val="000000"/>
                <w:szCs w:val="20"/>
                <w:lang w:val="en-GB"/>
              </w:rPr>
              <w:t xml:space="preserve"> per cent</w:t>
            </w:r>
            <w:r w:rsidR="0077429C" w:rsidRPr="00845FB7">
              <w:rPr>
                <w:rFonts w:eastAsia="Times New Roman" w:cstheme="majorBidi"/>
                <w:color w:val="000000"/>
                <w:szCs w:val="20"/>
                <w:lang w:val="en-GB"/>
              </w:rPr>
              <w:t>% scenario</w:t>
            </w:r>
          </w:p>
        </w:tc>
        <w:tc>
          <w:tcPr>
            <w:tcW w:w="2268" w:type="dxa"/>
            <w:tcBorders>
              <w:top w:val="nil"/>
              <w:left w:val="nil"/>
              <w:bottom w:val="single" w:sz="4" w:space="0" w:color="auto"/>
              <w:right w:val="single" w:sz="4" w:space="0" w:color="auto"/>
            </w:tcBorders>
            <w:noWrap/>
            <w:vAlign w:val="center"/>
            <w:hideMark/>
          </w:tcPr>
          <w:p w14:paraId="73E1CF72" w14:textId="5B815CB0" w:rsidR="0077429C" w:rsidRPr="00845FB7" w:rsidRDefault="00607284" w:rsidP="00CD11AC">
            <w:pPr>
              <w:spacing w:after="0" w:line="240" w:lineRule="auto"/>
              <w:jc w:val="right"/>
              <w:rPr>
                <w:rFonts w:eastAsia="Times New Roman" w:cstheme="majorBidi"/>
                <w:b/>
                <w:bCs/>
                <w:color w:val="000000"/>
                <w:szCs w:val="20"/>
                <w:lang w:val="en-GB"/>
              </w:rPr>
            </w:pPr>
            <w:r w:rsidRPr="00845FB7">
              <w:rPr>
                <w:rFonts w:eastAsia="Times New Roman" w:cstheme="majorBidi"/>
                <w:b/>
                <w:bCs/>
                <w:color w:val="000000"/>
                <w:szCs w:val="20"/>
                <w:lang w:val="en-GB"/>
              </w:rPr>
              <w:t>330,</w:t>
            </w:r>
            <w:r w:rsidR="00E73903" w:rsidRPr="00845FB7">
              <w:rPr>
                <w:rFonts w:eastAsia="Times New Roman" w:cstheme="majorBidi"/>
                <w:b/>
                <w:bCs/>
                <w:color w:val="000000"/>
                <w:szCs w:val="20"/>
                <w:lang w:val="en-GB"/>
              </w:rPr>
              <w:t>000</w:t>
            </w:r>
          </w:p>
        </w:tc>
        <w:tc>
          <w:tcPr>
            <w:tcW w:w="2268" w:type="dxa"/>
            <w:tcBorders>
              <w:top w:val="nil"/>
              <w:left w:val="nil"/>
              <w:bottom w:val="single" w:sz="4" w:space="0" w:color="auto"/>
              <w:right w:val="single" w:sz="4" w:space="0" w:color="auto"/>
            </w:tcBorders>
            <w:noWrap/>
            <w:vAlign w:val="center"/>
            <w:hideMark/>
          </w:tcPr>
          <w:p w14:paraId="38E0312A" w14:textId="77777777" w:rsidR="0077429C" w:rsidRPr="00845FB7" w:rsidRDefault="0077429C" w:rsidP="00CD11AC">
            <w:pPr>
              <w:spacing w:after="0" w:line="240" w:lineRule="auto"/>
              <w:jc w:val="right"/>
              <w:rPr>
                <w:rFonts w:eastAsia="Times New Roman" w:cstheme="majorBidi"/>
                <w:color w:val="000000"/>
                <w:szCs w:val="20"/>
                <w:lang w:val="en-GB"/>
              </w:rPr>
            </w:pPr>
            <w:r w:rsidRPr="00845FB7">
              <w:rPr>
                <w:rFonts w:eastAsia="Times New Roman" w:cstheme="majorBidi"/>
                <w:color w:val="000000"/>
                <w:szCs w:val="20"/>
                <w:lang w:val="en-GB"/>
              </w:rPr>
              <w:t> </w:t>
            </w:r>
          </w:p>
        </w:tc>
        <w:tc>
          <w:tcPr>
            <w:tcW w:w="2410" w:type="dxa"/>
            <w:tcBorders>
              <w:top w:val="nil"/>
              <w:left w:val="nil"/>
              <w:bottom w:val="single" w:sz="4" w:space="0" w:color="auto"/>
              <w:right w:val="single" w:sz="4" w:space="0" w:color="auto"/>
            </w:tcBorders>
            <w:noWrap/>
            <w:vAlign w:val="center"/>
            <w:hideMark/>
          </w:tcPr>
          <w:p w14:paraId="0BCAEFB4" w14:textId="174987D0" w:rsidR="0077429C" w:rsidRPr="00845FB7" w:rsidRDefault="00607284" w:rsidP="00CD11AC">
            <w:pPr>
              <w:spacing w:after="0" w:line="240" w:lineRule="auto"/>
              <w:jc w:val="right"/>
              <w:rPr>
                <w:rFonts w:eastAsia="Times New Roman" w:cstheme="majorBidi"/>
                <w:b/>
                <w:bCs/>
                <w:color w:val="000000"/>
                <w:szCs w:val="20"/>
                <w:lang w:val="en-GB"/>
              </w:rPr>
            </w:pPr>
            <w:r w:rsidRPr="00845FB7">
              <w:rPr>
                <w:rFonts w:eastAsia="Times New Roman" w:cstheme="majorBidi"/>
                <w:b/>
                <w:bCs/>
                <w:color w:val="000000"/>
                <w:szCs w:val="20"/>
                <w:lang w:val="en-GB"/>
              </w:rPr>
              <w:t>330,</w:t>
            </w:r>
            <w:r w:rsidR="00E73903" w:rsidRPr="00845FB7">
              <w:rPr>
                <w:rFonts w:eastAsia="Times New Roman" w:cstheme="majorBidi"/>
                <w:b/>
                <w:bCs/>
                <w:color w:val="000000"/>
                <w:szCs w:val="20"/>
                <w:lang w:val="en-GB"/>
              </w:rPr>
              <w:t>000</w:t>
            </w:r>
          </w:p>
        </w:tc>
      </w:tr>
      <w:tr w:rsidR="0077429C" w:rsidRPr="00845FB7" w14:paraId="07C0D79E" w14:textId="77777777" w:rsidTr="00847ABD">
        <w:trPr>
          <w:trHeight w:val="340"/>
        </w:trPr>
        <w:tc>
          <w:tcPr>
            <w:tcW w:w="5807" w:type="dxa"/>
            <w:tcBorders>
              <w:top w:val="nil"/>
              <w:left w:val="single" w:sz="4" w:space="0" w:color="auto"/>
              <w:bottom w:val="single" w:sz="4" w:space="0" w:color="auto"/>
              <w:right w:val="single" w:sz="4" w:space="0" w:color="auto"/>
            </w:tcBorders>
            <w:vAlign w:val="center"/>
            <w:hideMark/>
          </w:tcPr>
          <w:p w14:paraId="41C2DB00" w14:textId="03D0AD17" w:rsidR="0077429C" w:rsidRPr="00845FB7" w:rsidRDefault="00E2051A" w:rsidP="00CD11AC">
            <w:pPr>
              <w:spacing w:after="0" w:line="240" w:lineRule="auto"/>
              <w:jc w:val="left"/>
              <w:rPr>
                <w:rFonts w:eastAsia="Times New Roman" w:cstheme="majorBidi"/>
                <w:color w:val="000000"/>
                <w:szCs w:val="20"/>
                <w:lang w:val="en-GB"/>
              </w:rPr>
            </w:pPr>
            <w:r w:rsidRPr="00845FB7">
              <w:rPr>
                <w:rFonts w:eastAsia="Times New Roman" w:cstheme="majorBidi"/>
                <w:color w:val="000000"/>
                <w:szCs w:val="20"/>
                <w:lang w:val="en-GB"/>
              </w:rPr>
              <w:t>2026–2027</w:t>
            </w:r>
            <w:r w:rsidR="0077429C" w:rsidRPr="00845FB7">
              <w:rPr>
                <w:rFonts w:eastAsia="Times New Roman" w:cstheme="majorBidi"/>
                <w:color w:val="000000"/>
                <w:szCs w:val="20"/>
                <w:lang w:val="en-GB"/>
              </w:rPr>
              <w:t xml:space="preserve"> requested in </w:t>
            </w:r>
            <w:r w:rsidR="001F3CCC" w:rsidRPr="00845FB7">
              <w:rPr>
                <w:rFonts w:eastAsia="Times New Roman" w:cstheme="majorBidi"/>
                <w:color w:val="000000"/>
                <w:szCs w:val="20"/>
                <w:lang w:val="en-GB"/>
              </w:rPr>
              <w:t>the z</w:t>
            </w:r>
            <w:r w:rsidR="0077429C" w:rsidRPr="00845FB7">
              <w:rPr>
                <w:rFonts w:eastAsia="Times New Roman" w:cstheme="majorBidi"/>
                <w:color w:val="000000"/>
                <w:szCs w:val="20"/>
                <w:lang w:val="en-GB"/>
              </w:rPr>
              <w:t>ero nominal growth scenario</w:t>
            </w:r>
          </w:p>
        </w:tc>
        <w:tc>
          <w:tcPr>
            <w:tcW w:w="2268" w:type="dxa"/>
            <w:tcBorders>
              <w:top w:val="nil"/>
              <w:left w:val="nil"/>
              <w:bottom w:val="single" w:sz="4" w:space="0" w:color="auto"/>
              <w:right w:val="single" w:sz="4" w:space="0" w:color="auto"/>
            </w:tcBorders>
            <w:noWrap/>
            <w:vAlign w:val="center"/>
            <w:hideMark/>
          </w:tcPr>
          <w:p w14:paraId="6B587799" w14:textId="71966204" w:rsidR="0077429C" w:rsidRPr="00845FB7" w:rsidRDefault="00607284" w:rsidP="00CD11AC">
            <w:pPr>
              <w:spacing w:after="0" w:line="240" w:lineRule="auto"/>
              <w:jc w:val="right"/>
              <w:rPr>
                <w:rFonts w:eastAsia="Times New Roman" w:cstheme="majorBidi"/>
                <w:b/>
                <w:bCs/>
                <w:color w:val="000000"/>
                <w:szCs w:val="20"/>
                <w:lang w:val="en-GB"/>
              </w:rPr>
            </w:pPr>
            <w:r w:rsidRPr="00845FB7">
              <w:rPr>
                <w:rFonts w:eastAsia="Times New Roman" w:cstheme="majorBidi"/>
                <w:b/>
                <w:bCs/>
                <w:color w:val="000000"/>
                <w:szCs w:val="20"/>
                <w:lang w:val="en-GB"/>
              </w:rPr>
              <w:t>330,</w:t>
            </w:r>
            <w:r w:rsidR="00E73903" w:rsidRPr="00845FB7">
              <w:rPr>
                <w:rFonts w:eastAsia="Times New Roman" w:cstheme="majorBidi"/>
                <w:b/>
                <w:bCs/>
                <w:color w:val="000000"/>
                <w:szCs w:val="20"/>
                <w:lang w:val="en-GB"/>
              </w:rPr>
              <w:t>000</w:t>
            </w:r>
          </w:p>
        </w:tc>
        <w:tc>
          <w:tcPr>
            <w:tcW w:w="2268" w:type="dxa"/>
            <w:tcBorders>
              <w:top w:val="nil"/>
              <w:left w:val="nil"/>
              <w:bottom w:val="single" w:sz="4" w:space="0" w:color="auto"/>
              <w:right w:val="single" w:sz="4" w:space="0" w:color="auto"/>
            </w:tcBorders>
            <w:noWrap/>
            <w:vAlign w:val="center"/>
            <w:hideMark/>
          </w:tcPr>
          <w:p w14:paraId="3BF1184D" w14:textId="77777777" w:rsidR="0077429C" w:rsidRPr="00845FB7" w:rsidRDefault="0077429C" w:rsidP="00CD11AC">
            <w:pPr>
              <w:spacing w:after="0" w:line="240" w:lineRule="auto"/>
              <w:jc w:val="right"/>
              <w:rPr>
                <w:rFonts w:eastAsia="Times New Roman" w:cstheme="majorBidi"/>
                <w:color w:val="000000"/>
                <w:szCs w:val="20"/>
                <w:lang w:val="en-GB"/>
              </w:rPr>
            </w:pPr>
            <w:r w:rsidRPr="00845FB7">
              <w:rPr>
                <w:rFonts w:eastAsia="Times New Roman" w:cstheme="majorBidi"/>
                <w:color w:val="000000"/>
                <w:szCs w:val="20"/>
                <w:lang w:val="en-GB"/>
              </w:rPr>
              <w:t> </w:t>
            </w:r>
          </w:p>
        </w:tc>
        <w:tc>
          <w:tcPr>
            <w:tcW w:w="2410" w:type="dxa"/>
            <w:tcBorders>
              <w:top w:val="nil"/>
              <w:left w:val="nil"/>
              <w:bottom w:val="single" w:sz="4" w:space="0" w:color="auto"/>
              <w:right w:val="single" w:sz="4" w:space="0" w:color="auto"/>
            </w:tcBorders>
            <w:noWrap/>
            <w:vAlign w:val="center"/>
            <w:hideMark/>
          </w:tcPr>
          <w:p w14:paraId="2B3E1538" w14:textId="6C873153" w:rsidR="0077429C" w:rsidRPr="00845FB7" w:rsidRDefault="00624C5D" w:rsidP="00CD11AC">
            <w:pPr>
              <w:spacing w:after="0" w:line="240" w:lineRule="auto"/>
              <w:jc w:val="right"/>
              <w:rPr>
                <w:rFonts w:eastAsia="Times New Roman" w:cstheme="majorBidi"/>
                <w:b/>
                <w:bCs/>
                <w:color w:val="000000"/>
                <w:szCs w:val="20"/>
                <w:lang w:val="en-GB"/>
              </w:rPr>
            </w:pPr>
            <w:r w:rsidRPr="00845FB7">
              <w:rPr>
                <w:rFonts w:eastAsia="Times New Roman" w:cstheme="majorBidi"/>
                <w:b/>
                <w:bCs/>
                <w:color w:val="000000"/>
                <w:szCs w:val="20"/>
                <w:lang w:val="en-GB"/>
              </w:rPr>
              <w:t>330,</w:t>
            </w:r>
            <w:r w:rsidR="00E73903" w:rsidRPr="00845FB7">
              <w:rPr>
                <w:rFonts w:eastAsia="Times New Roman" w:cstheme="majorBidi"/>
                <w:b/>
                <w:bCs/>
                <w:color w:val="000000"/>
                <w:szCs w:val="20"/>
                <w:lang w:val="en-GB"/>
              </w:rPr>
              <w:t>000</w:t>
            </w:r>
          </w:p>
        </w:tc>
      </w:tr>
    </w:tbl>
    <w:p w14:paraId="6D770BA4" w14:textId="152C5C69" w:rsidR="0077429C" w:rsidRPr="00845FB7" w:rsidRDefault="0077429C" w:rsidP="0077429C">
      <w:pPr>
        <w:rPr>
          <w:lang w:val="en-GB"/>
        </w:rPr>
        <w:sectPr w:rsidR="0077429C" w:rsidRPr="00845FB7" w:rsidSect="00BD36F8">
          <w:headerReference w:type="first" r:id="rId90"/>
          <w:footerReference w:type="first" r:id="rId91"/>
          <w:type w:val="continuous"/>
          <w:pgSz w:w="16838" w:h="11906" w:orient="landscape" w:code="9"/>
          <w:pgMar w:top="907" w:right="992" w:bottom="1418" w:left="1418" w:header="539" w:footer="975" w:gutter="0"/>
          <w:cols w:space="708"/>
          <w:titlePg/>
          <w:docGrid w:linePitch="360"/>
        </w:sectPr>
      </w:pPr>
    </w:p>
    <w:p w14:paraId="222ACE4F" w14:textId="0EA3318E" w:rsidR="00D76F54" w:rsidRPr="00845FB7" w:rsidRDefault="00D76F54" w:rsidP="00D76F54">
      <w:pPr>
        <w:pStyle w:val="Heading2"/>
        <w:rPr>
          <w:rFonts w:cstheme="majorBidi"/>
          <w:color w:val="FFC000"/>
          <w:sz w:val="36"/>
          <w:szCs w:val="36"/>
          <w:lang w:val="en-GB"/>
        </w:rPr>
      </w:pPr>
      <w:r w:rsidRPr="00845FB7">
        <w:rPr>
          <w:rFonts w:cstheme="majorBidi"/>
          <w:color w:val="FFC000"/>
          <w:sz w:val="36"/>
          <w:szCs w:val="36"/>
          <w:lang w:val="en-GB"/>
        </w:rPr>
        <w:lastRenderedPageBreak/>
        <w:t>Activity 1</w:t>
      </w:r>
      <w:r w:rsidR="00193E68" w:rsidRPr="00845FB7">
        <w:rPr>
          <w:rFonts w:cstheme="majorBidi"/>
          <w:color w:val="FFC000"/>
          <w:sz w:val="36"/>
          <w:szCs w:val="36"/>
          <w:lang w:val="en-GB"/>
        </w:rPr>
        <w:t>6</w:t>
      </w:r>
      <w:r w:rsidRPr="00845FB7">
        <w:rPr>
          <w:rFonts w:cstheme="majorBidi"/>
          <w:color w:val="FFC000"/>
          <w:sz w:val="36"/>
          <w:szCs w:val="36"/>
          <w:lang w:val="en-GB"/>
        </w:rPr>
        <w:t>. Information technology services</w:t>
      </w:r>
    </w:p>
    <w:p w14:paraId="5F396F29" w14:textId="3EB44FDF" w:rsidR="00D76F54" w:rsidRPr="00845FB7" w:rsidRDefault="00D76F54" w:rsidP="00D76F54">
      <w:pPr>
        <w:pStyle w:val="Heading3"/>
        <w:rPr>
          <w:sz w:val="24"/>
          <w:lang w:val="en-GB"/>
        </w:rPr>
      </w:pPr>
      <w:r w:rsidRPr="00845FB7">
        <w:rPr>
          <w:sz w:val="24"/>
          <w:lang w:val="en-GB"/>
        </w:rPr>
        <w:t>Budget</w:t>
      </w:r>
    </w:p>
    <w:p w14:paraId="396A5628" w14:textId="0EB00577" w:rsidR="00D76F54" w:rsidRPr="00845FB7" w:rsidRDefault="00D76F54" w:rsidP="00D76F54">
      <w:pPr>
        <w:rPr>
          <w:rFonts w:cstheme="majorBidi"/>
          <w:szCs w:val="20"/>
          <w:lang w:val="en-GB"/>
        </w:rPr>
      </w:pPr>
      <w:r w:rsidRPr="00845FB7">
        <w:rPr>
          <w:rFonts w:cstheme="majorBidi"/>
          <w:szCs w:val="20"/>
          <w:lang w:val="en-GB"/>
        </w:rPr>
        <w:fldChar w:fldCharType="begin">
          <w:ffData>
            <w:name w:val=""/>
            <w:enabled w:val="0"/>
            <w:calcOnExit w:val="0"/>
            <w:checkBox>
              <w:sizeAuto/>
              <w:default w:val="1"/>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5303AD" w:rsidRPr="00845FB7">
        <w:rPr>
          <w:rFonts w:cstheme="majorBidi"/>
          <w:szCs w:val="20"/>
          <w:lang w:val="en-GB"/>
        </w:rPr>
        <w:t>General Trust Fund</w:t>
      </w:r>
      <w:r w:rsidRPr="00845FB7">
        <w:rPr>
          <w:rFonts w:cstheme="majorBidi"/>
          <w:szCs w:val="20"/>
          <w:lang w:val="en-GB"/>
        </w:rPr>
        <w:t xml:space="preserve">                     </w:t>
      </w:r>
      <w:r w:rsidRPr="00845FB7">
        <w:rPr>
          <w:rFonts w:cstheme="majorBidi"/>
          <w:szCs w:val="20"/>
          <w:lang w:val="en-GB"/>
        </w:rPr>
        <w:fldChar w:fldCharType="begin">
          <w:ffData>
            <w:name w:val=""/>
            <w:enabled/>
            <w:calcOnExit w:val="0"/>
            <w:checkBox>
              <w:sizeAuto/>
              <w:default w:val="0"/>
            </w:checkBox>
          </w:ffData>
        </w:fldChar>
      </w:r>
      <w:r w:rsidRPr="00845FB7">
        <w:rPr>
          <w:rFonts w:cstheme="majorBidi"/>
          <w:szCs w:val="20"/>
          <w:lang w:val="en-GB"/>
        </w:rPr>
        <w:instrText xml:space="preserve"> FORMCHECKBOX </w:instrText>
      </w:r>
      <w:r w:rsidR="0092003F">
        <w:rPr>
          <w:rFonts w:cstheme="majorBidi"/>
          <w:szCs w:val="20"/>
          <w:lang w:val="en-GB"/>
        </w:rPr>
      </w:r>
      <w:r w:rsidR="0092003F">
        <w:rPr>
          <w:rFonts w:cstheme="majorBidi"/>
          <w:szCs w:val="20"/>
          <w:lang w:val="en-GB"/>
        </w:rPr>
        <w:fldChar w:fldCharType="separate"/>
      </w:r>
      <w:r w:rsidRPr="00845FB7">
        <w:rPr>
          <w:rFonts w:cstheme="majorBidi"/>
          <w:szCs w:val="20"/>
          <w:lang w:val="en-GB"/>
        </w:rPr>
        <w:fldChar w:fldCharType="end"/>
      </w:r>
      <w:r w:rsidRPr="00845FB7">
        <w:rPr>
          <w:rFonts w:cstheme="majorBidi"/>
          <w:szCs w:val="20"/>
          <w:lang w:val="en-GB"/>
        </w:rPr>
        <w:t xml:space="preserve"> </w:t>
      </w:r>
      <w:r w:rsidR="005303AD" w:rsidRPr="00845FB7">
        <w:rPr>
          <w:rFonts w:cstheme="majorBidi"/>
          <w:szCs w:val="20"/>
          <w:lang w:val="en-GB"/>
        </w:rPr>
        <w:t>Special Trust Fund</w:t>
      </w:r>
    </w:p>
    <w:p w14:paraId="3F780357" w14:textId="615CD1B6" w:rsidR="00D76F54" w:rsidRPr="00845FB7" w:rsidRDefault="00D76F54" w:rsidP="00D76F54">
      <w:pPr>
        <w:pStyle w:val="Heading3"/>
        <w:rPr>
          <w:sz w:val="24"/>
          <w:lang w:val="en-GB"/>
        </w:rPr>
      </w:pPr>
      <w:r w:rsidRPr="00845FB7">
        <w:rPr>
          <w:sz w:val="24"/>
          <w:lang w:val="en-GB"/>
        </w:rPr>
        <w:t>Reference</w:t>
      </w:r>
    </w:p>
    <w:p w14:paraId="7A24ED07" w14:textId="7716232D" w:rsidR="00D76F54" w:rsidRPr="00845FB7" w:rsidRDefault="00D130B3" w:rsidP="00BD36F8">
      <w:pPr>
        <w:spacing w:after="60"/>
        <w:ind w:left="1985" w:hanging="1985"/>
        <w:rPr>
          <w:rFonts w:cstheme="majorBidi"/>
          <w:szCs w:val="20"/>
          <w:lang w:val="en-GB"/>
        </w:rPr>
      </w:pPr>
      <w:r w:rsidRPr="00845FB7">
        <w:rPr>
          <w:rFonts w:cstheme="majorBidi"/>
          <w:b/>
          <w:bCs/>
          <w:szCs w:val="20"/>
          <w:lang w:val="en-GB"/>
        </w:rPr>
        <w:t>UNEP/</w:t>
      </w:r>
      <w:r w:rsidR="00D76F54" w:rsidRPr="00845FB7">
        <w:rPr>
          <w:rFonts w:cstheme="majorBidi"/>
          <w:b/>
          <w:bCs/>
          <w:szCs w:val="20"/>
          <w:lang w:val="en-GB"/>
        </w:rPr>
        <w:t>MC/COP.</w:t>
      </w:r>
      <w:r w:rsidR="00BD66DF" w:rsidRPr="00845FB7">
        <w:rPr>
          <w:rFonts w:cstheme="majorBidi"/>
          <w:b/>
          <w:bCs/>
          <w:szCs w:val="20"/>
          <w:lang w:val="en-GB"/>
        </w:rPr>
        <w:t>6</w:t>
      </w:r>
      <w:r w:rsidR="00D76F54" w:rsidRPr="00845FB7">
        <w:rPr>
          <w:rFonts w:cstheme="majorBidi"/>
          <w:b/>
          <w:bCs/>
          <w:szCs w:val="20"/>
          <w:lang w:val="en-GB"/>
        </w:rPr>
        <w:t>/</w:t>
      </w:r>
      <w:r w:rsidR="002A3CBF" w:rsidRPr="00845FB7">
        <w:rPr>
          <w:rFonts w:cstheme="majorBidi"/>
          <w:b/>
          <w:bCs/>
          <w:szCs w:val="20"/>
          <w:lang w:val="en-GB"/>
        </w:rPr>
        <w:t>2</w:t>
      </w:r>
      <w:r w:rsidR="00066388" w:rsidRPr="00845FB7">
        <w:rPr>
          <w:rFonts w:cstheme="majorBidi"/>
          <w:b/>
          <w:bCs/>
          <w:szCs w:val="20"/>
          <w:lang w:val="en-GB"/>
        </w:rPr>
        <w:t>3</w:t>
      </w:r>
      <w:r w:rsidR="002A3CBF" w:rsidRPr="00845FB7">
        <w:rPr>
          <w:rFonts w:cstheme="majorBidi"/>
          <w:b/>
          <w:bCs/>
          <w:szCs w:val="20"/>
          <w:lang w:val="en-GB"/>
        </w:rPr>
        <w:t>:</w:t>
      </w:r>
      <w:r w:rsidR="002A3CBF" w:rsidRPr="00845FB7">
        <w:rPr>
          <w:rFonts w:cstheme="majorBidi"/>
          <w:szCs w:val="20"/>
          <w:lang w:val="en-GB"/>
        </w:rPr>
        <w:t xml:space="preserve"> Programme of work and budget: proposed operational budgets for the two funding scenarios for the biennium </w:t>
      </w:r>
      <w:r w:rsidR="00E2051A" w:rsidRPr="00845FB7">
        <w:rPr>
          <w:rFonts w:cstheme="majorBidi"/>
          <w:szCs w:val="20"/>
          <w:lang w:val="en-GB"/>
        </w:rPr>
        <w:t>2026–2027</w:t>
      </w:r>
    </w:p>
    <w:p w14:paraId="75A6303B" w14:textId="3EC01597" w:rsidR="00D76F54" w:rsidRPr="00845FB7" w:rsidRDefault="00D76F54" w:rsidP="00D76F54">
      <w:pPr>
        <w:pStyle w:val="Heading3"/>
        <w:rPr>
          <w:sz w:val="24"/>
          <w:lang w:val="en-GB"/>
        </w:rPr>
      </w:pPr>
      <w:r w:rsidRPr="00845FB7">
        <w:rPr>
          <w:sz w:val="24"/>
          <w:lang w:val="en-GB"/>
        </w:rPr>
        <w:t>Background and rationale</w:t>
      </w:r>
    </w:p>
    <w:p w14:paraId="03955008" w14:textId="045413BA" w:rsidR="00D76F54" w:rsidRPr="00845FB7" w:rsidRDefault="00D76F54" w:rsidP="00BD36F8">
      <w:pPr>
        <w:spacing w:after="120" w:line="276" w:lineRule="auto"/>
        <w:rPr>
          <w:rFonts w:cstheme="majorBidi"/>
          <w:szCs w:val="20"/>
          <w:lang w:val="en-GB"/>
        </w:rPr>
      </w:pPr>
      <w:r w:rsidRPr="00845FB7">
        <w:rPr>
          <w:rFonts w:cstheme="majorBidi"/>
          <w:szCs w:val="20"/>
          <w:lang w:val="en-GB"/>
        </w:rPr>
        <w:t xml:space="preserve">This activity aims at the provision of basic information technology (IT) and services to ensure a smooth running of the </w:t>
      </w:r>
      <w:r w:rsidR="0082316B" w:rsidRPr="00845FB7">
        <w:rPr>
          <w:rFonts w:cstheme="majorBidi"/>
          <w:szCs w:val="20"/>
          <w:lang w:val="en-GB"/>
        </w:rPr>
        <w:t>S</w:t>
      </w:r>
      <w:r w:rsidRPr="00845FB7">
        <w:rPr>
          <w:rFonts w:cstheme="majorBidi"/>
          <w:szCs w:val="20"/>
          <w:lang w:val="en-GB"/>
        </w:rPr>
        <w:t xml:space="preserve">ecretariat and the implementation of the programmes of work of the </w:t>
      </w:r>
      <w:r w:rsidR="0082316B" w:rsidRPr="00845FB7">
        <w:rPr>
          <w:rFonts w:cstheme="majorBidi"/>
          <w:szCs w:val="20"/>
          <w:lang w:val="en-GB"/>
        </w:rPr>
        <w:t>C</w:t>
      </w:r>
      <w:r w:rsidRPr="00845FB7">
        <w:rPr>
          <w:rFonts w:cstheme="majorBidi"/>
          <w:szCs w:val="20"/>
          <w:lang w:val="en-GB"/>
        </w:rPr>
        <w:t xml:space="preserve">onvention. These include software packages, network administration, e-mail administration, internet access, security and helpdesk services, as well as non-expandable equipment such as personal computers, which are being leased. The activity also facilitates communication, technical assistance and outreach between the </w:t>
      </w:r>
      <w:r w:rsidR="00D33BE7" w:rsidRPr="00845FB7">
        <w:rPr>
          <w:rFonts w:cstheme="majorBidi"/>
          <w:szCs w:val="20"/>
          <w:lang w:val="en-GB"/>
        </w:rPr>
        <w:t>S</w:t>
      </w:r>
      <w:r w:rsidRPr="00845FB7">
        <w:rPr>
          <w:rFonts w:cstheme="majorBidi"/>
          <w:szCs w:val="20"/>
          <w:lang w:val="en-GB"/>
        </w:rPr>
        <w:t xml:space="preserve">ecretariat and </w:t>
      </w:r>
      <w:r w:rsidR="00AE24F8" w:rsidRPr="00845FB7">
        <w:rPr>
          <w:rFonts w:cstheme="majorBidi"/>
          <w:szCs w:val="20"/>
          <w:lang w:val="en-GB"/>
        </w:rPr>
        <w:t>P</w:t>
      </w:r>
      <w:r w:rsidRPr="00845FB7">
        <w:rPr>
          <w:rFonts w:cstheme="majorBidi"/>
          <w:szCs w:val="20"/>
          <w:lang w:val="en-GB"/>
        </w:rPr>
        <w:t>arties and observers to the convention through the provision of IT solutions for collaboration, used for example for online meetings and trainings under various programme of work activities. To adapt to the new virtual way of working, this activity requires increased IT support to meet the increased requirements for online meeting platforms, ensuring security of online meetings and developing / tailoring software to manage participants in online meetings.</w:t>
      </w:r>
    </w:p>
    <w:p w14:paraId="122BFB7B" w14:textId="3E106CCA" w:rsidR="00D76F54" w:rsidRPr="00845FB7" w:rsidRDefault="00D76F54" w:rsidP="00D76F54">
      <w:pPr>
        <w:pStyle w:val="Heading3"/>
        <w:rPr>
          <w:sz w:val="24"/>
          <w:lang w:val="en-GB"/>
        </w:rPr>
      </w:pPr>
      <w:r w:rsidRPr="00845FB7">
        <w:rPr>
          <w:sz w:val="24"/>
          <w:lang w:val="en-GB"/>
        </w:rPr>
        <w:t>Outcomes and activities</w:t>
      </w:r>
    </w:p>
    <w:p w14:paraId="3C5B567B" w14:textId="180D0735" w:rsidR="00D76F54" w:rsidRPr="00845FB7" w:rsidRDefault="00D76F54" w:rsidP="00BD36F8">
      <w:pPr>
        <w:pStyle w:val="Heading2"/>
        <w:spacing w:before="360" w:after="120"/>
        <w:rPr>
          <w:sz w:val="28"/>
          <w:szCs w:val="28"/>
          <w:lang w:val="en-GB"/>
        </w:rPr>
      </w:pPr>
      <w:r w:rsidRPr="00845FB7">
        <w:rPr>
          <w:sz w:val="28"/>
          <w:szCs w:val="28"/>
          <w:lang w:val="en-GB"/>
        </w:rPr>
        <w:t>Component 1</w:t>
      </w:r>
      <w:r w:rsidR="00193E68" w:rsidRPr="00845FB7">
        <w:rPr>
          <w:sz w:val="28"/>
          <w:szCs w:val="28"/>
          <w:lang w:val="en-GB"/>
        </w:rPr>
        <w:t>6</w:t>
      </w:r>
      <w:r w:rsidRPr="00845FB7">
        <w:rPr>
          <w:sz w:val="28"/>
          <w:szCs w:val="28"/>
          <w:lang w:val="en-GB"/>
        </w:rPr>
        <w:t>.1. Information technology services</w:t>
      </w:r>
    </w:p>
    <w:p w14:paraId="17117A63" w14:textId="77777777" w:rsidR="00D76F54" w:rsidRPr="00845FB7" w:rsidRDefault="00D76F54" w:rsidP="00BD36F8">
      <w:pPr>
        <w:spacing w:before="240"/>
        <w:rPr>
          <w:rFonts w:cstheme="majorBidi"/>
          <w:b/>
          <w:bCs/>
          <w:szCs w:val="20"/>
          <w:lang w:val="en-GB" w:eastAsia="en-GB"/>
        </w:rPr>
      </w:pPr>
      <w:r w:rsidRPr="00845FB7">
        <w:rPr>
          <w:rFonts w:cstheme="majorBidi"/>
          <w:b/>
          <w:bCs/>
          <w:szCs w:val="20"/>
          <w:lang w:val="en-GB" w:eastAsia="en-GB"/>
        </w:rPr>
        <w:t>OUTCOMES</w:t>
      </w:r>
    </w:p>
    <w:p w14:paraId="1490E94E" w14:textId="1EA2E721" w:rsidR="00D76F54" w:rsidRPr="00845FB7" w:rsidRDefault="00D76F54" w:rsidP="00BD36F8">
      <w:pPr>
        <w:spacing w:after="60"/>
        <w:rPr>
          <w:rFonts w:cstheme="majorBidi"/>
          <w:szCs w:val="20"/>
          <w:lang w:val="en-GB" w:eastAsia="en-GB"/>
        </w:rPr>
      </w:pPr>
      <w:r w:rsidRPr="00845FB7">
        <w:rPr>
          <w:rFonts w:cstheme="majorBidi"/>
          <w:szCs w:val="20"/>
          <w:lang w:val="en-GB" w:eastAsia="en-GB"/>
        </w:rPr>
        <w:t>This component ensures the storage and processing of the information generated in the process of</w:t>
      </w:r>
      <w:r w:rsidR="000051CF" w:rsidRPr="00845FB7">
        <w:rPr>
          <w:rFonts w:cstheme="majorBidi"/>
          <w:szCs w:val="20"/>
          <w:lang w:val="en-GB" w:eastAsia="en-GB"/>
        </w:rPr>
        <w:t xml:space="preserve"> the</w:t>
      </w:r>
      <w:r w:rsidRPr="00845FB7">
        <w:rPr>
          <w:rFonts w:cstheme="majorBidi"/>
          <w:szCs w:val="20"/>
          <w:lang w:val="en-GB" w:eastAsia="en-GB"/>
        </w:rPr>
        <w:t xml:space="preserve"> convention’s implementation as well as provision of </w:t>
      </w:r>
      <w:r w:rsidR="009B7003" w:rsidRPr="00845FB7">
        <w:rPr>
          <w:rFonts w:cstheme="majorBidi"/>
          <w:szCs w:val="20"/>
          <w:lang w:val="en-GB" w:eastAsia="en-GB"/>
        </w:rPr>
        <w:t xml:space="preserve">IT </w:t>
      </w:r>
      <w:r w:rsidRPr="00845FB7">
        <w:rPr>
          <w:rFonts w:cstheme="majorBidi"/>
          <w:szCs w:val="20"/>
          <w:lang w:val="en-GB" w:eastAsia="en-GB"/>
        </w:rPr>
        <w:t>service</w:t>
      </w:r>
      <w:r w:rsidR="009B7003" w:rsidRPr="00845FB7">
        <w:rPr>
          <w:rFonts w:cstheme="majorBidi"/>
          <w:szCs w:val="20"/>
          <w:lang w:val="en-GB" w:eastAsia="en-GB"/>
        </w:rPr>
        <w:t>s</w:t>
      </w:r>
      <w:r w:rsidRPr="00845FB7">
        <w:rPr>
          <w:rFonts w:cstheme="majorBidi"/>
          <w:szCs w:val="20"/>
          <w:lang w:val="en-GB" w:eastAsia="en-GB"/>
        </w:rPr>
        <w:t xml:space="preserve"> to the </w:t>
      </w:r>
      <w:r w:rsidR="00D33BE7" w:rsidRPr="00845FB7">
        <w:rPr>
          <w:rFonts w:cstheme="majorBidi"/>
          <w:szCs w:val="20"/>
          <w:lang w:val="en-GB" w:eastAsia="en-GB"/>
        </w:rPr>
        <w:t>S</w:t>
      </w:r>
      <w:r w:rsidRPr="00845FB7">
        <w:rPr>
          <w:rFonts w:cstheme="majorBidi"/>
          <w:szCs w:val="20"/>
          <w:lang w:val="en-GB" w:eastAsia="en-GB"/>
        </w:rPr>
        <w:t xml:space="preserve">ecretariat and </w:t>
      </w:r>
      <w:r w:rsidR="00AE24F8" w:rsidRPr="00845FB7">
        <w:rPr>
          <w:rFonts w:cstheme="majorBidi"/>
          <w:szCs w:val="20"/>
          <w:lang w:val="en-GB" w:eastAsia="en-GB"/>
        </w:rPr>
        <w:t>P</w:t>
      </w:r>
      <w:r w:rsidRPr="00845FB7">
        <w:rPr>
          <w:rFonts w:cstheme="majorBidi"/>
          <w:szCs w:val="20"/>
          <w:lang w:val="en-GB" w:eastAsia="en-GB"/>
        </w:rPr>
        <w:t xml:space="preserve">arties during meetings. It also provides the </w:t>
      </w:r>
      <w:r w:rsidR="00D33BE7" w:rsidRPr="00845FB7">
        <w:rPr>
          <w:rFonts w:cstheme="majorBidi"/>
          <w:szCs w:val="20"/>
          <w:lang w:val="en-GB" w:eastAsia="en-GB"/>
        </w:rPr>
        <w:t>S</w:t>
      </w:r>
      <w:r w:rsidRPr="00845FB7">
        <w:rPr>
          <w:rFonts w:cstheme="majorBidi"/>
          <w:szCs w:val="20"/>
          <w:lang w:val="en-GB" w:eastAsia="en-GB"/>
        </w:rPr>
        <w:t>ecretariat with IT equipment and services necessary to implement the programme of work.</w:t>
      </w:r>
    </w:p>
    <w:p w14:paraId="165317CD" w14:textId="77777777" w:rsidR="00D76F54" w:rsidRPr="00845FB7" w:rsidRDefault="00D76F54" w:rsidP="00BD36F8">
      <w:pPr>
        <w:spacing w:before="240"/>
        <w:rPr>
          <w:rFonts w:cstheme="majorBidi"/>
          <w:b/>
          <w:bCs/>
          <w:szCs w:val="20"/>
          <w:lang w:val="en-GB" w:eastAsia="en-GB"/>
        </w:rPr>
      </w:pPr>
      <w:r w:rsidRPr="00845FB7">
        <w:rPr>
          <w:rFonts w:cstheme="majorBidi"/>
          <w:b/>
          <w:bCs/>
          <w:szCs w:val="20"/>
          <w:lang w:val="en-GB" w:eastAsia="en-GB"/>
        </w:rPr>
        <w:t>ACTIVITIES</w:t>
      </w:r>
    </w:p>
    <w:p w14:paraId="0CC4CB5F" w14:textId="77777777" w:rsidR="00D76F54" w:rsidRPr="00845FB7" w:rsidRDefault="00D76F5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IT services including internet;</w:t>
      </w:r>
    </w:p>
    <w:p w14:paraId="74BAC251" w14:textId="77777777" w:rsidR="00D76F54" w:rsidRPr="00845FB7" w:rsidRDefault="00D76F54" w:rsidP="00BD36F8">
      <w:pPr>
        <w:pStyle w:val="ListParagraph"/>
        <w:numPr>
          <w:ilvl w:val="0"/>
          <w:numId w:val="3"/>
        </w:numPr>
        <w:spacing w:after="60"/>
        <w:rPr>
          <w:rFonts w:cstheme="majorBidi"/>
          <w:szCs w:val="20"/>
          <w:lang w:val="en-GB" w:eastAsia="en-GB"/>
        </w:rPr>
      </w:pPr>
      <w:r w:rsidRPr="00845FB7">
        <w:rPr>
          <w:rFonts w:cstheme="majorBidi"/>
          <w:szCs w:val="20"/>
          <w:lang w:val="en-GB" w:eastAsia="en-GB"/>
        </w:rPr>
        <w:t>IT equipment and software;</w:t>
      </w:r>
    </w:p>
    <w:p w14:paraId="7252724F" w14:textId="1A4E632D" w:rsidR="00D76F54" w:rsidRPr="00845FB7" w:rsidRDefault="00D76F54" w:rsidP="00BD36F8">
      <w:pPr>
        <w:pStyle w:val="ListParagraph"/>
        <w:numPr>
          <w:ilvl w:val="0"/>
          <w:numId w:val="3"/>
        </w:numPr>
        <w:spacing w:after="60"/>
        <w:rPr>
          <w:lang w:val="en-GB" w:eastAsia="en-GB"/>
        </w:rPr>
      </w:pPr>
      <w:r w:rsidRPr="00845FB7">
        <w:rPr>
          <w:rFonts w:cstheme="majorBidi"/>
          <w:szCs w:val="20"/>
          <w:lang w:val="en-GB" w:eastAsia="en-GB"/>
        </w:rPr>
        <w:t>Software licenses and online meeting platforms.</w:t>
      </w:r>
    </w:p>
    <w:tbl>
      <w:tblPr>
        <w:tblStyle w:val="TableGrid"/>
        <w:tblW w:w="0" w:type="auto"/>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170" w:type="dxa"/>
        </w:tblCellMar>
        <w:tblLook w:val="04A0" w:firstRow="1" w:lastRow="0" w:firstColumn="1" w:lastColumn="0" w:noHBand="0" w:noVBand="1"/>
      </w:tblPr>
      <w:tblGrid>
        <w:gridCol w:w="4508"/>
        <w:gridCol w:w="4508"/>
      </w:tblGrid>
      <w:tr w:rsidR="00D76F54" w:rsidRPr="00845FB7" w14:paraId="701AFC79" w14:textId="77777777" w:rsidTr="00A10FE4">
        <w:tc>
          <w:tcPr>
            <w:tcW w:w="4508" w:type="dxa"/>
          </w:tcPr>
          <w:p w14:paraId="4D5E0399" w14:textId="0F632AD4" w:rsidR="00D76F54" w:rsidRPr="00845FB7" w:rsidRDefault="00D76F54" w:rsidP="00826417">
            <w:pPr>
              <w:keepNext/>
              <w:spacing w:before="240" w:after="120"/>
              <w:ind w:left="363"/>
              <w:rPr>
                <w:rFonts w:cstheme="majorBidi"/>
                <w:b/>
                <w:bCs/>
                <w:szCs w:val="20"/>
                <w:lang w:val="en-GB" w:eastAsia="en-GB"/>
              </w:rPr>
            </w:pPr>
            <w:r w:rsidRPr="00845FB7">
              <w:rPr>
                <w:rFonts w:cstheme="majorBidi"/>
                <w:b/>
                <w:bCs/>
                <w:szCs w:val="20"/>
                <w:lang w:val="en-GB" w:eastAsia="en-GB"/>
              </w:rPr>
              <w:lastRenderedPageBreak/>
              <w:t>INDICATORS OF ACHIEVEMENT</w:t>
            </w:r>
          </w:p>
          <w:p w14:paraId="2ABCEED5" w14:textId="48599B1E" w:rsidR="00D76F54" w:rsidRPr="00845FB7" w:rsidRDefault="00D76F54" w:rsidP="00826417">
            <w:pPr>
              <w:pStyle w:val="ListParagraph"/>
              <w:keepNext/>
              <w:numPr>
                <w:ilvl w:val="0"/>
                <w:numId w:val="5"/>
              </w:numPr>
              <w:spacing w:after="60"/>
              <w:rPr>
                <w:rFonts w:cstheme="majorBidi"/>
                <w:szCs w:val="20"/>
                <w:lang w:val="en-GB" w:eastAsia="en-GB"/>
              </w:rPr>
            </w:pPr>
            <w:r w:rsidRPr="00845FB7">
              <w:rPr>
                <w:rFonts w:cstheme="majorBidi"/>
                <w:szCs w:val="20"/>
                <w:lang w:val="en-GB" w:eastAsia="en-GB"/>
              </w:rPr>
              <w:t>Procedures and resources are in place to ensure the implementation of the programmes of work for 202</w:t>
            </w:r>
            <w:r w:rsidR="009B7003" w:rsidRPr="00845FB7">
              <w:rPr>
                <w:rFonts w:cstheme="majorBidi"/>
                <w:szCs w:val="20"/>
                <w:lang w:val="en-GB" w:eastAsia="en-GB"/>
              </w:rPr>
              <w:t>6</w:t>
            </w:r>
            <w:r w:rsidR="00DD1E0C" w:rsidRPr="00845FB7">
              <w:rPr>
                <w:rFonts w:cstheme="majorBidi"/>
                <w:szCs w:val="20"/>
                <w:lang w:val="en-GB" w:eastAsia="en-GB"/>
              </w:rPr>
              <w:t>–</w:t>
            </w:r>
            <w:r w:rsidRPr="00845FB7">
              <w:rPr>
                <w:rFonts w:cstheme="majorBidi"/>
                <w:szCs w:val="20"/>
                <w:lang w:val="en-GB" w:eastAsia="en-GB"/>
              </w:rPr>
              <w:t>202</w:t>
            </w:r>
            <w:r w:rsidR="009B7003" w:rsidRPr="00845FB7">
              <w:rPr>
                <w:rFonts w:cstheme="majorBidi"/>
                <w:szCs w:val="20"/>
                <w:lang w:val="en-GB" w:eastAsia="en-GB"/>
              </w:rPr>
              <w:t>7</w:t>
            </w:r>
            <w:r w:rsidRPr="00845FB7">
              <w:rPr>
                <w:rFonts w:cstheme="majorBidi"/>
                <w:szCs w:val="20"/>
                <w:lang w:val="en-GB" w:eastAsia="en-GB"/>
              </w:rPr>
              <w:t>;</w:t>
            </w:r>
          </w:p>
          <w:p w14:paraId="2D232A96" w14:textId="38359511" w:rsidR="00D76F54" w:rsidRPr="00845FB7" w:rsidRDefault="00D76F54" w:rsidP="00826417">
            <w:pPr>
              <w:pStyle w:val="ListParagraph"/>
              <w:keepNext/>
              <w:numPr>
                <w:ilvl w:val="0"/>
                <w:numId w:val="5"/>
              </w:numPr>
              <w:spacing w:after="60"/>
              <w:rPr>
                <w:rFonts w:cstheme="majorBidi"/>
                <w:szCs w:val="20"/>
                <w:lang w:val="en-GB" w:eastAsia="en-GB"/>
              </w:rPr>
            </w:pPr>
            <w:r w:rsidRPr="00845FB7">
              <w:rPr>
                <w:rFonts w:cstheme="majorBidi"/>
                <w:szCs w:val="20"/>
                <w:lang w:val="en-GB" w:eastAsia="en-GB"/>
              </w:rPr>
              <w:t xml:space="preserve">Delivery of IT services in a cost efficient and timely manner to the </w:t>
            </w:r>
            <w:r w:rsidR="00844A88" w:rsidRPr="00845FB7">
              <w:rPr>
                <w:rFonts w:cstheme="majorBidi"/>
                <w:szCs w:val="20"/>
                <w:lang w:val="en-GB" w:eastAsia="en-GB"/>
              </w:rPr>
              <w:t>S</w:t>
            </w:r>
            <w:r w:rsidRPr="00845FB7">
              <w:rPr>
                <w:rFonts w:cstheme="majorBidi"/>
                <w:szCs w:val="20"/>
                <w:lang w:val="en-GB" w:eastAsia="en-GB"/>
              </w:rPr>
              <w:t xml:space="preserve">ecretariat and </w:t>
            </w:r>
            <w:r w:rsidR="00844A88" w:rsidRPr="00845FB7">
              <w:rPr>
                <w:rFonts w:cstheme="majorBidi"/>
                <w:szCs w:val="20"/>
                <w:lang w:val="en-GB" w:eastAsia="en-GB"/>
              </w:rPr>
              <w:t>P</w:t>
            </w:r>
            <w:r w:rsidRPr="00845FB7">
              <w:rPr>
                <w:rFonts w:cstheme="majorBidi"/>
                <w:szCs w:val="20"/>
                <w:lang w:val="en-GB" w:eastAsia="en-GB"/>
              </w:rPr>
              <w:t>arties;</w:t>
            </w:r>
          </w:p>
          <w:p w14:paraId="392581BA" w14:textId="77777777" w:rsidR="00D76F54" w:rsidRPr="00845FB7" w:rsidRDefault="00D76F54" w:rsidP="00826417">
            <w:pPr>
              <w:pStyle w:val="ListParagraph"/>
              <w:keepNext/>
              <w:numPr>
                <w:ilvl w:val="0"/>
                <w:numId w:val="5"/>
              </w:numPr>
              <w:spacing w:after="60"/>
              <w:rPr>
                <w:rFonts w:cstheme="majorBidi"/>
                <w:b/>
                <w:bCs/>
                <w:szCs w:val="20"/>
                <w:lang w:val="en-GB" w:eastAsia="en-GB"/>
              </w:rPr>
            </w:pPr>
            <w:r w:rsidRPr="00845FB7">
              <w:rPr>
                <w:rFonts w:cstheme="majorBidi"/>
                <w:szCs w:val="20"/>
                <w:lang w:val="en-GB" w:eastAsia="en-GB"/>
              </w:rPr>
              <w:t>Quality of IT services provided during meetings.</w:t>
            </w:r>
          </w:p>
        </w:tc>
        <w:tc>
          <w:tcPr>
            <w:tcW w:w="4508" w:type="dxa"/>
          </w:tcPr>
          <w:p w14:paraId="511B96AE" w14:textId="5AC043FD" w:rsidR="00D76F54" w:rsidRPr="00845FB7" w:rsidRDefault="00D76F54" w:rsidP="00826417">
            <w:pPr>
              <w:keepNext/>
              <w:spacing w:before="240" w:after="120"/>
              <w:ind w:left="363"/>
              <w:rPr>
                <w:rFonts w:cstheme="majorBidi"/>
                <w:b/>
                <w:bCs/>
                <w:szCs w:val="20"/>
                <w:lang w:val="en-GB" w:eastAsia="en-GB"/>
              </w:rPr>
            </w:pPr>
            <w:r w:rsidRPr="00845FB7">
              <w:rPr>
                <w:rFonts w:cstheme="majorBidi"/>
                <w:b/>
                <w:bCs/>
                <w:szCs w:val="20"/>
                <w:lang w:val="en-GB" w:eastAsia="en-GB"/>
              </w:rPr>
              <w:t>MEANS OF VERIFICATION</w:t>
            </w:r>
          </w:p>
          <w:p w14:paraId="2A706BA7" w14:textId="39F97C98" w:rsidR="00D76F54" w:rsidRPr="00845FB7" w:rsidRDefault="00D76F54" w:rsidP="00826417">
            <w:pPr>
              <w:pStyle w:val="ListParagraph"/>
              <w:keepNext/>
              <w:numPr>
                <w:ilvl w:val="0"/>
                <w:numId w:val="4"/>
              </w:numPr>
              <w:spacing w:after="60"/>
              <w:rPr>
                <w:rFonts w:cstheme="majorBidi"/>
                <w:szCs w:val="20"/>
                <w:lang w:val="en-GB" w:eastAsia="en-GB"/>
              </w:rPr>
            </w:pPr>
            <w:r w:rsidRPr="00845FB7">
              <w:rPr>
                <w:rFonts w:cstheme="majorBidi"/>
                <w:szCs w:val="20"/>
                <w:lang w:val="en-GB" w:eastAsia="en-GB"/>
              </w:rPr>
              <w:t xml:space="preserve">Feedback from the </w:t>
            </w:r>
            <w:r w:rsidR="00D33BE7" w:rsidRPr="00845FB7">
              <w:rPr>
                <w:rFonts w:cstheme="majorBidi"/>
                <w:szCs w:val="20"/>
                <w:lang w:val="en-GB" w:eastAsia="en-GB"/>
              </w:rPr>
              <w:t>S</w:t>
            </w:r>
            <w:r w:rsidRPr="00845FB7">
              <w:rPr>
                <w:rFonts w:cstheme="majorBidi"/>
                <w:szCs w:val="20"/>
                <w:lang w:val="en-GB" w:eastAsia="en-GB"/>
              </w:rPr>
              <w:t xml:space="preserve">ecretariat and </w:t>
            </w:r>
            <w:r w:rsidR="00AE24F8" w:rsidRPr="00845FB7">
              <w:rPr>
                <w:rFonts w:cstheme="majorBidi"/>
                <w:szCs w:val="20"/>
                <w:lang w:val="en-GB" w:eastAsia="en-GB"/>
              </w:rPr>
              <w:t>P</w:t>
            </w:r>
            <w:r w:rsidRPr="00845FB7">
              <w:rPr>
                <w:rFonts w:cstheme="majorBidi"/>
                <w:szCs w:val="20"/>
                <w:lang w:val="en-GB" w:eastAsia="en-GB"/>
              </w:rPr>
              <w:t>arties;</w:t>
            </w:r>
          </w:p>
          <w:p w14:paraId="35DEA25C" w14:textId="77777777" w:rsidR="00D76F54" w:rsidRPr="00845FB7" w:rsidRDefault="00D76F54" w:rsidP="00826417">
            <w:pPr>
              <w:pStyle w:val="ListParagraph"/>
              <w:keepNext/>
              <w:numPr>
                <w:ilvl w:val="0"/>
                <w:numId w:val="4"/>
              </w:numPr>
              <w:spacing w:after="60"/>
              <w:rPr>
                <w:rFonts w:cstheme="majorBidi"/>
                <w:szCs w:val="20"/>
                <w:lang w:val="en-GB" w:eastAsia="en-GB"/>
              </w:rPr>
            </w:pPr>
            <w:r w:rsidRPr="00845FB7">
              <w:rPr>
                <w:rFonts w:cstheme="majorBidi"/>
                <w:szCs w:val="20"/>
                <w:lang w:val="en-GB" w:eastAsia="en-GB"/>
              </w:rPr>
              <w:t>High availability of network and application / platform services with minimal interruption;</w:t>
            </w:r>
          </w:p>
          <w:p w14:paraId="39078235" w14:textId="33A864DC" w:rsidR="00D76F54" w:rsidRPr="00845FB7" w:rsidRDefault="00D76F54" w:rsidP="00826417">
            <w:pPr>
              <w:pStyle w:val="ListParagraph"/>
              <w:keepNext/>
              <w:numPr>
                <w:ilvl w:val="0"/>
                <w:numId w:val="4"/>
              </w:numPr>
              <w:spacing w:after="60"/>
              <w:rPr>
                <w:rFonts w:cstheme="majorBidi"/>
                <w:szCs w:val="20"/>
                <w:lang w:val="en-GB" w:eastAsia="en-GB"/>
              </w:rPr>
            </w:pPr>
            <w:r w:rsidRPr="00845FB7">
              <w:rPr>
                <w:rFonts w:cstheme="majorBidi"/>
                <w:szCs w:val="20"/>
                <w:lang w:val="en-GB" w:eastAsia="en-GB"/>
              </w:rPr>
              <w:t>Feedback from the</w:t>
            </w:r>
            <w:r w:rsidR="00D35BFA" w:rsidRPr="00845FB7">
              <w:rPr>
                <w:rFonts w:cstheme="majorBidi"/>
                <w:szCs w:val="20"/>
                <w:lang w:val="en-GB" w:eastAsia="en-GB"/>
              </w:rPr>
              <w:t xml:space="preserve"> </w:t>
            </w:r>
            <w:r w:rsidR="00AE24F8" w:rsidRPr="00845FB7">
              <w:rPr>
                <w:rFonts w:cstheme="majorBidi"/>
                <w:szCs w:val="20"/>
                <w:lang w:val="en-GB" w:eastAsia="en-GB"/>
              </w:rPr>
              <w:t>S</w:t>
            </w:r>
            <w:r w:rsidRPr="00845FB7">
              <w:rPr>
                <w:rFonts w:cstheme="majorBidi"/>
                <w:szCs w:val="20"/>
                <w:lang w:val="en-GB" w:eastAsia="en-GB"/>
              </w:rPr>
              <w:t xml:space="preserve">ecretariat and </w:t>
            </w:r>
            <w:r w:rsidR="00AE24F8" w:rsidRPr="00845FB7">
              <w:rPr>
                <w:rFonts w:cstheme="majorBidi"/>
                <w:szCs w:val="20"/>
                <w:lang w:val="en-GB" w:eastAsia="en-GB"/>
              </w:rPr>
              <w:t>P</w:t>
            </w:r>
            <w:r w:rsidRPr="00845FB7">
              <w:rPr>
                <w:rFonts w:cstheme="majorBidi"/>
                <w:szCs w:val="20"/>
                <w:lang w:val="en-GB" w:eastAsia="en-GB"/>
              </w:rPr>
              <w:t>arties.</w:t>
            </w:r>
          </w:p>
        </w:tc>
      </w:tr>
    </w:tbl>
    <w:p w14:paraId="5654AA43" w14:textId="1D9B0CD8" w:rsidR="00D76F54" w:rsidRPr="00845FB7" w:rsidRDefault="00D76F54" w:rsidP="00D76F54">
      <w:pPr>
        <w:pStyle w:val="Heading3"/>
        <w:rPr>
          <w:sz w:val="24"/>
          <w:lang w:val="en-GB"/>
        </w:rPr>
      </w:pPr>
      <w:r w:rsidRPr="00845FB7">
        <w:rPr>
          <w:sz w:val="24"/>
          <w:lang w:val="en-GB"/>
        </w:rPr>
        <w:t>Partners</w:t>
      </w:r>
    </w:p>
    <w:p w14:paraId="0914B35F" w14:textId="77777777" w:rsidR="00D76F54" w:rsidRPr="00845FB7" w:rsidRDefault="00D76F54" w:rsidP="00BD36F8">
      <w:pPr>
        <w:spacing w:after="60" w:line="276" w:lineRule="auto"/>
        <w:rPr>
          <w:rFonts w:cstheme="majorBidi"/>
          <w:szCs w:val="20"/>
          <w:lang w:val="en-GB"/>
        </w:rPr>
      </w:pPr>
      <w:r w:rsidRPr="00845FB7">
        <w:rPr>
          <w:rFonts w:cstheme="majorBidi"/>
          <w:szCs w:val="20"/>
          <w:lang w:val="en-GB"/>
        </w:rPr>
        <w:t>UNEP, UNOG and UNON.</w:t>
      </w:r>
    </w:p>
    <w:p w14:paraId="7A31ED9E" w14:textId="3BD3003B" w:rsidR="00D76F54" w:rsidRPr="00845FB7" w:rsidRDefault="00D76F54" w:rsidP="00D76F54">
      <w:pPr>
        <w:pStyle w:val="Heading3"/>
        <w:rPr>
          <w:sz w:val="24"/>
          <w:lang w:val="en-GB"/>
        </w:rPr>
      </w:pPr>
      <w:r w:rsidRPr="00845FB7">
        <w:rPr>
          <w:sz w:val="24"/>
          <w:lang w:val="en-GB"/>
        </w:rPr>
        <w:t>Socio-economic aspects</w:t>
      </w:r>
    </w:p>
    <w:p w14:paraId="6875C9BF" w14:textId="77777777" w:rsidR="00D76F54" w:rsidRPr="00845FB7" w:rsidRDefault="00D76F54" w:rsidP="00BD36F8">
      <w:pPr>
        <w:spacing w:after="120" w:line="276" w:lineRule="auto"/>
        <w:rPr>
          <w:rFonts w:cstheme="majorBidi"/>
          <w:szCs w:val="20"/>
          <w:lang w:val="en-GB"/>
        </w:rPr>
      </w:pPr>
      <w:r w:rsidRPr="00845FB7">
        <w:rPr>
          <w:rFonts w:cstheme="majorBidi"/>
          <w:b/>
          <w:bCs/>
          <w:szCs w:val="20"/>
          <w:lang w:val="en-GB"/>
        </w:rPr>
        <w:t>Sustainable Development Goals:</w:t>
      </w:r>
      <w:r w:rsidRPr="00845FB7">
        <w:rPr>
          <w:rFonts w:cstheme="majorBidi"/>
          <w:szCs w:val="20"/>
          <w:lang w:val="en-GB"/>
        </w:rPr>
        <w:t xml:space="preserve"> By ensuring proper access to information related to the sound management of chemicals and wastes, this activity contributes to the Sustainable Development Goal 9 on “Industry, innovation and infrastructure” (target 9.c) and 16 on “Peace, justice and strong institutions” (target 16.10).</w:t>
      </w:r>
    </w:p>
    <w:p w14:paraId="09C98E44" w14:textId="4618CD6A" w:rsidR="00D76F54" w:rsidRPr="00845FB7" w:rsidRDefault="00D76F54" w:rsidP="00BD36F8">
      <w:pPr>
        <w:spacing w:after="120" w:line="276" w:lineRule="auto"/>
        <w:rPr>
          <w:rFonts w:cstheme="majorBidi"/>
          <w:szCs w:val="20"/>
          <w:lang w:val="en-GB"/>
        </w:rPr>
      </w:pPr>
      <w:r w:rsidRPr="00845FB7">
        <w:rPr>
          <w:rFonts w:cstheme="majorBidi"/>
          <w:b/>
          <w:bCs/>
          <w:szCs w:val="20"/>
          <w:lang w:val="en-GB"/>
        </w:rPr>
        <w:t>Integrated Approach:</w:t>
      </w:r>
      <w:r w:rsidRPr="00845FB7">
        <w:rPr>
          <w:rFonts w:cstheme="majorBidi"/>
          <w:szCs w:val="20"/>
          <w:lang w:val="en-GB"/>
        </w:rPr>
        <w:t xml:space="preserve"> The online meetings and workshops will contribute to catalysing cooperation and coordination among </w:t>
      </w:r>
      <w:r w:rsidR="00AE24F8" w:rsidRPr="00845FB7">
        <w:rPr>
          <w:rFonts w:cstheme="majorBidi"/>
          <w:szCs w:val="20"/>
          <w:lang w:val="en-GB"/>
        </w:rPr>
        <w:t>P</w:t>
      </w:r>
      <w:r w:rsidRPr="00845FB7">
        <w:rPr>
          <w:rFonts w:cstheme="majorBidi"/>
          <w:szCs w:val="20"/>
          <w:lang w:val="en-GB"/>
        </w:rPr>
        <w:t>arties and relevant stakeholders at the global and regional level, including civil society and private sector, as relevant, thus promoting the sound management of chemicals and wastes. As such, this activity contributes to the integrated approach to financing options for chemicals and wastes.</w:t>
      </w:r>
    </w:p>
    <w:p w14:paraId="200C7E55" w14:textId="77777777" w:rsidR="00D76F54" w:rsidRPr="00845FB7" w:rsidRDefault="00D76F54" w:rsidP="00D76F54">
      <w:pPr>
        <w:rPr>
          <w:lang w:val="en-GB"/>
        </w:rPr>
      </w:pPr>
    </w:p>
    <w:p w14:paraId="1A57547A" w14:textId="77777777" w:rsidR="00D76F54" w:rsidRPr="00845FB7" w:rsidRDefault="00D76F54" w:rsidP="00D76F54">
      <w:pPr>
        <w:rPr>
          <w:lang w:val="en-GB"/>
        </w:rPr>
      </w:pPr>
    </w:p>
    <w:p w14:paraId="23509EBE" w14:textId="77777777" w:rsidR="00D76F54" w:rsidRPr="00845FB7" w:rsidRDefault="00D76F54" w:rsidP="00D76F54">
      <w:pPr>
        <w:pStyle w:val="Heading3"/>
        <w:rPr>
          <w:lang w:val="en-GB"/>
        </w:rPr>
        <w:sectPr w:rsidR="00D76F54" w:rsidRPr="00845FB7" w:rsidSect="00BD36F8">
          <w:headerReference w:type="first" r:id="rId92"/>
          <w:footerReference w:type="first" r:id="rId93"/>
          <w:type w:val="continuous"/>
          <w:pgSz w:w="11906" w:h="16838" w:code="9"/>
          <w:pgMar w:top="907" w:right="992" w:bottom="1418" w:left="1418" w:header="539" w:footer="975" w:gutter="0"/>
          <w:cols w:space="708"/>
          <w:titlePg/>
          <w:docGrid w:linePitch="360"/>
        </w:sectPr>
      </w:pPr>
    </w:p>
    <w:p w14:paraId="66E6B15E" w14:textId="1AD42565" w:rsidR="00D76F54" w:rsidRPr="00845FB7" w:rsidRDefault="00D76F54" w:rsidP="00D76F54">
      <w:pPr>
        <w:pStyle w:val="Heading3"/>
        <w:rPr>
          <w:sz w:val="24"/>
          <w:lang w:val="en-GB"/>
        </w:rPr>
      </w:pPr>
      <w:r w:rsidRPr="00845FB7">
        <w:rPr>
          <w:sz w:val="24"/>
          <w:lang w:val="en-GB"/>
        </w:rPr>
        <w:lastRenderedPageBreak/>
        <w:t>Resources requirements</w:t>
      </w:r>
    </w:p>
    <w:tbl>
      <w:tblPr>
        <w:tblW w:w="5000" w:type="pct"/>
        <w:tblLook w:val="04A0" w:firstRow="1" w:lastRow="0" w:firstColumn="1" w:lastColumn="0" w:noHBand="0" w:noVBand="1"/>
      </w:tblPr>
      <w:tblGrid>
        <w:gridCol w:w="3566"/>
        <w:gridCol w:w="825"/>
        <w:gridCol w:w="992"/>
        <w:gridCol w:w="1070"/>
        <w:gridCol w:w="825"/>
        <w:gridCol w:w="686"/>
        <w:gridCol w:w="1099"/>
        <w:gridCol w:w="960"/>
        <w:gridCol w:w="825"/>
        <w:gridCol w:w="1099"/>
        <w:gridCol w:w="686"/>
        <w:gridCol w:w="686"/>
        <w:gridCol w:w="1099"/>
      </w:tblGrid>
      <w:tr w:rsidR="00D76F54" w:rsidRPr="00826417" w14:paraId="225E053A" w14:textId="77777777" w:rsidTr="00741A09">
        <w:trPr>
          <w:trHeight w:val="300"/>
        </w:trPr>
        <w:tc>
          <w:tcPr>
            <w:tcW w:w="1237" w:type="pct"/>
            <w:vMerge w:val="restart"/>
            <w:tcBorders>
              <w:top w:val="single" w:sz="4" w:space="0" w:color="auto"/>
              <w:left w:val="single" w:sz="4" w:space="0" w:color="auto"/>
              <w:bottom w:val="single" w:sz="4" w:space="0" w:color="auto"/>
              <w:right w:val="single" w:sz="4" w:space="0" w:color="auto"/>
            </w:tcBorders>
            <w:noWrap/>
            <w:vAlign w:val="center"/>
            <w:hideMark/>
          </w:tcPr>
          <w:p w14:paraId="3B2F54E4" w14:textId="7777777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Activity/Output</w:t>
            </w:r>
          </w:p>
        </w:tc>
        <w:tc>
          <w:tcPr>
            <w:tcW w:w="1906" w:type="pct"/>
            <w:gridSpan w:val="6"/>
            <w:tcBorders>
              <w:top w:val="single" w:sz="4" w:space="0" w:color="auto"/>
              <w:left w:val="nil"/>
              <w:bottom w:val="single" w:sz="4" w:space="0" w:color="auto"/>
              <w:right w:val="single" w:sz="4" w:space="0" w:color="auto"/>
            </w:tcBorders>
            <w:noWrap/>
            <w:vAlign w:val="center"/>
            <w:hideMark/>
          </w:tcPr>
          <w:p w14:paraId="21D87E54" w14:textId="554A2D81"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5</w:t>
            </w:r>
            <w:r w:rsidR="001F3CCC" w:rsidRPr="00826417">
              <w:rPr>
                <w:rFonts w:eastAsia="Times New Roman" w:cstheme="majorBidi"/>
                <w:b/>
                <w:bCs/>
                <w:color w:val="000000"/>
                <w:sz w:val="16"/>
                <w:szCs w:val="16"/>
                <w:lang w:val="en-GB"/>
              </w:rPr>
              <w:t xml:space="preserve"> per cent</w:t>
            </w:r>
            <w:r w:rsidRPr="00826417">
              <w:rPr>
                <w:rFonts w:eastAsia="Times New Roman" w:cstheme="majorBidi"/>
                <w:b/>
                <w:bCs/>
                <w:color w:val="000000"/>
                <w:sz w:val="16"/>
                <w:szCs w:val="16"/>
                <w:lang w:val="en-GB"/>
              </w:rPr>
              <w:t xml:space="preserve"> scenario (</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1857" w:type="pct"/>
            <w:gridSpan w:val="6"/>
            <w:tcBorders>
              <w:top w:val="single" w:sz="4" w:space="0" w:color="auto"/>
              <w:left w:val="nil"/>
              <w:bottom w:val="single" w:sz="4" w:space="0" w:color="auto"/>
              <w:right w:val="single" w:sz="4" w:space="0" w:color="auto"/>
            </w:tcBorders>
            <w:noWrap/>
            <w:vAlign w:val="center"/>
            <w:hideMark/>
          </w:tcPr>
          <w:p w14:paraId="09732BA5" w14:textId="08FAC363"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Zero nominal growth scenario (</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r>
      <w:tr w:rsidR="00D76F54" w:rsidRPr="00826417" w14:paraId="00EAFFBE" w14:textId="77777777" w:rsidTr="00741A09">
        <w:trPr>
          <w:trHeight w:val="300"/>
        </w:trPr>
        <w:tc>
          <w:tcPr>
            <w:tcW w:w="1237" w:type="pct"/>
            <w:vMerge/>
            <w:tcBorders>
              <w:top w:val="single" w:sz="4" w:space="0" w:color="auto"/>
              <w:left w:val="single" w:sz="4" w:space="0" w:color="auto"/>
              <w:bottom w:val="single" w:sz="4" w:space="0" w:color="auto"/>
              <w:right w:val="single" w:sz="4" w:space="0" w:color="auto"/>
            </w:tcBorders>
            <w:vAlign w:val="center"/>
            <w:hideMark/>
          </w:tcPr>
          <w:p w14:paraId="0BFB42F6" w14:textId="77777777" w:rsidR="00D76F54" w:rsidRPr="00826417" w:rsidRDefault="00D76F54" w:rsidP="00A10FE4">
            <w:pPr>
              <w:spacing w:after="0" w:line="240" w:lineRule="auto"/>
              <w:jc w:val="left"/>
              <w:rPr>
                <w:rFonts w:eastAsia="Times New Roman" w:cstheme="majorBidi"/>
                <w:b/>
                <w:bCs/>
                <w:color w:val="000000"/>
                <w:sz w:val="16"/>
                <w:szCs w:val="16"/>
                <w:lang w:val="en-GB"/>
              </w:rPr>
            </w:pPr>
          </w:p>
        </w:tc>
        <w:tc>
          <w:tcPr>
            <w:tcW w:w="1001" w:type="pct"/>
            <w:gridSpan w:val="3"/>
            <w:tcBorders>
              <w:top w:val="single" w:sz="4" w:space="0" w:color="auto"/>
              <w:left w:val="nil"/>
              <w:bottom w:val="single" w:sz="4" w:space="0" w:color="auto"/>
              <w:right w:val="single" w:sz="4" w:space="0" w:color="auto"/>
            </w:tcBorders>
            <w:vAlign w:val="center"/>
            <w:hideMark/>
          </w:tcPr>
          <w:p w14:paraId="41449662" w14:textId="1E5E77AA"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General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c>
          <w:tcPr>
            <w:tcW w:w="905" w:type="pct"/>
            <w:gridSpan w:val="3"/>
            <w:tcBorders>
              <w:top w:val="single" w:sz="4" w:space="0" w:color="auto"/>
              <w:left w:val="nil"/>
              <w:bottom w:val="single" w:sz="4" w:space="0" w:color="auto"/>
              <w:right w:val="single" w:sz="4" w:space="0" w:color="auto"/>
            </w:tcBorders>
            <w:vAlign w:val="center"/>
            <w:hideMark/>
          </w:tcPr>
          <w:p w14:paraId="7F49FE39" w14:textId="29E7AD23"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Special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c>
          <w:tcPr>
            <w:tcW w:w="1000" w:type="pct"/>
            <w:gridSpan w:val="3"/>
            <w:tcBorders>
              <w:top w:val="single" w:sz="4" w:space="0" w:color="auto"/>
              <w:left w:val="nil"/>
              <w:bottom w:val="single" w:sz="4" w:space="0" w:color="auto"/>
              <w:right w:val="single" w:sz="4" w:space="0" w:color="auto"/>
            </w:tcBorders>
            <w:vAlign w:val="center"/>
            <w:hideMark/>
          </w:tcPr>
          <w:p w14:paraId="54AABBA1" w14:textId="4E7F6D68"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General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c>
          <w:tcPr>
            <w:tcW w:w="857" w:type="pct"/>
            <w:gridSpan w:val="3"/>
            <w:tcBorders>
              <w:top w:val="single" w:sz="4" w:space="0" w:color="auto"/>
              <w:left w:val="nil"/>
              <w:bottom w:val="single" w:sz="4" w:space="0" w:color="auto"/>
              <w:right w:val="single" w:sz="4" w:space="0" w:color="auto"/>
            </w:tcBorders>
            <w:vAlign w:val="center"/>
            <w:hideMark/>
          </w:tcPr>
          <w:p w14:paraId="34ECF11F" w14:textId="235FE070"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Special </w:t>
            </w:r>
            <w:r w:rsidR="001F3CCC" w:rsidRPr="00826417">
              <w:rPr>
                <w:rFonts w:eastAsia="Times New Roman" w:cstheme="majorBidi"/>
                <w:b/>
                <w:bCs/>
                <w:color w:val="000000"/>
                <w:sz w:val="16"/>
                <w:szCs w:val="16"/>
                <w:lang w:val="en-GB"/>
              </w:rPr>
              <w:t>t</w:t>
            </w:r>
            <w:r w:rsidRPr="00826417">
              <w:rPr>
                <w:rFonts w:eastAsia="Times New Roman" w:cstheme="majorBidi"/>
                <w:b/>
                <w:bCs/>
                <w:color w:val="000000"/>
                <w:sz w:val="16"/>
                <w:szCs w:val="16"/>
                <w:lang w:val="en-GB"/>
              </w:rPr>
              <w:t xml:space="preserve">rust </w:t>
            </w:r>
            <w:r w:rsidR="001F3CCC" w:rsidRPr="00826417">
              <w:rPr>
                <w:rFonts w:eastAsia="Times New Roman" w:cstheme="majorBidi"/>
                <w:b/>
                <w:bCs/>
                <w:color w:val="000000"/>
                <w:sz w:val="16"/>
                <w:szCs w:val="16"/>
                <w:lang w:val="en-GB"/>
              </w:rPr>
              <w:t>f</w:t>
            </w:r>
            <w:r w:rsidRPr="00826417">
              <w:rPr>
                <w:rFonts w:eastAsia="Times New Roman" w:cstheme="majorBidi"/>
                <w:b/>
                <w:bCs/>
                <w:color w:val="000000"/>
                <w:sz w:val="16"/>
                <w:szCs w:val="16"/>
                <w:lang w:val="en-GB"/>
              </w:rPr>
              <w:t>und</w:t>
            </w:r>
          </w:p>
        </w:tc>
      </w:tr>
      <w:tr w:rsidR="004D38FB" w:rsidRPr="00826417" w14:paraId="04B18402" w14:textId="77777777" w:rsidTr="00741A09">
        <w:trPr>
          <w:trHeight w:val="480"/>
        </w:trPr>
        <w:tc>
          <w:tcPr>
            <w:tcW w:w="1237" w:type="pct"/>
            <w:tcBorders>
              <w:top w:val="nil"/>
              <w:left w:val="single" w:sz="4" w:space="0" w:color="auto"/>
              <w:bottom w:val="single" w:sz="4" w:space="0" w:color="auto"/>
              <w:right w:val="single" w:sz="4" w:space="0" w:color="auto"/>
            </w:tcBorders>
            <w:noWrap/>
            <w:vAlign w:val="center"/>
            <w:hideMark/>
          </w:tcPr>
          <w:p w14:paraId="5261C875" w14:textId="7777777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w:t>
            </w:r>
          </w:p>
        </w:tc>
        <w:tc>
          <w:tcPr>
            <w:tcW w:w="286" w:type="pct"/>
            <w:tcBorders>
              <w:top w:val="nil"/>
              <w:left w:val="nil"/>
              <w:bottom w:val="single" w:sz="4" w:space="0" w:color="auto"/>
              <w:right w:val="single" w:sz="4" w:space="0" w:color="auto"/>
            </w:tcBorders>
            <w:vAlign w:val="center"/>
            <w:hideMark/>
          </w:tcPr>
          <w:p w14:paraId="0C53FF55" w14:textId="17E85A58"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FB2A4C" w:rsidRPr="00826417">
              <w:rPr>
                <w:rFonts w:eastAsia="Times New Roman" w:cstheme="majorBidi"/>
                <w:b/>
                <w:bCs/>
                <w:color w:val="000000"/>
                <w:sz w:val="16"/>
                <w:szCs w:val="16"/>
                <w:lang w:val="en-GB"/>
              </w:rPr>
              <w:t>6</w:t>
            </w:r>
          </w:p>
        </w:tc>
        <w:tc>
          <w:tcPr>
            <w:tcW w:w="344" w:type="pct"/>
            <w:tcBorders>
              <w:top w:val="nil"/>
              <w:left w:val="nil"/>
              <w:bottom w:val="single" w:sz="4" w:space="0" w:color="auto"/>
              <w:right w:val="single" w:sz="4" w:space="0" w:color="auto"/>
            </w:tcBorders>
            <w:vAlign w:val="center"/>
            <w:hideMark/>
          </w:tcPr>
          <w:p w14:paraId="0D77221E" w14:textId="1EC67422"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FB2A4C" w:rsidRPr="00826417">
              <w:rPr>
                <w:rFonts w:eastAsia="Times New Roman" w:cstheme="majorBidi"/>
                <w:b/>
                <w:bCs/>
                <w:color w:val="000000"/>
                <w:sz w:val="16"/>
                <w:szCs w:val="16"/>
                <w:lang w:val="en-GB"/>
              </w:rPr>
              <w:t>7</w:t>
            </w:r>
          </w:p>
        </w:tc>
        <w:tc>
          <w:tcPr>
            <w:tcW w:w="371" w:type="pct"/>
            <w:tcBorders>
              <w:top w:val="nil"/>
              <w:left w:val="nil"/>
              <w:bottom w:val="single" w:sz="4" w:space="0" w:color="auto"/>
              <w:right w:val="single" w:sz="4" w:space="0" w:color="auto"/>
            </w:tcBorders>
            <w:vAlign w:val="center"/>
            <w:hideMark/>
          </w:tcPr>
          <w:p w14:paraId="2E64A241" w14:textId="369C3D3B"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286" w:type="pct"/>
            <w:tcBorders>
              <w:top w:val="nil"/>
              <w:left w:val="nil"/>
              <w:bottom w:val="single" w:sz="4" w:space="0" w:color="auto"/>
              <w:right w:val="single" w:sz="4" w:space="0" w:color="auto"/>
            </w:tcBorders>
            <w:vAlign w:val="center"/>
            <w:hideMark/>
          </w:tcPr>
          <w:p w14:paraId="65B16AC8" w14:textId="185AB75A"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5B56CE" w:rsidRPr="00826417">
              <w:rPr>
                <w:rFonts w:eastAsia="Times New Roman" w:cstheme="majorBidi"/>
                <w:b/>
                <w:bCs/>
                <w:color w:val="000000"/>
                <w:sz w:val="16"/>
                <w:szCs w:val="16"/>
                <w:lang w:val="en-GB"/>
              </w:rPr>
              <w:t>6</w:t>
            </w:r>
          </w:p>
        </w:tc>
        <w:tc>
          <w:tcPr>
            <w:tcW w:w="238" w:type="pct"/>
            <w:tcBorders>
              <w:top w:val="nil"/>
              <w:left w:val="nil"/>
              <w:bottom w:val="single" w:sz="4" w:space="0" w:color="auto"/>
              <w:right w:val="single" w:sz="4" w:space="0" w:color="auto"/>
            </w:tcBorders>
            <w:vAlign w:val="center"/>
            <w:hideMark/>
          </w:tcPr>
          <w:p w14:paraId="625A6C52" w14:textId="52D4A48C"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5B56CE" w:rsidRPr="00826417">
              <w:rPr>
                <w:rFonts w:eastAsia="Times New Roman" w:cstheme="majorBidi"/>
                <w:b/>
                <w:bCs/>
                <w:color w:val="000000"/>
                <w:sz w:val="16"/>
                <w:szCs w:val="16"/>
                <w:lang w:val="en-GB"/>
              </w:rPr>
              <w:t>7</w:t>
            </w:r>
          </w:p>
        </w:tc>
        <w:tc>
          <w:tcPr>
            <w:tcW w:w="381" w:type="pct"/>
            <w:tcBorders>
              <w:top w:val="nil"/>
              <w:left w:val="nil"/>
              <w:bottom w:val="single" w:sz="4" w:space="0" w:color="auto"/>
              <w:right w:val="single" w:sz="4" w:space="0" w:color="auto"/>
            </w:tcBorders>
            <w:vAlign w:val="center"/>
            <w:hideMark/>
          </w:tcPr>
          <w:p w14:paraId="41FA74AF" w14:textId="6774DB48"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333" w:type="pct"/>
            <w:tcBorders>
              <w:top w:val="nil"/>
              <w:left w:val="nil"/>
              <w:bottom w:val="single" w:sz="4" w:space="0" w:color="auto"/>
              <w:right w:val="single" w:sz="4" w:space="0" w:color="auto"/>
            </w:tcBorders>
            <w:vAlign w:val="center"/>
            <w:hideMark/>
          </w:tcPr>
          <w:p w14:paraId="405B30D2" w14:textId="489F065C"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5B56CE" w:rsidRPr="00826417">
              <w:rPr>
                <w:rFonts w:eastAsia="Times New Roman" w:cstheme="majorBidi"/>
                <w:b/>
                <w:bCs/>
                <w:color w:val="000000"/>
                <w:sz w:val="16"/>
                <w:szCs w:val="16"/>
                <w:lang w:val="en-GB"/>
              </w:rPr>
              <w:t>6</w:t>
            </w:r>
          </w:p>
        </w:tc>
        <w:tc>
          <w:tcPr>
            <w:tcW w:w="286" w:type="pct"/>
            <w:tcBorders>
              <w:top w:val="nil"/>
              <w:left w:val="nil"/>
              <w:bottom w:val="single" w:sz="4" w:space="0" w:color="auto"/>
              <w:right w:val="single" w:sz="4" w:space="0" w:color="auto"/>
            </w:tcBorders>
            <w:vAlign w:val="center"/>
            <w:hideMark/>
          </w:tcPr>
          <w:p w14:paraId="056CBA90" w14:textId="6434349C"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5B56CE" w:rsidRPr="00826417">
              <w:rPr>
                <w:rFonts w:eastAsia="Times New Roman" w:cstheme="majorBidi"/>
                <w:b/>
                <w:bCs/>
                <w:color w:val="000000"/>
                <w:sz w:val="16"/>
                <w:szCs w:val="16"/>
                <w:lang w:val="en-GB"/>
              </w:rPr>
              <w:t>7</w:t>
            </w:r>
          </w:p>
        </w:tc>
        <w:tc>
          <w:tcPr>
            <w:tcW w:w="381" w:type="pct"/>
            <w:tcBorders>
              <w:top w:val="nil"/>
              <w:left w:val="nil"/>
              <w:bottom w:val="single" w:sz="4" w:space="0" w:color="auto"/>
              <w:right w:val="single" w:sz="4" w:space="0" w:color="auto"/>
            </w:tcBorders>
            <w:vAlign w:val="center"/>
            <w:hideMark/>
          </w:tcPr>
          <w:p w14:paraId="373DEAB9" w14:textId="5B4D4817"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c>
          <w:tcPr>
            <w:tcW w:w="238" w:type="pct"/>
            <w:tcBorders>
              <w:top w:val="nil"/>
              <w:left w:val="nil"/>
              <w:bottom w:val="single" w:sz="4" w:space="0" w:color="auto"/>
              <w:right w:val="single" w:sz="4" w:space="0" w:color="auto"/>
            </w:tcBorders>
            <w:vAlign w:val="center"/>
            <w:hideMark/>
          </w:tcPr>
          <w:p w14:paraId="5D628ED3" w14:textId="78831FC9"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5B56CE" w:rsidRPr="00826417">
              <w:rPr>
                <w:rFonts w:eastAsia="Times New Roman" w:cstheme="majorBidi"/>
                <w:b/>
                <w:bCs/>
                <w:color w:val="000000"/>
                <w:sz w:val="16"/>
                <w:szCs w:val="16"/>
                <w:lang w:val="en-GB"/>
              </w:rPr>
              <w:t>6</w:t>
            </w:r>
          </w:p>
        </w:tc>
        <w:tc>
          <w:tcPr>
            <w:tcW w:w="238" w:type="pct"/>
            <w:tcBorders>
              <w:top w:val="nil"/>
              <w:left w:val="nil"/>
              <w:bottom w:val="single" w:sz="4" w:space="0" w:color="auto"/>
              <w:right w:val="single" w:sz="4" w:space="0" w:color="auto"/>
            </w:tcBorders>
            <w:vAlign w:val="center"/>
            <w:hideMark/>
          </w:tcPr>
          <w:p w14:paraId="290E29C4" w14:textId="4FF37210"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202</w:t>
            </w:r>
            <w:r w:rsidR="005B56CE" w:rsidRPr="00826417">
              <w:rPr>
                <w:rFonts w:eastAsia="Times New Roman" w:cstheme="majorBidi"/>
                <w:b/>
                <w:bCs/>
                <w:color w:val="000000"/>
                <w:sz w:val="16"/>
                <w:szCs w:val="16"/>
                <w:lang w:val="en-GB"/>
              </w:rPr>
              <w:t>7</w:t>
            </w:r>
          </w:p>
        </w:tc>
        <w:tc>
          <w:tcPr>
            <w:tcW w:w="381" w:type="pct"/>
            <w:tcBorders>
              <w:top w:val="nil"/>
              <w:left w:val="nil"/>
              <w:bottom w:val="single" w:sz="4" w:space="0" w:color="auto"/>
              <w:right w:val="single" w:sz="4" w:space="0" w:color="auto"/>
            </w:tcBorders>
            <w:vAlign w:val="center"/>
            <w:hideMark/>
          </w:tcPr>
          <w:p w14:paraId="1F651A5F" w14:textId="54003299" w:rsidR="00D76F54" w:rsidRPr="00826417" w:rsidRDefault="00D76F54" w:rsidP="00A10FE4">
            <w:pPr>
              <w:spacing w:after="0" w:line="240" w:lineRule="auto"/>
              <w:jc w:val="center"/>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Total </w:t>
            </w:r>
            <w:r w:rsidRPr="00826417">
              <w:rPr>
                <w:rFonts w:eastAsia="Times New Roman" w:cstheme="majorBidi"/>
                <w:b/>
                <w:bCs/>
                <w:color w:val="000000"/>
                <w:sz w:val="16"/>
                <w:szCs w:val="16"/>
                <w:lang w:val="en-GB"/>
              </w:rPr>
              <w:br/>
              <w:t>(</w:t>
            </w:r>
            <w:r w:rsidR="00E2051A" w:rsidRPr="00826417">
              <w:rPr>
                <w:rFonts w:eastAsia="Times New Roman" w:cstheme="majorBidi"/>
                <w:b/>
                <w:bCs/>
                <w:color w:val="000000"/>
                <w:sz w:val="16"/>
                <w:szCs w:val="16"/>
                <w:lang w:val="en-GB"/>
              </w:rPr>
              <w:t>2026–2027</w:t>
            </w:r>
            <w:r w:rsidRPr="00826417">
              <w:rPr>
                <w:rFonts w:eastAsia="Times New Roman" w:cstheme="majorBidi"/>
                <w:b/>
                <w:bCs/>
                <w:color w:val="000000"/>
                <w:sz w:val="16"/>
                <w:szCs w:val="16"/>
                <w:lang w:val="en-GB"/>
              </w:rPr>
              <w:t>)</w:t>
            </w:r>
          </w:p>
        </w:tc>
      </w:tr>
      <w:tr w:rsidR="00D76F54" w:rsidRPr="00826417" w14:paraId="18150FE2" w14:textId="77777777" w:rsidTr="00BD36F8">
        <w:trPr>
          <w:trHeight w:val="30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2921FDDF" w14:textId="3FEC567D" w:rsidR="00D76F54" w:rsidRPr="00826417" w:rsidRDefault="00D76F54" w:rsidP="00A10FE4">
            <w:pPr>
              <w:spacing w:after="0" w:line="240" w:lineRule="auto"/>
              <w:jc w:val="lef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193E68"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 Information technology services</w:t>
            </w:r>
          </w:p>
        </w:tc>
      </w:tr>
      <w:tr w:rsidR="00D76F54" w:rsidRPr="00826417" w14:paraId="0AF00AC7" w14:textId="77777777" w:rsidTr="00BD36F8">
        <w:trPr>
          <w:trHeight w:val="300"/>
        </w:trPr>
        <w:tc>
          <w:tcPr>
            <w:tcW w:w="5000" w:type="pct"/>
            <w:gridSpan w:val="13"/>
            <w:tcBorders>
              <w:top w:val="single" w:sz="4" w:space="0" w:color="auto"/>
              <w:left w:val="single" w:sz="4" w:space="0" w:color="auto"/>
              <w:bottom w:val="single" w:sz="4" w:space="0" w:color="auto"/>
              <w:right w:val="single" w:sz="4" w:space="0" w:color="auto"/>
            </w:tcBorders>
            <w:noWrap/>
            <w:vAlign w:val="center"/>
            <w:hideMark/>
          </w:tcPr>
          <w:p w14:paraId="7B0F0998" w14:textId="79FD83F7" w:rsidR="00D76F54" w:rsidRPr="00826417" w:rsidRDefault="00D76F54" w:rsidP="00A10FE4">
            <w:pPr>
              <w:spacing w:after="0" w:line="240" w:lineRule="auto"/>
              <w:jc w:val="lef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w:t>
            </w:r>
            <w:r w:rsidR="00193E68" w:rsidRPr="00826417">
              <w:rPr>
                <w:rFonts w:eastAsia="Times New Roman" w:cstheme="majorBidi"/>
                <w:b/>
                <w:bCs/>
                <w:color w:val="000000"/>
                <w:sz w:val="16"/>
                <w:szCs w:val="16"/>
                <w:lang w:val="en-GB"/>
              </w:rPr>
              <w:t>6</w:t>
            </w:r>
            <w:r w:rsidRPr="00826417">
              <w:rPr>
                <w:rFonts w:eastAsia="Times New Roman" w:cstheme="majorBidi"/>
                <w:b/>
                <w:bCs/>
                <w:color w:val="000000"/>
                <w:sz w:val="16"/>
                <w:szCs w:val="16"/>
                <w:lang w:val="en-GB"/>
              </w:rPr>
              <w:t>.1 Information technology services</w:t>
            </w:r>
          </w:p>
        </w:tc>
      </w:tr>
      <w:tr w:rsidR="004D38FB" w:rsidRPr="00826417" w14:paraId="4E1EA298" w14:textId="77777777" w:rsidTr="00741A09">
        <w:trPr>
          <w:trHeight w:val="300"/>
        </w:trPr>
        <w:tc>
          <w:tcPr>
            <w:tcW w:w="1237" w:type="pct"/>
            <w:tcBorders>
              <w:top w:val="nil"/>
              <w:left w:val="single" w:sz="4" w:space="0" w:color="auto"/>
              <w:bottom w:val="single" w:sz="4" w:space="0" w:color="auto"/>
              <w:right w:val="single" w:sz="4" w:space="0" w:color="auto"/>
            </w:tcBorders>
            <w:vAlign w:val="center"/>
            <w:hideMark/>
          </w:tcPr>
          <w:p w14:paraId="35DA1FD4" w14:textId="77777777"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IT services including internet</w:t>
            </w:r>
          </w:p>
        </w:tc>
        <w:tc>
          <w:tcPr>
            <w:tcW w:w="286" w:type="pct"/>
            <w:tcBorders>
              <w:top w:val="nil"/>
              <w:left w:val="nil"/>
              <w:bottom w:val="single" w:sz="4" w:space="0" w:color="auto"/>
              <w:right w:val="single" w:sz="4" w:space="0" w:color="auto"/>
            </w:tcBorders>
            <w:noWrap/>
            <w:vAlign w:val="center"/>
            <w:hideMark/>
          </w:tcPr>
          <w:p w14:paraId="0C03CFF3"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56,000</w:t>
            </w:r>
          </w:p>
        </w:tc>
        <w:tc>
          <w:tcPr>
            <w:tcW w:w="344" w:type="pct"/>
            <w:tcBorders>
              <w:top w:val="nil"/>
              <w:left w:val="nil"/>
              <w:bottom w:val="single" w:sz="4" w:space="0" w:color="auto"/>
              <w:right w:val="single" w:sz="4" w:space="0" w:color="auto"/>
            </w:tcBorders>
            <w:noWrap/>
            <w:vAlign w:val="center"/>
            <w:hideMark/>
          </w:tcPr>
          <w:p w14:paraId="094D5F25" w14:textId="0ECBE4F5"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56,000 </w:t>
            </w:r>
          </w:p>
        </w:tc>
        <w:tc>
          <w:tcPr>
            <w:tcW w:w="371" w:type="pct"/>
            <w:tcBorders>
              <w:top w:val="nil"/>
              <w:left w:val="nil"/>
              <w:bottom w:val="single" w:sz="4" w:space="0" w:color="auto"/>
              <w:right w:val="single" w:sz="4" w:space="0" w:color="auto"/>
            </w:tcBorders>
            <w:noWrap/>
            <w:vAlign w:val="center"/>
            <w:hideMark/>
          </w:tcPr>
          <w:p w14:paraId="7847B4F4"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112,000</w:t>
            </w:r>
          </w:p>
        </w:tc>
        <w:tc>
          <w:tcPr>
            <w:tcW w:w="286" w:type="pct"/>
            <w:tcBorders>
              <w:top w:val="nil"/>
              <w:left w:val="nil"/>
              <w:bottom w:val="single" w:sz="4" w:space="0" w:color="auto"/>
              <w:right w:val="single" w:sz="4" w:space="0" w:color="auto"/>
            </w:tcBorders>
            <w:noWrap/>
            <w:vAlign w:val="center"/>
            <w:hideMark/>
          </w:tcPr>
          <w:p w14:paraId="71F5DC6A"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38" w:type="pct"/>
            <w:tcBorders>
              <w:top w:val="nil"/>
              <w:left w:val="nil"/>
              <w:bottom w:val="single" w:sz="4" w:space="0" w:color="auto"/>
              <w:right w:val="single" w:sz="4" w:space="0" w:color="auto"/>
            </w:tcBorders>
            <w:noWrap/>
            <w:vAlign w:val="center"/>
            <w:hideMark/>
          </w:tcPr>
          <w:p w14:paraId="0015BE61"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81" w:type="pct"/>
            <w:tcBorders>
              <w:top w:val="nil"/>
              <w:left w:val="nil"/>
              <w:bottom w:val="single" w:sz="4" w:space="0" w:color="auto"/>
              <w:right w:val="single" w:sz="4" w:space="0" w:color="auto"/>
            </w:tcBorders>
            <w:noWrap/>
            <w:vAlign w:val="center"/>
            <w:hideMark/>
          </w:tcPr>
          <w:p w14:paraId="5D354A0E"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33" w:type="pct"/>
            <w:tcBorders>
              <w:top w:val="nil"/>
              <w:left w:val="nil"/>
              <w:bottom w:val="single" w:sz="4" w:space="0" w:color="auto"/>
              <w:right w:val="single" w:sz="4" w:space="0" w:color="auto"/>
            </w:tcBorders>
            <w:noWrap/>
            <w:vAlign w:val="center"/>
            <w:hideMark/>
          </w:tcPr>
          <w:p w14:paraId="6066EB7A"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56,000</w:t>
            </w:r>
          </w:p>
        </w:tc>
        <w:tc>
          <w:tcPr>
            <w:tcW w:w="286" w:type="pct"/>
            <w:tcBorders>
              <w:top w:val="nil"/>
              <w:left w:val="nil"/>
              <w:bottom w:val="single" w:sz="4" w:space="0" w:color="auto"/>
              <w:right w:val="single" w:sz="4" w:space="0" w:color="auto"/>
            </w:tcBorders>
            <w:noWrap/>
            <w:vAlign w:val="center"/>
            <w:hideMark/>
          </w:tcPr>
          <w:p w14:paraId="6764A07A"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56,000</w:t>
            </w:r>
          </w:p>
        </w:tc>
        <w:tc>
          <w:tcPr>
            <w:tcW w:w="381" w:type="pct"/>
            <w:tcBorders>
              <w:top w:val="nil"/>
              <w:left w:val="nil"/>
              <w:bottom w:val="single" w:sz="4" w:space="0" w:color="auto"/>
              <w:right w:val="single" w:sz="4" w:space="0" w:color="auto"/>
            </w:tcBorders>
            <w:noWrap/>
            <w:vAlign w:val="center"/>
            <w:hideMark/>
          </w:tcPr>
          <w:p w14:paraId="1A6D5D83"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112,000</w:t>
            </w:r>
          </w:p>
        </w:tc>
        <w:tc>
          <w:tcPr>
            <w:tcW w:w="238" w:type="pct"/>
            <w:tcBorders>
              <w:top w:val="nil"/>
              <w:left w:val="nil"/>
              <w:bottom w:val="single" w:sz="4" w:space="0" w:color="auto"/>
              <w:right w:val="single" w:sz="4" w:space="0" w:color="auto"/>
            </w:tcBorders>
            <w:noWrap/>
            <w:vAlign w:val="center"/>
            <w:hideMark/>
          </w:tcPr>
          <w:p w14:paraId="70A9215C"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38" w:type="pct"/>
            <w:tcBorders>
              <w:top w:val="nil"/>
              <w:left w:val="nil"/>
              <w:bottom w:val="single" w:sz="4" w:space="0" w:color="auto"/>
              <w:right w:val="single" w:sz="4" w:space="0" w:color="auto"/>
            </w:tcBorders>
            <w:noWrap/>
            <w:vAlign w:val="center"/>
            <w:hideMark/>
          </w:tcPr>
          <w:p w14:paraId="2371BE29"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81" w:type="pct"/>
            <w:tcBorders>
              <w:top w:val="nil"/>
              <w:left w:val="nil"/>
              <w:bottom w:val="single" w:sz="4" w:space="0" w:color="auto"/>
              <w:right w:val="single" w:sz="4" w:space="0" w:color="auto"/>
            </w:tcBorders>
            <w:noWrap/>
            <w:vAlign w:val="center"/>
            <w:hideMark/>
          </w:tcPr>
          <w:p w14:paraId="5D98E88F"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4D38FB" w:rsidRPr="00826417" w14:paraId="49616BF2" w14:textId="77777777" w:rsidTr="00741A09">
        <w:trPr>
          <w:trHeight w:val="300"/>
        </w:trPr>
        <w:tc>
          <w:tcPr>
            <w:tcW w:w="1237" w:type="pct"/>
            <w:tcBorders>
              <w:top w:val="nil"/>
              <w:left w:val="single" w:sz="4" w:space="0" w:color="auto"/>
              <w:bottom w:val="single" w:sz="4" w:space="0" w:color="auto"/>
              <w:right w:val="single" w:sz="4" w:space="0" w:color="auto"/>
            </w:tcBorders>
            <w:vAlign w:val="center"/>
            <w:hideMark/>
          </w:tcPr>
          <w:p w14:paraId="08508999" w14:textId="77777777"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IT equipment and software</w:t>
            </w:r>
          </w:p>
        </w:tc>
        <w:tc>
          <w:tcPr>
            <w:tcW w:w="286" w:type="pct"/>
            <w:tcBorders>
              <w:top w:val="nil"/>
              <w:left w:val="nil"/>
              <w:bottom w:val="single" w:sz="4" w:space="0" w:color="auto"/>
              <w:right w:val="single" w:sz="4" w:space="0" w:color="auto"/>
            </w:tcBorders>
            <w:noWrap/>
            <w:vAlign w:val="center"/>
            <w:hideMark/>
          </w:tcPr>
          <w:p w14:paraId="14BB6709" w14:textId="5586E629"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3</w:t>
            </w:r>
            <w:r w:rsidR="00CC07FE" w:rsidRPr="00826417">
              <w:rPr>
                <w:rFonts w:eastAsia="Times New Roman" w:cstheme="majorBidi"/>
                <w:color w:val="000000"/>
                <w:sz w:val="16"/>
                <w:szCs w:val="16"/>
                <w:lang w:val="en-GB"/>
              </w:rPr>
              <w:t>,</w:t>
            </w:r>
            <w:r w:rsidRPr="00826417">
              <w:rPr>
                <w:rFonts w:eastAsia="Times New Roman" w:cstheme="majorBidi"/>
                <w:color w:val="000000"/>
                <w:sz w:val="16"/>
                <w:szCs w:val="16"/>
                <w:lang w:val="en-GB"/>
              </w:rPr>
              <w:t>000</w:t>
            </w:r>
          </w:p>
        </w:tc>
        <w:tc>
          <w:tcPr>
            <w:tcW w:w="344" w:type="pct"/>
            <w:tcBorders>
              <w:top w:val="nil"/>
              <w:left w:val="nil"/>
              <w:bottom w:val="single" w:sz="4" w:space="0" w:color="auto"/>
              <w:right w:val="single" w:sz="4" w:space="0" w:color="auto"/>
            </w:tcBorders>
            <w:noWrap/>
            <w:vAlign w:val="center"/>
            <w:hideMark/>
          </w:tcPr>
          <w:p w14:paraId="746C7D70" w14:textId="2248FF69"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3,000 </w:t>
            </w:r>
          </w:p>
        </w:tc>
        <w:tc>
          <w:tcPr>
            <w:tcW w:w="371" w:type="pct"/>
            <w:tcBorders>
              <w:top w:val="nil"/>
              <w:left w:val="nil"/>
              <w:bottom w:val="single" w:sz="4" w:space="0" w:color="auto"/>
              <w:right w:val="single" w:sz="4" w:space="0" w:color="auto"/>
            </w:tcBorders>
            <w:noWrap/>
            <w:vAlign w:val="center"/>
            <w:hideMark/>
          </w:tcPr>
          <w:p w14:paraId="0115223C"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6,000</w:t>
            </w:r>
          </w:p>
        </w:tc>
        <w:tc>
          <w:tcPr>
            <w:tcW w:w="286" w:type="pct"/>
            <w:tcBorders>
              <w:top w:val="nil"/>
              <w:left w:val="nil"/>
              <w:bottom w:val="single" w:sz="4" w:space="0" w:color="auto"/>
              <w:right w:val="single" w:sz="4" w:space="0" w:color="auto"/>
            </w:tcBorders>
            <w:noWrap/>
            <w:vAlign w:val="center"/>
            <w:hideMark/>
          </w:tcPr>
          <w:p w14:paraId="22CF04AE"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38" w:type="pct"/>
            <w:tcBorders>
              <w:top w:val="nil"/>
              <w:left w:val="nil"/>
              <w:bottom w:val="single" w:sz="4" w:space="0" w:color="auto"/>
              <w:right w:val="single" w:sz="4" w:space="0" w:color="auto"/>
            </w:tcBorders>
            <w:noWrap/>
            <w:vAlign w:val="center"/>
            <w:hideMark/>
          </w:tcPr>
          <w:p w14:paraId="7AF3597B"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81" w:type="pct"/>
            <w:tcBorders>
              <w:top w:val="nil"/>
              <w:left w:val="nil"/>
              <w:bottom w:val="single" w:sz="4" w:space="0" w:color="auto"/>
              <w:right w:val="single" w:sz="4" w:space="0" w:color="auto"/>
            </w:tcBorders>
            <w:noWrap/>
            <w:vAlign w:val="center"/>
            <w:hideMark/>
          </w:tcPr>
          <w:p w14:paraId="64BCB9F5"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33" w:type="pct"/>
            <w:tcBorders>
              <w:top w:val="nil"/>
              <w:left w:val="nil"/>
              <w:bottom w:val="single" w:sz="4" w:space="0" w:color="auto"/>
              <w:right w:val="single" w:sz="4" w:space="0" w:color="auto"/>
            </w:tcBorders>
            <w:noWrap/>
            <w:vAlign w:val="center"/>
            <w:hideMark/>
          </w:tcPr>
          <w:p w14:paraId="3736CE63"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3,000</w:t>
            </w:r>
          </w:p>
        </w:tc>
        <w:tc>
          <w:tcPr>
            <w:tcW w:w="286" w:type="pct"/>
            <w:tcBorders>
              <w:top w:val="nil"/>
              <w:left w:val="nil"/>
              <w:bottom w:val="single" w:sz="4" w:space="0" w:color="auto"/>
              <w:right w:val="single" w:sz="4" w:space="0" w:color="auto"/>
            </w:tcBorders>
            <w:noWrap/>
            <w:vAlign w:val="center"/>
            <w:hideMark/>
          </w:tcPr>
          <w:p w14:paraId="4C987266"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3,000</w:t>
            </w:r>
          </w:p>
        </w:tc>
        <w:tc>
          <w:tcPr>
            <w:tcW w:w="381" w:type="pct"/>
            <w:tcBorders>
              <w:top w:val="nil"/>
              <w:left w:val="nil"/>
              <w:bottom w:val="single" w:sz="4" w:space="0" w:color="auto"/>
              <w:right w:val="single" w:sz="4" w:space="0" w:color="auto"/>
            </w:tcBorders>
            <w:noWrap/>
            <w:vAlign w:val="center"/>
            <w:hideMark/>
          </w:tcPr>
          <w:p w14:paraId="0F698302"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6,000</w:t>
            </w:r>
          </w:p>
        </w:tc>
        <w:tc>
          <w:tcPr>
            <w:tcW w:w="238" w:type="pct"/>
            <w:tcBorders>
              <w:top w:val="nil"/>
              <w:left w:val="nil"/>
              <w:bottom w:val="single" w:sz="4" w:space="0" w:color="auto"/>
              <w:right w:val="single" w:sz="4" w:space="0" w:color="auto"/>
            </w:tcBorders>
            <w:noWrap/>
            <w:vAlign w:val="center"/>
            <w:hideMark/>
          </w:tcPr>
          <w:p w14:paraId="5DD38FEF"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38" w:type="pct"/>
            <w:tcBorders>
              <w:top w:val="nil"/>
              <w:left w:val="nil"/>
              <w:bottom w:val="single" w:sz="4" w:space="0" w:color="auto"/>
              <w:right w:val="single" w:sz="4" w:space="0" w:color="auto"/>
            </w:tcBorders>
            <w:noWrap/>
            <w:vAlign w:val="center"/>
            <w:hideMark/>
          </w:tcPr>
          <w:p w14:paraId="1845A41C"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81" w:type="pct"/>
            <w:tcBorders>
              <w:top w:val="nil"/>
              <w:left w:val="nil"/>
              <w:bottom w:val="single" w:sz="4" w:space="0" w:color="auto"/>
              <w:right w:val="single" w:sz="4" w:space="0" w:color="auto"/>
            </w:tcBorders>
            <w:noWrap/>
            <w:vAlign w:val="center"/>
            <w:hideMark/>
          </w:tcPr>
          <w:p w14:paraId="42B5894F"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4D38FB" w:rsidRPr="00826417" w14:paraId="781CC0CC" w14:textId="77777777" w:rsidTr="00741A09">
        <w:trPr>
          <w:trHeight w:val="300"/>
        </w:trPr>
        <w:tc>
          <w:tcPr>
            <w:tcW w:w="1237" w:type="pct"/>
            <w:tcBorders>
              <w:top w:val="nil"/>
              <w:left w:val="single" w:sz="4" w:space="0" w:color="auto"/>
              <w:bottom w:val="single" w:sz="4" w:space="0" w:color="auto"/>
              <w:right w:val="single" w:sz="4" w:space="0" w:color="auto"/>
            </w:tcBorders>
            <w:vAlign w:val="center"/>
            <w:hideMark/>
          </w:tcPr>
          <w:p w14:paraId="3977115C" w14:textId="77777777" w:rsidR="00D76F54" w:rsidRPr="00826417" w:rsidRDefault="00D76F54" w:rsidP="00A10FE4">
            <w:pPr>
              <w:spacing w:after="0" w:line="240" w:lineRule="auto"/>
              <w:jc w:val="left"/>
              <w:rPr>
                <w:rFonts w:eastAsia="Times New Roman" w:cstheme="majorBidi"/>
                <w:sz w:val="16"/>
                <w:szCs w:val="16"/>
                <w:lang w:val="en-GB"/>
              </w:rPr>
            </w:pPr>
            <w:r w:rsidRPr="00826417">
              <w:rPr>
                <w:rFonts w:eastAsia="Times New Roman" w:cstheme="majorBidi"/>
                <w:sz w:val="16"/>
                <w:szCs w:val="16"/>
                <w:lang w:val="en-GB"/>
              </w:rPr>
              <w:t>Licenses, software</w:t>
            </w:r>
          </w:p>
        </w:tc>
        <w:tc>
          <w:tcPr>
            <w:tcW w:w="286" w:type="pct"/>
            <w:tcBorders>
              <w:top w:val="nil"/>
              <w:left w:val="nil"/>
              <w:bottom w:val="single" w:sz="4" w:space="0" w:color="auto"/>
              <w:right w:val="single" w:sz="4" w:space="0" w:color="auto"/>
            </w:tcBorders>
            <w:noWrap/>
            <w:vAlign w:val="center"/>
            <w:hideMark/>
          </w:tcPr>
          <w:p w14:paraId="27E1C639" w14:textId="3CC8C284"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1</w:t>
            </w:r>
            <w:r w:rsidR="00CC07FE" w:rsidRPr="00826417">
              <w:rPr>
                <w:rFonts w:eastAsia="Times New Roman" w:cstheme="majorBidi"/>
                <w:color w:val="000000"/>
                <w:sz w:val="16"/>
                <w:szCs w:val="16"/>
                <w:lang w:val="en-GB"/>
              </w:rPr>
              <w:t>,</w:t>
            </w:r>
            <w:r w:rsidRPr="00826417">
              <w:rPr>
                <w:rFonts w:eastAsia="Times New Roman" w:cstheme="majorBidi"/>
                <w:color w:val="000000"/>
                <w:sz w:val="16"/>
                <w:szCs w:val="16"/>
                <w:lang w:val="en-GB"/>
              </w:rPr>
              <w:t>500</w:t>
            </w:r>
          </w:p>
        </w:tc>
        <w:tc>
          <w:tcPr>
            <w:tcW w:w="344" w:type="pct"/>
            <w:tcBorders>
              <w:top w:val="nil"/>
              <w:left w:val="nil"/>
              <w:bottom w:val="single" w:sz="4" w:space="0" w:color="auto"/>
              <w:right w:val="single" w:sz="4" w:space="0" w:color="auto"/>
            </w:tcBorders>
            <w:noWrap/>
            <w:vAlign w:val="center"/>
            <w:hideMark/>
          </w:tcPr>
          <w:p w14:paraId="1B7E3D58" w14:textId="68181B12"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xml:space="preserve">1,500 </w:t>
            </w:r>
          </w:p>
        </w:tc>
        <w:tc>
          <w:tcPr>
            <w:tcW w:w="371" w:type="pct"/>
            <w:tcBorders>
              <w:top w:val="nil"/>
              <w:left w:val="nil"/>
              <w:bottom w:val="single" w:sz="4" w:space="0" w:color="auto"/>
              <w:right w:val="single" w:sz="4" w:space="0" w:color="auto"/>
            </w:tcBorders>
            <w:noWrap/>
            <w:vAlign w:val="center"/>
            <w:hideMark/>
          </w:tcPr>
          <w:p w14:paraId="55041B21"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3,000</w:t>
            </w:r>
          </w:p>
        </w:tc>
        <w:tc>
          <w:tcPr>
            <w:tcW w:w="286" w:type="pct"/>
            <w:tcBorders>
              <w:top w:val="nil"/>
              <w:left w:val="nil"/>
              <w:bottom w:val="single" w:sz="4" w:space="0" w:color="auto"/>
              <w:right w:val="single" w:sz="4" w:space="0" w:color="auto"/>
            </w:tcBorders>
            <w:noWrap/>
            <w:vAlign w:val="center"/>
            <w:hideMark/>
          </w:tcPr>
          <w:p w14:paraId="1991A9BE"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38" w:type="pct"/>
            <w:tcBorders>
              <w:top w:val="nil"/>
              <w:left w:val="nil"/>
              <w:bottom w:val="single" w:sz="4" w:space="0" w:color="auto"/>
              <w:right w:val="single" w:sz="4" w:space="0" w:color="auto"/>
            </w:tcBorders>
            <w:noWrap/>
            <w:vAlign w:val="center"/>
            <w:hideMark/>
          </w:tcPr>
          <w:p w14:paraId="04298EF5"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81" w:type="pct"/>
            <w:tcBorders>
              <w:top w:val="nil"/>
              <w:left w:val="nil"/>
              <w:bottom w:val="single" w:sz="4" w:space="0" w:color="auto"/>
              <w:right w:val="single" w:sz="4" w:space="0" w:color="auto"/>
            </w:tcBorders>
            <w:noWrap/>
            <w:vAlign w:val="center"/>
            <w:hideMark/>
          </w:tcPr>
          <w:p w14:paraId="495DF192"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33" w:type="pct"/>
            <w:tcBorders>
              <w:top w:val="nil"/>
              <w:left w:val="nil"/>
              <w:bottom w:val="single" w:sz="4" w:space="0" w:color="auto"/>
              <w:right w:val="single" w:sz="4" w:space="0" w:color="auto"/>
            </w:tcBorders>
            <w:noWrap/>
            <w:vAlign w:val="center"/>
            <w:hideMark/>
          </w:tcPr>
          <w:p w14:paraId="34093A18"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1,500</w:t>
            </w:r>
          </w:p>
        </w:tc>
        <w:tc>
          <w:tcPr>
            <w:tcW w:w="286" w:type="pct"/>
            <w:tcBorders>
              <w:top w:val="nil"/>
              <w:left w:val="nil"/>
              <w:bottom w:val="single" w:sz="4" w:space="0" w:color="auto"/>
              <w:right w:val="single" w:sz="4" w:space="0" w:color="auto"/>
            </w:tcBorders>
            <w:noWrap/>
            <w:vAlign w:val="center"/>
            <w:hideMark/>
          </w:tcPr>
          <w:p w14:paraId="61066C34"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1,500</w:t>
            </w:r>
          </w:p>
        </w:tc>
        <w:tc>
          <w:tcPr>
            <w:tcW w:w="381" w:type="pct"/>
            <w:tcBorders>
              <w:top w:val="nil"/>
              <w:left w:val="nil"/>
              <w:bottom w:val="single" w:sz="4" w:space="0" w:color="auto"/>
              <w:right w:val="single" w:sz="4" w:space="0" w:color="auto"/>
            </w:tcBorders>
            <w:noWrap/>
            <w:vAlign w:val="center"/>
            <w:hideMark/>
          </w:tcPr>
          <w:p w14:paraId="4E71FDA7"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3,000</w:t>
            </w:r>
          </w:p>
        </w:tc>
        <w:tc>
          <w:tcPr>
            <w:tcW w:w="238" w:type="pct"/>
            <w:tcBorders>
              <w:top w:val="nil"/>
              <w:left w:val="nil"/>
              <w:bottom w:val="single" w:sz="4" w:space="0" w:color="auto"/>
              <w:right w:val="single" w:sz="4" w:space="0" w:color="auto"/>
            </w:tcBorders>
            <w:noWrap/>
            <w:vAlign w:val="center"/>
            <w:hideMark/>
          </w:tcPr>
          <w:p w14:paraId="061CC5B1"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238" w:type="pct"/>
            <w:tcBorders>
              <w:top w:val="nil"/>
              <w:left w:val="nil"/>
              <w:bottom w:val="single" w:sz="4" w:space="0" w:color="auto"/>
              <w:right w:val="single" w:sz="4" w:space="0" w:color="auto"/>
            </w:tcBorders>
            <w:noWrap/>
            <w:vAlign w:val="center"/>
            <w:hideMark/>
          </w:tcPr>
          <w:p w14:paraId="18D8B87F" w14:textId="77777777" w:rsidR="00D76F54" w:rsidRPr="00826417" w:rsidRDefault="00D76F54" w:rsidP="00A10FE4">
            <w:pPr>
              <w:spacing w:after="0" w:line="240" w:lineRule="auto"/>
              <w:jc w:val="righ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c>
          <w:tcPr>
            <w:tcW w:w="381" w:type="pct"/>
            <w:tcBorders>
              <w:top w:val="nil"/>
              <w:left w:val="nil"/>
              <w:bottom w:val="single" w:sz="4" w:space="0" w:color="auto"/>
              <w:right w:val="single" w:sz="4" w:space="0" w:color="auto"/>
            </w:tcBorders>
            <w:noWrap/>
            <w:vAlign w:val="center"/>
            <w:hideMark/>
          </w:tcPr>
          <w:p w14:paraId="4D2AA585" w14:textId="77777777" w:rsidR="00D76F54" w:rsidRPr="00826417" w:rsidRDefault="00D76F54" w:rsidP="00A10FE4">
            <w:pPr>
              <w:spacing w:after="0" w:line="240" w:lineRule="auto"/>
              <w:jc w:val="left"/>
              <w:rPr>
                <w:rFonts w:eastAsia="Times New Roman" w:cstheme="majorBidi"/>
                <w:color w:val="000000"/>
                <w:sz w:val="16"/>
                <w:szCs w:val="16"/>
                <w:lang w:val="en-GB"/>
              </w:rPr>
            </w:pPr>
            <w:r w:rsidRPr="00826417">
              <w:rPr>
                <w:rFonts w:eastAsia="Times New Roman" w:cstheme="majorBidi"/>
                <w:color w:val="000000"/>
                <w:sz w:val="16"/>
                <w:szCs w:val="16"/>
                <w:lang w:val="en-GB"/>
              </w:rPr>
              <w:t> </w:t>
            </w:r>
          </w:p>
        </w:tc>
      </w:tr>
      <w:tr w:rsidR="004D38FB" w:rsidRPr="00826417" w14:paraId="5B39A910" w14:textId="77777777" w:rsidTr="00741A09">
        <w:trPr>
          <w:trHeight w:val="300"/>
        </w:trPr>
        <w:tc>
          <w:tcPr>
            <w:tcW w:w="1237" w:type="pct"/>
            <w:tcBorders>
              <w:top w:val="nil"/>
              <w:left w:val="single" w:sz="4" w:space="0" w:color="auto"/>
              <w:bottom w:val="single" w:sz="4" w:space="0" w:color="auto"/>
              <w:right w:val="single" w:sz="4" w:space="0" w:color="auto"/>
            </w:tcBorders>
            <w:noWrap/>
            <w:vAlign w:val="center"/>
            <w:hideMark/>
          </w:tcPr>
          <w:p w14:paraId="021D3804"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Component total</w:t>
            </w:r>
          </w:p>
        </w:tc>
        <w:tc>
          <w:tcPr>
            <w:tcW w:w="286" w:type="pct"/>
            <w:tcBorders>
              <w:top w:val="nil"/>
              <w:left w:val="nil"/>
              <w:bottom w:val="single" w:sz="4" w:space="0" w:color="auto"/>
              <w:right w:val="single" w:sz="4" w:space="0" w:color="auto"/>
            </w:tcBorders>
            <w:noWrap/>
            <w:vAlign w:val="center"/>
            <w:hideMark/>
          </w:tcPr>
          <w:p w14:paraId="35FAA621"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344" w:type="pct"/>
            <w:tcBorders>
              <w:top w:val="nil"/>
              <w:left w:val="nil"/>
              <w:bottom w:val="single" w:sz="4" w:space="0" w:color="auto"/>
              <w:right w:val="single" w:sz="4" w:space="0" w:color="auto"/>
            </w:tcBorders>
            <w:noWrap/>
            <w:vAlign w:val="center"/>
            <w:hideMark/>
          </w:tcPr>
          <w:p w14:paraId="6BC40E10"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371" w:type="pct"/>
            <w:tcBorders>
              <w:top w:val="nil"/>
              <w:left w:val="nil"/>
              <w:bottom w:val="single" w:sz="4" w:space="0" w:color="auto"/>
              <w:right w:val="single" w:sz="4" w:space="0" w:color="auto"/>
            </w:tcBorders>
            <w:noWrap/>
            <w:vAlign w:val="center"/>
            <w:hideMark/>
          </w:tcPr>
          <w:p w14:paraId="5B5C76FE"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121,000</w:t>
            </w:r>
          </w:p>
        </w:tc>
        <w:tc>
          <w:tcPr>
            <w:tcW w:w="286" w:type="pct"/>
            <w:tcBorders>
              <w:top w:val="nil"/>
              <w:left w:val="nil"/>
              <w:bottom w:val="single" w:sz="4" w:space="0" w:color="auto"/>
              <w:right w:val="single" w:sz="4" w:space="0" w:color="auto"/>
            </w:tcBorders>
            <w:noWrap/>
            <w:vAlign w:val="center"/>
          </w:tcPr>
          <w:p w14:paraId="054DDFCB" w14:textId="1E4F2E21" w:rsidR="00D76F54" w:rsidRPr="00826417" w:rsidRDefault="00D76F54" w:rsidP="00A10FE4">
            <w:pPr>
              <w:spacing w:after="0" w:line="240" w:lineRule="auto"/>
              <w:jc w:val="left"/>
              <w:rPr>
                <w:rFonts w:eastAsia="Times New Roman" w:cstheme="majorBidi"/>
                <w:color w:val="000000"/>
                <w:sz w:val="16"/>
                <w:szCs w:val="16"/>
                <w:lang w:val="en-GB"/>
              </w:rPr>
            </w:pPr>
          </w:p>
        </w:tc>
        <w:tc>
          <w:tcPr>
            <w:tcW w:w="238" w:type="pct"/>
            <w:tcBorders>
              <w:top w:val="nil"/>
              <w:left w:val="nil"/>
              <w:bottom w:val="single" w:sz="4" w:space="0" w:color="auto"/>
              <w:right w:val="single" w:sz="4" w:space="0" w:color="auto"/>
            </w:tcBorders>
            <w:noWrap/>
            <w:vAlign w:val="center"/>
          </w:tcPr>
          <w:p w14:paraId="178F2958" w14:textId="1EDCF928" w:rsidR="00D76F54" w:rsidRPr="00826417" w:rsidRDefault="00D76F54" w:rsidP="00A10FE4">
            <w:pPr>
              <w:spacing w:after="0" w:line="240" w:lineRule="auto"/>
              <w:jc w:val="left"/>
              <w:rPr>
                <w:rFonts w:eastAsia="Times New Roman" w:cstheme="majorBidi"/>
                <w:color w:val="000000"/>
                <w:sz w:val="16"/>
                <w:szCs w:val="16"/>
                <w:lang w:val="en-GB"/>
              </w:rPr>
            </w:pPr>
          </w:p>
        </w:tc>
        <w:tc>
          <w:tcPr>
            <w:tcW w:w="381" w:type="pct"/>
            <w:tcBorders>
              <w:top w:val="nil"/>
              <w:left w:val="nil"/>
              <w:bottom w:val="single" w:sz="4" w:space="0" w:color="auto"/>
              <w:right w:val="single" w:sz="4" w:space="0" w:color="auto"/>
            </w:tcBorders>
            <w:noWrap/>
            <w:vAlign w:val="center"/>
          </w:tcPr>
          <w:p w14:paraId="6A31CA17" w14:textId="4BF20600" w:rsidR="00D76F54" w:rsidRPr="00826417" w:rsidRDefault="00D76F54" w:rsidP="00A10FE4">
            <w:pPr>
              <w:spacing w:after="0" w:line="240" w:lineRule="auto"/>
              <w:jc w:val="left"/>
              <w:rPr>
                <w:rFonts w:eastAsia="Times New Roman" w:cstheme="majorBidi"/>
                <w:color w:val="000000"/>
                <w:sz w:val="16"/>
                <w:szCs w:val="16"/>
                <w:lang w:val="en-GB"/>
              </w:rPr>
            </w:pPr>
          </w:p>
        </w:tc>
        <w:tc>
          <w:tcPr>
            <w:tcW w:w="333" w:type="pct"/>
            <w:tcBorders>
              <w:top w:val="nil"/>
              <w:left w:val="nil"/>
              <w:bottom w:val="single" w:sz="4" w:space="0" w:color="auto"/>
              <w:right w:val="single" w:sz="4" w:space="0" w:color="auto"/>
            </w:tcBorders>
            <w:noWrap/>
            <w:vAlign w:val="center"/>
            <w:hideMark/>
          </w:tcPr>
          <w:p w14:paraId="1322CC3E"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286" w:type="pct"/>
            <w:tcBorders>
              <w:top w:val="nil"/>
              <w:left w:val="nil"/>
              <w:bottom w:val="single" w:sz="4" w:space="0" w:color="auto"/>
              <w:right w:val="single" w:sz="4" w:space="0" w:color="auto"/>
            </w:tcBorders>
            <w:noWrap/>
            <w:vAlign w:val="center"/>
            <w:hideMark/>
          </w:tcPr>
          <w:p w14:paraId="390231FA"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381" w:type="pct"/>
            <w:tcBorders>
              <w:top w:val="nil"/>
              <w:left w:val="nil"/>
              <w:bottom w:val="single" w:sz="4" w:space="0" w:color="auto"/>
              <w:right w:val="single" w:sz="4" w:space="0" w:color="auto"/>
            </w:tcBorders>
            <w:noWrap/>
            <w:vAlign w:val="center"/>
            <w:hideMark/>
          </w:tcPr>
          <w:p w14:paraId="24441A4A"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121,000</w:t>
            </w:r>
          </w:p>
        </w:tc>
        <w:tc>
          <w:tcPr>
            <w:tcW w:w="238" w:type="pct"/>
            <w:tcBorders>
              <w:top w:val="nil"/>
              <w:left w:val="nil"/>
              <w:bottom w:val="single" w:sz="4" w:space="0" w:color="auto"/>
              <w:right w:val="single" w:sz="4" w:space="0" w:color="auto"/>
            </w:tcBorders>
            <w:noWrap/>
            <w:vAlign w:val="center"/>
          </w:tcPr>
          <w:p w14:paraId="63B153E2" w14:textId="71492A43" w:rsidR="00D76F54" w:rsidRPr="00826417" w:rsidRDefault="00D76F54" w:rsidP="00A10FE4">
            <w:pPr>
              <w:spacing w:after="0" w:line="240" w:lineRule="auto"/>
              <w:jc w:val="left"/>
              <w:rPr>
                <w:rFonts w:eastAsia="Times New Roman" w:cstheme="majorBidi"/>
                <w:color w:val="000000"/>
                <w:sz w:val="16"/>
                <w:szCs w:val="16"/>
                <w:lang w:val="en-GB"/>
              </w:rPr>
            </w:pPr>
          </w:p>
        </w:tc>
        <w:tc>
          <w:tcPr>
            <w:tcW w:w="238" w:type="pct"/>
            <w:tcBorders>
              <w:top w:val="nil"/>
              <w:left w:val="nil"/>
              <w:bottom w:val="single" w:sz="4" w:space="0" w:color="auto"/>
              <w:right w:val="single" w:sz="4" w:space="0" w:color="auto"/>
            </w:tcBorders>
            <w:noWrap/>
            <w:vAlign w:val="center"/>
          </w:tcPr>
          <w:p w14:paraId="24EBFE7D" w14:textId="79FCC61C" w:rsidR="00D76F54" w:rsidRPr="00826417" w:rsidRDefault="00D76F54" w:rsidP="00A10FE4">
            <w:pPr>
              <w:spacing w:after="0" w:line="240" w:lineRule="auto"/>
              <w:jc w:val="left"/>
              <w:rPr>
                <w:rFonts w:eastAsia="Times New Roman" w:cstheme="majorBidi"/>
                <w:color w:val="000000"/>
                <w:sz w:val="16"/>
                <w:szCs w:val="16"/>
                <w:lang w:val="en-GB"/>
              </w:rPr>
            </w:pPr>
          </w:p>
        </w:tc>
        <w:tc>
          <w:tcPr>
            <w:tcW w:w="381" w:type="pct"/>
            <w:tcBorders>
              <w:top w:val="nil"/>
              <w:left w:val="nil"/>
              <w:bottom w:val="single" w:sz="4" w:space="0" w:color="auto"/>
              <w:right w:val="single" w:sz="4" w:space="0" w:color="auto"/>
            </w:tcBorders>
            <w:noWrap/>
            <w:vAlign w:val="center"/>
          </w:tcPr>
          <w:p w14:paraId="0C8EBEC8" w14:textId="70975DF7" w:rsidR="00D76F54" w:rsidRPr="00826417" w:rsidRDefault="00D76F54" w:rsidP="00A10FE4">
            <w:pPr>
              <w:spacing w:after="0" w:line="240" w:lineRule="auto"/>
              <w:jc w:val="left"/>
              <w:rPr>
                <w:rFonts w:eastAsia="Times New Roman" w:cstheme="majorBidi"/>
                <w:color w:val="000000"/>
                <w:sz w:val="16"/>
                <w:szCs w:val="16"/>
                <w:lang w:val="en-GB"/>
              </w:rPr>
            </w:pPr>
          </w:p>
        </w:tc>
      </w:tr>
      <w:tr w:rsidR="004D38FB" w:rsidRPr="00826417" w14:paraId="0A605350" w14:textId="77777777" w:rsidTr="00741A09">
        <w:trPr>
          <w:trHeight w:val="300"/>
        </w:trPr>
        <w:tc>
          <w:tcPr>
            <w:tcW w:w="1237" w:type="pct"/>
            <w:tcBorders>
              <w:top w:val="nil"/>
              <w:left w:val="single" w:sz="4" w:space="0" w:color="auto"/>
              <w:bottom w:val="single" w:sz="4" w:space="0" w:color="auto"/>
              <w:right w:val="single" w:sz="4" w:space="0" w:color="auto"/>
            </w:tcBorders>
            <w:noWrap/>
            <w:vAlign w:val="center"/>
            <w:hideMark/>
          </w:tcPr>
          <w:p w14:paraId="4E17C3AC" w14:textId="77777777" w:rsidR="00D76F54" w:rsidRPr="00826417" w:rsidRDefault="00D76F54" w:rsidP="00A10FE4">
            <w:pPr>
              <w:spacing w:after="0" w:line="240" w:lineRule="auto"/>
              <w:jc w:val="lef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 xml:space="preserve">Grand Total </w:t>
            </w:r>
          </w:p>
        </w:tc>
        <w:tc>
          <w:tcPr>
            <w:tcW w:w="286" w:type="pct"/>
            <w:tcBorders>
              <w:top w:val="nil"/>
              <w:left w:val="nil"/>
              <w:bottom w:val="single" w:sz="4" w:space="0" w:color="auto"/>
              <w:right w:val="single" w:sz="4" w:space="0" w:color="auto"/>
            </w:tcBorders>
            <w:noWrap/>
            <w:vAlign w:val="center"/>
            <w:hideMark/>
          </w:tcPr>
          <w:p w14:paraId="00BA76CE"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344" w:type="pct"/>
            <w:tcBorders>
              <w:top w:val="nil"/>
              <w:left w:val="nil"/>
              <w:bottom w:val="single" w:sz="4" w:space="0" w:color="auto"/>
              <w:right w:val="single" w:sz="4" w:space="0" w:color="auto"/>
            </w:tcBorders>
            <w:noWrap/>
            <w:vAlign w:val="center"/>
            <w:hideMark/>
          </w:tcPr>
          <w:p w14:paraId="0C6C5DBC"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371" w:type="pct"/>
            <w:tcBorders>
              <w:top w:val="nil"/>
              <w:left w:val="nil"/>
              <w:bottom w:val="single" w:sz="4" w:space="0" w:color="auto"/>
              <w:right w:val="single" w:sz="4" w:space="0" w:color="auto"/>
            </w:tcBorders>
            <w:noWrap/>
            <w:vAlign w:val="center"/>
            <w:hideMark/>
          </w:tcPr>
          <w:p w14:paraId="34549ECF"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121,000</w:t>
            </w:r>
          </w:p>
        </w:tc>
        <w:tc>
          <w:tcPr>
            <w:tcW w:w="286" w:type="pct"/>
            <w:tcBorders>
              <w:top w:val="nil"/>
              <w:left w:val="nil"/>
              <w:bottom w:val="single" w:sz="4" w:space="0" w:color="auto"/>
              <w:right w:val="single" w:sz="4" w:space="0" w:color="auto"/>
            </w:tcBorders>
            <w:noWrap/>
            <w:vAlign w:val="center"/>
          </w:tcPr>
          <w:p w14:paraId="2D5D424E" w14:textId="3C2A51E7" w:rsidR="00D76F54" w:rsidRPr="00826417" w:rsidRDefault="00D76F54" w:rsidP="00A10FE4">
            <w:pPr>
              <w:spacing w:after="0" w:line="240" w:lineRule="auto"/>
              <w:jc w:val="left"/>
              <w:rPr>
                <w:rFonts w:eastAsia="Times New Roman" w:cstheme="majorBidi"/>
                <w:color w:val="000000"/>
                <w:sz w:val="16"/>
                <w:szCs w:val="16"/>
                <w:lang w:val="en-GB"/>
              </w:rPr>
            </w:pPr>
          </w:p>
        </w:tc>
        <w:tc>
          <w:tcPr>
            <w:tcW w:w="238" w:type="pct"/>
            <w:tcBorders>
              <w:top w:val="nil"/>
              <w:left w:val="nil"/>
              <w:bottom w:val="single" w:sz="4" w:space="0" w:color="auto"/>
              <w:right w:val="single" w:sz="4" w:space="0" w:color="auto"/>
            </w:tcBorders>
            <w:noWrap/>
            <w:vAlign w:val="center"/>
          </w:tcPr>
          <w:p w14:paraId="6DC57706" w14:textId="2265F30F" w:rsidR="00D76F54" w:rsidRPr="00826417" w:rsidRDefault="00D76F54" w:rsidP="00A10FE4">
            <w:pPr>
              <w:spacing w:after="0" w:line="240" w:lineRule="auto"/>
              <w:jc w:val="left"/>
              <w:rPr>
                <w:rFonts w:eastAsia="Times New Roman" w:cstheme="majorBidi"/>
                <w:color w:val="000000"/>
                <w:sz w:val="16"/>
                <w:szCs w:val="16"/>
                <w:lang w:val="en-GB"/>
              </w:rPr>
            </w:pPr>
          </w:p>
        </w:tc>
        <w:tc>
          <w:tcPr>
            <w:tcW w:w="381" w:type="pct"/>
            <w:tcBorders>
              <w:top w:val="nil"/>
              <w:left w:val="nil"/>
              <w:bottom w:val="single" w:sz="4" w:space="0" w:color="auto"/>
              <w:right w:val="single" w:sz="4" w:space="0" w:color="auto"/>
            </w:tcBorders>
            <w:noWrap/>
            <w:vAlign w:val="center"/>
          </w:tcPr>
          <w:p w14:paraId="4B740AB7" w14:textId="5EA95D1C" w:rsidR="00D76F54" w:rsidRPr="00826417" w:rsidRDefault="00D76F54" w:rsidP="00A10FE4">
            <w:pPr>
              <w:spacing w:after="0" w:line="240" w:lineRule="auto"/>
              <w:jc w:val="left"/>
              <w:rPr>
                <w:rFonts w:eastAsia="Times New Roman" w:cstheme="majorBidi"/>
                <w:color w:val="000000"/>
                <w:sz w:val="16"/>
                <w:szCs w:val="16"/>
                <w:lang w:val="en-GB"/>
              </w:rPr>
            </w:pPr>
          </w:p>
        </w:tc>
        <w:tc>
          <w:tcPr>
            <w:tcW w:w="333" w:type="pct"/>
            <w:tcBorders>
              <w:top w:val="nil"/>
              <w:left w:val="nil"/>
              <w:bottom w:val="single" w:sz="4" w:space="0" w:color="auto"/>
              <w:right w:val="single" w:sz="4" w:space="0" w:color="auto"/>
            </w:tcBorders>
            <w:noWrap/>
            <w:vAlign w:val="center"/>
            <w:hideMark/>
          </w:tcPr>
          <w:p w14:paraId="3DCBF582"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286" w:type="pct"/>
            <w:tcBorders>
              <w:top w:val="nil"/>
              <w:left w:val="nil"/>
              <w:bottom w:val="single" w:sz="4" w:space="0" w:color="auto"/>
              <w:right w:val="single" w:sz="4" w:space="0" w:color="auto"/>
            </w:tcBorders>
            <w:noWrap/>
            <w:vAlign w:val="center"/>
            <w:hideMark/>
          </w:tcPr>
          <w:p w14:paraId="54964CB3"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60,500</w:t>
            </w:r>
          </w:p>
        </w:tc>
        <w:tc>
          <w:tcPr>
            <w:tcW w:w="381" w:type="pct"/>
            <w:tcBorders>
              <w:top w:val="nil"/>
              <w:left w:val="nil"/>
              <w:bottom w:val="single" w:sz="4" w:space="0" w:color="auto"/>
              <w:right w:val="single" w:sz="4" w:space="0" w:color="auto"/>
            </w:tcBorders>
            <w:noWrap/>
            <w:vAlign w:val="center"/>
            <w:hideMark/>
          </w:tcPr>
          <w:p w14:paraId="25094C04" w14:textId="77777777" w:rsidR="00D76F54" w:rsidRPr="00826417" w:rsidRDefault="00D76F54" w:rsidP="00A10FE4">
            <w:pPr>
              <w:spacing w:after="0" w:line="240" w:lineRule="auto"/>
              <w:jc w:val="right"/>
              <w:rPr>
                <w:rFonts w:eastAsia="Times New Roman" w:cstheme="majorBidi"/>
                <w:b/>
                <w:bCs/>
                <w:color w:val="000000"/>
                <w:sz w:val="16"/>
                <w:szCs w:val="16"/>
                <w:lang w:val="en-GB"/>
              </w:rPr>
            </w:pPr>
            <w:r w:rsidRPr="00826417">
              <w:rPr>
                <w:rFonts w:eastAsia="Times New Roman" w:cstheme="majorBidi"/>
                <w:b/>
                <w:bCs/>
                <w:color w:val="000000"/>
                <w:sz w:val="16"/>
                <w:szCs w:val="16"/>
                <w:lang w:val="en-GB"/>
              </w:rPr>
              <w:t>121,000</w:t>
            </w:r>
          </w:p>
        </w:tc>
        <w:tc>
          <w:tcPr>
            <w:tcW w:w="238" w:type="pct"/>
            <w:tcBorders>
              <w:top w:val="nil"/>
              <w:left w:val="nil"/>
              <w:bottom w:val="single" w:sz="4" w:space="0" w:color="auto"/>
              <w:right w:val="single" w:sz="4" w:space="0" w:color="auto"/>
            </w:tcBorders>
            <w:noWrap/>
            <w:vAlign w:val="center"/>
          </w:tcPr>
          <w:p w14:paraId="70B5F8E3" w14:textId="7EA88200" w:rsidR="00D76F54" w:rsidRPr="00826417" w:rsidRDefault="00D76F54" w:rsidP="00A10FE4">
            <w:pPr>
              <w:spacing w:after="0" w:line="240" w:lineRule="auto"/>
              <w:jc w:val="left"/>
              <w:rPr>
                <w:rFonts w:eastAsia="Times New Roman" w:cstheme="majorBidi"/>
                <w:color w:val="000000"/>
                <w:sz w:val="16"/>
                <w:szCs w:val="16"/>
                <w:lang w:val="en-GB"/>
              </w:rPr>
            </w:pPr>
          </w:p>
        </w:tc>
        <w:tc>
          <w:tcPr>
            <w:tcW w:w="238" w:type="pct"/>
            <w:tcBorders>
              <w:top w:val="nil"/>
              <w:left w:val="nil"/>
              <w:bottom w:val="single" w:sz="4" w:space="0" w:color="auto"/>
              <w:right w:val="single" w:sz="4" w:space="0" w:color="auto"/>
            </w:tcBorders>
            <w:noWrap/>
            <w:vAlign w:val="center"/>
          </w:tcPr>
          <w:p w14:paraId="101A0897" w14:textId="291751C4" w:rsidR="00D76F54" w:rsidRPr="00826417" w:rsidRDefault="00D76F54" w:rsidP="00A10FE4">
            <w:pPr>
              <w:spacing w:after="0" w:line="240" w:lineRule="auto"/>
              <w:jc w:val="left"/>
              <w:rPr>
                <w:rFonts w:eastAsia="Times New Roman" w:cstheme="majorBidi"/>
                <w:color w:val="000000"/>
                <w:sz w:val="16"/>
                <w:szCs w:val="16"/>
                <w:lang w:val="en-GB"/>
              </w:rPr>
            </w:pPr>
          </w:p>
        </w:tc>
        <w:tc>
          <w:tcPr>
            <w:tcW w:w="381" w:type="pct"/>
            <w:tcBorders>
              <w:top w:val="nil"/>
              <w:left w:val="nil"/>
              <w:bottom w:val="single" w:sz="4" w:space="0" w:color="auto"/>
              <w:right w:val="single" w:sz="4" w:space="0" w:color="auto"/>
            </w:tcBorders>
            <w:noWrap/>
            <w:vAlign w:val="center"/>
          </w:tcPr>
          <w:p w14:paraId="51C84087" w14:textId="1EE7438E" w:rsidR="00D76F54" w:rsidRPr="00826417" w:rsidRDefault="00D76F54" w:rsidP="00A10FE4">
            <w:pPr>
              <w:spacing w:after="0" w:line="240" w:lineRule="auto"/>
              <w:jc w:val="left"/>
              <w:rPr>
                <w:rFonts w:eastAsia="Times New Roman" w:cstheme="majorBidi"/>
                <w:color w:val="000000"/>
                <w:sz w:val="16"/>
                <w:szCs w:val="16"/>
                <w:lang w:val="en-GB"/>
              </w:rPr>
            </w:pPr>
          </w:p>
        </w:tc>
      </w:tr>
    </w:tbl>
    <w:p w14:paraId="4CF95C9D" w14:textId="77777777" w:rsidR="00D76F54" w:rsidRPr="00845FB7" w:rsidRDefault="00D76F54" w:rsidP="00D76F54">
      <w:pPr>
        <w:pStyle w:val="Heading3"/>
        <w:rPr>
          <w:bCs/>
          <w:sz w:val="24"/>
          <w:lang w:val="en-GB"/>
        </w:rPr>
      </w:pPr>
      <w:r w:rsidRPr="00845FB7">
        <w:rPr>
          <w:sz w:val="24"/>
          <w:lang w:val="en-GB"/>
        </w:rPr>
        <w:t>Overview of resources</w:t>
      </w:r>
    </w:p>
    <w:tbl>
      <w:tblPr>
        <w:tblW w:w="10060" w:type="dxa"/>
        <w:tblLook w:val="04A0" w:firstRow="1" w:lastRow="0" w:firstColumn="1" w:lastColumn="0" w:noHBand="0" w:noVBand="1"/>
      </w:tblPr>
      <w:tblGrid>
        <w:gridCol w:w="4531"/>
        <w:gridCol w:w="1843"/>
        <w:gridCol w:w="1701"/>
        <w:gridCol w:w="1985"/>
      </w:tblGrid>
      <w:tr w:rsidR="00D76F54" w:rsidRPr="00845FB7" w14:paraId="68BFB28F" w14:textId="77777777" w:rsidTr="00847ABD">
        <w:trPr>
          <w:trHeight w:val="340"/>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1562DFC2" w14:textId="77777777" w:rsidR="00D76F54" w:rsidRPr="00845FB7" w:rsidRDefault="00D76F54"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Budget</w:t>
            </w:r>
          </w:p>
        </w:tc>
        <w:tc>
          <w:tcPr>
            <w:tcW w:w="1843" w:type="dxa"/>
            <w:tcBorders>
              <w:top w:val="single" w:sz="4" w:space="0" w:color="auto"/>
              <w:left w:val="nil"/>
              <w:bottom w:val="single" w:sz="4" w:space="0" w:color="auto"/>
              <w:right w:val="single" w:sz="4" w:space="0" w:color="auto"/>
            </w:tcBorders>
            <w:vAlign w:val="center"/>
            <w:hideMark/>
          </w:tcPr>
          <w:p w14:paraId="0D2EDE76" w14:textId="4435C8C4" w:rsidR="00D76F54" w:rsidRPr="00845FB7" w:rsidRDefault="00D76F54"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General </w:t>
            </w:r>
            <w:r w:rsidR="001F3CCC" w:rsidRPr="00845FB7">
              <w:rPr>
                <w:rFonts w:eastAsia="Times New Roman" w:cs="Times New Roman"/>
                <w:b/>
                <w:bCs/>
                <w:color w:val="000000"/>
                <w:sz w:val="18"/>
                <w:szCs w:val="18"/>
                <w:lang w:val="en-GB"/>
              </w:rPr>
              <w:t>t</w:t>
            </w:r>
            <w:r w:rsidRPr="00845FB7">
              <w:rPr>
                <w:rFonts w:eastAsia="Times New Roman" w:cs="Times New Roman"/>
                <w:b/>
                <w:bCs/>
                <w:color w:val="000000"/>
                <w:sz w:val="18"/>
                <w:szCs w:val="18"/>
                <w:lang w:val="en-GB"/>
              </w:rPr>
              <w:t xml:space="preserve">rust </w:t>
            </w:r>
            <w:r w:rsidR="001F3CCC" w:rsidRPr="00845FB7">
              <w:rPr>
                <w:rFonts w:eastAsia="Times New Roman" w:cs="Times New Roman"/>
                <w:b/>
                <w:bCs/>
                <w:color w:val="000000"/>
                <w:sz w:val="18"/>
                <w:szCs w:val="18"/>
                <w:lang w:val="en-GB"/>
              </w:rPr>
              <w:t>f</w:t>
            </w:r>
            <w:r w:rsidRPr="00845FB7">
              <w:rPr>
                <w:rFonts w:eastAsia="Times New Roman" w:cs="Times New Roman"/>
                <w:b/>
                <w:bCs/>
                <w:color w:val="000000"/>
                <w:sz w:val="18"/>
                <w:szCs w:val="18"/>
                <w:lang w:val="en-GB"/>
              </w:rPr>
              <w:t>und</w:t>
            </w:r>
          </w:p>
        </w:tc>
        <w:tc>
          <w:tcPr>
            <w:tcW w:w="1701" w:type="dxa"/>
            <w:tcBorders>
              <w:top w:val="single" w:sz="4" w:space="0" w:color="auto"/>
              <w:left w:val="nil"/>
              <w:bottom w:val="single" w:sz="4" w:space="0" w:color="auto"/>
              <w:right w:val="single" w:sz="4" w:space="0" w:color="auto"/>
            </w:tcBorders>
            <w:vAlign w:val="center"/>
            <w:hideMark/>
          </w:tcPr>
          <w:p w14:paraId="5A190532" w14:textId="6FD615C5" w:rsidR="00D76F54" w:rsidRPr="00845FB7" w:rsidRDefault="00D76F54"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Special </w:t>
            </w:r>
            <w:r w:rsidR="001F3CCC" w:rsidRPr="00845FB7">
              <w:rPr>
                <w:rFonts w:eastAsia="Times New Roman" w:cs="Times New Roman"/>
                <w:b/>
                <w:bCs/>
                <w:color w:val="000000"/>
                <w:sz w:val="18"/>
                <w:szCs w:val="18"/>
                <w:lang w:val="en-GB"/>
              </w:rPr>
              <w:t>t</w:t>
            </w:r>
            <w:r w:rsidRPr="00845FB7">
              <w:rPr>
                <w:rFonts w:eastAsia="Times New Roman" w:cs="Times New Roman"/>
                <w:b/>
                <w:bCs/>
                <w:color w:val="000000"/>
                <w:sz w:val="18"/>
                <w:szCs w:val="18"/>
                <w:lang w:val="en-GB"/>
              </w:rPr>
              <w:t xml:space="preserve">rust </w:t>
            </w:r>
            <w:r w:rsidR="001F3CCC" w:rsidRPr="00845FB7">
              <w:rPr>
                <w:rFonts w:eastAsia="Times New Roman" w:cs="Times New Roman"/>
                <w:b/>
                <w:bCs/>
                <w:color w:val="000000"/>
                <w:sz w:val="18"/>
                <w:szCs w:val="18"/>
                <w:lang w:val="en-GB"/>
              </w:rPr>
              <w:t>f</w:t>
            </w:r>
            <w:r w:rsidRPr="00845FB7">
              <w:rPr>
                <w:rFonts w:eastAsia="Times New Roman" w:cs="Times New Roman"/>
                <w:b/>
                <w:bCs/>
                <w:color w:val="000000"/>
                <w:sz w:val="18"/>
                <w:szCs w:val="18"/>
                <w:lang w:val="en-GB"/>
              </w:rPr>
              <w:t>und</w:t>
            </w:r>
          </w:p>
        </w:tc>
        <w:tc>
          <w:tcPr>
            <w:tcW w:w="1985" w:type="dxa"/>
            <w:tcBorders>
              <w:top w:val="single" w:sz="4" w:space="0" w:color="auto"/>
              <w:left w:val="nil"/>
              <w:bottom w:val="single" w:sz="4" w:space="0" w:color="auto"/>
              <w:right w:val="single" w:sz="4" w:space="0" w:color="auto"/>
            </w:tcBorders>
            <w:vAlign w:val="center"/>
            <w:hideMark/>
          </w:tcPr>
          <w:p w14:paraId="0CE92F13" w14:textId="1A3158D8" w:rsidR="00D76F54" w:rsidRPr="00845FB7" w:rsidRDefault="00D76F54" w:rsidP="00A10FE4">
            <w:pPr>
              <w:spacing w:after="0" w:line="240" w:lineRule="auto"/>
              <w:jc w:val="center"/>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 xml:space="preserve">Total </w:t>
            </w:r>
            <w:r w:rsidR="001F3CCC" w:rsidRPr="00845FB7">
              <w:rPr>
                <w:rFonts w:eastAsia="Times New Roman" w:cs="Times New Roman"/>
                <w:b/>
                <w:bCs/>
                <w:color w:val="000000"/>
                <w:sz w:val="18"/>
                <w:szCs w:val="18"/>
                <w:lang w:val="en-GB"/>
              </w:rPr>
              <w:t>c</w:t>
            </w:r>
            <w:r w:rsidRPr="00845FB7">
              <w:rPr>
                <w:rFonts w:eastAsia="Times New Roman" w:cs="Times New Roman"/>
                <w:b/>
                <w:bCs/>
                <w:color w:val="000000"/>
                <w:sz w:val="18"/>
                <w:szCs w:val="18"/>
                <w:lang w:val="en-GB"/>
              </w:rPr>
              <w:t>ontribution</w:t>
            </w:r>
          </w:p>
        </w:tc>
      </w:tr>
      <w:tr w:rsidR="00D76F54" w:rsidRPr="00845FB7" w14:paraId="6AFEA5DA" w14:textId="77777777" w:rsidTr="00847ABD">
        <w:trPr>
          <w:trHeight w:val="340"/>
        </w:trPr>
        <w:tc>
          <w:tcPr>
            <w:tcW w:w="4531" w:type="dxa"/>
            <w:tcBorders>
              <w:top w:val="nil"/>
              <w:left w:val="single" w:sz="4" w:space="0" w:color="auto"/>
              <w:bottom w:val="single" w:sz="4" w:space="0" w:color="auto"/>
              <w:right w:val="single" w:sz="4" w:space="0" w:color="auto"/>
            </w:tcBorders>
            <w:noWrap/>
            <w:vAlign w:val="center"/>
            <w:hideMark/>
          </w:tcPr>
          <w:p w14:paraId="1D31FCCE" w14:textId="520D0750" w:rsidR="00D76F54" w:rsidRPr="00845FB7" w:rsidRDefault="00D76F54" w:rsidP="00A10FE4">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w:t>
            </w:r>
            <w:r w:rsidR="0012786E" w:rsidRPr="00845FB7">
              <w:rPr>
                <w:rFonts w:eastAsia="Times New Roman" w:cs="Times New Roman"/>
                <w:color w:val="000000"/>
                <w:sz w:val="18"/>
                <w:szCs w:val="18"/>
                <w:lang w:val="en-GB"/>
              </w:rPr>
              <w:t>4</w:t>
            </w:r>
            <w:r w:rsidRPr="00845FB7">
              <w:rPr>
                <w:rFonts w:eastAsia="Times New Roman" w:cs="Times New Roman"/>
                <w:color w:val="000000"/>
                <w:sz w:val="18"/>
                <w:szCs w:val="18"/>
                <w:lang w:val="en-GB"/>
              </w:rPr>
              <w:t>-202</w:t>
            </w:r>
            <w:r w:rsidR="0012786E" w:rsidRPr="00845FB7">
              <w:rPr>
                <w:rFonts w:eastAsia="Times New Roman" w:cs="Times New Roman"/>
                <w:color w:val="000000"/>
                <w:sz w:val="18"/>
                <w:szCs w:val="18"/>
                <w:lang w:val="en-GB"/>
              </w:rPr>
              <w:t>5</w:t>
            </w:r>
            <w:r w:rsidRPr="00845FB7">
              <w:rPr>
                <w:rFonts w:eastAsia="Times New Roman" w:cs="Times New Roman"/>
                <w:color w:val="000000"/>
                <w:sz w:val="18"/>
                <w:szCs w:val="18"/>
                <w:lang w:val="en-GB"/>
              </w:rPr>
              <w:t xml:space="preserve"> approved</w:t>
            </w:r>
          </w:p>
        </w:tc>
        <w:tc>
          <w:tcPr>
            <w:tcW w:w="1843" w:type="dxa"/>
            <w:tcBorders>
              <w:top w:val="nil"/>
              <w:left w:val="nil"/>
              <w:bottom w:val="single" w:sz="4" w:space="0" w:color="auto"/>
              <w:right w:val="single" w:sz="4" w:space="0" w:color="auto"/>
            </w:tcBorders>
            <w:noWrap/>
            <w:vAlign w:val="center"/>
            <w:hideMark/>
          </w:tcPr>
          <w:p w14:paraId="21BC310C" w14:textId="2B133177" w:rsidR="00D76F54" w:rsidRPr="00845FB7" w:rsidRDefault="009D6BDA"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121</w:t>
            </w:r>
            <w:r w:rsidR="00D76F54" w:rsidRPr="00845FB7">
              <w:rPr>
                <w:rFonts w:eastAsia="Times New Roman" w:cs="Times New Roman"/>
                <w:b/>
                <w:bCs/>
                <w:color w:val="000000"/>
                <w:sz w:val="18"/>
                <w:szCs w:val="18"/>
                <w:lang w:val="en-GB"/>
              </w:rPr>
              <w:t>,</w:t>
            </w:r>
            <w:r w:rsidR="003957EC" w:rsidRPr="00845FB7">
              <w:rPr>
                <w:rFonts w:eastAsia="Times New Roman" w:cs="Times New Roman"/>
                <w:b/>
                <w:bCs/>
                <w:color w:val="000000"/>
                <w:sz w:val="18"/>
                <w:szCs w:val="18"/>
                <w:lang w:val="en-GB"/>
              </w:rPr>
              <w:t>0</w:t>
            </w:r>
            <w:r w:rsidR="00D76F54" w:rsidRPr="00845FB7">
              <w:rPr>
                <w:rFonts w:eastAsia="Times New Roman" w:cs="Times New Roman"/>
                <w:b/>
                <w:bCs/>
                <w:color w:val="000000"/>
                <w:sz w:val="18"/>
                <w:szCs w:val="18"/>
                <w:lang w:val="en-GB"/>
              </w:rPr>
              <w:t>00</w:t>
            </w:r>
          </w:p>
        </w:tc>
        <w:tc>
          <w:tcPr>
            <w:tcW w:w="1701" w:type="dxa"/>
            <w:tcBorders>
              <w:top w:val="nil"/>
              <w:left w:val="nil"/>
              <w:bottom w:val="single" w:sz="4" w:space="0" w:color="auto"/>
              <w:right w:val="single" w:sz="4" w:space="0" w:color="auto"/>
            </w:tcBorders>
            <w:noWrap/>
            <w:vAlign w:val="center"/>
            <w:hideMark/>
          </w:tcPr>
          <w:p w14:paraId="4BB25467" w14:textId="77777777" w:rsidR="00D76F54" w:rsidRPr="00845FB7" w:rsidRDefault="00D76F54" w:rsidP="00A10FE4">
            <w:pPr>
              <w:spacing w:after="0" w:line="240" w:lineRule="auto"/>
              <w:jc w:val="right"/>
              <w:rPr>
                <w:rFonts w:eastAsia="Times New Roman" w:cs="Times New Roman"/>
                <w:color w:val="000000"/>
                <w:sz w:val="18"/>
                <w:szCs w:val="18"/>
                <w:lang w:val="en-GB"/>
              </w:rPr>
            </w:pPr>
            <w:r w:rsidRPr="00845FB7">
              <w:rPr>
                <w:rFonts w:eastAsia="Times New Roman" w:cs="Times New Roman"/>
                <w:color w:val="000000"/>
                <w:sz w:val="18"/>
                <w:szCs w:val="18"/>
                <w:lang w:val="en-GB"/>
              </w:rPr>
              <w:t> </w:t>
            </w:r>
          </w:p>
        </w:tc>
        <w:tc>
          <w:tcPr>
            <w:tcW w:w="1985" w:type="dxa"/>
            <w:tcBorders>
              <w:top w:val="nil"/>
              <w:left w:val="nil"/>
              <w:bottom w:val="single" w:sz="4" w:space="0" w:color="auto"/>
              <w:right w:val="single" w:sz="4" w:space="0" w:color="auto"/>
            </w:tcBorders>
            <w:noWrap/>
            <w:vAlign w:val="center"/>
            <w:hideMark/>
          </w:tcPr>
          <w:p w14:paraId="135CD25B" w14:textId="3E27BA93" w:rsidR="00D76F54" w:rsidRPr="00845FB7" w:rsidRDefault="003957EC"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w:t>
            </w:r>
            <w:r w:rsidR="009D6BDA" w:rsidRPr="00845FB7">
              <w:rPr>
                <w:rFonts w:eastAsia="Times New Roman" w:cs="Times New Roman"/>
                <w:b/>
                <w:bCs/>
                <w:color w:val="000000"/>
                <w:sz w:val="18"/>
                <w:szCs w:val="18"/>
                <w:lang w:val="en-GB"/>
              </w:rPr>
              <w:t>21</w:t>
            </w:r>
            <w:r w:rsidR="00D76F54" w:rsidRPr="00845FB7">
              <w:rPr>
                <w:rFonts w:eastAsia="Times New Roman" w:cs="Times New Roman"/>
                <w:b/>
                <w:bCs/>
                <w:color w:val="000000"/>
                <w:sz w:val="18"/>
                <w:szCs w:val="18"/>
                <w:lang w:val="en-GB"/>
              </w:rPr>
              <w:t>,</w:t>
            </w:r>
            <w:r w:rsidRPr="00845FB7">
              <w:rPr>
                <w:rFonts w:eastAsia="Times New Roman" w:cs="Times New Roman"/>
                <w:b/>
                <w:bCs/>
                <w:color w:val="000000"/>
                <w:sz w:val="18"/>
                <w:szCs w:val="18"/>
                <w:lang w:val="en-GB"/>
              </w:rPr>
              <w:t>0</w:t>
            </w:r>
            <w:r w:rsidR="00D76F54" w:rsidRPr="00845FB7">
              <w:rPr>
                <w:rFonts w:eastAsia="Times New Roman" w:cs="Times New Roman"/>
                <w:b/>
                <w:bCs/>
                <w:color w:val="000000"/>
                <w:sz w:val="18"/>
                <w:szCs w:val="18"/>
                <w:lang w:val="en-GB"/>
              </w:rPr>
              <w:t>00</w:t>
            </w:r>
          </w:p>
        </w:tc>
      </w:tr>
      <w:tr w:rsidR="00D76F54" w:rsidRPr="00845FB7" w14:paraId="66C20E65" w14:textId="77777777" w:rsidTr="00847ABD">
        <w:trPr>
          <w:trHeight w:val="340"/>
        </w:trPr>
        <w:tc>
          <w:tcPr>
            <w:tcW w:w="4531" w:type="dxa"/>
            <w:tcBorders>
              <w:top w:val="nil"/>
              <w:left w:val="single" w:sz="4" w:space="0" w:color="auto"/>
              <w:bottom w:val="single" w:sz="4" w:space="0" w:color="auto"/>
              <w:right w:val="single" w:sz="4" w:space="0" w:color="auto"/>
            </w:tcBorders>
            <w:vAlign w:val="center"/>
            <w:hideMark/>
          </w:tcPr>
          <w:p w14:paraId="462D9042" w14:textId="2FE814B0" w:rsidR="00D76F54" w:rsidRPr="00845FB7" w:rsidRDefault="00E2051A" w:rsidP="00A10FE4">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2026–2027</w:t>
            </w:r>
            <w:r w:rsidR="00D76F54" w:rsidRPr="00845FB7">
              <w:rPr>
                <w:rFonts w:eastAsia="Times New Roman" w:cs="Times New Roman"/>
                <w:color w:val="000000"/>
                <w:sz w:val="18"/>
                <w:szCs w:val="18"/>
                <w:lang w:val="en-GB"/>
              </w:rPr>
              <w:t xml:space="preserve"> requested in </w:t>
            </w:r>
            <w:r w:rsidR="001F3CCC" w:rsidRPr="00845FB7">
              <w:rPr>
                <w:rFonts w:eastAsia="Times New Roman" w:cs="Times New Roman"/>
                <w:color w:val="000000"/>
                <w:sz w:val="18"/>
                <w:szCs w:val="18"/>
                <w:lang w:val="en-GB"/>
              </w:rPr>
              <w:t xml:space="preserve">the </w:t>
            </w:r>
            <w:r w:rsidR="00D76F54" w:rsidRPr="00845FB7">
              <w:rPr>
                <w:rFonts w:eastAsia="Times New Roman" w:cs="Times New Roman"/>
                <w:color w:val="000000"/>
                <w:sz w:val="18"/>
                <w:szCs w:val="18"/>
                <w:lang w:val="en-GB"/>
              </w:rPr>
              <w:t>5</w:t>
            </w:r>
            <w:r w:rsidR="001F3CCC" w:rsidRPr="00845FB7">
              <w:rPr>
                <w:rFonts w:eastAsia="Times New Roman" w:cs="Times New Roman"/>
                <w:color w:val="000000"/>
                <w:sz w:val="18"/>
                <w:szCs w:val="18"/>
                <w:lang w:val="en-GB"/>
              </w:rPr>
              <w:t xml:space="preserve"> per cent</w:t>
            </w:r>
            <w:r w:rsidR="00D76F54" w:rsidRPr="00845FB7">
              <w:rPr>
                <w:rFonts w:eastAsia="Times New Roman" w:cs="Times New Roman"/>
                <w:color w:val="000000"/>
                <w:sz w:val="18"/>
                <w:szCs w:val="18"/>
                <w:lang w:val="en-GB"/>
              </w:rPr>
              <w:t xml:space="preserve"> scenario</w:t>
            </w:r>
          </w:p>
        </w:tc>
        <w:tc>
          <w:tcPr>
            <w:tcW w:w="1843" w:type="dxa"/>
            <w:tcBorders>
              <w:top w:val="nil"/>
              <w:left w:val="nil"/>
              <w:bottom w:val="single" w:sz="4" w:space="0" w:color="auto"/>
              <w:right w:val="single" w:sz="4" w:space="0" w:color="auto"/>
            </w:tcBorders>
            <w:noWrap/>
            <w:vAlign w:val="center"/>
            <w:hideMark/>
          </w:tcPr>
          <w:p w14:paraId="5D041BC0" w14:textId="77777777" w:rsidR="00D76F54" w:rsidRPr="00845FB7" w:rsidRDefault="00D76F54"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121,000</w:t>
            </w:r>
          </w:p>
        </w:tc>
        <w:tc>
          <w:tcPr>
            <w:tcW w:w="1701" w:type="dxa"/>
            <w:tcBorders>
              <w:top w:val="nil"/>
              <w:left w:val="nil"/>
              <w:bottom w:val="single" w:sz="4" w:space="0" w:color="auto"/>
              <w:right w:val="single" w:sz="4" w:space="0" w:color="auto"/>
            </w:tcBorders>
            <w:noWrap/>
            <w:vAlign w:val="center"/>
            <w:hideMark/>
          </w:tcPr>
          <w:p w14:paraId="01A9848C" w14:textId="77777777" w:rsidR="00D76F54" w:rsidRPr="00845FB7" w:rsidRDefault="00D76F54" w:rsidP="00A10FE4">
            <w:pPr>
              <w:spacing w:after="0" w:line="240" w:lineRule="auto"/>
              <w:jc w:val="right"/>
              <w:rPr>
                <w:rFonts w:eastAsia="Times New Roman" w:cs="Times New Roman"/>
                <w:color w:val="000000"/>
                <w:sz w:val="18"/>
                <w:szCs w:val="18"/>
                <w:lang w:val="en-GB"/>
              </w:rPr>
            </w:pPr>
            <w:r w:rsidRPr="00845FB7">
              <w:rPr>
                <w:rFonts w:eastAsia="Times New Roman" w:cs="Times New Roman"/>
                <w:color w:val="000000"/>
                <w:sz w:val="18"/>
                <w:szCs w:val="18"/>
                <w:lang w:val="en-GB"/>
              </w:rPr>
              <w:t> </w:t>
            </w:r>
          </w:p>
        </w:tc>
        <w:tc>
          <w:tcPr>
            <w:tcW w:w="1985" w:type="dxa"/>
            <w:tcBorders>
              <w:top w:val="nil"/>
              <w:left w:val="nil"/>
              <w:bottom w:val="single" w:sz="4" w:space="0" w:color="auto"/>
              <w:right w:val="single" w:sz="4" w:space="0" w:color="auto"/>
            </w:tcBorders>
            <w:noWrap/>
            <w:vAlign w:val="center"/>
            <w:hideMark/>
          </w:tcPr>
          <w:p w14:paraId="5F4EA2A2" w14:textId="77777777" w:rsidR="00D76F54" w:rsidRPr="00845FB7" w:rsidRDefault="00D76F54"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121,000</w:t>
            </w:r>
          </w:p>
        </w:tc>
      </w:tr>
      <w:tr w:rsidR="00D76F54" w:rsidRPr="00845FB7" w14:paraId="1F887AB8" w14:textId="77777777" w:rsidTr="00847ABD">
        <w:trPr>
          <w:trHeight w:val="340"/>
        </w:trPr>
        <w:tc>
          <w:tcPr>
            <w:tcW w:w="4531" w:type="dxa"/>
            <w:tcBorders>
              <w:top w:val="nil"/>
              <w:left w:val="single" w:sz="4" w:space="0" w:color="auto"/>
              <w:bottom w:val="single" w:sz="4" w:space="0" w:color="auto"/>
              <w:right w:val="single" w:sz="4" w:space="0" w:color="auto"/>
            </w:tcBorders>
            <w:vAlign w:val="center"/>
            <w:hideMark/>
          </w:tcPr>
          <w:p w14:paraId="3DAF336D" w14:textId="2B186A40" w:rsidR="00D76F54" w:rsidRPr="00845FB7" w:rsidRDefault="00E2051A" w:rsidP="00A10FE4">
            <w:pPr>
              <w:spacing w:after="0" w:line="240" w:lineRule="auto"/>
              <w:jc w:val="left"/>
              <w:rPr>
                <w:rFonts w:eastAsia="Times New Roman" w:cs="Times New Roman"/>
                <w:color w:val="000000"/>
                <w:sz w:val="18"/>
                <w:szCs w:val="18"/>
                <w:lang w:val="en-GB"/>
              </w:rPr>
            </w:pPr>
            <w:r w:rsidRPr="00845FB7">
              <w:rPr>
                <w:rFonts w:eastAsia="Times New Roman" w:cs="Times New Roman"/>
                <w:color w:val="000000"/>
                <w:sz w:val="18"/>
                <w:szCs w:val="18"/>
                <w:lang w:val="en-GB"/>
              </w:rPr>
              <w:t>2026–2027</w:t>
            </w:r>
            <w:r w:rsidR="00D76F54" w:rsidRPr="00845FB7">
              <w:rPr>
                <w:rFonts w:eastAsia="Times New Roman" w:cs="Times New Roman"/>
                <w:color w:val="000000"/>
                <w:sz w:val="18"/>
                <w:szCs w:val="18"/>
                <w:lang w:val="en-GB"/>
              </w:rPr>
              <w:t xml:space="preserve"> requested in </w:t>
            </w:r>
            <w:r w:rsidR="001F3CCC" w:rsidRPr="00845FB7">
              <w:rPr>
                <w:rFonts w:eastAsia="Times New Roman" w:cs="Times New Roman"/>
                <w:color w:val="000000"/>
                <w:sz w:val="18"/>
                <w:szCs w:val="18"/>
                <w:lang w:val="en-GB"/>
              </w:rPr>
              <w:t>the z</w:t>
            </w:r>
            <w:r w:rsidR="00D76F54" w:rsidRPr="00845FB7">
              <w:rPr>
                <w:rFonts w:eastAsia="Times New Roman" w:cs="Times New Roman"/>
                <w:color w:val="000000"/>
                <w:sz w:val="18"/>
                <w:szCs w:val="18"/>
                <w:lang w:val="en-GB"/>
              </w:rPr>
              <w:t>ero nominal growth scenario</w:t>
            </w:r>
          </w:p>
        </w:tc>
        <w:tc>
          <w:tcPr>
            <w:tcW w:w="1843" w:type="dxa"/>
            <w:tcBorders>
              <w:top w:val="nil"/>
              <w:left w:val="nil"/>
              <w:bottom w:val="single" w:sz="4" w:space="0" w:color="auto"/>
              <w:right w:val="single" w:sz="4" w:space="0" w:color="auto"/>
            </w:tcBorders>
            <w:noWrap/>
            <w:vAlign w:val="center"/>
            <w:hideMark/>
          </w:tcPr>
          <w:p w14:paraId="0554A44F" w14:textId="77777777" w:rsidR="00D76F54" w:rsidRPr="00845FB7" w:rsidRDefault="00D76F54"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121,000</w:t>
            </w:r>
          </w:p>
        </w:tc>
        <w:tc>
          <w:tcPr>
            <w:tcW w:w="1701" w:type="dxa"/>
            <w:tcBorders>
              <w:top w:val="nil"/>
              <w:left w:val="nil"/>
              <w:bottom w:val="single" w:sz="4" w:space="0" w:color="auto"/>
              <w:right w:val="single" w:sz="4" w:space="0" w:color="auto"/>
            </w:tcBorders>
            <w:noWrap/>
            <w:vAlign w:val="center"/>
            <w:hideMark/>
          </w:tcPr>
          <w:p w14:paraId="1B3017A9" w14:textId="77777777" w:rsidR="00D76F54" w:rsidRPr="00845FB7" w:rsidRDefault="00D76F54" w:rsidP="00A10FE4">
            <w:pPr>
              <w:spacing w:after="0" w:line="240" w:lineRule="auto"/>
              <w:jc w:val="right"/>
              <w:rPr>
                <w:rFonts w:eastAsia="Times New Roman" w:cs="Times New Roman"/>
                <w:color w:val="000000"/>
                <w:sz w:val="18"/>
                <w:szCs w:val="18"/>
                <w:lang w:val="en-GB"/>
              </w:rPr>
            </w:pPr>
            <w:r w:rsidRPr="00845FB7">
              <w:rPr>
                <w:rFonts w:eastAsia="Times New Roman" w:cs="Times New Roman"/>
                <w:color w:val="000000"/>
                <w:sz w:val="18"/>
                <w:szCs w:val="18"/>
                <w:lang w:val="en-GB"/>
              </w:rPr>
              <w:t> </w:t>
            </w:r>
          </w:p>
        </w:tc>
        <w:tc>
          <w:tcPr>
            <w:tcW w:w="1985" w:type="dxa"/>
            <w:tcBorders>
              <w:top w:val="nil"/>
              <w:left w:val="nil"/>
              <w:bottom w:val="single" w:sz="4" w:space="0" w:color="auto"/>
              <w:right w:val="single" w:sz="4" w:space="0" w:color="auto"/>
            </w:tcBorders>
            <w:noWrap/>
            <w:vAlign w:val="center"/>
            <w:hideMark/>
          </w:tcPr>
          <w:p w14:paraId="1F086146" w14:textId="77777777" w:rsidR="00D76F54" w:rsidRPr="00845FB7" w:rsidRDefault="00D76F54" w:rsidP="00A10FE4">
            <w:pPr>
              <w:spacing w:after="0" w:line="240" w:lineRule="auto"/>
              <w:jc w:val="right"/>
              <w:rPr>
                <w:rFonts w:eastAsia="Times New Roman" w:cs="Times New Roman"/>
                <w:b/>
                <w:bCs/>
                <w:color w:val="000000"/>
                <w:sz w:val="18"/>
                <w:szCs w:val="18"/>
                <w:lang w:val="en-GB"/>
              </w:rPr>
            </w:pPr>
            <w:r w:rsidRPr="00845FB7">
              <w:rPr>
                <w:rFonts w:eastAsia="Times New Roman" w:cs="Times New Roman"/>
                <w:b/>
                <w:bCs/>
                <w:color w:val="000000"/>
                <w:sz w:val="18"/>
                <w:szCs w:val="18"/>
                <w:lang w:val="en-GB"/>
              </w:rPr>
              <w:t>121,000</w:t>
            </w:r>
          </w:p>
        </w:tc>
      </w:tr>
    </w:tbl>
    <w:p w14:paraId="4FACCD08" w14:textId="0FD3B5B6" w:rsidR="13C44105" w:rsidRPr="00845FB7" w:rsidRDefault="13C44105" w:rsidP="001D585D">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886"/>
        <w:gridCol w:w="2885"/>
        <w:gridCol w:w="2885"/>
        <w:gridCol w:w="2886"/>
      </w:tblGrid>
      <w:tr w:rsidR="009B7A34" w:rsidRPr="00845FB7" w14:paraId="06E95853" w14:textId="77777777" w:rsidTr="009B7A34">
        <w:tc>
          <w:tcPr>
            <w:tcW w:w="2889" w:type="dxa"/>
          </w:tcPr>
          <w:p w14:paraId="4A8D1AA8" w14:textId="77777777" w:rsidR="009B7A34" w:rsidRPr="00845FB7" w:rsidRDefault="009B7A34" w:rsidP="009B7A34">
            <w:pPr>
              <w:pStyle w:val="Normal-pool"/>
              <w:spacing w:before="520"/>
              <w:rPr>
                <w:lang w:val="en-GB"/>
              </w:rPr>
            </w:pPr>
          </w:p>
        </w:tc>
        <w:tc>
          <w:tcPr>
            <w:tcW w:w="2889" w:type="dxa"/>
          </w:tcPr>
          <w:p w14:paraId="224485C3" w14:textId="77777777" w:rsidR="009B7A34" w:rsidRPr="00845FB7" w:rsidRDefault="009B7A34" w:rsidP="009B7A34">
            <w:pPr>
              <w:pStyle w:val="Normal-pool"/>
              <w:spacing w:before="520"/>
              <w:rPr>
                <w:lang w:val="en-GB"/>
              </w:rPr>
            </w:pPr>
          </w:p>
        </w:tc>
        <w:tc>
          <w:tcPr>
            <w:tcW w:w="2889" w:type="dxa"/>
            <w:tcBorders>
              <w:bottom w:val="single" w:sz="4" w:space="0" w:color="auto"/>
            </w:tcBorders>
          </w:tcPr>
          <w:p w14:paraId="39CC49E7" w14:textId="77777777" w:rsidR="009B7A34" w:rsidRPr="00845FB7" w:rsidRDefault="009B7A34" w:rsidP="009B7A34">
            <w:pPr>
              <w:pStyle w:val="Normal-pool"/>
              <w:spacing w:before="520"/>
              <w:rPr>
                <w:lang w:val="en-GB"/>
              </w:rPr>
            </w:pPr>
          </w:p>
        </w:tc>
        <w:tc>
          <w:tcPr>
            <w:tcW w:w="2889" w:type="dxa"/>
          </w:tcPr>
          <w:p w14:paraId="6D3C085E" w14:textId="77777777" w:rsidR="009B7A34" w:rsidRPr="00845FB7" w:rsidRDefault="009B7A34" w:rsidP="009B7A34">
            <w:pPr>
              <w:pStyle w:val="Normal-pool"/>
              <w:spacing w:before="520"/>
              <w:rPr>
                <w:lang w:val="en-GB"/>
              </w:rPr>
            </w:pPr>
          </w:p>
        </w:tc>
        <w:tc>
          <w:tcPr>
            <w:tcW w:w="2890" w:type="dxa"/>
          </w:tcPr>
          <w:p w14:paraId="3319FC1B" w14:textId="77777777" w:rsidR="009B7A34" w:rsidRPr="00845FB7" w:rsidRDefault="009B7A34" w:rsidP="009B7A34">
            <w:pPr>
              <w:pStyle w:val="Normal-pool"/>
              <w:spacing w:before="520"/>
              <w:rPr>
                <w:lang w:val="en-GB"/>
              </w:rPr>
            </w:pPr>
          </w:p>
        </w:tc>
      </w:tr>
    </w:tbl>
    <w:p w14:paraId="47EEBCB1" w14:textId="77777777" w:rsidR="009B7A34" w:rsidRPr="00845FB7" w:rsidRDefault="009B7A34" w:rsidP="009B7A34">
      <w:pPr>
        <w:pStyle w:val="Normal-pool"/>
        <w:rPr>
          <w:lang w:val="en-GB"/>
        </w:rPr>
      </w:pPr>
    </w:p>
    <w:sectPr w:rsidR="009B7A34" w:rsidRPr="00845FB7" w:rsidSect="00BD36F8">
      <w:pgSz w:w="16838" w:h="11906" w:orient="landscape" w:code="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A140" w14:textId="77777777" w:rsidR="00EB5A62" w:rsidRDefault="00EB5A62" w:rsidP="00C0355D">
      <w:pPr>
        <w:spacing w:after="0" w:line="240" w:lineRule="auto"/>
      </w:pPr>
      <w:r>
        <w:separator/>
      </w:r>
    </w:p>
  </w:endnote>
  <w:endnote w:type="continuationSeparator" w:id="0">
    <w:p w14:paraId="1FC62507" w14:textId="77777777" w:rsidR="00EB5A62" w:rsidRDefault="00EB5A62" w:rsidP="00C0355D">
      <w:pPr>
        <w:spacing w:after="0" w:line="240" w:lineRule="auto"/>
      </w:pPr>
      <w:r>
        <w:continuationSeparator/>
      </w:r>
    </w:p>
  </w:endnote>
  <w:endnote w:type="continuationNotice" w:id="1">
    <w:p w14:paraId="519B510A" w14:textId="77777777" w:rsidR="00EB5A62" w:rsidRDefault="00EB5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EE35" w14:textId="77777777" w:rsidR="00466E53" w:rsidRPr="00CD11AC" w:rsidRDefault="00466E53" w:rsidP="00CD11AC">
    <w:pPr>
      <w:pStyle w:val="Footer"/>
      <w:jc w:val="left"/>
      <w:rPr>
        <w:rFonts w:asciiTheme="majorBidi" w:hAnsiTheme="majorBidi" w:cstheme="majorBidi"/>
        <w:b/>
        <w:bCs/>
        <w:noProof/>
        <w:sz w:val="18"/>
        <w:szCs w:val="18"/>
      </w:rPr>
    </w:pPr>
    <w:r w:rsidRPr="00CD11AC">
      <w:rPr>
        <w:rFonts w:asciiTheme="majorBidi" w:hAnsiTheme="majorBidi" w:cstheme="majorBidi"/>
        <w:b/>
        <w:bCs/>
        <w:noProof/>
        <w:sz w:val="18"/>
        <w:szCs w:val="18"/>
      </w:rPr>
      <w:fldChar w:fldCharType="begin"/>
    </w:r>
    <w:r w:rsidRPr="00CD11AC">
      <w:rPr>
        <w:rFonts w:asciiTheme="majorBidi" w:hAnsiTheme="majorBidi" w:cstheme="majorBidi"/>
        <w:b/>
        <w:bCs/>
        <w:noProof/>
        <w:sz w:val="18"/>
        <w:szCs w:val="18"/>
      </w:rPr>
      <w:instrText xml:space="preserve"> PAGE   \* MERGEFORMAT </w:instrText>
    </w:r>
    <w:r w:rsidRPr="00CD11AC">
      <w:rPr>
        <w:rFonts w:asciiTheme="majorBidi" w:hAnsiTheme="majorBidi" w:cstheme="majorBidi"/>
        <w:b/>
        <w:bCs/>
        <w:noProof/>
        <w:sz w:val="18"/>
        <w:szCs w:val="18"/>
      </w:rPr>
      <w:fldChar w:fldCharType="separate"/>
    </w:r>
    <w:r w:rsidRPr="00CD11AC">
      <w:rPr>
        <w:rFonts w:asciiTheme="majorBidi" w:hAnsiTheme="majorBidi" w:cstheme="majorBidi"/>
        <w:b/>
        <w:bCs/>
        <w:noProof/>
        <w:sz w:val="18"/>
        <w:szCs w:val="18"/>
      </w:rPr>
      <w:t>59</w:t>
    </w:r>
    <w:r w:rsidRPr="00CD11AC">
      <w:rPr>
        <w:rFonts w:asciiTheme="majorBidi" w:hAnsiTheme="majorBidi" w:cstheme="majorBidi"/>
        <w:b/>
        <w:bCs/>
        <w:noProof/>
        <w:sz w:val="18"/>
        <w:szCs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165970"/>
      <w:docPartObj>
        <w:docPartGallery w:val="Page Numbers (Bottom of Page)"/>
        <w:docPartUnique/>
      </w:docPartObj>
    </w:sdtPr>
    <w:sdtEndPr>
      <w:rPr>
        <w:noProof/>
        <w:sz w:val="18"/>
        <w:szCs w:val="18"/>
      </w:rPr>
    </w:sdtEndPr>
    <w:sdtContent>
      <w:p w14:paraId="4DB42A99" w14:textId="77777777" w:rsidR="00466E53" w:rsidRPr="00415B3C" w:rsidRDefault="0092003F" w:rsidP="00415B3C">
        <w:pPr>
          <w:pStyle w:val="Footer"/>
          <w:jc w:val="right"/>
          <w:rPr>
            <w:rFonts w:asciiTheme="majorBidi" w:hAnsiTheme="majorBidi" w:cstheme="majorBidi"/>
            <w:noProof/>
            <w:sz w:val="22"/>
          </w:rPr>
        </w:pPr>
        <w:sdt>
          <w:sdtPr>
            <w:id w:val="-596941991"/>
            <w:docPartObj>
              <w:docPartGallery w:val="Page Numbers (Bottom of Page)"/>
              <w:docPartUnique/>
            </w:docPartObj>
          </w:sdtPr>
          <w:sdtEndPr>
            <w:rPr>
              <w:rFonts w:asciiTheme="majorBidi" w:hAnsiTheme="majorBidi" w:cstheme="majorBidi"/>
              <w:noProof/>
              <w:sz w:val="22"/>
            </w:rPr>
          </w:sdtEndPr>
          <w:sdtContent>
            <w:r w:rsidR="00466E53" w:rsidRPr="00A35035">
              <w:rPr>
                <w:rFonts w:ascii="Times New Roman" w:hAnsi="Times New Roman" w:cs="Times New Roman"/>
                <w:b/>
                <w:bCs/>
                <w:noProof/>
                <w:sz w:val="18"/>
                <w:szCs w:val="18"/>
              </w:rPr>
              <w:fldChar w:fldCharType="begin"/>
            </w:r>
            <w:r w:rsidR="00466E53" w:rsidRPr="00A35035">
              <w:rPr>
                <w:rFonts w:ascii="Times New Roman" w:hAnsi="Times New Roman" w:cs="Times New Roman"/>
                <w:b/>
                <w:bCs/>
                <w:noProof/>
                <w:sz w:val="18"/>
                <w:szCs w:val="18"/>
              </w:rPr>
              <w:instrText xml:space="preserve"> PAGE   \* MERGEFORMAT </w:instrText>
            </w:r>
            <w:r w:rsidR="00466E53" w:rsidRPr="00A35035">
              <w:rPr>
                <w:rFonts w:ascii="Times New Roman" w:hAnsi="Times New Roman" w:cs="Times New Roman"/>
                <w:b/>
                <w:bCs/>
                <w:noProof/>
                <w:sz w:val="18"/>
                <w:szCs w:val="18"/>
              </w:rPr>
              <w:fldChar w:fldCharType="separate"/>
            </w:r>
            <w:r w:rsidR="00466E53" w:rsidRPr="00A35035">
              <w:rPr>
                <w:rFonts w:ascii="Times New Roman" w:hAnsi="Times New Roman" w:cs="Times New Roman"/>
                <w:b/>
                <w:bCs/>
                <w:noProof/>
                <w:sz w:val="18"/>
                <w:szCs w:val="18"/>
              </w:rPr>
              <w:t>10</w:t>
            </w:r>
            <w:r w:rsidR="00466E53" w:rsidRPr="00A35035">
              <w:rPr>
                <w:rFonts w:ascii="Times New Roman" w:hAnsi="Times New Roman" w:cs="Times New Roman"/>
                <w:b/>
                <w:bCs/>
                <w:noProof/>
                <w:sz w:val="18"/>
                <w:szCs w:val="18"/>
              </w:rPr>
              <w:fldChar w:fldCharType="end"/>
            </w:r>
          </w:sdtContent>
        </w:sdt>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D094" w14:textId="77777777" w:rsidR="00B550E1" w:rsidRPr="00A35035" w:rsidRDefault="00B550E1" w:rsidP="00BD36F8">
    <w:pPr>
      <w:pStyle w:val="Footer"/>
      <w:jc w:val="right"/>
      <w:rPr>
        <w:rFonts w:asciiTheme="majorBidi" w:hAnsiTheme="majorBidi" w:cstheme="majorBidi"/>
        <w:noProof/>
        <w:sz w:val="18"/>
        <w:szCs w:val="18"/>
      </w:rPr>
    </w:pPr>
    <w:r w:rsidRPr="00A35035">
      <w:rPr>
        <w:rFonts w:asciiTheme="majorBidi" w:hAnsiTheme="majorBidi" w:cstheme="majorBidi"/>
        <w:b/>
        <w:bCs/>
        <w:noProof/>
        <w:sz w:val="18"/>
        <w:szCs w:val="18"/>
      </w:rPr>
      <w:fldChar w:fldCharType="begin"/>
    </w:r>
    <w:r w:rsidRPr="00A35035">
      <w:rPr>
        <w:rFonts w:asciiTheme="majorBidi" w:hAnsiTheme="majorBidi" w:cstheme="majorBidi"/>
        <w:b/>
        <w:bCs/>
        <w:noProof/>
        <w:sz w:val="18"/>
        <w:szCs w:val="18"/>
      </w:rPr>
      <w:instrText xml:space="preserve"> PAGE   \* MERGEFORMAT </w:instrText>
    </w:r>
    <w:r w:rsidRPr="00A35035">
      <w:rPr>
        <w:rFonts w:asciiTheme="majorBidi" w:hAnsiTheme="majorBidi" w:cstheme="majorBidi"/>
        <w:b/>
        <w:bCs/>
        <w:noProof/>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C246" w14:textId="77777777" w:rsidR="00581C4B" w:rsidRPr="00A35035" w:rsidRDefault="00581C4B" w:rsidP="00581C4B">
    <w:pPr>
      <w:pStyle w:val="Footer"/>
      <w:jc w:val="left"/>
      <w:rPr>
        <w:rFonts w:asciiTheme="majorBidi" w:hAnsiTheme="majorBidi" w:cstheme="majorBidi"/>
        <w:noProof/>
        <w:sz w:val="18"/>
        <w:szCs w:val="18"/>
      </w:rPr>
    </w:pPr>
    <w:r w:rsidRPr="00A35035">
      <w:rPr>
        <w:rFonts w:asciiTheme="majorBidi" w:hAnsiTheme="majorBidi" w:cstheme="majorBidi"/>
        <w:b/>
        <w:bCs/>
        <w:noProof/>
        <w:sz w:val="18"/>
        <w:szCs w:val="18"/>
      </w:rPr>
      <w:fldChar w:fldCharType="begin"/>
    </w:r>
    <w:r w:rsidRPr="00A35035">
      <w:rPr>
        <w:rFonts w:asciiTheme="majorBidi" w:hAnsiTheme="majorBidi" w:cstheme="majorBidi"/>
        <w:b/>
        <w:bCs/>
        <w:noProof/>
        <w:sz w:val="18"/>
        <w:szCs w:val="18"/>
      </w:rPr>
      <w:instrText xml:space="preserve"> PAGE   \* MERGEFORMAT </w:instrText>
    </w:r>
    <w:r w:rsidRPr="00A35035">
      <w:rPr>
        <w:rFonts w:asciiTheme="majorBidi" w:hAnsiTheme="majorBidi" w:cstheme="majorBidi"/>
        <w:b/>
        <w:bCs/>
        <w:noProof/>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12286"/>
      <w:docPartObj>
        <w:docPartGallery w:val="Page Numbers (Bottom of Page)"/>
        <w:docPartUnique/>
      </w:docPartObj>
    </w:sdtPr>
    <w:sdtEndPr>
      <w:rPr>
        <w:noProof/>
        <w:sz w:val="18"/>
        <w:szCs w:val="18"/>
      </w:rPr>
    </w:sdtEndPr>
    <w:sdtContent>
      <w:p w14:paraId="27097229" w14:textId="77777777" w:rsidR="008234C6" w:rsidRPr="00415B3C" w:rsidRDefault="0092003F" w:rsidP="00415B3C">
        <w:pPr>
          <w:pStyle w:val="Footer"/>
          <w:jc w:val="right"/>
          <w:rPr>
            <w:rFonts w:asciiTheme="majorBidi" w:hAnsiTheme="majorBidi" w:cstheme="majorBidi"/>
            <w:noProof/>
            <w:sz w:val="22"/>
          </w:rPr>
        </w:pPr>
        <w:sdt>
          <w:sdtPr>
            <w:id w:val="-1917930653"/>
            <w:docPartObj>
              <w:docPartGallery w:val="Page Numbers (Bottom of Page)"/>
              <w:docPartUnique/>
            </w:docPartObj>
          </w:sdtPr>
          <w:sdtEndPr>
            <w:rPr>
              <w:rFonts w:asciiTheme="majorBidi" w:hAnsiTheme="majorBidi" w:cstheme="majorBidi"/>
              <w:noProof/>
              <w:sz w:val="22"/>
            </w:rPr>
          </w:sdtEndPr>
          <w:sdtContent>
            <w:r w:rsidR="008234C6" w:rsidRPr="00A35035">
              <w:rPr>
                <w:rFonts w:ascii="Times New Roman" w:hAnsi="Times New Roman" w:cs="Times New Roman"/>
                <w:b/>
                <w:bCs/>
                <w:noProof/>
                <w:sz w:val="18"/>
                <w:szCs w:val="18"/>
              </w:rPr>
              <w:fldChar w:fldCharType="begin"/>
            </w:r>
            <w:r w:rsidR="008234C6" w:rsidRPr="00A35035">
              <w:rPr>
                <w:rFonts w:ascii="Times New Roman" w:hAnsi="Times New Roman" w:cs="Times New Roman"/>
                <w:b/>
                <w:bCs/>
                <w:noProof/>
                <w:sz w:val="18"/>
                <w:szCs w:val="18"/>
              </w:rPr>
              <w:instrText xml:space="preserve"> PAGE   \* MERGEFORMAT </w:instrText>
            </w:r>
            <w:r w:rsidR="008234C6" w:rsidRPr="00A35035">
              <w:rPr>
                <w:rFonts w:ascii="Times New Roman" w:hAnsi="Times New Roman" w:cs="Times New Roman"/>
                <w:b/>
                <w:bCs/>
                <w:noProof/>
                <w:sz w:val="18"/>
                <w:szCs w:val="18"/>
              </w:rPr>
              <w:fldChar w:fldCharType="separate"/>
            </w:r>
            <w:r w:rsidR="008234C6" w:rsidRPr="00A35035">
              <w:rPr>
                <w:rFonts w:ascii="Times New Roman" w:hAnsi="Times New Roman" w:cs="Times New Roman"/>
                <w:b/>
                <w:bCs/>
                <w:noProof/>
                <w:sz w:val="18"/>
                <w:szCs w:val="18"/>
              </w:rPr>
              <w:t>10</w:t>
            </w:r>
            <w:r w:rsidR="008234C6" w:rsidRPr="00A35035">
              <w:rPr>
                <w:rFonts w:ascii="Times New Roman" w:hAnsi="Times New Roman" w:cs="Times New Roman"/>
                <w:b/>
                <w:bCs/>
                <w:noProof/>
                <w:sz w:val="18"/>
                <w:szCs w:val="18"/>
              </w:rPr>
              <w:fldChar w:fldCharType="end"/>
            </w:r>
          </w:sdtContent>
        </w:sdt>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3926" w14:textId="77777777" w:rsidR="008234C6" w:rsidRPr="00A35035" w:rsidRDefault="008234C6" w:rsidP="00BD36F8">
    <w:pPr>
      <w:pStyle w:val="Footer"/>
      <w:jc w:val="right"/>
      <w:rPr>
        <w:rFonts w:asciiTheme="majorBidi" w:hAnsiTheme="majorBidi" w:cstheme="majorBidi"/>
        <w:noProof/>
        <w:sz w:val="18"/>
        <w:szCs w:val="18"/>
      </w:rPr>
    </w:pPr>
    <w:r w:rsidRPr="00A35035">
      <w:rPr>
        <w:rFonts w:asciiTheme="majorBidi" w:hAnsiTheme="majorBidi" w:cstheme="majorBidi"/>
        <w:b/>
        <w:bCs/>
        <w:noProof/>
        <w:sz w:val="18"/>
        <w:szCs w:val="18"/>
      </w:rPr>
      <w:fldChar w:fldCharType="begin"/>
    </w:r>
    <w:r w:rsidRPr="00A35035">
      <w:rPr>
        <w:rFonts w:asciiTheme="majorBidi" w:hAnsiTheme="majorBidi" w:cstheme="majorBidi"/>
        <w:b/>
        <w:bCs/>
        <w:noProof/>
        <w:sz w:val="18"/>
        <w:szCs w:val="18"/>
      </w:rPr>
      <w:instrText xml:space="preserve"> PAGE   \* MERGEFORMAT </w:instrText>
    </w:r>
    <w:r w:rsidRPr="00A35035">
      <w:rPr>
        <w:rFonts w:asciiTheme="majorBidi" w:hAnsiTheme="majorBidi" w:cstheme="majorBidi"/>
        <w:b/>
        <w:bCs/>
        <w:noProof/>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2E19" w14:textId="77777777" w:rsidR="00C36A98" w:rsidRPr="00CD11AC" w:rsidRDefault="00C36A98" w:rsidP="00CD11AC">
    <w:pPr>
      <w:pStyle w:val="Footer"/>
      <w:jc w:val="left"/>
      <w:rPr>
        <w:rFonts w:asciiTheme="majorBidi" w:hAnsiTheme="majorBidi" w:cstheme="majorBidi"/>
        <w:b/>
        <w:bCs/>
        <w:noProof/>
        <w:sz w:val="18"/>
        <w:szCs w:val="18"/>
      </w:rPr>
    </w:pPr>
    <w:r w:rsidRPr="00CD11AC">
      <w:rPr>
        <w:rFonts w:asciiTheme="majorBidi" w:hAnsiTheme="majorBidi" w:cstheme="majorBidi"/>
        <w:b/>
        <w:bCs/>
        <w:noProof/>
        <w:sz w:val="18"/>
        <w:szCs w:val="18"/>
      </w:rPr>
      <w:fldChar w:fldCharType="begin"/>
    </w:r>
    <w:r w:rsidRPr="00CD11AC">
      <w:rPr>
        <w:rFonts w:asciiTheme="majorBidi" w:hAnsiTheme="majorBidi" w:cstheme="majorBidi"/>
        <w:b/>
        <w:bCs/>
        <w:noProof/>
        <w:sz w:val="18"/>
        <w:szCs w:val="18"/>
      </w:rPr>
      <w:instrText xml:space="preserve"> PAGE   \* MERGEFORMAT </w:instrText>
    </w:r>
    <w:r w:rsidRPr="00CD11AC">
      <w:rPr>
        <w:rFonts w:asciiTheme="majorBidi" w:hAnsiTheme="majorBidi" w:cstheme="majorBidi"/>
        <w:b/>
        <w:bCs/>
        <w:noProof/>
        <w:sz w:val="18"/>
        <w:szCs w:val="18"/>
      </w:rPr>
      <w:fldChar w:fldCharType="separate"/>
    </w:r>
    <w:r w:rsidRPr="00CD11AC">
      <w:rPr>
        <w:rFonts w:asciiTheme="majorBidi" w:hAnsiTheme="majorBidi" w:cstheme="majorBidi"/>
        <w:b/>
        <w:bCs/>
        <w:noProof/>
        <w:sz w:val="18"/>
        <w:szCs w:val="18"/>
      </w:rPr>
      <w:t>59</w:t>
    </w:r>
    <w:r w:rsidRPr="00CD11AC">
      <w:rPr>
        <w:rFonts w:asciiTheme="majorBidi" w:hAnsiTheme="majorBidi" w:cstheme="majorBidi"/>
        <w:b/>
        <w:bCs/>
        <w:noProof/>
        <w:sz w:val="18"/>
        <w:szCs w:val="18"/>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3047" w14:textId="77777777" w:rsidR="00C36A98" w:rsidRPr="00A35035" w:rsidRDefault="00C36A98" w:rsidP="00BD36F8">
    <w:pPr>
      <w:pStyle w:val="Footer"/>
      <w:jc w:val="right"/>
      <w:rPr>
        <w:rFonts w:asciiTheme="majorBidi" w:hAnsiTheme="majorBidi" w:cstheme="majorBidi"/>
        <w:noProof/>
        <w:sz w:val="18"/>
        <w:szCs w:val="18"/>
      </w:rPr>
    </w:pPr>
    <w:r w:rsidRPr="00A35035">
      <w:rPr>
        <w:rFonts w:asciiTheme="majorBidi" w:hAnsiTheme="majorBidi" w:cstheme="majorBidi"/>
        <w:b/>
        <w:bCs/>
        <w:noProof/>
        <w:sz w:val="18"/>
        <w:szCs w:val="18"/>
      </w:rPr>
      <w:fldChar w:fldCharType="begin"/>
    </w:r>
    <w:r w:rsidRPr="00A35035">
      <w:rPr>
        <w:rFonts w:asciiTheme="majorBidi" w:hAnsiTheme="majorBidi" w:cstheme="majorBidi"/>
        <w:b/>
        <w:bCs/>
        <w:noProof/>
        <w:sz w:val="18"/>
        <w:szCs w:val="18"/>
      </w:rPr>
      <w:instrText xml:space="preserve"> PAGE   \* MERGEFORMAT </w:instrText>
    </w:r>
    <w:r w:rsidRPr="00A35035">
      <w:rPr>
        <w:rFonts w:asciiTheme="majorBidi" w:hAnsiTheme="majorBidi" w:cstheme="majorBidi"/>
        <w:b/>
        <w:bCs/>
        <w:noProof/>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b/>
        <w:bCs/>
        <w:noProof/>
        <w:sz w:val="18"/>
        <w:szCs w:val="18"/>
      </w:rPr>
      <w:id w:val="-906379675"/>
      <w:docPartObj>
        <w:docPartGallery w:val="Page Numbers (Bottom of Page)"/>
        <w:docPartUnique/>
      </w:docPartObj>
    </w:sdtPr>
    <w:sdtEndPr/>
    <w:sdtContent>
      <w:p w14:paraId="4966A63B" w14:textId="56E2A81D" w:rsidR="00466E53" w:rsidRPr="00BD36F8" w:rsidRDefault="00466E53" w:rsidP="00BD36F8">
        <w:pPr>
          <w:pStyle w:val="Footer"/>
          <w:jc w:val="right"/>
          <w:rPr>
            <w:rFonts w:asciiTheme="majorBidi" w:hAnsiTheme="majorBidi" w:cstheme="majorBidi"/>
            <w:b/>
            <w:bCs/>
            <w:noProof/>
            <w:sz w:val="18"/>
            <w:szCs w:val="18"/>
          </w:rPr>
        </w:pPr>
        <w:r w:rsidRPr="00BD36F8">
          <w:rPr>
            <w:rFonts w:asciiTheme="majorBidi" w:hAnsiTheme="majorBidi" w:cstheme="majorBidi"/>
            <w:b/>
            <w:bCs/>
            <w:noProof/>
            <w:sz w:val="18"/>
            <w:szCs w:val="18"/>
          </w:rPr>
          <w:fldChar w:fldCharType="begin"/>
        </w:r>
        <w:r w:rsidRPr="00BD36F8">
          <w:rPr>
            <w:rFonts w:asciiTheme="majorBidi" w:hAnsiTheme="majorBidi" w:cstheme="majorBidi"/>
            <w:b/>
            <w:bCs/>
            <w:noProof/>
            <w:sz w:val="18"/>
            <w:szCs w:val="18"/>
          </w:rPr>
          <w:instrText xml:space="preserve"> PAGE   \* MERGEFORMAT </w:instrText>
        </w:r>
        <w:r w:rsidRPr="00BD36F8">
          <w:rPr>
            <w:rFonts w:asciiTheme="majorBidi" w:hAnsiTheme="majorBidi" w:cstheme="majorBidi"/>
            <w:b/>
            <w:bCs/>
            <w:noProof/>
            <w:sz w:val="18"/>
            <w:szCs w:val="18"/>
          </w:rPr>
          <w:fldChar w:fldCharType="separate"/>
        </w:r>
        <w:r w:rsidRPr="00BD36F8">
          <w:rPr>
            <w:rFonts w:asciiTheme="majorBidi" w:hAnsiTheme="majorBidi" w:cstheme="majorBidi"/>
            <w:b/>
            <w:bCs/>
            <w:noProof/>
            <w:sz w:val="18"/>
            <w:szCs w:val="18"/>
          </w:rPr>
          <w:t>2</w:t>
        </w:r>
        <w:r w:rsidRPr="00BD36F8">
          <w:rPr>
            <w:rFonts w:asciiTheme="majorBidi" w:hAnsiTheme="majorBidi" w:cstheme="majorBidi"/>
            <w:b/>
            <w:bCs/>
            <w:noProof/>
            <w:sz w:val="18"/>
            <w:szCs w:val="18"/>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EE15" w14:textId="6ECE8CA6" w:rsidR="00466E53" w:rsidRPr="00A35035" w:rsidRDefault="00466E53"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88B3" w14:textId="77777777" w:rsidR="00C36A98" w:rsidRPr="00A35035" w:rsidRDefault="00C36A98" w:rsidP="00C36A98">
    <w:pPr>
      <w:pStyle w:val="Footer"/>
      <w:jc w:val="lef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ABB7" w14:textId="15AA34F8" w:rsidR="001A002B" w:rsidRPr="00365FF9" w:rsidRDefault="0092003F" w:rsidP="00557A67">
    <w:pPr>
      <w:pStyle w:val="Normal-pool"/>
      <w:tabs>
        <w:tab w:val="clear" w:pos="2381"/>
        <w:tab w:val="clear" w:pos="2948"/>
        <w:tab w:val="clear" w:pos="3515"/>
        <w:tab w:val="clear" w:pos="4082"/>
        <w:tab w:val="left" w:pos="3278"/>
      </w:tabs>
      <w:ind w:firstLine="1247"/>
    </w:pPr>
    <w:r>
      <w:t>22</w:t>
    </w:r>
    <w:r w:rsidR="00AD702C">
      <w:t>0825</w:t>
    </w:r>
    <w:r w:rsidR="00557A67">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1280" w14:textId="77777777" w:rsidR="00466E53" w:rsidRPr="00A35035" w:rsidRDefault="00466E53" w:rsidP="00C36A9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616469"/>
      <w:docPartObj>
        <w:docPartGallery w:val="Page Numbers (Bottom of Page)"/>
        <w:docPartUnique/>
      </w:docPartObj>
    </w:sdtPr>
    <w:sdtEndPr>
      <w:rPr>
        <w:b/>
        <w:bCs/>
        <w:noProof/>
        <w:sz w:val="18"/>
        <w:szCs w:val="18"/>
      </w:rPr>
    </w:sdtEndPr>
    <w:sdtContent>
      <w:p w14:paraId="7B5F6A81" w14:textId="49C6B2ED" w:rsidR="00466E53" w:rsidRPr="00A35035" w:rsidRDefault="00466E53" w:rsidP="00A35035">
        <w:pPr>
          <w:pStyle w:val="Footer"/>
          <w:jc w:val="right"/>
          <w:rPr>
            <w:rFonts w:ascii="Times New Roman" w:hAnsi="Times New Roman" w:cs="Times New Roman"/>
            <w:b/>
            <w:bCs/>
            <w:sz w:val="18"/>
            <w:szCs w:val="18"/>
          </w:rPr>
        </w:pPr>
        <w:r w:rsidRPr="00A35035">
          <w:rPr>
            <w:rFonts w:ascii="Times New Roman" w:hAnsi="Times New Roman" w:cs="Times New Roman"/>
            <w:b/>
            <w:bCs/>
            <w:sz w:val="18"/>
            <w:szCs w:val="18"/>
          </w:rPr>
          <w:fldChar w:fldCharType="begin"/>
        </w:r>
        <w:r w:rsidRPr="00A35035">
          <w:rPr>
            <w:rFonts w:ascii="Times New Roman" w:hAnsi="Times New Roman" w:cs="Times New Roman"/>
            <w:b/>
            <w:bCs/>
            <w:sz w:val="18"/>
            <w:szCs w:val="18"/>
          </w:rPr>
          <w:instrText xml:space="preserve"> PAGE   \* MERGEFORMAT </w:instrText>
        </w:r>
        <w:r w:rsidRPr="00A35035">
          <w:rPr>
            <w:rFonts w:ascii="Times New Roman" w:hAnsi="Times New Roman" w:cs="Times New Roman"/>
            <w:b/>
            <w:bCs/>
            <w:sz w:val="18"/>
            <w:szCs w:val="18"/>
          </w:rPr>
          <w:fldChar w:fldCharType="separate"/>
        </w:r>
        <w:r w:rsidRPr="00A35035">
          <w:rPr>
            <w:rFonts w:ascii="Times New Roman" w:hAnsi="Times New Roman" w:cs="Times New Roman"/>
            <w:b/>
            <w:bCs/>
            <w:noProof/>
            <w:sz w:val="18"/>
            <w:szCs w:val="18"/>
          </w:rPr>
          <w:t>2</w:t>
        </w:r>
        <w:r w:rsidRPr="00A35035">
          <w:rPr>
            <w:rFonts w:ascii="Times New Roman" w:hAnsi="Times New Roman" w:cs="Times New Roman"/>
            <w:b/>
            <w:bCs/>
            <w:noProof/>
            <w:sz w:val="18"/>
            <w:szCs w:val="18"/>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4D2D" w14:textId="77777777" w:rsidR="00C36A98" w:rsidRPr="00A35035" w:rsidRDefault="00C36A98" w:rsidP="00C36A9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72E" w14:textId="77777777" w:rsidR="002928FC" w:rsidRPr="00A35035" w:rsidRDefault="002928FC"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58A9" w14:textId="77777777" w:rsidR="002928FC" w:rsidRPr="00A35035" w:rsidRDefault="002928FC" w:rsidP="00BD36F8">
    <w:pPr>
      <w:pStyle w:val="Footer"/>
      <w:jc w:val="lef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3028" w14:textId="77777777" w:rsidR="00466E53" w:rsidRPr="00A35035" w:rsidRDefault="00466E53"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CA7F" w14:textId="77777777" w:rsidR="00466E53" w:rsidRPr="00A35035" w:rsidRDefault="00466E53" w:rsidP="00BD36F8">
    <w:pPr>
      <w:pStyle w:val="Footer"/>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2E2A" w14:textId="77777777" w:rsidR="00466E53" w:rsidRPr="00A35035" w:rsidRDefault="00466E53" w:rsidP="009B7A34">
    <w:pPr>
      <w:pStyle w:val="Footer"/>
      <w:jc w:val="lef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CF2E" w14:textId="77777777" w:rsidR="00466E53" w:rsidRPr="00A35035" w:rsidRDefault="00466E53" w:rsidP="00BD36F8">
    <w:pPr>
      <w:pStyle w:val="Footer"/>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BCA7" w14:textId="77777777" w:rsidR="00466E53" w:rsidRPr="00A35035" w:rsidRDefault="00466E53"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9F9F" w14:textId="07D8943F" w:rsidR="00466E53" w:rsidRPr="00CD11AC" w:rsidRDefault="00466E53" w:rsidP="00220A5B">
    <w:pPr>
      <w:pStyle w:val="Footer"/>
      <w:jc w:val="left"/>
      <w:rPr>
        <w:rStyle w:val="Normal-poolChar"/>
        <w:b/>
        <w:bCs/>
        <w:sz w:val="18"/>
        <w:szCs w:val="18"/>
      </w:rPr>
    </w:pPr>
    <w:r w:rsidRPr="00CD11AC">
      <w:rPr>
        <w:rStyle w:val="Normal-poolChar"/>
        <w:b/>
        <w:bCs/>
        <w:sz w:val="18"/>
        <w:szCs w:val="18"/>
      </w:rPr>
      <w:fldChar w:fldCharType="begin"/>
    </w:r>
    <w:r w:rsidRPr="00CD11AC">
      <w:rPr>
        <w:rStyle w:val="Normal-poolChar"/>
        <w:b/>
        <w:bCs/>
        <w:sz w:val="18"/>
        <w:szCs w:val="18"/>
      </w:rPr>
      <w:instrText xml:space="preserve"> PAGE   \* MERGEFORMAT </w:instrText>
    </w:r>
    <w:r w:rsidRPr="00CD11AC">
      <w:rPr>
        <w:rStyle w:val="Normal-poolChar"/>
        <w:b/>
        <w:bCs/>
        <w:sz w:val="18"/>
        <w:szCs w:val="18"/>
      </w:rPr>
      <w:fldChar w:fldCharType="separate"/>
    </w:r>
    <w:r w:rsidRPr="00CD11AC">
      <w:rPr>
        <w:rStyle w:val="Normal-poolChar"/>
        <w:b/>
        <w:bCs/>
        <w:sz w:val="18"/>
        <w:szCs w:val="18"/>
      </w:rPr>
      <w:t>2</w:t>
    </w:r>
    <w:r w:rsidRPr="00CD11AC">
      <w:rPr>
        <w:rStyle w:val="Normal-poolChar"/>
        <w:b/>
        <w:bCs/>
        <w:sz w:val="18"/>
        <w:szCs w:val="18"/>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3C69" w14:textId="77777777" w:rsidR="00466E53" w:rsidRPr="00A35035" w:rsidRDefault="00466E53" w:rsidP="00BD36F8">
    <w:pPr>
      <w:pStyle w:val="Footer"/>
      <w:jc w:val="lef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2870" w14:textId="77777777" w:rsidR="00466E53" w:rsidRPr="00A35035" w:rsidRDefault="00466E53"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594C" w14:textId="77777777" w:rsidR="00466E53" w:rsidRPr="00A35035" w:rsidRDefault="00466E53" w:rsidP="00BD36F8">
    <w:pPr>
      <w:pStyle w:val="Footer"/>
      <w:jc w:val="lef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24F9" w14:textId="77777777" w:rsidR="00466E53" w:rsidRPr="00A35035" w:rsidRDefault="00466E53"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996" w14:textId="77777777" w:rsidR="00466E53" w:rsidRPr="00A35035" w:rsidRDefault="00466E53" w:rsidP="00BD36F8">
    <w:pPr>
      <w:pStyle w:val="Footer"/>
      <w:jc w:val="lef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7297" w14:textId="77777777" w:rsidR="00466E53" w:rsidRPr="00A35035" w:rsidRDefault="00466E53"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B945" w14:textId="77777777" w:rsidR="00466E53" w:rsidRPr="00A35035" w:rsidRDefault="00466E53" w:rsidP="00BD36F8">
    <w:pPr>
      <w:pStyle w:val="Footer"/>
      <w:jc w:val="lef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0159" w14:textId="77777777" w:rsidR="00466E53" w:rsidRPr="00A35035" w:rsidRDefault="00466E53" w:rsidP="00BD36F8">
    <w:pPr>
      <w:pStyle w:val="Footer"/>
      <w:jc w:val="right"/>
      <w:rPr>
        <w:rFonts w:ascii="Times New Roman" w:hAnsi="Times New Roman" w:cs="Times New Roman"/>
        <w:b/>
        <w:bCs/>
        <w:sz w:val="18"/>
        <w:szCs w:val="18"/>
      </w:rPr>
    </w:pPr>
    <w:r w:rsidRPr="00A35035">
      <w:rPr>
        <w:rFonts w:asciiTheme="majorBidi" w:hAnsiTheme="majorBidi" w:cstheme="majorBidi"/>
        <w:b/>
        <w:bCs/>
        <w:sz w:val="18"/>
        <w:szCs w:val="18"/>
      </w:rPr>
      <w:fldChar w:fldCharType="begin"/>
    </w:r>
    <w:r w:rsidRPr="00A35035">
      <w:rPr>
        <w:rFonts w:asciiTheme="majorBidi" w:hAnsiTheme="majorBidi" w:cstheme="majorBidi"/>
        <w:b/>
        <w:bCs/>
        <w:sz w:val="18"/>
        <w:szCs w:val="18"/>
      </w:rPr>
      <w:instrText xml:space="preserve"> PAGE   \* MERGEFORMAT </w:instrText>
    </w:r>
    <w:r w:rsidRPr="00A35035">
      <w:rPr>
        <w:rFonts w:asciiTheme="majorBidi" w:hAnsiTheme="majorBidi" w:cstheme="majorBidi"/>
        <w:b/>
        <w:bCs/>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03E5" w14:textId="77777777" w:rsidR="007853FE" w:rsidRPr="00623AF1" w:rsidRDefault="007853FE" w:rsidP="00CD11AC">
    <w:pPr>
      <w:pStyle w:val="Footer"/>
      <w:jc w:val="left"/>
      <w:rPr>
        <w:rFonts w:ascii="Times New Roman" w:hAnsi="Times New Roman" w:cs="Times New Roman"/>
        <w:b/>
        <w:bCs/>
        <w:noProof/>
        <w:sz w:val="18"/>
        <w:szCs w:val="18"/>
      </w:rPr>
    </w:pPr>
    <w:r w:rsidRPr="00623AF1">
      <w:rPr>
        <w:rFonts w:ascii="Times New Roman" w:hAnsi="Times New Roman" w:cs="Times New Roman"/>
        <w:b/>
        <w:bCs/>
        <w:noProof/>
        <w:sz w:val="18"/>
        <w:szCs w:val="18"/>
      </w:rPr>
      <w:fldChar w:fldCharType="begin"/>
    </w:r>
    <w:r w:rsidRPr="00623AF1">
      <w:rPr>
        <w:rFonts w:ascii="Times New Roman" w:hAnsi="Times New Roman" w:cs="Times New Roman"/>
        <w:b/>
        <w:bCs/>
        <w:noProof/>
        <w:sz w:val="18"/>
        <w:szCs w:val="18"/>
      </w:rPr>
      <w:instrText xml:space="preserve"> PAGE   \* MERGEFORMAT </w:instrText>
    </w:r>
    <w:r w:rsidRPr="00623AF1">
      <w:rPr>
        <w:rFonts w:ascii="Times New Roman" w:hAnsi="Times New Roman" w:cs="Times New Roman"/>
        <w:b/>
        <w:bCs/>
        <w:noProof/>
        <w:sz w:val="18"/>
        <w:szCs w:val="18"/>
      </w:rPr>
      <w:fldChar w:fldCharType="separate"/>
    </w:r>
    <w:r w:rsidRPr="00623AF1">
      <w:rPr>
        <w:rFonts w:ascii="Times New Roman" w:hAnsi="Times New Roman" w:cs="Times New Roman"/>
        <w:b/>
        <w:bCs/>
        <w:noProof/>
        <w:sz w:val="18"/>
        <w:szCs w:val="18"/>
      </w:rPr>
      <w:t>59</w:t>
    </w:r>
    <w:r w:rsidRPr="00623AF1">
      <w:rPr>
        <w:rFonts w:ascii="Times New Roman" w:hAnsi="Times New Roman" w:cs="Times New Roman"/>
        <w:b/>
        <w:bCs/>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noProof/>
        <w:sz w:val="22"/>
      </w:rPr>
      <w:id w:val="1064368311"/>
      <w:docPartObj>
        <w:docPartGallery w:val="Page Numbers (Bottom of Page)"/>
        <w:docPartUnique/>
      </w:docPartObj>
    </w:sdtPr>
    <w:sdtEndPr>
      <w:rPr>
        <w:rStyle w:val="Normal-poolChar"/>
        <w:rFonts w:eastAsia="SimSun"/>
        <w:b/>
        <w:bCs/>
        <w:noProof w:val="0"/>
        <w:sz w:val="18"/>
        <w:szCs w:val="18"/>
        <w:lang w:eastAsia="en-US"/>
      </w:rPr>
    </w:sdtEndPr>
    <w:sdtContent>
      <w:p w14:paraId="07EAF4A9" w14:textId="440C8BC0" w:rsidR="00466E53" w:rsidRPr="00CD11AC" w:rsidRDefault="00466E53" w:rsidP="00A55C18">
        <w:pPr>
          <w:pStyle w:val="Footer"/>
          <w:jc w:val="right"/>
          <w:rPr>
            <w:rStyle w:val="Normal-poolChar"/>
            <w:b/>
            <w:bCs/>
            <w:sz w:val="18"/>
            <w:szCs w:val="18"/>
          </w:rPr>
        </w:pPr>
        <w:r w:rsidRPr="00CD11AC">
          <w:rPr>
            <w:rStyle w:val="Normal-poolChar"/>
            <w:b/>
            <w:bCs/>
            <w:sz w:val="18"/>
            <w:szCs w:val="18"/>
          </w:rPr>
          <w:fldChar w:fldCharType="begin"/>
        </w:r>
        <w:r w:rsidRPr="00CD11AC">
          <w:rPr>
            <w:rStyle w:val="Normal-poolChar"/>
            <w:b/>
            <w:bCs/>
            <w:sz w:val="18"/>
            <w:szCs w:val="18"/>
          </w:rPr>
          <w:instrText xml:space="preserve"> PAGE   \* MERGEFORMAT </w:instrText>
        </w:r>
        <w:r w:rsidRPr="00CD11AC">
          <w:rPr>
            <w:rStyle w:val="Normal-poolChar"/>
            <w:b/>
            <w:bCs/>
            <w:sz w:val="18"/>
            <w:szCs w:val="18"/>
          </w:rPr>
          <w:fldChar w:fldCharType="separate"/>
        </w:r>
        <w:r w:rsidRPr="00CD11AC">
          <w:rPr>
            <w:rStyle w:val="Normal-poolChar"/>
            <w:b/>
            <w:bCs/>
            <w:sz w:val="18"/>
            <w:szCs w:val="18"/>
          </w:rPr>
          <w:t>2</w:t>
        </w:r>
        <w:r w:rsidRPr="00CD11AC">
          <w:rPr>
            <w:rStyle w:val="Normal-poolChar"/>
            <w:b/>
            <w:bCs/>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77EA" w14:textId="77777777" w:rsidR="00466E53" w:rsidRPr="00CD11AC" w:rsidRDefault="00466E53" w:rsidP="00BD36F8">
    <w:pPr>
      <w:pStyle w:val="Footer"/>
      <w:jc w:val="left"/>
      <w:rPr>
        <w:rStyle w:val="Normal-poolChar"/>
        <w:b/>
        <w:bCs/>
        <w:sz w:val="18"/>
        <w:szCs w:val="18"/>
      </w:rPr>
    </w:pPr>
    <w:r w:rsidRPr="00CD11AC">
      <w:rPr>
        <w:rStyle w:val="Normal-poolChar"/>
        <w:b/>
        <w:bCs/>
        <w:sz w:val="18"/>
        <w:szCs w:val="18"/>
      </w:rPr>
      <w:fldChar w:fldCharType="begin"/>
    </w:r>
    <w:r w:rsidRPr="00CD11AC">
      <w:rPr>
        <w:rStyle w:val="Normal-poolChar"/>
        <w:b/>
        <w:bCs/>
        <w:sz w:val="18"/>
        <w:szCs w:val="18"/>
      </w:rPr>
      <w:instrText xml:space="preserve"> PAGE   \* MERGEFORMAT </w:instrText>
    </w:r>
    <w:r w:rsidRPr="00CD11AC">
      <w:rPr>
        <w:rStyle w:val="Normal-poolChar"/>
        <w:b/>
        <w:bCs/>
        <w:sz w:val="18"/>
        <w:szCs w:val="18"/>
      </w:rPr>
      <w:fldChar w:fldCharType="separate"/>
    </w:r>
    <w:r w:rsidRPr="00CD11AC">
      <w:rPr>
        <w:rStyle w:val="Normal-poolChar"/>
        <w:b/>
        <w:bCs/>
        <w:sz w:val="18"/>
        <w:szCs w:val="18"/>
      </w:rPr>
      <w:t>2</w:t>
    </w:r>
    <w:r w:rsidRPr="00CD11AC">
      <w:rPr>
        <w:rStyle w:val="Normal-poolChar"/>
        <w:b/>
        <w:b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39953"/>
      <w:docPartObj>
        <w:docPartGallery w:val="Page Numbers (Bottom of Page)"/>
        <w:docPartUnique/>
      </w:docPartObj>
    </w:sdtPr>
    <w:sdtEndPr>
      <w:rPr>
        <w:noProof/>
        <w:sz w:val="18"/>
        <w:szCs w:val="18"/>
      </w:rPr>
    </w:sdtEndPr>
    <w:sdtContent>
      <w:p w14:paraId="5AF97C4B" w14:textId="157E383E" w:rsidR="00466E53" w:rsidRPr="00415B3C" w:rsidRDefault="0092003F" w:rsidP="00415B3C">
        <w:pPr>
          <w:pStyle w:val="Footer"/>
          <w:jc w:val="right"/>
          <w:rPr>
            <w:rFonts w:asciiTheme="majorBidi" w:hAnsiTheme="majorBidi" w:cstheme="majorBidi"/>
            <w:noProof/>
            <w:sz w:val="22"/>
          </w:rPr>
        </w:pPr>
        <w:sdt>
          <w:sdtPr>
            <w:id w:val="-1173028949"/>
            <w:docPartObj>
              <w:docPartGallery w:val="Page Numbers (Bottom of Page)"/>
              <w:docPartUnique/>
            </w:docPartObj>
          </w:sdtPr>
          <w:sdtEndPr>
            <w:rPr>
              <w:rFonts w:asciiTheme="majorBidi" w:hAnsiTheme="majorBidi" w:cstheme="majorBidi"/>
              <w:noProof/>
              <w:sz w:val="22"/>
            </w:rPr>
          </w:sdtEndPr>
          <w:sdtContent>
            <w:r w:rsidR="00466E53" w:rsidRPr="00A35035">
              <w:rPr>
                <w:rFonts w:ascii="Times New Roman" w:hAnsi="Times New Roman" w:cs="Times New Roman"/>
                <w:b/>
                <w:bCs/>
                <w:noProof/>
                <w:sz w:val="18"/>
                <w:szCs w:val="18"/>
              </w:rPr>
              <w:fldChar w:fldCharType="begin"/>
            </w:r>
            <w:r w:rsidR="00466E53" w:rsidRPr="00A35035">
              <w:rPr>
                <w:rFonts w:ascii="Times New Roman" w:hAnsi="Times New Roman" w:cs="Times New Roman"/>
                <w:b/>
                <w:bCs/>
                <w:noProof/>
                <w:sz w:val="18"/>
                <w:szCs w:val="18"/>
              </w:rPr>
              <w:instrText xml:space="preserve"> PAGE   \* MERGEFORMAT </w:instrText>
            </w:r>
            <w:r w:rsidR="00466E53" w:rsidRPr="00A35035">
              <w:rPr>
                <w:rFonts w:ascii="Times New Roman" w:hAnsi="Times New Roman" w:cs="Times New Roman"/>
                <w:b/>
                <w:bCs/>
                <w:noProof/>
                <w:sz w:val="18"/>
                <w:szCs w:val="18"/>
              </w:rPr>
              <w:fldChar w:fldCharType="separate"/>
            </w:r>
            <w:r w:rsidR="00466E53" w:rsidRPr="00A35035">
              <w:rPr>
                <w:rFonts w:ascii="Times New Roman" w:hAnsi="Times New Roman" w:cs="Times New Roman"/>
                <w:b/>
                <w:bCs/>
                <w:noProof/>
                <w:sz w:val="18"/>
                <w:szCs w:val="18"/>
              </w:rPr>
              <w:t>10</w:t>
            </w:r>
            <w:r w:rsidR="00466E53" w:rsidRPr="00A35035">
              <w:rPr>
                <w:rFonts w:ascii="Times New Roman" w:hAnsi="Times New Roman" w:cs="Times New Roman"/>
                <w:b/>
                <w:bCs/>
                <w:noProof/>
                <w:sz w:val="18"/>
                <w:szCs w:val="18"/>
              </w:rPr>
              <w:fldChar w:fldCharType="end"/>
            </w:r>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C942" w14:textId="595572A1" w:rsidR="00466E53" w:rsidRPr="00A35035" w:rsidRDefault="00466E53" w:rsidP="00BD36F8">
    <w:pPr>
      <w:pStyle w:val="Footer"/>
      <w:jc w:val="right"/>
      <w:rPr>
        <w:rFonts w:asciiTheme="majorBidi" w:hAnsiTheme="majorBidi" w:cstheme="majorBidi"/>
        <w:noProof/>
        <w:sz w:val="18"/>
        <w:szCs w:val="18"/>
      </w:rPr>
    </w:pPr>
    <w:r w:rsidRPr="00A35035">
      <w:rPr>
        <w:rFonts w:asciiTheme="majorBidi" w:hAnsiTheme="majorBidi" w:cstheme="majorBidi"/>
        <w:b/>
        <w:bCs/>
        <w:noProof/>
        <w:sz w:val="18"/>
        <w:szCs w:val="18"/>
      </w:rPr>
      <w:fldChar w:fldCharType="begin"/>
    </w:r>
    <w:r w:rsidRPr="00A35035">
      <w:rPr>
        <w:rFonts w:asciiTheme="majorBidi" w:hAnsiTheme="majorBidi" w:cstheme="majorBidi"/>
        <w:b/>
        <w:bCs/>
        <w:noProof/>
        <w:sz w:val="18"/>
        <w:szCs w:val="18"/>
      </w:rPr>
      <w:instrText xml:space="preserve"> PAGE   \* MERGEFORMAT </w:instrText>
    </w:r>
    <w:r w:rsidRPr="00A35035">
      <w:rPr>
        <w:rFonts w:asciiTheme="majorBidi" w:hAnsiTheme="majorBidi" w:cstheme="majorBidi"/>
        <w:b/>
        <w:bCs/>
        <w:noProof/>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C789" w14:textId="77777777" w:rsidR="00466E53" w:rsidRPr="00A35035" w:rsidRDefault="00466E53" w:rsidP="00BD36F8">
    <w:pPr>
      <w:pStyle w:val="Footer"/>
      <w:jc w:val="left"/>
      <w:rPr>
        <w:rFonts w:asciiTheme="majorBidi" w:hAnsiTheme="majorBidi" w:cstheme="majorBidi"/>
        <w:noProof/>
        <w:sz w:val="18"/>
        <w:szCs w:val="18"/>
      </w:rPr>
    </w:pPr>
    <w:r w:rsidRPr="00A35035">
      <w:rPr>
        <w:rFonts w:asciiTheme="majorBidi" w:hAnsiTheme="majorBidi" w:cstheme="majorBidi"/>
        <w:b/>
        <w:bCs/>
        <w:noProof/>
        <w:sz w:val="18"/>
        <w:szCs w:val="18"/>
      </w:rPr>
      <w:fldChar w:fldCharType="begin"/>
    </w:r>
    <w:r w:rsidRPr="00A35035">
      <w:rPr>
        <w:rFonts w:asciiTheme="majorBidi" w:hAnsiTheme="majorBidi" w:cstheme="majorBidi"/>
        <w:b/>
        <w:bCs/>
        <w:noProof/>
        <w:sz w:val="18"/>
        <w:szCs w:val="18"/>
      </w:rPr>
      <w:instrText xml:space="preserve"> PAGE   \* MERGEFORMAT </w:instrText>
    </w:r>
    <w:r w:rsidRPr="00A35035">
      <w:rPr>
        <w:rFonts w:asciiTheme="majorBidi" w:hAnsiTheme="majorBidi" w:cstheme="majorBidi"/>
        <w:b/>
        <w:bCs/>
        <w:noProof/>
        <w:sz w:val="18"/>
        <w:szCs w:val="18"/>
      </w:rPr>
      <w:fldChar w:fldCharType="separate"/>
    </w:r>
    <w:r w:rsidRPr="00A35035">
      <w:rPr>
        <w:rFonts w:asciiTheme="majorBidi" w:hAnsiTheme="majorBidi" w:cstheme="majorBidi"/>
        <w:b/>
        <w:bCs/>
        <w:noProof/>
        <w:sz w:val="18"/>
        <w:szCs w:val="18"/>
      </w:rPr>
      <w:t>2</w:t>
    </w:r>
    <w:r w:rsidRPr="00A35035">
      <w:rPr>
        <w:rFonts w:asciiTheme="majorBidi" w:hAnsiTheme="majorBidi" w:cstheme="majorBid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ABD12" w14:textId="77777777" w:rsidR="00EB5A62" w:rsidRPr="003B7B72" w:rsidRDefault="00EB5A62" w:rsidP="003B7B72">
      <w:pPr>
        <w:pStyle w:val="Normal-pool"/>
        <w:spacing w:before="60"/>
        <w:ind w:left="624"/>
        <w:rPr>
          <w:sz w:val="18"/>
          <w:szCs w:val="18"/>
        </w:rPr>
      </w:pPr>
      <w:r w:rsidRPr="003B7B72">
        <w:rPr>
          <w:sz w:val="18"/>
          <w:szCs w:val="18"/>
        </w:rPr>
        <w:separator/>
      </w:r>
    </w:p>
  </w:footnote>
  <w:footnote w:type="continuationSeparator" w:id="0">
    <w:p w14:paraId="17ADD700" w14:textId="77777777" w:rsidR="00EB5A62" w:rsidRDefault="00EB5A62" w:rsidP="00C0355D">
      <w:pPr>
        <w:spacing w:after="0" w:line="240" w:lineRule="auto"/>
      </w:pPr>
      <w:r>
        <w:continuationSeparator/>
      </w:r>
    </w:p>
  </w:footnote>
  <w:footnote w:type="continuationNotice" w:id="1">
    <w:p w14:paraId="28FCF634" w14:textId="77777777" w:rsidR="00EB5A62" w:rsidRDefault="00EB5A62">
      <w:pPr>
        <w:spacing w:after="0" w:line="240" w:lineRule="auto"/>
      </w:pPr>
    </w:p>
  </w:footnote>
  <w:footnote w:id="2">
    <w:p w14:paraId="2A6500E4" w14:textId="77777777" w:rsidR="0092003F" w:rsidRPr="0092003F" w:rsidRDefault="0092003F" w:rsidP="0092003F">
      <w:pPr>
        <w:pStyle w:val="FootnoteText"/>
        <w:spacing w:before="20" w:after="40"/>
        <w:ind w:left="1247"/>
        <w:rPr>
          <w:rFonts w:asciiTheme="majorBidi" w:hAnsiTheme="majorBidi" w:cstheme="majorBidi"/>
          <w:sz w:val="18"/>
          <w:szCs w:val="18"/>
          <w:lang w:val="fr-CH"/>
        </w:rPr>
      </w:pPr>
      <w:r w:rsidRPr="0092003F">
        <w:rPr>
          <w:rStyle w:val="FootnoteReference"/>
          <w:rFonts w:asciiTheme="majorBidi" w:hAnsiTheme="majorBidi" w:cstheme="majorBidi"/>
          <w:sz w:val="18"/>
          <w:szCs w:val="18"/>
          <w:vertAlign w:val="baseline"/>
        </w:rPr>
        <w:t>*</w:t>
      </w:r>
      <w:r w:rsidRPr="0092003F">
        <w:rPr>
          <w:rFonts w:asciiTheme="majorBidi" w:hAnsiTheme="majorBidi" w:cstheme="majorBidi"/>
          <w:sz w:val="18"/>
          <w:szCs w:val="18"/>
        </w:rPr>
        <w:t xml:space="preserve"> Reissued for technical reasons on 22 August 2025.</w:t>
      </w:r>
    </w:p>
  </w:footnote>
  <w:footnote w:id="3">
    <w:p w14:paraId="53BE9326" w14:textId="77777777" w:rsidR="00095C67" w:rsidRPr="0092003F" w:rsidRDefault="00095C67" w:rsidP="0092003F">
      <w:pPr>
        <w:pStyle w:val="Footnote-Text"/>
        <w:tabs>
          <w:tab w:val="clear" w:pos="1247"/>
          <w:tab w:val="clear" w:pos="1871"/>
          <w:tab w:val="clear" w:pos="2495"/>
          <w:tab w:val="clear" w:pos="3119"/>
          <w:tab w:val="clear" w:pos="3742"/>
          <w:tab w:val="clear" w:pos="4366"/>
        </w:tabs>
        <w:rPr>
          <w:rFonts w:asciiTheme="majorBidi" w:hAnsiTheme="majorBidi" w:cstheme="majorBidi"/>
          <w:szCs w:val="18"/>
        </w:rPr>
      </w:pPr>
      <w:r w:rsidRPr="0092003F">
        <w:rPr>
          <w:rStyle w:val="FootnoteReference"/>
          <w:rFonts w:asciiTheme="majorBidi" w:eastAsia="MS Mincho" w:hAnsiTheme="majorBidi" w:cstheme="majorBidi"/>
          <w:szCs w:val="18"/>
          <w:vertAlign w:val="baseline"/>
        </w:rPr>
        <w:t>**</w:t>
      </w:r>
      <w:r w:rsidRPr="0092003F">
        <w:rPr>
          <w:rFonts w:asciiTheme="majorBidi" w:hAnsiTheme="majorBidi" w:cstheme="majorBidi"/>
          <w:szCs w:val="18"/>
        </w:rPr>
        <w:t xml:space="preserve"> UNEP</w:t>
      </w:r>
      <w:r w:rsidRPr="0092003F">
        <w:rPr>
          <w:rFonts w:asciiTheme="majorBidi" w:hAnsiTheme="majorBidi" w:cstheme="majorBidi"/>
          <w:b/>
          <w:bCs/>
          <w:szCs w:val="18"/>
        </w:rPr>
        <w:t>/</w:t>
      </w:r>
      <w:r w:rsidRPr="0092003F">
        <w:rPr>
          <w:rFonts w:asciiTheme="majorBidi" w:hAnsiTheme="majorBidi" w:cstheme="majorBidi"/>
          <w:szCs w:val="18"/>
        </w:rPr>
        <w:t>MC/COP.6/1/Rev.1.</w:t>
      </w:r>
    </w:p>
  </w:footnote>
  <w:footnote w:id="4">
    <w:p w14:paraId="1790BB86" w14:textId="77777777" w:rsidR="006C593F" w:rsidRPr="00EA76CC" w:rsidRDefault="006C593F" w:rsidP="0092003F">
      <w:pPr>
        <w:pStyle w:val="FootnoteText"/>
        <w:spacing w:before="20" w:after="40"/>
        <w:ind w:left="1247"/>
      </w:pPr>
      <w:r w:rsidRPr="0092003F">
        <w:rPr>
          <w:rStyle w:val="FootnoteReference"/>
          <w:rFonts w:asciiTheme="majorBidi" w:hAnsiTheme="majorBidi" w:cstheme="majorBidi"/>
          <w:sz w:val="18"/>
          <w:szCs w:val="18"/>
          <w:vertAlign w:val="baseline"/>
        </w:rPr>
        <w:t>***</w:t>
      </w:r>
      <w:r w:rsidRPr="0092003F">
        <w:rPr>
          <w:rFonts w:asciiTheme="majorBidi" w:hAnsiTheme="majorBidi" w:cstheme="majorBidi"/>
          <w:sz w:val="18"/>
          <w:szCs w:val="18"/>
        </w:rPr>
        <w:t xml:space="preserve"> This document has not been formally edited.</w:t>
      </w:r>
    </w:p>
  </w:footnote>
  <w:footnote w:id="5">
    <w:p w14:paraId="3BC138F6" w14:textId="191BBCBB" w:rsidR="00466E53" w:rsidRDefault="00466E53" w:rsidP="0052667E">
      <w:pPr>
        <w:pStyle w:val="FootnoteText"/>
        <w:ind w:left="737"/>
        <w:rPr>
          <w:rFonts w:eastAsia="DengXian" w:cs="Arial"/>
        </w:rPr>
      </w:pPr>
      <w:r w:rsidRPr="0052667E">
        <w:rPr>
          <w:rStyle w:val="FootnoteReference"/>
          <w:rFonts w:eastAsia="DengXian" w:cs="Arial"/>
          <w:sz w:val="16"/>
          <w:szCs w:val="16"/>
        </w:rPr>
        <w:footnoteRef/>
      </w:r>
      <w:r w:rsidRPr="0052667E">
        <w:rPr>
          <w:rFonts w:eastAsia="DengXian" w:cs="Arial"/>
          <w:sz w:val="16"/>
          <w:szCs w:val="16"/>
        </w:rPr>
        <w:t xml:space="preserve"> </w:t>
      </w:r>
      <w:r w:rsidRPr="0052667E">
        <w:rPr>
          <w:rFonts w:cstheme="majorBidi"/>
          <w:sz w:val="16"/>
          <w:szCs w:val="16"/>
        </w:rPr>
        <w:t xml:space="preserve">According to Rule 38 of the Rules of Procedure of the Committee, the working language of the Committee shall be English. In accordance with Rule 39, sessions of the meetings of the Committee where the implementation and/or compliance of a particular </w:t>
      </w:r>
      <w:r w:rsidR="00AE24F8">
        <w:rPr>
          <w:rFonts w:cstheme="majorBidi"/>
          <w:sz w:val="16"/>
          <w:szCs w:val="16"/>
        </w:rPr>
        <w:t>P</w:t>
      </w:r>
      <w:r w:rsidRPr="0052667E">
        <w:rPr>
          <w:rFonts w:cstheme="majorBidi"/>
          <w:sz w:val="16"/>
          <w:szCs w:val="16"/>
        </w:rPr>
        <w:t xml:space="preserve">arty is being considered shall be interpreted from an official language of the United Nations other than English into English if so requested by the particular </w:t>
      </w:r>
      <w:r w:rsidR="00AE24F8">
        <w:rPr>
          <w:rFonts w:cstheme="majorBidi"/>
          <w:sz w:val="16"/>
          <w:szCs w:val="16"/>
        </w:rPr>
        <w:t>P</w:t>
      </w:r>
      <w:r w:rsidRPr="0052667E">
        <w:rPr>
          <w:rFonts w:cstheme="majorBidi"/>
          <w:sz w:val="16"/>
          <w:szCs w:val="16"/>
        </w:rPr>
        <w:t xml:space="preserve">arty. Rule 40 states that official documents of the meetings shall be drawn up in English. However, submissions from </w:t>
      </w:r>
      <w:r w:rsidR="00AE24F8">
        <w:rPr>
          <w:rFonts w:cstheme="majorBidi"/>
          <w:sz w:val="16"/>
          <w:szCs w:val="16"/>
        </w:rPr>
        <w:t>P</w:t>
      </w:r>
      <w:r w:rsidRPr="0052667E">
        <w:rPr>
          <w:rFonts w:cstheme="majorBidi"/>
          <w:sz w:val="16"/>
          <w:szCs w:val="16"/>
        </w:rPr>
        <w:t xml:space="preserve">arties as per paragraph 4 (a) of </w:t>
      </w:r>
      <w:r w:rsidR="00DD1E0C">
        <w:rPr>
          <w:rFonts w:cstheme="majorBidi"/>
          <w:sz w:val="16"/>
          <w:szCs w:val="16"/>
        </w:rPr>
        <w:t>A</w:t>
      </w:r>
      <w:r w:rsidRPr="0052667E">
        <w:rPr>
          <w:rFonts w:cstheme="majorBidi"/>
          <w:sz w:val="16"/>
          <w:szCs w:val="16"/>
        </w:rPr>
        <w:t xml:space="preserve">rticle 15 of the Convention shall be made in one of the six official languages of the United Nations. When submitted in one of the official languages of the United Nations other than English, the </w:t>
      </w:r>
      <w:r w:rsidR="00844A88">
        <w:rPr>
          <w:rFonts w:cstheme="majorBidi"/>
          <w:sz w:val="16"/>
          <w:szCs w:val="16"/>
        </w:rPr>
        <w:t>S</w:t>
      </w:r>
      <w:r w:rsidRPr="0052667E">
        <w:rPr>
          <w:rFonts w:cstheme="majorBidi"/>
          <w:sz w:val="16"/>
          <w:szCs w:val="16"/>
        </w:rPr>
        <w:t xml:space="preserve">ecretariat shall make arrangements for their translation into English before their distribution. The </w:t>
      </w:r>
      <w:r w:rsidR="00844A88">
        <w:rPr>
          <w:rFonts w:cstheme="majorBidi"/>
          <w:sz w:val="16"/>
          <w:szCs w:val="16"/>
        </w:rPr>
        <w:t>S</w:t>
      </w:r>
      <w:r w:rsidRPr="0052667E">
        <w:rPr>
          <w:rFonts w:cstheme="majorBidi"/>
          <w:sz w:val="16"/>
          <w:szCs w:val="16"/>
        </w:rPr>
        <w:t>ecretariat shall also make arrangements for the translation into English of national reports, or sections thereof, in one of the United Nations</w:t>
      </w:r>
      <w:r w:rsidRPr="0052667E">
        <w:rPr>
          <w:sz w:val="16"/>
          <w:szCs w:val="16"/>
        </w:rPr>
        <w:t xml:space="preserve"> </w:t>
      </w:r>
      <w:r w:rsidRPr="0052667E">
        <w:rPr>
          <w:rFonts w:cstheme="majorBidi"/>
          <w:sz w:val="16"/>
          <w:szCs w:val="16"/>
        </w:rPr>
        <w:t xml:space="preserve">official languages other than English, prior to their distribution, when issues are to be considered by the Committee on the basis of national reports, in accordance with paragraph 4 (b) of </w:t>
      </w:r>
      <w:r w:rsidR="00DD1E0C">
        <w:rPr>
          <w:rFonts w:cstheme="majorBidi"/>
          <w:sz w:val="16"/>
          <w:szCs w:val="16"/>
        </w:rPr>
        <w:t>A</w:t>
      </w:r>
      <w:r w:rsidRPr="0052667E">
        <w:rPr>
          <w:rFonts w:cstheme="majorBidi"/>
          <w:sz w:val="16"/>
          <w:szCs w:val="16"/>
        </w:rPr>
        <w:t>rticle 15 of the Convention, or when such national reports or sections thereof are required for the consideration of an issue on the basis of requests from the Conference of the Parties, in accordance with paragraph 4(c) of Article 15 of the Convention.</w:t>
      </w:r>
    </w:p>
  </w:footnote>
  <w:footnote w:id="6">
    <w:p w14:paraId="151DBA8D" w14:textId="77777777" w:rsidR="00466E53" w:rsidRPr="005116B5" w:rsidRDefault="00466E53" w:rsidP="00BD36F8">
      <w:pPr>
        <w:pStyle w:val="FootnoteText"/>
        <w:ind w:left="737"/>
        <w:rPr>
          <w:sz w:val="16"/>
          <w:szCs w:val="16"/>
          <w:lang w:val="en-CA"/>
        </w:rPr>
      </w:pPr>
      <w:r w:rsidRPr="005116B5">
        <w:rPr>
          <w:rStyle w:val="FootnoteReference"/>
          <w:sz w:val="16"/>
          <w:szCs w:val="16"/>
        </w:rPr>
        <w:footnoteRef/>
      </w:r>
      <w:r w:rsidRPr="005116B5">
        <w:rPr>
          <w:sz w:val="16"/>
          <w:szCs w:val="16"/>
        </w:rPr>
        <w:t xml:space="preserve"> </w:t>
      </w:r>
      <w:r w:rsidRPr="0052667E">
        <w:rPr>
          <w:rFonts w:cs="Tahoma"/>
          <w:color w:val="333333"/>
          <w:sz w:val="16"/>
          <w:szCs w:val="16"/>
          <w:shd w:val="clear" w:color="auto" w:fill="FFFFFF"/>
        </w:rPr>
        <w:t>UNEP/MC/COP.3/14 and UNEP/MC/COP.3/14/Add.1.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892B" w14:textId="4B6FDD71" w:rsidR="00466E53" w:rsidRDefault="00466E53" w:rsidP="00415B3C">
    <w:pPr>
      <w:pStyle w:val="Header-pool"/>
      <w:jc w:val="right"/>
    </w:pPr>
    <w:r w:rsidRPr="00F96910">
      <w:t>UNEP/MC</w:t>
    </w:r>
    <w:r>
      <w:t>/</w:t>
    </w:r>
    <w:r w:rsidRPr="00F96910">
      <w:t>COP.</w:t>
    </w:r>
    <w:r>
      <w:t>4</w:t>
    </w:r>
    <w:r w:rsidRPr="00F96910">
      <w:t>/</w:t>
    </w:r>
    <w:r>
      <w:t>INF/22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B9F3" w14:textId="4231A843" w:rsidR="00466E53" w:rsidRDefault="00466E53" w:rsidP="00A35035">
    <w:pPr>
      <w:pStyle w:val="Header-pool"/>
      <w:jc w:val="right"/>
    </w:pPr>
    <w:r w:rsidRPr="00F96910">
      <w:t>UNEP/MC</w:t>
    </w:r>
    <w:r>
      <w:t>/</w:t>
    </w:r>
    <w:r w:rsidRPr="00F96910">
      <w:t>COP.</w:t>
    </w:r>
    <w:r w:rsidR="00F738F0">
      <w:t>6</w:t>
    </w:r>
    <w:r w:rsidRPr="00F96910">
      <w:t>/</w:t>
    </w:r>
    <w:r>
      <w:t>INF/</w:t>
    </w:r>
    <w:r w:rsidR="00F738F0">
      <w:t>38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6E85" w14:textId="17D3C15E" w:rsidR="00466E53" w:rsidRDefault="00466E53" w:rsidP="00BD36F8">
    <w:pPr>
      <w:pStyle w:val="Header-pool"/>
      <w:jc w:val="right"/>
    </w:pPr>
    <w:r w:rsidRPr="00F96910">
      <w:t>UNEP/MC</w:t>
    </w:r>
    <w:r>
      <w:t>/</w:t>
    </w:r>
    <w:r w:rsidRPr="00F96910">
      <w:t>COP.</w:t>
    </w:r>
    <w:r w:rsidR="001D6FCA">
      <w:t>6</w:t>
    </w:r>
    <w:r w:rsidRPr="00F96910">
      <w:t>/</w:t>
    </w:r>
    <w:r>
      <w:t>INF/</w:t>
    </w:r>
    <w:r w:rsidR="001D6FCA">
      <w:t>38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025D" w14:textId="4E79A7DF" w:rsidR="00B550E1" w:rsidRDefault="00B550E1" w:rsidP="00BD36F8">
    <w:pPr>
      <w:pStyle w:val="Header-pool"/>
    </w:pPr>
    <w:r w:rsidRPr="00F96910">
      <w:t>UNEP/MC</w:t>
    </w:r>
    <w:r>
      <w:t>/</w:t>
    </w:r>
    <w:r w:rsidRPr="00F96910">
      <w:t>COP.</w:t>
    </w:r>
    <w:r w:rsidR="001B4CB9">
      <w:t>6</w:t>
    </w:r>
    <w:r w:rsidRPr="00F96910">
      <w:t>/</w:t>
    </w:r>
    <w:r>
      <w:t>INF/</w:t>
    </w:r>
    <w:r w:rsidR="001B4CB9">
      <w:t>38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7A0D" w14:textId="09CD226D" w:rsidR="00466E53" w:rsidRDefault="00466E53" w:rsidP="00BD36F8">
    <w:pPr>
      <w:pStyle w:val="Header-pool"/>
      <w:jc w:val="right"/>
    </w:pPr>
    <w:r w:rsidRPr="00F96910">
      <w:t>UNEP/MC</w:t>
    </w:r>
    <w:r>
      <w:t>/</w:t>
    </w:r>
    <w:r w:rsidRPr="00F96910">
      <w:t>COP.</w:t>
    </w:r>
    <w:r w:rsidR="00E21623">
      <w:t>6</w:t>
    </w:r>
    <w:r w:rsidRPr="00F96910">
      <w:t>/</w:t>
    </w:r>
    <w:r>
      <w:t>INF/</w:t>
    </w:r>
    <w:r w:rsidR="00800F93">
      <w:t>3</w:t>
    </w:r>
    <w:r w:rsidR="00E21623">
      <w:t>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D736" w14:textId="026FC917" w:rsidR="00581C4B" w:rsidRDefault="00581C4B" w:rsidP="00581C4B">
    <w:pPr>
      <w:pStyle w:val="Header-pool"/>
    </w:pPr>
    <w:r w:rsidRPr="00F96910">
      <w:t>UNEP/MC</w:t>
    </w:r>
    <w:r>
      <w:t>/</w:t>
    </w:r>
    <w:r w:rsidRPr="00F96910">
      <w:t>COP.</w:t>
    </w:r>
    <w:r w:rsidR="00F738F0">
      <w:t>6</w:t>
    </w:r>
    <w:r w:rsidRPr="00F96910">
      <w:t>/</w:t>
    </w:r>
    <w:r>
      <w:t>INF/36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8F05" w14:textId="630F3127" w:rsidR="008234C6" w:rsidRDefault="008234C6" w:rsidP="00BD36F8">
    <w:pPr>
      <w:pStyle w:val="Header-pool"/>
      <w:jc w:val="right"/>
    </w:pPr>
    <w:r w:rsidRPr="00F96910">
      <w:t>UNEP/MC</w:t>
    </w:r>
    <w:r>
      <w:t>/</w:t>
    </w:r>
    <w:r w:rsidRPr="00F96910">
      <w:t>COP.</w:t>
    </w:r>
    <w:r w:rsidR="004D1F54">
      <w:t>6</w:t>
    </w:r>
    <w:r w:rsidRPr="00F96910">
      <w:t>/</w:t>
    </w:r>
    <w:r>
      <w:t>INF/3</w:t>
    </w:r>
    <w:r w:rsidR="00E21623">
      <w:t>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D7E2" w14:textId="26CE5459" w:rsidR="00581C4B" w:rsidRDefault="00581C4B" w:rsidP="00BD36F8">
    <w:pPr>
      <w:pStyle w:val="Header-pool"/>
      <w:jc w:val="right"/>
    </w:pPr>
    <w:r w:rsidRPr="00F96910">
      <w:t>UNEP/MC</w:t>
    </w:r>
    <w:r>
      <w:t>/</w:t>
    </w:r>
    <w:r w:rsidRPr="00F96910">
      <w:t>COP.</w:t>
    </w:r>
    <w:r w:rsidR="00DC56EA">
      <w:t>6</w:t>
    </w:r>
    <w:r w:rsidRPr="00F96910">
      <w:t>/</w:t>
    </w:r>
    <w:r>
      <w:t>INF/</w:t>
    </w:r>
    <w:r w:rsidR="00DC56EA">
      <w:t>38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E5B2" w14:textId="3CD7ED58" w:rsidR="00466E53" w:rsidRDefault="00466E53" w:rsidP="00BD36F8">
    <w:pPr>
      <w:pStyle w:val="Header-pool"/>
      <w:jc w:val="right"/>
    </w:pPr>
    <w:r w:rsidRPr="00F96910">
      <w:t>UNEP/MC</w:t>
    </w:r>
    <w:r>
      <w:t>/</w:t>
    </w:r>
    <w:r w:rsidRPr="00F96910">
      <w:t>COP.</w:t>
    </w:r>
    <w:r w:rsidR="008F18A8">
      <w:t>6</w:t>
    </w:r>
    <w:r w:rsidRPr="00F96910">
      <w:t>/</w:t>
    </w:r>
    <w:r>
      <w:t>INF/</w:t>
    </w:r>
    <w:r w:rsidR="00652499">
      <w:t>3</w:t>
    </w:r>
    <w:r w:rsidR="008F18A8">
      <w:t>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9815" w14:textId="720A5E0F" w:rsidR="00C36A98" w:rsidRDefault="00C36A98" w:rsidP="00C36A98">
    <w:pPr>
      <w:pStyle w:val="Header-pool"/>
    </w:pPr>
    <w:r w:rsidRPr="00F96910">
      <w:t>UNEP/MC</w:t>
    </w:r>
    <w:r>
      <w:t>/</w:t>
    </w:r>
    <w:r w:rsidRPr="00F96910">
      <w:t>COP.</w:t>
    </w:r>
    <w:r w:rsidR="008F18A8">
      <w:t>6</w:t>
    </w:r>
    <w:r w:rsidRPr="00F96910">
      <w:t>/</w:t>
    </w:r>
    <w:r>
      <w:t>INF/</w:t>
    </w:r>
    <w:r w:rsidR="008F18A8">
      <w:t>38</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0AB9" w14:textId="448C4CA1" w:rsidR="00466E53" w:rsidRDefault="00466E53" w:rsidP="00A35035">
    <w:pPr>
      <w:pStyle w:val="Header-pool"/>
      <w:jc w:val="right"/>
    </w:pPr>
    <w:r w:rsidRPr="00F96910">
      <w:t>UNEP/MC</w:t>
    </w:r>
    <w:r>
      <w:t>/</w:t>
    </w:r>
    <w:r w:rsidRPr="00F96910">
      <w:t>COP.</w:t>
    </w:r>
    <w:r w:rsidR="008F18A8">
      <w:t>6</w:t>
    </w:r>
    <w:r w:rsidRPr="00F96910">
      <w:t>/</w:t>
    </w:r>
    <w:r>
      <w:t>INF/</w:t>
    </w:r>
    <w:r w:rsidR="00800F93">
      <w:t>3</w:t>
    </w:r>
    <w:r w:rsidR="008F18A8">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4803" w14:textId="6300D335" w:rsidR="00466E53" w:rsidRPr="00F96910" w:rsidRDefault="00466E53" w:rsidP="00E24DAE">
    <w:pPr>
      <w:pStyle w:val="Header-pool"/>
      <w:jc w:val="right"/>
    </w:pPr>
    <w:r w:rsidRPr="00F96910">
      <w:t>UNEP/MC</w:t>
    </w:r>
    <w:r>
      <w:t>/</w:t>
    </w:r>
    <w:r w:rsidRPr="00F96910">
      <w:t>COP.</w:t>
    </w:r>
    <w:r>
      <w:t>4</w:t>
    </w:r>
    <w:r w:rsidRPr="00F96910">
      <w:t>/</w:t>
    </w:r>
    <w:r>
      <w:t>INF/22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44A4" w14:textId="77777777" w:rsidR="00466E53" w:rsidRDefault="00466E53" w:rsidP="006730FF">
    <w:pPr>
      <w:pStyle w:val="Header"/>
      <w:jc w:val="right"/>
    </w:pPr>
    <w:r>
      <w:rPr>
        <w:noProof/>
        <w:lang w:val="fr-FR"/>
      </w:rPr>
      <w:drawing>
        <wp:anchor distT="0" distB="0" distL="114300" distR="114300" simplePos="0" relativeHeight="251658240" behindDoc="1" locked="0" layoutInCell="1" allowOverlap="1" wp14:anchorId="73948058" wp14:editId="230CAA07">
          <wp:simplePos x="0" y="0"/>
          <wp:positionH relativeFrom="column">
            <wp:posOffset>4015105</wp:posOffset>
          </wp:positionH>
          <wp:positionV relativeFrom="paragraph">
            <wp:posOffset>-457835</wp:posOffset>
          </wp:positionV>
          <wp:extent cx="1835785" cy="966470"/>
          <wp:effectExtent l="0" t="0" r="0" b="0"/>
          <wp:wrapTight wrapText="bothSides">
            <wp:wrapPolygon edited="0">
              <wp:start x="6276" y="2555"/>
              <wp:lineTo x="2466" y="9367"/>
              <wp:lineTo x="3810" y="10218"/>
              <wp:lineTo x="1569" y="14901"/>
              <wp:lineTo x="1569" y="15327"/>
              <wp:lineTo x="3586" y="17030"/>
              <wp:lineTo x="3586" y="18733"/>
              <wp:lineTo x="4707" y="18733"/>
              <wp:lineTo x="4707" y="17030"/>
              <wp:lineTo x="14121" y="17030"/>
              <wp:lineTo x="20173" y="14476"/>
              <wp:lineTo x="20173" y="6386"/>
              <wp:lineTo x="16363" y="4258"/>
              <wp:lineTo x="7845" y="2555"/>
              <wp:lineTo x="6276" y="2555"/>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966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BB9A" w14:textId="3F522DC8" w:rsidR="00466E53" w:rsidRDefault="00466E53" w:rsidP="00BD36F8">
    <w:pPr>
      <w:pStyle w:val="Header-pool"/>
    </w:pPr>
    <w:r w:rsidRPr="00F96910">
      <w:t>UNEP/MC</w:t>
    </w:r>
    <w:r>
      <w:t>/</w:t>
    </w:r>
    <w:r w:rsidRPr="00F96910">
      <w:t>COP.</w:t>
    </w:r>
    <w:r w:rsidR="003512FF">
      <w:t>6</w:t>
    </w:r>
    <w:r w:rsidRPr="00F96910">
      <w:t>/</w:t>
    </w:r>
    <w:r>
      <w:t>INF/</w:t>
    </w:r>
    <w:r w:rsidR="00670C4E">
      <w:t>3</w:t>
    </w:r>
    <w:r w:rsidR="003512FF">
      <w:t>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38DE" w14:textId="3F0D0CDA" w:rsidR="00466E53" w:rsidRDefault="00466E53" w:rsidP="00A35035">
    <w:pPr>
      <w:pStyle w:val="Header-pool"/>
      <w:jc w:val="right"/>
    </w:pPr>
    <w:r w:rsidRPr="00F96910">
      <w:t>UNEP/MC</w:t>
    </w:r>
    <w:r>
      <w:t>/</w:t>
    </w:r>
    <w:r w:rsidRPr="00F96910">
      <w:t>COP.</w:t>
    </w:r>
    <w:r w:rsidR="003512FF">
      <w:t>6</w:t>
    </w:r>
    <w:r w:rsidRPr="00F96910">
      <w:t>/</w:t>
    </w:r>
    <w:r>
      <w:t>INF/</w:t>
    </w:r>
    <w:r w:rsidR="00906D6E">
      <w:t>3</w:t>
    </w:r>
    <w:r w:rsidR="003512FF">
      <w:t>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B25F" w14:textId="7ECE8D57" w:rsidR="00466E53" w:rsidRPr="00A35035" w:rsidRDefault="00466E53" w:rsidP="00BD36F8">
    <w:pPr>
      <w:pStyle w:val="Header-pool"/>
      <w:jc w:val="right"/>
    </w:pPr>
    <w:r w:rsidRPr="00F96910">
      <w:t>UNEP/MC</w:t>
    </w:r>
    <w:r>
      <w:t>/</w:t>
    </w:r>
    <w:r w:rsidRPr="00F96910">
      <w:t>COP.</w:t>
    </w:r>
    <w:r w:rsidR="003512FF">
      <w:t>6</w:t>
    </w:r>
    <w:r w:rsidRPr="00F96910">
      <w:t>/</w:t>
    </w:r>
    <w:r>
      <w:t>INF/</w:t>
    </w:r>
    <w:r w:rsidR="00E36AAE">
      <w:t>3</w:t>
    </w:r>
    <w:r w:rsidR="003512FF">
      <w:t>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4A3B" w14:textId="15D823B5" w:rsidR="00466E53" w:rsidRPr="00A35035" w:rsidRDefault="00466E53" w:rsidP="00BD36F8">
    <w:pPr>
      <w:pStyle w:val="Header-pool"/>
    </w:pPr>
    <w:r w:rsidRPr="00F96910">
      <w:t>UNEP/MC</w:t>
    </w:r>
    <w:r>
      <w:t>/</w:t>
    </w:r>
    <w:r w:rsidRPr="00F96910">
      <w:t>COP.</w:t>
    </w:r>
    <w:r w:rsidR="003512FF">
      <w:t>6</w:t>
    </w:r>
    <w:r w:rsidRPr="00F96910">
      <w:t>/</w:t>
    </w:r>
    <w:r>
      <w:t>INF/</w:t>
    </w:r>
    <w:r w:rsidR="00906D6E">
      <w:t>3</w:t>
    </w:r>
    <w:r w:rsidR="003512FF">
      <w:t>8</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EAED" w14:textId="69B12ACE" w:rsidR="00466E53" w:rsidRPr="00A35035" w:rsidRDefault="00466E53" w:rsidP="00BD36F8">
    <w:pPr>
      <w:pStyle w:val="Header-pool"/>
      <w:jc w:val="right"/>
    </w:pPr>
    <w:r w:rsidRPr="00F96910">
      <w:t>UNEP/MC</w:t>
    </w:r>
    <w:r>
      <w:t>/</w:t>
    </w:r>
    <w:r w:rsidRPr="00F96910">
      <w:t>COP.</w:t>
    </w:r>
    <w:r w:rsidR="003512FF">
      <w:t>6</w:t>
    </w:r>
    <w:r w:rsidRPr="00F96910">
      <w:t>/</w:t>
    </w:r>
    <w:r>
      <w:t>INF/</w:t>
    </w:r>
    <w:r w:rsidR="00906D6E">
      <w:t>3</w:t>
    </w:r>
    <w:r w:rsidR="003512FF">
      <w:t>8</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B4F8" w14:textId="54C3037B" w:rsidR="00466E53" w:rsidRPr="00A35035" w:rsidRDefault="00466E53" w:rsidP="00BD36F8">
    <w:pPr>
      <w:pStyle w:val="Header-pool"/>
    </w:pPr>
    <w:r w:rsidRPr="00F96910">
      <w:t>UNEP/MC</w:t>
    </w:r>
    <w:r>
      <w:t>/</w:t>
    </w:r>
    <w:r w:rsidRPr="00F96910">
      <w:t>COP.</w:t>
    </w:r>
    <w:r w:rsidR="003512FF">
      <w:t>6</w:t>
    </w:r>
    <w:r w:rsidRPr="00F96910">
      <w:t>/</w:t>
    </w:r>
    <w:r>
      <w:t>INF/</w:t>
    </w:r>
    <w:r w:rsidR="00906D6E">
      <w:t>3</w:t>
    </w:r>
    <w:r w:rsidR="003512FF">
      <w:t>8</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2BC7" w14:textId="0B0E2139" w:rsidR="00466E53" w:rsidRPr="00A35035" w:rsidRDefault="00466E53" w:rsidP="00A35035">
    <w:pPr>
      <w:pStyle w:val="Header-pool"/>
    </w:pPr>
    <w:r w:rsidRPr="00F96910">
      <w:t>UNEP/MC</w:t>
    </w:r>
    <w:r>
      <w:t>/</w:t>
    </w:r>
    <w:r w:rsidRPr="00F96910">
      <w:t>COP.</w:t>
    </w:r>
    <w:r w:rsidR="003512FF">
      <w:t>6</w:t>
    </w:r>
    <w:r w:rsidRPr="00F96910">
      <w:t>/</w:t>
    </w:r>
    <w:r>
      <w:t>INF/</w:t>
    </w:r>
    <w:r w:rsidR="00F9588D">
      <w:t>3</w:t>
    </w:r>
    <w:r w:rsidR="003512FF">
      <w:t>8</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F955" w14:textId="3E56149B" w:rsidR="00466E53" w:rsidRPr="00D513A7" w:rsidRDefault="00466E53" w:rsidP="00BD36F8">
    <w:pPr>
      <w:pStyle w:val="Header-pool"/>
    </w:pPr>
    <w:r w:rsidRPr="00F96910">
      <w:t>UNEP/MC</w:t>
    </w:r>
    <w:r>
      <w:t>/</w:t>
    </w:r>
    <w:r w:rsidRPr="00F96910">
      <w:t>COP.</w:t>
    </w:r>
    <w:r w:rsidR="003512FF">
      <w:t>6</w:t>
    </w:r>
    <w:r w:rsidRPr="00F96910">
      <w:t>/</w:t>
    </w:r>
    <w:r>
      <w:t>INF/</w:t>
    </w:r>
    <w:r w:rsidR="00906D6E">
      <w:t>3</w:t>
    </w:r>
    <w:r w:rsidR="003512FF">
      <w:t>8</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5E3B" w14:textId="114FA701" w:rsidR="00466E53" w:rsidRPr="00D513A7" w:rsidRDefault="00466E53" w:rsidP="00BD36F8">
    <w:pPr>
      <w:pStyle w:val="Header-pool"/>
      <w:jc w:val="right"/>
    </w:pPr>
    <w:r w:rsidRPr="00F96910">
      <w:t>UNEP/MC</w:t>
    </w:r>
    <w:r>
      <w:t>/</w:t>
    </w:r>
    <w:r w:rsidRPr="00F96910">
      <w:t>COP.</w:t>
    </w:r>
    <w:r w:rsidR="006E1987">
      <w:t>6</w:t>
    </w:r>
    <w:r w:rsidRPr="00F96910">
      <w:t>/</w:t>
    </w:r>
    <w:r>
      <w:t>INF/</w:t>
    </w:r>
    <w:r w:rsidR="007647AA">
      <w:t>3</w:t>
    </w:r>
    <w:r w:rsidR="006E1987">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C6B7" w14:textId="55B214DB" w:rsidR="00466E53" w:rsidRDefault="00466E53" w:rsidP="00220A5B">
    <w:pPr>
      <w:pStyle w:val="Header-pool"/>
    </w:pPr>
    <w:r w:rsidRPr="00F96910">
      <w:t>UNEP/MC</w:t>
    </w:r>
    <w:r>
      <w:t>/</w:t>
    </w:r>
    <w:r w:rsidRPr="00F96910">
      <w:t>COP.</w:t>
    </w:r>
    <w:r w:rsidR="00D202E3">
      <w:t>6</w:t>
    </w:r>
    <w:r w:rsidRPr="00F96910">
      <w:t>/</w:t>
    </w:r>
    <w:r>
      <w:t>INF/</w:t>
    </w:r>
    <w:r w:rsidR="00EA3DF8">
      <w:t>38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DECD" w14:textId="4A0BFC7F" w:rsidR="00466E53" w:rsidRPr="006200B1" w:rsidRDefault="00466E53" w:rsidP="0099595D">
    <w:pPr>
      <w:pStyle w:val="Header-pool"/>
      <w:jc w:val="right"/>
    </w:pPr>
    <w:r w:rsidRPr="00F96910">
      <w:t>UNEP/MC</w:t>
    </w:r>
    <w:r>
      <w:t>/</w:t>
    </w:r>
    <w:r w:rsidRPr="00F96910">
      <w:t>COP.</w:t>
    </w:r>
    <w:r w:rsidR="008630E1">
      <w:t>6</w:t>
    </w:r>
    <w:r w:rsidRPr="00F96910">
      <w:t>/</w:t>
    </w:r>
    <w:r>
      <w:t>INF/</w:t>
    </w:r>
    <w:r w:rsidR="00AE1AF6">
      <w:t>3</w:t>
    </w:r>
    <w:r w:rsidR="008630E1">
      <w:t>8</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955B" w14:textId="6F43F91C" w:rsidR="00466E53" w:rsidRPr="00D513A7" w:rsidRDefault="00466E53" w:rsidP="00BD36F8">
    <w:pPr>
      <w:pStyle w:val="Header-pool"/>
      <w:jc w:val="both"/>
    </w:pPr>
    <w:r w:rsidRPr="00F96910">
      <w:t>UNEP/MC</w:t>
    </w:r>
    <w:r>
      <w:t>/</w:t>
    </w:r>
    <w:r w:rsidRPr="00F96910">
      <w:t>COP.</w:t>
    </w:r>
    <w:r w:rsidR="006E1987">
      <w:t>6</w:t>
    </w:r>
    <w:r w:rsidRPr="00F96910">
      <w:t>/</w:t>
    </w:r>
    <w:r>
      <w:t>INF/</w:t>
    </w:r>
    <w:r w:rsidR="00906D6E">
      <w:t>3</w:t>
    </w:r>
    <w:r w:rsidR="008630E1">
      <w:t>8</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5A7A" w14:textId="534CCB90" w:rsidR="00466E53" w:rsidRPr="00D513A7" w:rsidRDefault="00466E53" w:rsidP="00BD36F8">
    <w:pPr>
      <w:pStyle w:val="Header-pool"/>
      <w:jc w:val="right"/>
    </w:pPr>
    <w:r w:rsidRPr="00F96910">
      <w:t>UNEP/MC</w:t>
    </w:r>
    <w:r>
      <w:t>/</w:t>
    </w:r>
    <w:r w:rsidRPr="00F96910">
      <w:t>COP.</w:t>
    </w:r>
    <w:r w:rsidR="00D2283C">
      <w:t>6</w:t>
    </w:r>
    <w:r w:rsidRPr="00F96910">
      <w:t>/</w:t>
    </w:r>
    <w:r>
      <w:t>INF/</w:t>
    </w:r>
    <w:r w:rsidR="00FF568B">
      <w:t>3</w:t>
    </w:r>
    <w:r w:rsidR="00D2283C">
      <w:t>8</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51DF" w14:textId="094DD4AA" w:rsidR="00466E53" w:rsidRPr="00D513A7" w:rsidRDefault="00466E53" w:rsidP="00BD36F8">
    <w:pPr>
      <w:pStyle w:val="Header-pool"/>
    </w:pPr>
    <w:r w:rsidRPr="00F96910">
      <w:t>UNEP/MC</w:t>
    </w:r>
    <w:r>
      <w:t>/</w:t>
    </w:r>
    <w:r w:rsidRPr="00F96910">
      <w:t>COP.</w:t>
    </w:r>
    <w:r w:rsidR="00D2283C">
      <w:t>6</w:t>
    </w:r>
    <w:r w:rsidRPr="00F96910">
      <w:t>/</w:t>
    </w:r>
    <w:r>
      <w:t>INF/</w:t>
    </w:r>
    <w:r w:rsidR="00B30CF5">
      <w:t>3</w:t>
    </w:r>
    <w:r w:rsidR="0004798F">
      <w:t>8</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8A2" w14:textId="395921FD" w:rsidR="00466E53" w:rsidRPr="00D513A7" w:rsidRDefault="00466E53" w:rsidP="00BD36F8">
    <w:pPr>
      <w:pStyle w:val="Header-pool"/>
      <w:jc w:val="right"/>
    </w:pPr>
    <w:r w:rsidRPr="00F96910">
      <w:t>UNEP/MC</w:t>
    </w:r>
    <w:r>
      <w:t>/</w:t>
    </w:r>
    <w:r w:rsidRPr="00F96910">
      <w:t>COP.</w:t>
    </w:r>
    <w:r w:rsidR="008B7AE6">
      <w:t>6</w:t>
    </w:r>
    <w:r w:rsidRPr="00F96910">
      <w:t>/</w:t>
    </w:r>
    <w:r>
      <w:t>INF/</w:t>
    </w:r>
    <w:r w:rsidR="00B30CF5">
      <w:t>3</w:t>
    </w:r>
    <w:r w:rsidR="008B7AE6">
      <w:t>8</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DBB3" w14:textId="63CC5A4F" w:rsidR="00466E53" w:rsidRPr="00D513A7" w:rsidRDefault="002D25BB" w:rsidP="00BD36F8">
    <w:pPr>
      <w:pStyle w:val="Header-pool"/>
    </w:pPr>
    <w:r w:rsidRPr="00F96910">
      <w:t>UNEP/MC</w:t>
    </w:r>
    <w:r>
      <w:t>/</w:t>
    </w:r>
    <w:r w:rsidRPr="00F96910">
      <w:t>COP.</w:t>
    </w:r>
    <w:r>
      <w:t>6</w:t>
    </w:r>
    <w:r w:rsidRPr="00F96910">
      <w:t>/</w:t>
    </w:r>
    <w:r>
      <w:t>INF/38</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C66" w14:textId="272BF5FF" w:rsidR="00466E53" w:rsidRPr="009B7A34" w:rsidRDefault="002D25BB" w:rsidP="00BD36F8">
    <w:pPr>
      <w:pStyle w:val="Header-pool"/>
      <w:jc w:val="right"/>
    </w:pPr>
    <w:r w:rsidRPr="00F96910">
      <w:t>UNEP/MC</w:t>
    </w:r>
    <w:r>
      <w:t>/</w:t>
    </w:r>
    <w:r w:rsidRPr="00F96910">
      <w:t>COP.</w:t>
    </w:r>
    <w:r>
      <w:t>6</w:t>
    </w:r>
    <w:r w:rsidRPr="00F96910">
      <w:t>/</w:t>
    </w:r>
    <w:r>
      <w:t>INF/38</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6EF7" w14:textId="093E5416" w:rsidR="00052C6F" w:rsidRPr="00052C6F" w:rsidRDefault="002D25BB" w:rsidP="00BD36F8">
    <w:pPr>
      <w:pStyle w:val="Header-pool"/>
    </w:pPr>
    <w:r w:rsidRPr="00F96910">
      <w:t>UNEP/MC</w:t>
    </w:r>
    <w:r>
      <w:t>/</w:t>
    </w:r>
    <w:r w:rsidRPr="00F96910">
      <w:t>COP.</w:t>
    </w:r>
    <w:r>
      <w:t>6</w:t>
    </w:r>
    <w:r w:rsidRPr="00F96910">
      <w:t>/</w:t>
    </w:r>
    <w:r>
      <w:t>INF/38</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9C47" w14:textId="0CBBDE32" w:rsidR="00466E53" w:rsidRPr="009B7A34" w:rsidRDefault="00466E53" w:rsidP="00BD36F8">
    <w:pPr>
      <w:pStyle w:val="Header-pool"/>
      <w:jc w:val="right"/>
    </w:pPr>
    <w:r w:rsidRPr="00F96910">
      <w:t>UNEP/MC</w:t>
    </w:r>
    <w:r>
      <w:t>/</w:t>
    </w:r>
    <w:r w:rsidRPr="00F96910">
      <w:t>COP.</w:t>
    </w:r>
    <w:r w:rsidR="002D25BB">
      <w:t>6</w:t>
    </w:r>
    <w:r w:rsidRPr="00F96910">
      <w:t>/</w:t>
    </w:r>
    <w:r>
      <w:t>INF/</w:t>
    </w:r>
    <w:r w:rsidR="002D25BB">
      <w:t>38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4DBA" w14:textId="47A1A672" w:rsidR="00466E53" w:rsidRDefault="00466E53" w:rsidP="00A55C18">
    <w:pPr>
      <w:pStyle w:val="Header-pool"/>
      <w:jc w:val="right"/>
    </w:pPr>
    <w:r w:rsidRPr="00F96910">
      <w:t>UNEP/MC</w:t>
    </w:r>
    <w:r>
      <w:t>/</w:t>
    </w:r>
    <w:r w:rsidRPr="00F96910">
      <w:t>COP.</w:t>
    </w:r>
    <w:r w:rsidR="0002124A">
      <w:t>6</w:t>
    </w:r>
    <w:r w:rsidRPr="00F96910">
      <w:t>/</w:t>
    </w:r>
    <w:r>
      <w:t>INF/</w:t>
    </w:r>
    <w:r w:rsidR="00EA3DF8">
      <w:t>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F761" w14:textId="01DCF9D3" w:rsidR="00466E53" w:rsidRPr="00F96910" w:rsidRDefault="00466E53" w:rsidP="00220A5B">
    <w:pPr>
      <w:pStyle w:val="Header-pool"/>
    </w:pPr>
    <w:r w:rsidRPr="00F96910">
      <w:t>UNEP/MC</w:t>
    </w:r>
    <w:r>
      <w:t>/</w:t>
    </w:r>
    <w:r w:rsidRPr="00F96910">
      <w:t>COP.</w:t>
    </w:r>
    <w:r w:rsidR="0002124A">
      <w:t>6</w:t>
    </w:r>
    <w:r w:rsidRPr="00F96910">
      <w:t>/</w:t>
    </w:r>
    <w:r>
      <w:t>INF/</w:t>
    </w:r>
    <w:r w:rsidR="00C96CD1">
      <w:t>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CCD1" w14:textId="3635682D" w:rsidR="00A55C18" w:rsidRDefault="00A55C18" w:rsidP="00A55C18">
    <w:pPr>
      <w:pStyle w:val="Header-pool"/>
      <w:jc w:val="right"/>
    </w:pPr>
    <w:r w:rsidRPr="00F96910">
      <w:t>UNEP/MC</w:t>
    </w:r>
    <w:r>
      <w:t>/</w:t>
    </w:r>
    <w:r w:rsidRPr="00F96910">
      <w:t>COP.</w:t>
    </w:r>
    <w:r w:rsidR="00EA3DF8">
      <w:t>6</w:t>
    </w:r>
    <w:r w:rsidRPr="00F96910">
      <w:t>/</w:t>
    </w:r>
    <w:r>
      <w:t>INF/3</w:t>
    </w:r>
    <w:r w:rsidR="00EA3DF8">
      <w:t>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5865" w14:textId="4D8F655A" w:rsidR="00466E53" w:rsidRPr="00F96910" w:rsidRDefault="00466E53" w:rsidP="00CD11AC">
    <w:pPr>
      <w:pStyle w:val="Header-pool"/>
    </w:pPr>
    <w:r w:rsidRPr="00F96910">
      <w:t>UNEP/MC</w:t>
    </w:r>
    <w:r>
      <w:t>/</w:t>
    </w:r>
    <w:r w:rsidRPr="00F96910">
      <w:t>COP.</w:t>
    </w:r>
    <w:r w:rsidR="00D202E3">
      <w:t>6</w:t>
    </w:r>
    <w:r w:rsidRPr="00F96910">
      <w:t>/</w:t>
    </w:r>
    <w:r>
      <w:t>INF/</w:t>
    </w:r>
    <w:r w:rsidR="00EA3DF8">
      <w:t>38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0022" w14:textId="0B7F7DA0" w:rsidR="00466E53" w:rsidRDefault="00466E53" w:rsidP="00CD11AC">
    <w:pPr>
      <w:pStyle w:val="Header-pool"/>
    </w:pPr>
    <w:r w:rsidRPr="00F96910">
      <w:t>UNEP/MC</w:t>
    </w:r>
    <w:r>
      <w:t>/</w:t>
    </w:r>
    <w:r w:rsidRPr="00F96910">
      <w:t>COP.</w:t>
    </w:r>
    <w:r w:rsidR="00F738F0">
      <w:t>6</w:t>
    </w:r>
    <w:r w:rsidRPr="00F96910">
      <w:t>/</w:t>
    </w:r>
    <w:r>
      <w:t>INF/</w:t>
    </w:r>
    <w:r w:rsidR="00F738F0">
      <w:t>38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8DD8" w14:textId="1126955A" w:rsidR="00466E53" w:rsidRPr="00F96910" w:rsidRDefault="00466E53" w:rsidP="00BD36F8">
    <w:pPr>
      <w:pStyle w:val="Header-pool"/>
    </w:pPr>
    <w:r w:rsidRPr="00F96910">
      <w:t>UNEP/MC</w:t>
    </w:r>
    <w:r>
      <w:t>/</w:t>
    </w:r>
    <w:r w:rsidRPr="00F96910">
      <w:t>COP.</w:t>
    </w:r>
    <w:r w:rsidR="00EA3DF8">
      <w:t>6</w:t>
    </w:r>
    <w:r w:rsidRPr="00F96910">
      <w:t>/</w:t>
    </w:r>
    <w:r>
      <w:t>INF/</w:t>
    </w:r>
    <w:r w:rsidR="00730A38">
      <w:t>3</w:t>
    </w:r>
    <w:r w:rsidR="00EA3DF8">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58BF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FE6D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AE28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782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72DF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3E60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F60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259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4C19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F4B3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07131E"/>
    <w:multiLevelType w:val="multilevel"/>
    <w:tmpl w:val="30521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717AB6"/>
    <w:multiLevelType w:val="multilevel"/>
    <w:tmpl w:val="DD90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434A2"/>
    <w:multiLevelType w:val="multilevel"/>
    <w:tmpl w:val="D5DAB8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B11406C"/>
    <w:multiLevelType w:val="hybridMultilevel"/>
    <w:tmpl w:val="7F8A6B7E"/>
    <w:lvl w:ilvl="0" w:tplc="32AEBBC6">
      <w:start w:val="1"/>
      <w:numFmt w:val="decimal"/>
      <w:lvlText w:val="%1)"/>
      <w:lvlJc w:val="left"/>
      <w:pPr>
        <w:ind w:left="1020" w:hanging="360"/>
      </w:pPr>
    </w:lvl>
    <w:lvl w:ilvl="1" w:tplc="1CE01418">
      <w:start w:val="1"/>
      <w:numFmt w:val="decimal"/>
      <w:lvlText w:val="%2)"/>
      <w:lvlJc w:val="left"/>
      <w:pPr>
        <w:ind w:left="1020" w:hanging="360"/>
      </w:pPr>
    </w:lvl>
    <w:lvl w:ilvl="2" w:tplc="1F9A9A12">
      <w:start w:val="1"/>
      <w:numFmt w:val="decimal"/>
      <w:lvlText w:val="%3)"/>
      <w:lvlJc w:val="left"/>
      <w:pPr>
        <w:ind w:left="1020" w:hanging="360"/>
      </w:pPr>
    </w:lvl>
    <w:lvl w:ilvl="3" w:tplc="54BAFA1E">
      <w:start w:val="1"/>
      <w:numFmt w:val="decimal"/>
      <w:lvlText w:val="%4)"/>
      <w:lvlJc w:val="left"/>
      <w:pPr>
        <w:ind w:left="1020" w:hanging="360"/>
      </w:pPr>
    </w:lvl>
    <w:lvl w:ilvl="4" w:tplc="D8A613CE">
      <w:start w:val="1"/>
      <w:numFmt w:val="decimal"/>
      <w:lvlText w:val="%5)"/>
      <w:lvlJc w:val="left"/>
      <w:pPr>
        <w:ind w:left="1020" w:hanging="360"/>
      </w:pPr>
    </w:lvl>
    <w:lvl w:ilvl="5" w:tplc="34564818">
      <w:start w:val="1"/>
      <w:numFmt w:val="decimal"/>
      <w:lvlText w:val="%6)"/>
      <w:lvlJc w:val="left"/>
      <w:pPr>
        <w:ind w:left="1020" w:hanging="360"/>
      </w:pPr>
    </w:lvl>
    <w:lvl w:ilvl="6" w:tplc="1AF6B39E">
      <w:start w:val="1"/>
      <w:numFmt w:val="decimal"/>
      <w:lvlText w:val="%7)"/>
      <w:lvlJc w:val="left"/>
      <w:pPr>
        <w:ind w:left="1020" w:hanging="360"/>
      </w:pPr>
    </w:lvl>
    <w:lvl w:ilvl="7" w:tplc="53A08A84">
      <w:start w:val="1"/>
      <w:numFmt w:val="decimal"/>
      <w:lvlText w:val="%8)"/>
      <w:lvlJc w:val="left"/>
      <w:pPr>
        <w:ind w:left="1020" w:hanging="360"/>
      </w:pPr>
    </w:lvl>
    <w:lvl w:ilvl="8" w:tplc="9084C4DC">
      <w:start w:val="1"/>
      <w:numFmt w:val="decimal"/>
      <w:lvlText w:val="%9)"/>
      <w:lvlJc w:val="left"/>
      <w:pPr>
        <w:ind w:left="1020" w:hanging="360"/>
      </w:pPr>
    </w:lvl>
  </w:abstractNum>
  <w:abstractNum w:abstractNumId="14" w15:restartNumberingAfterBreak="0">
    <w:nsid w:val="0F861533"/>
    <w:multiLevelType w:val="hybridMultilevel"/>
    <w:tmpl w:val="5A585514"/>
    <w:lvl w:ilvl="0" w:tplc="4E84919A">
      <w:start w:val="1"/>
      <w:numFmt w:val="bullet"/>
      <w:lvlText w:val=""/>
      <w:lvlJc w:val="left"/>
      <w:pPr>
        <w:ind w:left="720" w:hanging="360"/>
      </w:pPr>
      <w:rPr>
        <w:rFonts w:ascii="Symbol" w:hAnsi="Symbol" w:hint="default"/>
      </w:rPr>
    </w:lvl>
    <w:lvl w:ilvl="1" w:tplc="3A2AF052">
      <w:start w:val="1"/>
      <w:numFmt w:val="bullet"/>
      <w:lvlText w:val="o"/>
      <w:lvlJc w:val="left"/>
      <w:pPr>
        <w:ind w:left="1440" w:hanging="360"/>
      </w:pPr>
      <w:rPr>
        <w:rFonts w:ascii="Courier New" w:hAnsi="Courier New" w:hint="default"/>
      </w:rPr>
    </w:lvl>
    <w:lvl w:ilvl="2" w:tplc="2C3C5238">
      <w:start w:val="1"/>
      <w:numFmt w:val="bullet"/>
      <w:lvlText w:val=""/>
      <w:lvlJc w:val="left"/>
      <w:pPr>
        <w:ind w:left="2160" w:hanging="360"/>
      </w:pPr>
      <w:rPr>
        <w:rFonts w:ascii="Wingdings" w:hAnsi="Wingdings" w:hint="default"/>
      </w:rPr>
    </w:lvl>
    <w:lvl w:ilvl="3" w:tplc="9FD8A2B0">
      <w:start w:val="1"/>
      <w:numFmt w:val="bullet"/>
      <w:lvlText w:val=""/>
      <w:lvlJc w:val="left"/>
      <w:pPr>
        <w:ind w:left="2880" w:hanging="360"/>
      </w:pPr>
      <w:rPr>
        <w:rFonts w:ascii="Symbol" w:hAnsi="Symbol" w:hint="default"/>
      </w:rPr>
    </w:lvl>
    <w:lvl w:ilvl="4" w:tplc="ADD6960A">
      <w:start w:val="1"/>
      <w:numFmt w:val="bullet"/>
      <w:lvlText w:val="o"/>
      <w:lvlJc w:val="left"/>
      <w:pPr>
        <w:ind w:left="3600" w:hanging="360"/>
      </w:pPr>
      <w:rPr>
        <w:rFonts w:ascii="Courier New" w:hAnsi="Courier New" w:hint="default"/>
      </w:rPr>
    </w:lvl>
    <w:lvl w:ilvl="5" w:tplc="6B9E1E8E">
      <w:start w:val="1"/>
      <w:numFmt w:val="bullet"/>
      <w:lvlText w:val=""/>
      <w:lvlJc w:val="left"/>
      <w:pPr>
        <w:ind w:left="4320" w:hanging="360"/>
      </w:pPr>
      <w:rPr>
        <w:rFonts w:ascii="Wingdings" w:hAnsi="Wingdings" w:hint="default"/>
      </w:rPr>
    </w:lvl>
    <w:lvl w:ilvl="6" w:tplc="9370D018">
      <w:start w:val="1"/>
      <w:numFmt w:val="bullet"/>
      <w:lvlText w:val=""/>
      <w:lvlJc w:val="left"/>
      <w:pPr>
        <w:ind w:left="5040" w:hanging="360"/>
      </w:pPr>
      <w:rPr>
        <w:rFonts w:ascii="Symbol" w:hAnsi="Symbol" w:hint="default"/>
      </w:rPr>
    </w:lvl>
    <w:lvl w:ilvl="7" w:tplc="E9E6E1CA">
      <w:start w:val="1"/>
      <w:numFmt w:val="bullet"/>
      <w:lvlText w:val="o"/>
      <w:lvlJc w:val="left"/>
      <w:pPr>
        <w:ind w:left="5760" w:hanging="360"/>
      </w:pPr>
      <w:rPr>
        <w:rFonts w:ascii="Courier New" w:hAnsi="Courier New" w:hint="default"/>
      </w:rPr>
    </w:lvl>
    <w:lvl w:ilvl="8" w:tplc="C65AFDBC">
      <w:start w:val="1"/>
      <w:numFmt w:val="bullet"/>
      <w:lvlText w:val=""/>
      <w:lvlJc w:val="left"/>
      <w:pPr>
        <w:ind w:left="6480" w:hanging="360"/>
      </w:pPr>
      <w:rPr>
        <w:rFonts w:ascii="Wingdings" w:hAnsi="Wingdings" w:hint="default"/>
      </w:rPr>
    </w:lvl>
  </w:abstractNum>
  <w:abstractNum w:abstractNumId="15" w15:restartNumberingAfterBreak="0">
    <w:nsid w:val="0FDD4861"/>
    <w:multiLevelType w:val="hybridMultilevel"/>
    <w:tmpl w:val="D19AACC6"/>
    <w:lvl w:ilvl="0" w:tplc="9B128746">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036E3"/>
    <w:multiLevelType w:val="hybridMultilevel"/>
    <w:tmpl w:val="C6F2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41B53"/>
    <w:multiLevelType w:val="hybridMultilevel"/>
    <w:tmpl w:val="5836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D720E"/>
    <w:multiLevelType w:val="hybridMultilevel"/>
    <w:tmpl w:val="2B20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01B29"/>
    <w:multiLevelType w:val="hybridMultilevel"/>
    <w:tmpl w:val="07162148"/>
    <w:lvl w:ilvl="0" w:tplc="0409000F">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E15F3"/>
    <w:multiLevelType w:val="multilevel"/>
    <w:tmpl w:val="EA2AFC52"/>
    <w:lvl w:ilvl="0">
      <w:start w:val="1"/>
      <w:numFmt w:val="decimal"/>
      <w:lvlText w:val="%1."/>
      <w:lvlJc w:val="left"/>
      <w:pPr>
        <w:ind w:left="1247"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110F3A"/>
    <w:multiLevelType w:val="hybridMultilevel"/>
    <w:tmpl w:val="AF7E0D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A50461"/>
    <w:multiLevelType w:val="hybridMultilevel"/>
    <w:tmpl w:val="658C2528"/>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3" w15:restartNumberingAfterBreak="0">
    <w:nsid w:val="41BE589F"/>
    <w:multiLevelType w:val="multilevel"/>
    <w:tmpl w:val="1EB08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52186B"/>
    <w:multiLevelType w:val="hybridMultilevel"/>
    <w:tmpl w:val="C2FCE4FE"/>
    <w:lvl w:ilvl="0" w:tplc="04090001">
      <w:start w:val="1"/>
      <w:numFmt w:val="bullet"/>
      <w:lvlText w:val=""/>
      <w:lvlJc w:val="left"/>
      <w:pPr>
        <w:tabs>
          <w:tab w:val="num" w:pos="419"/>
        </w:tabs>
        <w:ind w:left="419" w:hanging="360"/>
      </w:pPr>
      <w:rPr>
        <w:rFonts w:ascii="Symbol" w:hAnsi="Symbol" w:hint="default"/>
        <w:i w:val="0"/>
        <w:iCs/>
        <w:color w:val="auto"/>
      </w:rPr>
    </w:lvl>
    <w:lvl w:ilvl="1" w:tplc="DCC27E4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9690032"/>
    <w:multiLevelType w:val="hybridMultilevel"/>
    <w:tmpl w:val="3D5C4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C80B21"/>
    <w:multiLevelType w:val="hybridMultilevel"/>
    <w:tmpl w:val="5D66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C0AF3"/>
    <w:multiLevelType w:val="hybridMultilevel"/>
    <w:tmpl w:val="FF10B516"/>
    <w:lvl w:ilvl="0" w:tplc="04090001">
      <w:start w:val="1"/>
      <w:numFmt w:val="bullet"/>
      <w:lvlText w:val=""/>
      <w:lvlJc w:val="left"/>
      <w:pPr>
        <w:tabs>
          <w:tab w:val="num" w:pos="419"/>
        </w:tabs>
        <w:ind w:left="419" w:hanging="360"/>
      </w:pPr>
      <w:rPr>
        <w:rFonts w:ascii="Symbol" w:hAnsi="Symbol" w:hint="default"/>
        <w:i w:val="0"/>
      </w:rPr>
    </w:lvl>
    <w:lvl w:ilvl="1" w:tplc="DCC27E4E">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52A66A9D"/>
    <w:multiLevelType w:val="multilevel"/>
    <w:tmpl w:val="B284F840"/>
    <w:styleLink w:val="Normallist"/>
    <w:lvl w:ilvl="0">
      <w:start w:val="1"/>
      <w:numFmt w:val="decimal"/>
      <w:pStyle w:val="Normalnumber"/>
      <w:lvlText w:val="%1."/>
      <w:lvlJc w:val="left"/>
      <w:pPr>
        <w:tabs>
          <w:tab w:val="num" w:pos="1134"/>
        </w:tabs>
        <w:ind w:left="1247" w:firstLine="0"/>
      </w:pPr>
      <w:rPr>
        <w:rFonts w:ascii="Times New Roman" w:hAnsi="Times New Roman"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9" w15:restartNumberingAfterBreak="0">
    <w:nsid w:val="531B7B7B"/>
    <w:multiLevelType w:val="hybridMultilevel"/>
    <w:tmpl w:val="CBB8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A5955"/>
    <w:multiLevelType w:val="multilevel"/>
    <w:tmpl w:val="DBBA2B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A279C7"/>
    <w:multiLevelType w:val="multilevel"/>
    <w:tmpl w:val="237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53C41"/>
    <w:multiLevelType w:val="multilevel"/>
    <w:tmpl w:val="A43E5E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057F6D"/>
    <w:multiLevelType w:val="hybridMultilevel"/>
    <w:tmpl w:val="5B2E5740"/>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4" w15:restartNumberingAfterBreak="0">
    <w:nsid w:val="6C64104A"/>
    <w:multiLevelType w:val="multilevel"/>
    <w:tmpl w:val="576E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104A8D"/>
    <w:multiLevelType w:val="multilevel"/>
    <w:tmpl w:val="7FB485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5C5C75"/>
    <w:multiLevelType w:val="multilevel"/>
    <w:tmpl w:val="90F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04953"/>
    <w:multiLevelType w:val="multilevel"/>
    <w:tmpl w:val="5A52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E0473D"/>
    <w:multiLevelType w:val="hybridMultilevel"/>
    <w:tmpl w:val="4BF4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61E3B"/>
    <w:multiLevelType w:val="hybridMultilevel"/>
    <w:tmpl w:val="E51056F6"/>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63001">
    <w:abstractNumId w:val="14"/>
  </w:num>
  <w:num w:numId="2" w16cid:durableId="1950434420">
    <w:abstractNumId w:val="20"/>
  </w:num>
  <w:num w:numId="3" w16cid:durableId="1691448025">
    <w:abstractNumId w:val="29"/>
  </w:num>
  <w:num w:numId="4" w16cid:durableId="741025118">
    <w:abstractNumId w:val="18"/>
  </w:num>
  <w:num w:numId="5" w16cid:durableId="9070312">
    <w:abstractNumId w:val="38"/>
  </w:num>
  <w:num w:numId="6" w16cid:durableId="791632827">
    <w:abstractNumId w:val="19"/>
  </w:num>
  <w:num w:numId="7" w16cid:durableId="847713108">
    <w:abstractNumId w:val="15"/>
  </w:num>
  <w:num w:numId="8" w16cid:durableId="1563715575">
    <w:abstractNumId w:val="26"/>
  </w:num>
  <w:num w:numId="9" w16cid:durableId="1008362459">
    <w:abstractNumId w:val="16"/>
  </w:num>
  <w:num w:numId="10" w16cid:durableId="1918710379">
    <w:abstractNumId w:val="31"/>
  </w:num>
  <w:num w:numId="11" w16cid:durableId="1394230353">
    <w:abstractNumId w:val="11"/>
  </w:num>
  <w:num w:numId="12" w16cid:durableId="824126053">
    <w:abstractNumId w:val="37"/>
  </w:num>
  <w:num w:numId="13" w16cid:durableId="421532327">
    <w:abstractNumId w:val="36"/>
  </w:num>
  <w:num w:numId="14" w16cid:durableId="1779907284">
    <w:abstractNumId w:val="17"/>
  </w:num>
  <w:num w:numId="15" w16cid:durableId="1467236872">
    <w:abstractNumId w:val="28"/>
  </w:num>
  <w:num w:numId="16" w16cid:durableId="980157690">
    <w:abstractNumId w:val="24"/>
  </w:num>
  <w:num w:numId="17" w16cid:durableId="424690537">
    <w:abstractNumId w:val="27"/>
  </w:num>
  <w:num w:numId="18" w16cid:durableId="967399440">
    <w:abstractNumId w:val="25"/>
  </w:num>
  <w:num w:numId="19" w16cid:durableId="1063215306">
    <w:abstractNumId w:val="39"/>
  </w:num>
  <w:num w:numId="20" w16cid:durableId="1339430769">
    <w:abstractNumId w:val="9"/>
  </w:num>
  <w:num w:numId="21" w16cid:durableId="251479185">
    <w:abstractNumId w:val="7"/>
  </w:num>
  <w:num w:numId="22" w16cid:durableId="267395520">
    <w:abstractNumId w:val="6"/>
  </w:num>
  <w:num w:numId="23" w16cid:durableId="1803839820">
    <w:abstractNumId w:val="5"/>
  </w:num>
  <w:num w:numId="24" w16cid:durableId="646325282">
    <w:abstractNumId w:val="4"/>
  </w:num>
  <w:num w:numId="25" w16cid:durableId="385104370">
    <w:abstractNumId w:val="8"/>
  </w:num>
  <w:num w:numId="26" w16cid:durableId="1591549328">
    <w:abstractNumId w:val="3"/>
  </w:num>
  <w:num w:numId="27" w16cid:durableId="1872380450">
    <w:abstractNumId w:val="2"/>
  </w:num>
  <w:num w:numId="28" w16cid:durableId="243728788">
    <w:abstractNumId w:val="1"/>
  </w:num>
  <w:num w:numId="29" w16cid:durableId="782068722">
    <w:abstractNumId w:val="0"/>
  </w:num>
  <w:num w:numId="30" w16cid:durableId="2002348072">
    <w:abstractNumId w:val="28"/>
    <w:lvlOverride w:ilvl="0">
      <w:lvl w:ilvl="0">
        <w:numFmt w:val="decimal"/>
        <w:pStyle w:val="Normalnumber"/>
        <w:lvlText w:val="%1."/>
        <w:lvlJc w:val="left"/>
        <w:pPr>
          <w:tabs>
            <w:tab w:val="num" w:pos="1134"/>
          </w:tabs>
          <w:ind w:left="1247" w:firstLine="0"/>
        </w:p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1" w16cid:durableId="593980873">
    <w:abstractNumId w:val="33"/>
  </w:num>
  <w:num w:numId="32" w16cid:durableId="1995864856">
    <w:abstractNumId w:val="22"/>
  </w:num>
  <w:num w:numId="33" w16cid:durableId="164784892">
    <w:abstractNumId w:val="32"/>
  </w:num>
  <w:num w:numId="34" w16cid:durableId="437873854">
    <w:abstractNumId w:val="12"/>
  </w:num>
  <w:num w:numId="35" w16cid:durableId="2064254448">
    <w:abstractNumId w:val="30"/>
  </w:num>
  <w:num w:numId="36" w16cid:durableId="35549328">
    <w:abstractNumId w:val="35"/>
  </w:num>
  <w:num w:numId="37" w16cid:durableId="631712774">
    <w:abstractNumId w:val="10"/>
  </w:num>
  <w:num w:numId="38" w16cid:durableId="760835797">
    <w:abstractNumId w:val="23"/>
  </w:num>
  <w:num w:numId="39" w16cid:durableId="3431705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5598946">
    <w:abstractNumId w:val="34"/>
  </w:num>
  <w:num w:numId="41" w16cid:durableId="449783853">
    <w:abstractNumId w:val="21"/>
  </w:num>
  <w:num w:numId="42" w16cid:durableId="1332760589">
    <w:abstractNumId w:val="28"/>
  </w:num>
  <w:num w:numId="43" w16cid:durableId="145786966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D3"/>
    <w:rsid w:val="000000E0"/>
    <w:rsid w:val="0000072D"/>
    <w:rsid w:val="00001408"/>
    <w:rsid w:val="00001B84"/>
    <w:rsid w:val="00002159"/>
    <w:rsid w:val="000023EF"/>
    <w:rsid w:val="000024B1"/>
    <w:rsid w:val="00002DCC"/>
    <w:rsid w:val="00003032"/>
    <w:rsid w:val="0000341D"/>
    <w:rsid w:val="0000421A"/>
    <w:rsid w:val="000049FE"/>
    <w:rsid w:val="00004DAB"/>
    <w:rsid w:val="000051CF"/>
    <w:rsid w:val="000057C6"/>
    <w:rsid w:val="00005EE7"/>
    <w:rsid w:val="00006D90"/>
    <w:rsid w:val="00006F8C"/>
    <w:rsid w:val="00007239"/>
    <w:rsid w:val="00007640"/>
    <w:rsid w:val="000078A9"/>
    <w:rsid w:val="00007A90"/>
    <w:rsid w:val="00007C05"/>
    <w:rsid w:val="00007DD5"/>
    <w:rsid w:val="000101BD"/>
    <w:rsid w:val="0001044D"/>
    <w:rsid w:val="00011633"/>
    <w:rsid w:val="00011A6F"/>
    <w:rsid w:val="00012D92"/>
    <w:rsid w:val="00013240"/>
    <w:rsid w:val="00013250"/>
    <w:rsid w:val="0001327E"/>
    <w:rsid w:val="00013771"/>
    <w:rsid w:val="000137CD"/>
    <w:rsid w:val="00013BDE"/>
    <w:rsid w:val="00014A05"/>
    <w:rsid w:val="00014A4B"/>
    <w:rsid w:val="00014A94"/>
    <w:rsid w:val="00015604"/>
    <w:rsid w:val="00015769"/>
    <w:rsid w:val="00015799"/>
    <w:rsid w:val="00015B50"/>
    <w:rsid w:val="00015B92"/>
    <w:rsid w:val="0001612F"/>
    <w:rsid w:val="0001690F"/>
    <w:rsid w:val="000175AF"/>
    <w:rsid w:val="00017E91"/>
    <w:rsid w:val="00017F0B"/>
    <w:rsid w:val="000203B0"/>
    <w:rsid w:val="00020518"/>
    <w:rsid w:val="000206D5"/>
    <w:rsid w:val="00020C93"/>
    <w:rsid w:val="00020E51"/>
    <w:rsid w:val="0002124A"/>
    <w:rsid w:val="00021385"/>
    <w:rsid w:val="000216D2"/>
    <w:rsid w:val="000227A1"/>
    <w:rsid w:val="00022984"/>
    <w:rsid w:val="00022CB6"/>
    <w:rsid w:val="000230AD"/>
    <w:rsid w:val="000235B7"/>
    <w:rsid w:val="00023EFF"/>
    <w:rsid w:val="000240E2"/>
    <w:rsid w:val="0002480A"/>
    <w:rsid w:val="00024A5E"/>
    <w:rsid w:val="000269C0"/>
    <w:rsid w:val="00026D2A"/>
    <w:rsid w:val="00027119"/>
    <w:rsid w:val="00027D0B"/>
    <w:rsid w:val="00027D3D"/>
    <w:rsid w:val="00027E7B"/>
    <w:rsid w:val="00027FCC"/>
    <w:rsid w:val="00030556"/>
    <w:rsid w:val="00030937"/>
    <w:rsid w:val="00030BB5"/>
    <w:rsid w:val="0003194B"/>
    <w:rsid w:val="000326FC"/>
    <w:rsid w:val="0003353A"/>
    <w:rsid w:val="00033812"/>
    <w:rsid w:val="00033B93"/>
    <w:rsid w:val="00033BDD"/>
    <w:rsid w:val="0003414D"/>
    <w:rsid w:val="0003416C"/>
    <w:rsid w:val="00034405"/>
    <w:rsid w:val="000344F5"/>
    <w:rsid w:val="000348DE"/>
    <w:rsid w:val="000350D1"/>
    <w:rsid w:val="00035348"/>
    <w:rsid w:val="00035FD7"/>
    <w:rsid w:val="00036074"/>
    <w:rsid w:val="000364D8"/>
    <w:rsid w:val="00036570"/>
    <w:rsid w:val="0003671F"/>
    <w:rsid w:val="00036864"/>
    <w:rsid w:val="00037ED3"/>
    <w:rsid w:val="00037FBF"/>
    <w:rsid w:val="000402D8"/>
    <w:rsid w:val="0004051F"/>
    <w:rsid w:val="000405B6"/>
    <w:rsid w:val="000405F3"/>
    <w:rsid w:val="00040624"/>
    <w:rsid w:val="00040666"/>
    <w:rsid w:val="000406EC"/>
    <w:rsid w:val="00040D8A"/>
    <w:rsid w:val="00041350"/>
    <w:rsid w:val="00041F0A"/>
    <w:rsid w:val="000428F9"/>
    <w:rsid w:val="0004322A"/>
    <w:rsid w:val="000433AB"/>
    <w:rsid w:val="00043443"/>
    <w:rsid w:val="00043EA8"/>
    <w:rsid w:val="000444B7"/>
    <w:rsid w:val="00044543"/>
    <w:rsid w:val="000447C3"/>
    <w:rsid w:val="0004497B"/>
    <w:rsid w:val="00045702"/>
    <w:rsid w:val="00045FA1"/>
    <w:rsid w:val="00046233"/>
    <w:rsid w:val="00046481"/>
    <w:rsid w:val="0004679A"/>
    <w:rsid w:val="00046A8D"/>
    <w:rsid w:val="00046E49"/>
    <w:rsid w:val="00047257"/>
    <w:rsid w:val="0004798F"/>
    <w:rsid w:val="00047BE4"/>
    <w:rsid w:val="00047FA2"/>
    <w:rsid w:val="000500E0"/>
    <w:rsid w:val="00050974"/>
    <w:rsid w:val="00050993"/>
    <w:rsid w:val="000509E8"/>
    <w:rsid w:val="00050FD3"/>
    <w:rsid w:val="000511E9"/>
    <w:rsid w:val="000517B5"/>
    <w:rsid w:val="000520F5"/>
    <w:rsid w:val="0005235B"/>
    <w:rsid w:val="000524F9"/>
    <w:rsid w:val="0005265C"/>
    <w:rsid w:val="00052733"/>
    <w:rsid w:val="00052C6F"/>
    <w:rsid w:val="00053454"/>
    <w:rsid w:val="00053619"/>
    <w:rsid w:val="00053B67"/>
    <w:rsid w:val="00054234"/>
    <w:rsid w:val="0005432C"/>
    <w:rsid w:val="000556E7"/>
    <w:rsid w:val="00055D18"/>
    <w:rsid w:val="000561E7"/>
    <w:rsid w:val="0005670B"/>
    <w:rsid w:val="000579C3"/>
    <w:rsid w:val="00057D38"/>
    <w:rsid w:val="00060CE8"/>
    <w:rsid w:val="00060DC3"/>
    <w:rsid w:val="00061663"/>
    <w:rsid w:val="00061C60"/>
    <w:rsid w:val="00061C96"/>
    <w:rsid w:val="00062B3F"/>
    <w:rsid w:val="000634B2"/>
    <w:rsid w:val="00063A4C"/>
    <w:rsid w:val="00063AAE"/>
    <w:rsid w:val="00063B52"/>
    <w:rsid w:val="00064245"/>
    <w:rsid w:val="00064F21"/>
    <w:rsid w:val="00064FA7"/>
    <w:rsid w:val="0006604D"/>
    <w:rsid w:val="000662C5"/>
    <w:rsid w:val="00066367"/>
    <w:rsid w:val="00066388"/>
    <w:rsid w:val="000664B6"/>
    <w:rsid w:val="00067AC0"/>
    <w:rsid w:val="00067CA4"/>
    <w:rsid w:val="000700A1"/>
    <w:rsid w:val="0007014B"/>
    <w:rsid w:val="00071261"/>
    <w:rsid w:val="00071768"/>
    <w:rsid w:val="00072392"/>
    <w:rsid w:val="000726E3"/>
    <w:rsid w:val="000728A4"/>
    <w:rsid w:val="00072950"/>
    <w:rsid w:val="000733F3"/>
    <w:rsid w:val="00073B0B"/>
    <w:rsid w:val="00073B39"/>
    <w:rsid w:val="00073B61"/>
    <w:rsid w:val="00074861"/>
    <w:rsid w:val="000748E1"/>
    <w:rsid w:val="00074B03"/>
    <w:rsid w:val="00075019"/>
    <w:rsid w:val="000755DE"/>
    <w:rsid w:val="0007577B"/>
    <w:rsid w:val="000757AE"/>
    <w:rsid w:val="000759AF"/>
    <w:rsid w:val="0007637C"/>
    <w:rsid w:val="00076CAE"/>
    <w:rsid w:val="00076E3E"/>
    <w:rsid w:val="0007736E"/>
    <w:rsid w:val="00077403"/>
    <w:rsid w:val="00077482"/>
    <w:rsid w:val="00077596"/>
    <w:rsid w:val="000776C9"/>
    <w:rsid w:val="00077CE3"/>
    <w:rsid w:val="00077EBC"/>
    <w:rsid w:val="0008099D"/>
    <w:rsid w:val="00081811"/>
    <w:rsid w:val="00081989"/>
    <w:rsid w:val="00081CA1"/>
    <w:rsid w:val="00082871"/>
    <w:rsid w:val="0008295F"/>
    <w:rsid w:val="00082C4C"/>
    <w:rsid w:val="000830E1"/>
    <w:rsid w:val="000835C6"/>
    <w:rsid w:val="000836FF"/>
    <w:rsid w:val="000839B7"/>
    <w:rsid w:val="00083A26"/>
    <w:rsid w:val="00083AD3"/>
    <w:rsid w:val="00084033"/>
    <w:rsid w:val="0008455A"/>
    <w:rsid w:val="000846C1"/>
    <w:rsid w:val="00084B33"/>
    <w:rsid w:val="00084C35"/>
    <w:rsid w:val="000851B1"/>
    <w:rsid w:val="00085652"/>
    <w:rsid w:val="000865C8"/>
    <w:rsid w:val="00086711"/>
    <w:rsid w:val="000869FD"/>
    <w:rsid w:val="0008712E"/>
    <w:rsid w:val="00087192"/>
    <w:rsid w:val="00087402"/>
    <w:rsid w:val="0008770A"/>
    <w:rsid w:val="0008776D"/>
    <w:rsid w:val="00087A9E"/>
    <w:rsid w:val="00087B54"/>
    <w:rsid w:val="00090CE2"/>
    <w:rsid w:val="0009117F"/>
    <w:rsid w:val="0009141D"/>
    <w:rsid w:val="00091665"/>
    <w:rsid w:val="00091A9F"/>
    <w:rsid w:val="00091AB7"/>
    <w:rsid w:val="00091D99"/>
    <w:rsid w:val="000927D8"/>
    <w:rsid w:val="00092F45"/>
    <w:rsid w:val="0009320C"/>
    <w:rsid w:val="00093774"/>
    <w:rsid w:val="000943B8"/>
    <w:rsid w:val="00094952"/>
    <w:rsid w:val="00095B85"/>
    <w:rsid w:val="00095B97"/>
    <w:rsid w:val="00095C67"/>
    <w:rsid w:val="000961F2"/>
    <w:rsid w:val="00096222"/>
    <w:rsid w:val="000969D8"/>
    <w:rsid w:val="00097122"/>
    <w:rsid w:val="000972B1"/>
    <w:rsid w:val="0009782B"/>
    <w:rsid w:val="00097F82"/>
    <w:rsid w:val="000A063F"/>
    <w:rsid w:val="000A0A87"/>
    <w:rsid w:val="000A11E7"/>
    <w:rsid w:val="000A169C"/>
    <w:rsid w:val="000A176D"/>
    <w:rsid w:val="000A1C58"/>
    <w:rsid w:val="000A20FB"/>
    <w:rsid w:val="000A23B4"/>
    <w:rsid w:val="000A2638"/>
    <w:rsid w:val="000A30A0"/>
    <w:rsid w:val="000A3336"/>
    <w:rsid w:val="000A33A5"/>
    <w:rsid w:val="000A36C7"/>
    <w:rsid w:val="000A3776"/>
    <w:rsid w:val="000A3B28"/>
    <w:rsid w:val="000A5A7B"/>
    <w:rsid w:val="000A5D1F"/>
    <w:rsid w:val="000A613F"/>
    <w:rsid w:val="000A6BC1"/>
    <w:rsid w:val="000A6CA1"/>
    <w:rsid w:val="000A6F82"/>
    <w:rsid w:val="000A745A"/>
    <w:rsid w:val="000A7F65"/>
    <w:rsid w:val="000B02D0"/>
    <w:rsid w:val="000B03DB"/>
    <w:rsid w:val="000B0A53"/>
    <w:rsid w:val="000B1332"/>
    <w:rsid w:val="000B1753"/>
    <w:rsid w:val="000B1863"/>
    <w:rsid w:val="000B21C6"/>
    <w:rsid w:val="000B2527"/>
    <w:rsid w:val="000B2783"/>
    <w:rsid w:val="000B330B"/>
    <w:rsid w:val="000B35F6"/>
    <w:rsid w:val="000B4074"/>
    <w:rsid w:val="000B4256"/>
    <w:rsid w:val="000B448A"/>
    <w:rsid w:val="000B45B2"/>
    <w:rsid w:val="000B48F6"/>
    <w:rsid w:val="000B4F2A"/>
    <w:rsid w:val="000B5133"/>
    <w:rsid w:val="000B5138"/>
    <w:rsid w:val="000B5238"/>
    <w:rsid w:val="000B542A"/>
    <w:rsid w:val="000B5996"/>
    <w:rsid w:val="000B5A36"/>
    <w:rsid w:val="000B634E"/>
    <w:rsid w:val="000B6D0A"/>
    <w:rsid w:val="000B71A3"/>
    <w:rsid w:val="000B73DE"/>
    <w:rsid w:val="000B7438"/>
    <w:rsid w:val="000B74C0"/>
    <w:rsid w:val="000C005B"/>
    <w:rsid w:val="000C038C"/>
    <w:rsid w:val="000C04C2"/>
    <w:rsid w:val="000C0594"/>
    <w:rsid w:val="000C06BC"/>
    <w:rsid w:val="000C0C15"/>
    <w:rsid w:val="000C204F"/>
    <w:rsid w:val="000C28F1"/>
    <w:rsid w:val="000C2B12"/>
    <w:rsid w:val="000C2D12"/>
    <w:rsid w:val="000C3017"/>
    <w:rsid w:val="000C3B0E"/>
    <w:rsid w:val="000C3B4D"/>
    <w:rsid w:val="000C4EC8"/>
    <w:rsid w:val="000C50A6"/>
    <w:rsid w:val="000C50AD"/>
    <w:rsid w:val="000C5EFC"/>
    <w:rsid w:val="000C64E5"/>
    <w:rsid w:val="000C66BB"/>
    <w:rsid w:val="000C6C4F"/>
    <w:rsid w:val="000C72D7"/>
    <w:rsid w:val="000C7648"/>
    <w:rsid w:val="000C7F85"/>
    <w:rsid w:val="000D005F"/>
    <w:rsid w:val="000D00FD"/>
    <w:rsid w:val="000D033F"/>
    <w:rsid w:val="000D0769"/>
    <w:rsid w:val="000D121C"/>
    <w:rsid w:val="000D1848"/>
    <w:rsid w:val="000D19DB"/>
    <w:rsid w:val="000D1A00"/>
    <w:rsid w:val="000D1ABE"/>
    <w:rsid w:val="000D1C24"/>
    <w:rsid w:val="000D1FF2"/>
    <w:rsid w:val="000D2152"/>
    <w:rsid w:val="000D2201"/>
    <w:rsid w:val="000D226F"/>
    <w:rsid w:val="000D2471"/>
    <w:rsid w:val="000D26E7"/>
    <w:rsid w:val="000D279C"/>
    <w:rsid w:val="000D2DE0"/>
    <w:rsid w:val="000D2FBD"/>
    <w:rsid w:val="000D3137"/>
    <w:rsid w:val="000D3D97"/>
    <w:rsid w:val="000D3EF7"/>
    <w:rsid w:val="000D44B1"/>
    <w:rsid w:val="000D4A41"/>
    <w:rsid w:val="000D4AEF"/>
    <w:rsid w:val="000D5687"/>
    <w:rsid w:val="000D592F"/>
    <w:rsid w:val="000D5B6A"/>
    <w:rsid w:val="000D5CE8"/>
    <w:rsid w:val="000D5D9C"/>
    <w:rsid w:val="000D5DB4"/>
    <w:rsid w:val="000D69E3"/>
    <w:rsid w:val="000D7E08"/>
    <w:rsid w:val="000D7ED4"/>
    <w:rsid w:val="000D7F1B"/>
    <w:rsid w:val="000E09E7"/>
    <w:rsid w:val="000E0C25"/>
    <w:rsid w:val="000E116B"/>
    <w:rsid w:val="000E20CA"/>
    <w:rsid w:val="000E2173"/>
    <w:rsid w:val="000E24F1"/>
    <w:rsid w:val="000E251B"/>
    <w:rsid w:val="000E2EC9"/>
    <w:rsid w:val="000E420D"/>
    <w:rsid w:val="000E43CE"/>
    <w:rsid w:val="000E5138"/>
    <w:rsid w:val="000E5838"/>
    <w:rsid w:val="000E5841"/>
    <w:rsid w:val="000E58FC"/>
    <w:rsid w:val="000E5B86"/>
    <w:rsid w:val="000E5E7F"/>
    <w:rsid w:val="000E7068"/>
    <w:rsid w:val="000E70DB"/>
    <w:rsid w:val="000E751C"/>
    <w:rsid w:val="000F0190"/>
    <w:rsid w:val="000F08F5"/>
    <w:rsid w:val="000F0E4A"/>
    <w:rsid w:val="000F1124"/>
    <w:rsid w:val="000F2273"/>
    <w:rsid w:val="000F2679"/>
    <w:rsid w:val="000F2E14"/>
    <w:rsid w:val="000F348F"/>
    <w:rsid w:val="000F3F8E"/>
    <w:rsid w:val="000F3FAB"/>
    <w:rsid w:val="000F4957"/>
    <w:rsid w:val="000F4C7D"/>
    <w:rsid w:val="000F54DF"/>
    <w:rsid w:val="000F578C"/>
    <w:rsid w:val="000F5D31"/>
    <w:rsid w:val="000F693E"/>
    <w:rsid w:val="000F6E08"/>
    <w:rsid w:val="000F6EB9"/>
    <w:rsid w:val="000F6EFE"/>
    <w:rsid w:val="000F749A"/>
    <w:rsid w:val="000F7B6E"/>
    <w:rsid w:val="0010045A"/>
    <w:rsid w:val="001008B6"/>
    <w:rsid w:val="00100A29"/>
    <w:rsid w:val="00100FCE"/>
    <w:rsid w:val="0010131C"/>
    <w:rsid w:val="00101947"/>
    <w:rsid w:val="00102025"/>
    <w:rsid w:val="00102240"/>
    <w:rsid w:val="00102287"/>
    <w:rsid w:val="00102410"/>
    <w:rsid w:val="001025FA"/>
    <w:rsid w:val="00102618"/>
    <w:rsid w:val="00102C55"/>
    <w:rsid w:val="00102DA9"/>
    <w:rsid w:val="00102F2A"/>
    <w:rsid w:val="001031C2"/>
    <w:rsid w:val="00103E27"/>
    <w:rsid w:val="00104059"/>
    <w:rsid w:val="00104693"/>
    <w:rsid w:val="00104AEB"/>
    <w:rsid w:val="00104F8A"/>
    <w:rsid w:val="00105065"/>
    <w:rsid w:val="0010515F"/>
    <w:rsid w:val="0010538E"/>
    <w:rsid w:val="00106054"/>
    <w:rsid w:val="001062A0"/>
    <w:rsid w:val="00106353"/>
    <w:rsid w:val="00106A91"/>
    <w:rsid w:val="001072B2"/>
    <w:rsid w:val="00107C24"/>
    <w:rsid w:val="00110018"/>
    <w:rsid w:val="001103CB"/>
    <w:rsid w:val="0011054F"/>
    <w:rsid w:val="00110884"/>
    <w:rsid w:val="0011153F"/>
    <w:rsid w:val="001116A9"/>
    <w:rsid w:val="00112462"/>
    <w:rsid w:val="00112934"/>
    <w:rsid w:val="00112AE1"/>
    <w:rsid w:val="00112C3B"/>
    <w:rsid w:val="00112EAB"/>
    <w:rsid w:val="001130B6"/>
    <w:rsid w:val="00113215"/>
    <w:rsid w:val="00113CA1"/>
    <w:rsid w:val="00113DE5"/>
    <w:rsid w:val="0011411B"/>
    <w:rsid w:val="00114565"/>
    <w:rsid w:val="00114EBE"/>
    <w:rsid w:val="00114FC4"/>
    <w:rsid w:val="00114FE3"/>
    <w:rsid w:val="00115A29"/>
    <w:rsid w:val="001166CA"/>
    <w:rsid w:val="001167A9"/>
    <w:rsid w:val="001167CD"/>
    <w:rsid w:val="00117536"/>
    <w:rsid w:val="0011768B"/>
    <w:rsid w:val="00117791"/>
    <w:rsid w:val="00117945"/>
    <w:rsid w:val="00117AB3"/>
    <w:rsid w:val="00117D66"/>
    <w:rsid w:val="00120303"/>
    <w:rsid w:val="00120341"/>
    <w:rsid w:val="00120355"/>
    <w:rsid w:val="001204CB"/>
    <w:rsid w:val="001208BE"/>
    <w:rsid w:val="00120B5F"/>
    <w:rsid w:val="00120C67"/>
    <w:rsid w:val="00122083"/>
    <w:rsid w:val="001222C0"/>
    <w:rsid w:val="001224C0"/>
    <w:rsid w:val="00122656"/>
    <w:rsid w:val="00122900"/>
    <w:rsid w:val="00124306"/>
    <w:rsid w:val="0012457A"/>
    <w:rsid w:val="001245B2"/>
    <w:rsid w:val="001249BC"/>
    <w:rsid w:val="00124AE2"/>
    <w:rsid w:val="00124F24"/>
    <w:rsid w:val="001255C0"/>
    <w:rsid w:val="001258D0"/>
    <w:rsid w:val="00125ABE"/>
    <w:rsid w:val="00126F99"/>
    <w:rsid w:val="0012711B"/>
    <w:rsid w:val="00127425"/>
    <w:rsid w:val="0012786E"/>
    <w:rsid w:val="00127964"/>
    <w:rsid w:val="001300E8"/>
    <w:rsid w:val="00130586"/>
    <w:rsid w:val="001308CE"/>
    <w:rsid w:val="0013096C"/>
    <w:rsid w:val="00130B2D"/>
    <w:rsid w:val="00130E5F"/>
    <w:rsid w:val="0013106F"/>
    <w:rsid w:val="0013223A"/>
    <w:rsid w:val="00132B13"/>
    <w:rsid w:val="00132E9C"/>
    <w:rsid w:val="00133098"/>
    <w:rsid w:val="001330DE"/>
    <w:rsid w:val="0013324F"/>
    <w:rsid w:val="001332A5"/>
    <w:rsid w:val="001344B8"/>
    <w:rsid w:val="0013459C"/>
    <w:rsid w:val="00134D86"/>
    <w:rsid w:val="0013511E"/>
    <w:rsid w:val="00135774"/>
    <w:rsid w:val="001357EF"/>
    <w:rsid w:val="00135978"/>
    <w:rsid w:val="00135AEB"/>
    <w:rsid w:val="00135BCA"/>
    <w:rsid w:val="00135E77"/>
    <w:rsid w:val="00135FFD"/>
    <w:rsid w:val="0013613E"/>
    <w:rsid w:val="0013672A"/>
    <w:rsid w:val="001400B8"/>
    <w:rsid w:val="00140858"/>
    <w:rsid w:val="001408E9"/>
    <w:rsid w:val="00140950"/>
    <w:rsid w:val="00140972"/>
    <w:rsid w:val="00140BC8"/>
    <w:rsid w:val="001419D4"/>
    <w:rsid w:val="00141F5E"/>
    <w:rsid w:val="00142A79"/>
    <w:rsid w:val="00142CF3"/>
    <w:rsid w:val="00143228"/>
    <w:rsid w:val="0014330D"/>
    <w:rsid w:val="0014333D"/>
    <w:rsid w:val="0014362D"/>
    <w:rsid w:val="0014388E"/>
    <w:rsid w:val="00143DEA"/>
    <w:rsid w:val="001444CE"/>
    <w:rsid w:val="00145AB8"/>
    <w:rsid w:val="00145C11"/>
    <w:rsid w:val="00145D6E"/>
    <w:rsid w:val="00145D94"/>
    <w:rsid w:val="001460F8"/>
    <w:rsid w:val="00146329"/>
    <w:rsid w:val="001466CC"/>
    <w:rsid w:val="00146A83"/>
    <w:rsid w:val="00146E1D"/>
    <w:rsid w:val="00146F6D"/>
    <w:rsid w:val="001470A9"/>
    <w:rsid w:val="001477E6"/>
    <w:rsid w:val="00147D17"/>
    <w:rsid w:val="0015094D"/>
    <w:rsid w:val="0015187A"/>
    <w:rsid w:val="00151883"/>
    <w:rsid w:val="00151B7D"/>
    <w:rsid w:val="00151E83"/>
    <w:rsid w:val="0015202F"/>
    <w:rsid w:val="00152248"/>
    <w:rsid w:val="00152DBD"/>
    <w:rsid w:val="00152FF0"/>
    <w:rsid w:val="0015325B"/>
    <w:rsid w:val="001532A4"/>
    <w:rsid w:val="0015340C"/>
    <w:rsid w:val="00153816"/>
    <w:rsid w:val="00153B80"/>
    <w:rsid w:val="00154017"/>
    <w:rsid w:val="001540B6"/>
    <w:rsid w:val="00155380"/>
    <w:rsid w:val="00155AA0"/>
    <w:rsid w:val="00155BC4"/>
    <w:rsid w:val="0015669E"/>
    <w:rsid w:val="00156D86"/>
    <w:rsid w:val="00156F33"/>
    <w:rsid w:val="001570EC"/>
    <w:rsid w:val="00157198"/>
    <w:rsid w:val="001571AC"/>
    <w:rsid w:val="001572F1"/>
    <w:rsid w:val="00157E0C"/>
    <w:rsid w:val="00157F5B"/>
    <w:rsid w:val="00157FDC"/>
    <w:rsid w:val="00160017"/>
    <w:rsid w:val="00160138"/>
    <w:rsid w:val="001601EC"/>
    <w:rsid w:val="00160A46"/>
    <w:rsid w:val="00160AE9"/>
    <w:rsid w:val="001612D0"/>
    <w:rsid w:val="001616ED"/>
    <w:rsid w:val="00161809"/>
    <w:rsid w:val="001619BB"/>
    <w:rsid w:val="00161D98"/>
    <w:rsid w:val="00161E33"/>
    <w:rsid w:val="00161EDF"/>
    <w:rsid w:val="001623F1"/>
    <w:rsid w:val="0016296F"/>
    <w:rsid w:val="00162C99"/>
    <w:rsid w:val="00162DD6"/>
    <w:rsid w:val="00163163"/>
    <w:rsid w:val="001637A7"/>
    <w:rsid w:val="001638F6"/>
    <w:rsid w:val="00163CFF"/>
    <w:rsid w:val="00163D03"/>
    <w:rsid w:val="00163DAC"/>
    <w:rsid w:val="00164602"/>
    <w:rsid w:val="00165187"/>
    <w:rsid w:val="00165248"/>
    <w:rsid w:val="0016567A"/>
    <w:rsid w:val="00165A63"/>
    <w:rsid w:val="00165A66"/>
    <w:rsid w:val="00165B4E"/>
    <w:rsid w:val="00165E6B"/>
    <w:rsid w:val="00166A7B"/>
    <w:rsid w:val="00166E97"/>
    <w:rsid w:val="00166F79"/>
    <w:rsid w:val="0016733F"/>
    <w:rsid w:val="00170514"/>
    <w:rsid w:val="0017057A"/>
    <w:rsid w:val="00170784"/>
    <w:rsid w:val="001710A9"/>
    <w:rsid w:val="00171156"/>
    <w:rsid w:val="001711EE"/>
    <w:rsid w:val="0017139F"/>
    <w:rsid w:val="001713F4"/>
    <w:rsid w:val="00171DAF"/>
    <w:rsid w:val="00172111"/>
    <w:rsid w:val="00172716"/>
    <w:rsid w:val="0017323F"/>
    <w:rsid w:val="00173674"/>
    <w:rsid w:val="00173BDC"/>
    <w:rsid w:val="00173DDF"/>
    <w:rsid w:val="001740BE"/>
    <w:rsid w:val="001741C9"/>
    <w:rsid w:val="00174209"/>
    <w:rsid w:val="00174E71"/>
    <w:rsid w:val="001758D4"/>
    <w:rsid w:val="001759DA"/>
    <w:rsid w:val="0017698E"/>
    <w:rsid w:val="00176B8E"/>
    <w:rsid w:val="00176CC9"/>
    <w:rsid w:val="00176DF3"/>
    <w:rsid w:val="001772D6"/>
    <w:rsid w:val="001777C0"/>
    <w:rsid w:val="001777CE"/>
    <w:rsid w:val="0018024E"/>
    <w:rsid w:val="00180508"/>
    <w:rsid w:val="001809E1"/>
    <w:rsid w:val="00180C69"/>
    <w:rsid w:val="001812BF"/>
    <w:rsid w:val="001817D6"/>
    <w:rsid w:val="00181D3B"/>
    <w:rsid w:val="001830A4"/>
    <w:rsid w:val="001833C7"/>
    <w:rsid w:val="00183B71"/>
    <w:rsid w:val="00183E1C"/>
    <w:rsid w:val="00184067"/>
    <w:rsid w:val="00184123"/>
    <w:rsid w:val="001845D8"/>
    <w:rsid w:val="00184849"/>
    <w:rsid w:val="00184ABA"/>
    <w:rsid w:val="00184CC0"/>
    <w:rsid w:val="00184D82"/>
    <w:rsid w:val="00184FAD"/>
    <w:rsid w:val="00185440"/>
    <w:rsid w:val="00185481"/>
    <w:rsid w:val="001854F0"/>
    <w:rsid w:val="00186468"/>
    <w:rsid w:val="001876CE"/>
    <w:rsid w:val="00187A3E"/>
    <w:rsid w:val="00187B38"/>
    <w:rsid w:val="00187E52"/>
    <w:rsid w:val="00187F56"/>
    <w:rsid w:val="0019029B"/>
    <w:rsid w:val="00190498"/>
    <w:rsid w:val="0019065C"/>
    <w:rsid w:val="00190C2B"/>
    <w:rsid w:val="00192D71"/>
    <w:rsid w:val="00193608"/>
    <w:rsid w:val="00193E68"/>
    <w:rsid w:val="0019429A"/>
    <w:rsid w:val="001943C3"/>
    <w:rsid w:val="00194506"/>
    <w:rsid w:val="00194A0C"/>
    <w:rsid w:val="001950B8"/>
    <w:rsid w:val="00195152"/>
    <w:rsid w:val="0019521D"/>
    <w:rsid w:val="0019530C"/>
    <w:rsid w:val="001959CC"/>
    <w:rsid w:val="00195ECC"/>
    <w:rsid w:val="00196014"/>
    <w:rsid w:val="0019605C"/>
    <w:rsid w:val="001960F3"/>
    <w:rsid w:val="0019661D"/>
    <w:rsid w:val="00196875"/>
    <w:rsid w:val="00196DEF"/>
    <w:rsid w:val="00197802"/>
    <w:rsid w:val="001979EC"/>
    <w:rsid w:val="00197CB1"/>
    <w:rsid w:val="00197DC1"/>
    <w:rsid w:val="001A002B"/>
    <w:rsid w:val="001A079A"/>
    <w:rsid w:val="001A08FC"/>
    <w:rsid w:val="001A0C16"/>
    <w:rsid w:val="001A0F37"/>
    <w:rsid w:val="001A10F0"/>
    <w:rsid w:val="001A11F8"/>
    <w:rsid w:val="001A1543"/>
    <w:rsid w:val="001A169E"/>
    <w:rsid w:val="001A1A3B"/>
    <w:rsid w:val="001A1C56"/>
    <w:rsid w:val="001A1DAE"/>
    <w:rsid w:val="001A2019"/>
    <w:rsid w:val="001A28AF"/>
    <w:rsid w:val="001A2A61"/>
    <w:rsid w:val="001A3745"/>
    <w:rsid w:val="001A389A"/>
    <w:rsid w:val="001A4308"/>
    <w:rsid w:val="001A4546"/>
    <w:rsid w:val="001A4931"/>
    <w:rsid w:val="001A4B62"/>
    <w:rsid w:val="001A539E"/>
    <w:rsid w:val="001A53FF"/>
    <w:rsid w:val="001A59FE"/>
    <w:rsid w:val="001A5FE8"/>
    <w:rsid w:val="001A6246"/>
    <w:rsid w:val="001A6380"/>
    <w:rsid w:val="001A6B83"/>
    <w:rsid w:val="001A6DFC"/>
    <w:rsid w:val="001A74EB"/>
    <w:rsid w:val="001A7AFE"/>
    <w:rsid w:val="001A7E21"/>
    <w:rsid w:val="001B0B13"/>
    <w:rsid w:val="001B0E2F"/>
    <w:rsid w:val="001B2359"/>
    <w:rsid w:val="001B27E9"/>
    <w:rsid w:val="001B2B4C"/>
    <w:rsid w:val="001B2E94"/>
    <w:rsid w:val="001B328F"/>
    <w:rsid w:val="001B332E"/>
    <w:rsid w:val="001B395E"/>
    <w:rsid w:val="001B3DC1"/>
    <w:rsid w:val="001B3EC1"/>
    <w:rsid w:val="001B4281"/>
    <w:rsid w:val="001B4969"/>
    <w:rsid w:val="001B4CB9"/>
    <w:rsid w:val="001B4CFB"/>
    <w:rsid w:val="001B4FC2"/>
    <w:rsid w:val="001B564D"/>
    <w:rsid w:val="001B5769"/>
    <w:rsid w:val="001B5AD8"/>
    <w:rsid w:val="001B5F69"/>
    <w:rsid w:val="001B5F7A"/>
    <w:rsid w:val="001B653B"/>
    <w:rsid w:val="001B665E"/>
    <w:rsid w:val="001B66B7"/>
    <w:rsid w:val="001B6B12"/>
    <w:rsid w:val="001B6E02"/>
    <w:rsid w:val="001B7972"/>
    <w:rsid w:val="001B7E18"/>
    <w:rsid w:val="001C0003"/>
    <w:rsid w:val="001C02DA"/>
    <w:rsid w:val="001C0390"/>
    <w:rsid w:val="001C076B"/>
    <w:rsid w:val="001C0A0B"/>
    <w:rsid w:val="001C0A4B"/>
    <w:rsid w:val="001C0E4D"/>
    <w:rsid w:val="001C1206"/>
    <w:rsid w:val="001C1926"/>
    <w:rsid w:val="001C1C27"/>
    <w:rsid w:val="001C23BD"/>
    <w:rsid w:val="001C252D"/>
    <w:rsid w:val="001C2767"/>
    <w:rsid w:val="001C2E2F"/>
    <w:rsid w:val="001C325D"/>
    <w:rsid w:val="001C3784"/>
    <w:rsid w:val="001C3876"/>
    <w:rsid w:val="001C3FA4"/>
    <w:rsid w:val="001C40A6"/>
    <w:rsid w:val="001C420A"/>
    <w:rsid w:val="001C43CA"/>
    <w:rsid w:val="001C445C"/>
    <w:rsid w:val="001C4C98"/>
    <w:rsid w:val="001C4D61"/>
    <w:rsid w:val="001C4F1D"/>
    <w:rsid w:val="001C546B"/>
    <w:rsid w:val="001C5D0D"/>
    <w:rsid w:val="001C5F7A"/>
    <w:rsid w:val="001C6039"/>
    <w:rsid w:val="001C6184"/>
    <w:rsid w:val="001C61E1"/>
    <w:rsid w:val="001C6469"/>
    <w:rsid w:val="001C6C7D"/>
    <w:rsid w:val="001C6FB5"/>
    <w:rsid w:val="001C703E"/>
    <w:rsid w:val="001C712F"/>
    <w:rsid w:val="001C7B12"/>
    <w:rsid w:val="001C7ED7"/>
    <w:rsid w:val="001D01C7"/>
    <w:rsid w:val="001D0868"/>
    <w:rsid w:val="001D1025"/>
    <w:rsid w:val="001D1506"/>
    <w:rsid w:val="001D1649"/>
    <w:rsid w:val="001D1817"/>
    <w:rsid w:val="001D18CF"/>
    <w:rsid w:val="001D1AB0"/>
    <w:rsid w:val="001D20B0"/>
    <w:rsid w:val="001D2263"/>
    <w:rsid w:val="001D2932"/>
    <w:rsid w:val="001D2D45"/>
    <w:rsid w:val="001D346A"/>
    <w:rsid w:val="001D39CC"/>
    <w:rsid w:val="001D424B"/>
    <w:rsid w:val="001D483C"/>
    <w:rsid w:val="001D49E6"/>
    <w:rsid w:val="001D4B32"/>
    <w:rsid w:val="001D51D0"/>
    <w:rsid w:val="001D53B7"/>
    <w:rsid w:val="001D585D"/>
    <w:rsid w:val="001D58FB"/>
    <w:rsid w:val="001D5947"/>
    <w:rsid w:val="001D59B3"/>
    <w:rsid w:val="001D5AD1"/>
    <w:rsid w:val="001D61B9"/>
    <w:rsid w:val="001D625A"/>
    <w:rsid w:val="001D6490"/>
    <w:rsid w:val="001D6B44"/>
    <w:rsid w:val="001D6FCA"/>
    <w:rsid w:val="001D722E"/>
    <w:rsid w:val="001D7284"/>
    <w:rsid w:val="001D74DA"/>
    <w:rsid w:val="001D7641"/>
    <w:rsid w:val="001E0389"/>
    <w:rsid w:val="001E06C9"/>
    <w:rsid w:val="001E087E"/>
    <w:rsid w:val="001E102F"/>
    <w:rsid w:val="001E126E"/>
    <w:rsid w:val="001E13A2"/>
    <w:rsid w:val="001E1457"/>
    <w:rsid w:val="001E1D3D"/>
    <w:rsid w:val="001E1DA3"/>
    <w:rsid w:val="001E1EE6"/>
    <w:rsid w:val="001E21BB"/>
    <w:rsid w:val="001E2324"/>
    <w:rsid w:val="001E240E"/>
    <w:rsid w:val="001E258F"/>
    <w:rsid w:val="001E28A8"/>
    <w:rsid w:val="001E2995"/>
    <w:rsid w:val="001E312A"/>
    <w:rsid w:val="001E320C"/>
    <w:rsid w:val="001E34D9"/>
    <w:rsid w:val="001E366C"/>
    <w:rsid w:val="001E3707"/>
    <w:rsid w:val="001E4363"/>
    <w:rsid w:val="001E44D3"/>
    <w:rsid w:val="001E4E06"/>
    <w:rsid w:val="001E4E5F"/>
    <w:rsid w:val="001E5D11"/>
    <w:rsid w:val="001E6295"/>
    <w:rsid w:val="001E62FA"/>
    <w:rsid w:val="001E6D61"/>
    <w:rsid w:val="001E7C14"/>
    <w:rsid w:val="001F0367"/>
    <w:rsid w:val="001F0381"/>
    <w:rsid w:val="001F0ACD"/>
    <w:rsid w:val="001F0D51"/>
    <w:rsid w:val="001F15AC"/>
    <w:rsid w:val="001F1B40"/>
    <w:rsid w:val="001F1D6C"/>
    <w:rsid w:val="001F215A"/>
    <w:rsid w:val="001F2560"/>
    <w:rsid w:val="001F31D4"/>
    <w:rsid w:val="001F3263"/>
    <w:rsid w:val="001F348D"/>
    <w:rsid w:val="001F34B9"/>
    <w:rsid w:val="001F3CCC"/>
    <w:rsid w:val="001F3F54"/>
    <w:rsid w:val="001F426C"/>
    <w:rsid w:val="001F446A"/>
    <w:rsid w:val="001F508C"/>
    <w:rsid w:val="001F50DC"/>
    <w:rsid w:val="001F51F8"/>
    <w:rsid w:val="001F5CCA"/>
    <w:rsid w:val="001F6090"/>
    <w:rsid w:val="001F669D"/>
    <w:rsid w:val="001F6CCE"/>
    <w:rsid w:val="001F71A8"/>
    <w:rsid w:val="001F7284"/>
    <w:rsid w:val="001F736C"/>
    <w:rsid w:val="001F793C"/>
    <w:rsid w:val="001F7C68"/>
    <w:rsid w:val="00200039"/>
    <w:rsid w:val="00200101"/>
    <w:rsid w:val="00200492"/>
    <w:rsid w:val="00200ADC"/>
    <w:rsid w:val="00200BD2"/>
    <w:rsid w:val="00200BDB"/>
    <w:rsid w:val="00200EB5"/>
    <w:rsid w:val="002010BF"/>
    <w:rsid w:val="002018E0"/>
    <w:rsid w:val="00202045"/>
    <w:rsid w:val="002024E0"/>
    <w:rsid w:val="00202CBD"/>
    <w:rsid w:val="00202D84"/>
    <w:rsid w:val="00202F6D"/>
    <w:rsid w:val="00203993"/>
    <w:rsid w:val="00203A30"/>
    <w:rsid w:val="00203DC3"/>
    <w:rsid w:val="00203E2F"/>
    <w:rsid w:val="00203EA1"/>
    <w:rsid w:val="00204230"/>
    <w:rsid w:val="00204452"/>
    <w:rsid w:val="00204716"/>
    <w:rsid w:val="00205585"/>
    <w:rsid w:val="00205825"/>
    <w:rsid w:val="002069A3"/>
    <w:rsid w:val="00206B29"/>
    <w:rsid w:val="00207908"/>
    <w:rsid w:val="00207C47"/>
    <w:rsid w:val="00207CAE"/>
    <w:rsid w:val="002102FA"/>
    <w:rsid w:val="0021062A"/>
    <w:rsid w:val="0021077B"/>
    <w:rsid w:val="0021081A"/>
    <w:rsid w:val="00212039"/>
    <w:rsid w:val="00212B30"/>
    <w:rsid w:val="0021321D"/>
    <w:rsid w:val="002140A0"/>
    <w:rsid w:val="002141E9"/>
    <w:rsid w:val="0021467C"/>
    <w:rsid w:val="0021491E"/>
    <w:rsid w:val="00214C1B"/>
    <w:rsid w:val="00215326"/>
    <w:rsid w:val="00215940"/>
    <w:rsid w:val="00215CC7"/>
    <w:rsid w:val="002162CC"/>
    <w:rsid w:val="00216927"/>
    <w:rsid w:val="00216DA0"/>
    <w:rsid w:val="00217136"/>
    <w:rsid w:val="002177E6"/>
    <w:rsid w:val="00217DB6"/>
    <w:rsid w:val="00217FA2"/>
    <w:rsid w:val="00217FD8"/>
    <w:rsid w:val="00220134"/>
    <w:rsid w:val="00220419"/>
    <w:rsid w:val="0022068C"/>
    <w:rsid w:val="00220904"/>
    <w:rsid w:val="00220A5B"/>
    <w:rsid w:val="00220EA8"/>
    <w:rsid w:val="0022188D"/>
    <w:rsid w:val="002218C7"/>
    <w:rsid w:val="00221A1C"/>
    <w:rsid w:val="00221CDB"/>
    <w:rsid w:val="00222226"/>
    <w:rsid w:val="00222230"/>
    <w:rsid w:val="00222C33"/>
    <w:rsid w:val="0022301D"/>
    <w:rsid w:val="002232F1"/>
    <w:rsid w:val="002239C5"/>
    <w:rsid w:val="00223AB7"/>
    <w:rsid w:val="002242B2"/>
    <w:rsid w:val="002243FB"/>
    <w:rsid w:val="002249B5"/>
    <w:rsid w:val="00225736"/>
    <w:rsid w:val="00225BEC"/>
    <w:rsid w:val="00225E1A"/>
    <w:rsid w:val="00226249"/>
    <w:rsid w:val="002263A3"/>
    <w:rsid w:val="00227160"/>
    <w:rsid w:val="002279E1"/>
    <w:rsid w:val="00230163"/>
    <w:rsid w:val="002301E6"/>
    <w:rsid w:val="00230292"/>
    <w:rsid w:val="002302D8"/>
    <w:rsid w:val="00230CF0"/>
    <w:rsid w:val="00231FB3"/>
    <w:rsid w:val="00232011"/>
    <w:rsid w:val="00232177"/>
    <w:rsid w:val="00232480"/>
    <w:rsid w:val="00232671"/>
    <w:rsid w:val="0023336A"/>
    <w:rsid w:val="0023346D"/>
    <w:rsid w:val="00233F69"/>
    <w:rsid w:val="00234474"/>
    <w:rsid w:val="00234518"/>
    <w:rsid w:val="00234A28"/>
    <w:rsid w:val="00234BBF"/>
    <w:rsid w:val="00234BD4"/>
    <w:rsid w:val="00234CAD"/>
    <w:rsid w:val="00234E45"/>
    <w:rsid w:val="00234ECA"/>
    <w:rsid w:val="00235293"/>
    <w:rsid w:val="00235473"/>
    <w:rsid w:val="00235733"/>
    <w:rsid w:val="00235DC9"/>
    <w:rsid w:val="002366CE"/>
    <w:rsid w:val="00236781"/>
    <w:rsid w:val="002372DA"/>
    <w:rsid w:val="00237C72"/>
    <w:rsid w:val="00237E83"/>
    <w:rsid w:val="00240496"/>
    <w:rsid w:val="0024053D"/>
    <w:rsid w:val="00240584"/>
    <w:rsid w:val="002405A9"/>
    <w:rsid w:val="002411E3"/>
    <w:rsid w:val="0024199D"/>
    <w:rsid w:val="00241FB7"/>
    <w:rsid w:val="00241FBD"/>
    <w:rsid w:val="00242B36"/>
    <w:rsid w:val="00242FF7"/>
    <w:rsid w:val="002437DE"/>
    <w:rsid w:val="00243886"/>
    <w:rsid w:val="00243CBE"/>
    <w:rsid w:val="00244246"/>
    <w:rsid w:val="00244557"/>
    <w:rsid w:val="00244770"/>
    <w:rsid w:val="0024488B"/>
    <w:rsid w:val="00244FE0"/>
    <w:rsid w:val="00245654"/>
    <w:rsid w:val="002457DB"/>
    <w:rsid w:val="0024581B"/>
    <w:rsid w:val="00245B85"/>
    <w:rsid w:val="00245D4E"/>
    <w:rsid w:val="00245F9E"/>
    <w:rsid w:val="00245FE1"/>
    <w:rsid w:val="002460F7"/>
    <w:rsid w:val="002463A3"/>
    <w:rsid w:val="002463A7"/>
    <w:rsid w:val="0024652D"/>
    <w:rsid w:val="00246A05"/>
    <w:rsid w:val="00246B7F"/>
    <w:rsid w:val="002475E5"/>
    <w:rsid w:val="002476F1"/>
    <w:rsid w:val="002503CC"/>
    <w:rsid w:val="00250C93"/>
    <w:rsid w:val="00251323"/>
    <w:rsid w:val="002513D9"/>
    <w:rsid w:val="002518FC"/>
    <w:rsid w:val="00251B2E"/>
    <w:rsid w:val="00251C2F"/>
    <w:rsid w:val="002521F5"/>
    <w:rsid w:val="00252E3B"/>
    <w:rsid w:val="00252F83"/>
    <w:rsid w:val="00252FF5"/>
    <w:rsid w:val="002536B3"/>
    <w:rsid w:val="00253B5E"/>
    <w:rsid w:val="00253C8C"/>
    <w:rsid w:val="0025490B"/>
    <w:rsid w:val="00254A53"/>
    <w:rsid w:val="00254E43"/>
    <w:rsid w:val="00255341"/>
    <w:rsid w:val="00255568"/>
    <w:rsid w:val="002558AF"/>
    <w:rsid w:val="00256226"/>
    <w:rsid w:val="002563B4"/>
    <w:rsid w:val="002570BF"/>
    <w:rsid w:val="002570DA"/>
    <w:rsid w:val="002578D0"/>
    <w:rsid w:val="00257FCA"/>
    <w:rsid w:val="002600D5"/>
    <w:rsid w:val="00260419"/>
    <w:rsid w:val="00260688"/>
    <w:rsid w:val="00261B4E"/>
    <w:rsid w:val="00262187"/>
    <w:rsid w:val="00262FA4"/>
    <w:rsid w:val="00262FBC"/>
    <w:rsid w:val="002635B3"/>
    <w:rsid w:val="00263BE9"/>
    <w:rsid w:val="00264536"/>
    <w:rsid w:val="0026482F"/>
    <w:rsid w:val="002649D1"/>
    <w:rsid w:val="00264F5C"/>
    <w:rsid w:val="002652C6"/>
    <w:rsid w:val="0026544F"/>
    <w:rsid w:val="00265467"/>
    <w:rsid w:val="00265A2B"/>
    <w:rsid w:val="00265A7E"/>
    <w:rsid w:val="00265C96"/>
    <w:rsid w:val="00265D39"/>
    <w:rsid w:val="002661B9"/>
    <w:rsid w:val="002662B2"/>
    <w:rsid w:val="0026642E"/>
    <w:rsid w:val="00266636"/>
    <w:rsid w:val="002668E2"/>
    <w:rsid w:val="00266AFF"/>
    <w:rsid w:val="00266F45"/>
    <w:rsid w:val="00267310"/>
    <w:rsid w:val="00267581"/>
    <w:rsid w:val="0026766D"/>
    <w:rsid w:val="00267897"/>
    <w:rsid w:val="00267F20"/>
    <w:rsid w:val="00270508"/>
    <w:rsid w:val="002709FE"/>
    <w:rsid w:val="00271632"/>
    <w:rsid w:val="0027215D"/>
    <w:rsid w:val="0027219C"/>
    <w:rsid w:val="0027235A"/>
    <w:rsid w:val="00272476"/>
    <w:rsid w:val="00272A35"/>
    <w:rsid w:val="00272A36"/>
    <w:rsid w:val="00272B80"/>
    <w:rsid w:val="00272BC6"/>
    <w:rsid w:val="00272DEF"/>
    <w:rsid w:val="00272FFC"/>
    <w:rsid w:val="00273391"/>
    <w:rsid w:val="0027451F"/>
    <w:rsid w:val="002747B0"/>
    <w:rsid w:val="002749B9"/>
    <w:rsid w:val="002749E5"/>
    <w:rsid w:val="002749E6"/>
    <w:rsid w:val="00274A78"/>
    <w:rsid w:val="00274C33"/>
    <w:rsid w:val="0027553C"/>
    <w:rsid w:val="002757CB"/>
    <w:rsid w:val="0027583F"/>
    <w:rsid w:val="00275BF5"/>
    <w:rsid w:val="002772C7"/>
    <w:rsid w:val="0028047F"/>
    <w:rsid w:val="00280F48"/>
    <w:rsid w:val="00280FCD"/>
    <w:rsid w:val="0028105B"/>
    <w:rsid w:val="00281353"/>
    <w:rsid w:val="00281AB5"/>
    <w:rsid w:val="00281E09"/>
    <w:rsid w:val="00283792"/>
    <w:rsid w:val="00284028"/>
    <w:rsid w:val="002848D8"/>
    <w:rsid w:val="00285312"/>
    <w:rsid w:val="002854AA"/>
    <w:rsid w:val="00285C16"/>
    <w:rsid w:val="00286291"/>
    <w:rsid w:val="00287197"/>
    <w:rsid w:val="00287397"/>
    <w:rsid w:val="002876E4"/>
    <w:rsid w:val="00287FD7"/>
    <w:rsid w:val="0029007A"/>
    <w:rsid w:val="00290478"/>
    <w:rsid w:val="0029051A"/>
    <w:rsid w:val="00290739"/>
    <w:rsid w:val="00290946"/>
    <w:rsid w:val="00290C5E"/>
    <w:rsid w:val="00291061"/>
    <w:rsid w:val="00291351"/>
    <w:rsid w:val="00291716"/>
    <w:rsid w:val="00291817"/>
    <w:rsid w:val="00291CB2"/>
    <w:rsid w:val="00292448"/>
    <w:rsid w:val="002924AD"/>
    <w:rsid w:val="002926DC"/>
    <w:rsid w:val="002928FC"/>
    <w:rsid w:val="00292A4E"/>
    <w:rsid w:val="00293433"/>
    <w:rsid w:val="002940D0"/>
    <w:rsid w:val="002947EF"/>
    <w:rsid w:val="00294829"/>
    <w:rsid w:val="002948BA"/>
    <w:rsid w:val="00294B2F"/>
    <w:rsid w:val="00294BC6"/>
    <w:rsid w:val="00294C2A"/>
    <w:rsid w:val="00294E15"/>
    <w:rsid w:val="00295364"/>
    <w:rsid w:val="002954B6"/>
    <w:rsid w:val="00295CD0"/>
    <w:rsid w:val="002962C1"/>
    <w:rsid w:val="00296A4E"/>
    <w:rsid w:val="00296D7E"/>
    <w:rsid w:val="00296F2A"/>
    <w:rsid w:val="0029720C"/>
    <w:rsid w:val="002A077D"/>
    <w:rsid w:val="002A1C95"/>
    <w:rsid w:val="002A1DC6"/>
    <w:rsid w:val="002A221B"/>
    <w:rsid w:val="002A243F"/>
    <w:rsid w:val="002A26B4"/>
    <w:rsid w:val="002A2F6F"/>
    <w:rsid w:val="002A34FF"/>
    <w:rsid w:val="002A3938"/>
    <w:rsid w:val="002A3A27"/>
    <w:rsid w:val="002A3C4F"/>
    <w:rsid w:val="002A3CBF"/>
    <w:rsid w:val="002A3E67"/>
    <w:rsid w:val="002A3FF3"/>
    <w:rsid w:val="002A40E1"/>
    <w:rsid w:val="002A4589"/>
    <w:rsid w:val="002A47D8"/>
    <w:rsid w:val="002A4DF5"/>
    <w:rsid w:val="002A5141"/>
    <w:rsid w:val="002A54C8"/>
    <w:rsid w:val="002A54D3"/>
    <w:rsid w:val="002A579F"/>
    <w:rsid w:val="002A57EA"/>
    <w:rsid w:val="002A5E69"/>
    <w:rsid w:val="002A6075"/>
    <w:rsid w:val="002A6C57"/>
    <w:rsid w:val="002A6CE0"/>
    <w:rsid w:val="002A6E6B"/>
    <w:rsid w:val="002A743D"/>
    <w:rsid w:val="002A7550"/>
    <w:rsid w:val="002A7DD8"/>
    <w:rsid w:val="002B06C3"/>
    <w:rsid w:val="002B07C5"/>
    <w:rsid w:val="002B0C67"/>
    <w:rsid w:val="002B12F4"/>
    <w:rsid w:val="002B1687"/>
    <w:rsid w:val="002B1876"/>
    <w:rsid w:val="002B2213"/>
    <w:rsid w:val="002B2312"/>
    <w:rsid w:val="002B24B1"/>
    <w:rsid w:val="002B24E4"/>
    <w:rsid w:val="002B2DC1"/>
    <w:rsid w:val="002B2F58"/>
    <w:rsid w:val="002B3535"/>
    <w:rsid w:val="002B3BE7"/>
    <w:rsid w:val="002B3C02"/>
    <w:rsid w:val="002B40E4"/>
    <w:rsid w:val="002B4536"/>
    <w:rsid w:val="002B46E9"/>
    <w:rsid w:val="002B482E"/>
    <w:rsid w:val="002B56E1"/>
    <w:rsid w:val="002B5BEF"/>
    <w:rsid w:val="002B6259"/>
    <w:rsid w:val="002B6446"/>
    <w:rsid w:val="002B6D1F"/>
    <w:rsid w:val="002B6D6E"/>
    <w:rsid w:val="002B6F80"/>
    <w:rsid w:val="002B72E5"/>
    <w:rsid w:val="002B7874"/>
    <w:rsid w:val="002B7BEF"/>
    <w:rsid w:val="002B7F18"/>
    <w:rsid w:val="002C0140"/>
    <w:rsid w:val="002C037E"/>
    <w:rsid w:val="002C06B5"/>
    <w:rsid w:val="002C070B"/>
    <w:rsid w:val="002C14B7"/>
    <w:rsid w:val="002C18CE"/>
    <w:rsid w:val="002C1BFA"/>
    <w:rsid w:val="002C2698"/>
    <w:rsid w:val="002C2D57"/>
    <w:rsid w:val="002C3A2C"/>
    <w:rsid w:val="002C3C95"/>
    <w:rsid w:val="002C3CAD"/>
    <w:rsid w:val="002C41F5"/>
    <w:rsid w:val="002C432B"/>
    <w:rsid w:val="002C436E"/>
    <w:rsid w:val="002C4623"/>
    <w:rsid w:val="002C4746"/>
    <w:rsid w:val="002C4796"/>
    <w:rsid w:val="002C4E0D"/>
    <w:rsid w:val="002C5070"/>
    <w:rsid w:val="002C511A"/>
    <w:rsid w:val="002C595B"/>
    <w:rsid w:val="002C64DA"/>
    <w:rsid w:val="002C660E"/>
    <w:rsid w:val="002C6621"/>
    <w:rsid w:val="002C68A4"/>
    <w:rsid w:val="002C6D6A"/>
    <w:rsid w:val="002C71CE"/>
    <w:rsid w:val="002C72D7"/>
    <w:rsid w:val="002C7374"/>
    <w:rsid w:val="002C7C84"/>
    <w:rsid w:val="002C7EC3"/>
    <w:rsid w:val="002D06F2"/>
    <w:rsid w:val="002D070F"/>
    <w:rsid w:val="002D0B74"/>
    <w:rsid w:val="002D188E"/>
    <w:rsid w:val="002D1914"/>
    <w:rsid w:val="002D19AA"/>
    <w:rsid w:val="002D19EB"/>
    <w:rsid w:val="002D1A7F"/>
    <w:rsid w:val="002D1B2D"/>
    <w:rsid w:val="002D207C"/>
    <w:rsid w:val="002D20B7"/>
    <w:rsid w:val="002D214C"/>
    <w:rsid w:val="002D2592"/>
    <w:rsid w:val="002D25BB"/>
    <w:rsid w:val="002D31D5"/>
    <w:rsid w:val="002D34C3"/>
    <w:rsid w:val="002D4095"/>
    <w:rsid w:val="002D425E"/>
    <w:rsid w:val="002D4E18"/>
    <w:rsid w:val="002D50CB"/>
    <w:rsid w:val="002D5A12"/>
    <w:rsid w:val="002D5A20"/>
    <w:rsid w:val="002D6542"/>
    <w:rsid w:val="002D6C2A"/>
    <w:rsid w:val="002D6F85"/>
    <w:rsid w:val="002D71C6"/>
    <w:rsid w:val="002D732C"/>
    <w:rsid w:val="002D7E8A"/>
    <w:rsid w:val="002D7FBF"/>
    <w:rsid w:val="002E052A"/>
    <w:rsid w:val="002E0776"/>
    <w:rsid w:val="002E092A"/>
    <w:rsid w:val="002E0996"/>
    <w:rsid w:val="002E137E"/>
    <w:rsid w:val="002E13C3"/>
    <w:rsid w:val="002E165D"/>
    <w:rsid w:val="002E1DCF"/>
    <w:rsid w:val="002E227F"/>
    <w:rsid w:val="002E26ED"/>
    <w:rsid w:val="002E2BBC"/>
    <w:rsid w:val="002E2C87"/>
    <w:rsid w:val="002E2CEA"/>
    <w:rsid w:val="002E2DC6"/>
    <w:rsid w:val="002E2F35"/>
    <w:rsid w:val="002E31A0"/>
    <w:rsid w:val="002E31DB"/>
    <w:rsid w:val="002E3846"/>
    <w:rsid w:val="002E3C1D"/>
    <w:rsid w:val="002E426A"/>
    <w:rsid w:val="002E45DB"/>
    <w:rsid w:val="002E4EDA"/>
    <w:rsid w:val="002E5273"/>
    <w:rsid w:val="002E54AB"/>
    <w:rsid w:val="002E54DD"/>
    <w:rsid w:val="002E560C"/>
    <w:rsid w:val="002E560E"/>
    <w:rsid w:val="002E59C0"/>
    <w:rsid w:val="002E5D2E"/>
    <w:rsid w:val="002E5F2B"/>
    <w:rsid w:val="002E60F6"/>
    <w:rsid w:val="002E6496"/>
    <w:rsid w:val="002E64AE"/>
    <w:rsid w:val="002E6D2A"/>
    <w:rsid w:val="002E6F6D"/>
    <w:rsid w:val="002E75D9"/>
    <w:rsid w:val="002E77AB"/>
    <w:rsid w:val="002E7F24"/>
    <w:rsid w:val="002F0723"/>
    <w:rsid w:val="002F0A39"/>
    <w:rsid w:val="002F1D57"/>
    <w:rsid w:val="002F1DE6"/>
    <w:rsid w:val="002F29ED"/>
    <w:rsid w:val="002F3D76"/>
    <w:rsid w:val="002F3F5C"/>
    <w:rsid w:val="002F3F7E"/>
    <w:rsid w:val="002F418C"/>
    <w:rsid w:val="002F4196"/>
    <w:rsid w:val="002F4221"/>
    <w:rsid w:val="002F440B"/>
    <w:rsid w:val="002F4B47"/>
    <w:rsid w:val="002F4F7A"/>
    <w:rsid w:val="002F5141"/>
    <w:rsid w:val="002F5309"/>
    <w:rsid w:val="002F5522"/>
    <w:rsid w:val="002F5AF3"/>
    <w:rsid w:val="002F65C9"/>
    <w:rsid w:val="002F75A9"/>
    <w:rsid w:val="002F7707"/>
    <w:rsid w:val="002F785E"/>
    <w:rsid w:val="002F7E14"/>
    <w:rsid w:val="0030034E"/>
    <w:rsid w:val="003003F9"/>
    <w:rsid w:val="0030151D"/>
    <w:rsid w:val="0030190A"/>
    <w:rsid w:val="00301B9F"/>
    <w:rsid w:val="00301CCA"/>
    <w:rsid w:val="00301CD8"/>
    <w:rsid w:val="003022EB"/>
    <w:rsid w:val="003022F5"/>
    <w:rsid w:val="0030241C"/>
    <w:rsid w:val="00302423"/>
    <w:rsid w:val="0030298E"/>
    <w:rsid w:val="003029C5"/>
    <w:rsid w:val="00302AC5"/>
    <w:rsid w:val="00303A15"/>
    <w:rsid w:val="00303A40"/>
    <w:rsid w:val="00303B8D"/>
    <w:rsid w:val="003045AF"/>
    <w:rsid w:val="00304CF2"/>
    <w:rsid w:val="003050D7"/>
    <w:rsid w:val="00305200"/>
    <w:rsid w:val="00305590"/>
    <w:rsid w:val="00306EE2"/>
    <w:rsid w:val="0030744E"/>
    <w:rsid w:val="00307526"/>
    <w:rsid w:val="003077F3"/>
    <w:rsid w:val="00310028"/>
    <w:rsid w:val="00310790"/>
    <w:rsid w:val="00311550"/>
    <w:rsid w:val="00311ED8"/>
    <w:rsid w:val="0031231C"/>
    <w:rsid w:val="0031261A"/>
    <w:rsid w:val="00312722"/>
    <w:rsid w:val="003128E8"/>
    <w:rsid w:val="003129E0"/>
    <w:rsid w:val="00312EEA"/>
    <w:rsid w:val="00313606"/>
    <w:rsid w:val="00313666"/>
    <w:rsid w:val="003139F0"/>
    <w:rsid w:val="00313B9B"/>
    <w:rsid w:val="00313EFD"/>
    <w:rsid w:val="003140AA"/>
    <w:rsid w:val="00314477"/>
    <w:rsid w:val="00314EAB"/>
    <w:rsid w:val="00314EE3"/>
    <w:rsid w:val="0031509D"/>
    <w:rsid w:val="00315158"/>
    <w:rsid w:val="00315254"/>
    <w:rsid w:val="0031554A"/>
    <w:rsid w:val="003158DA"/>
    <w:rsid w:val="00315971"/>
    <w:rsid w:val="00315AFC"/>
    <w:rsid w:val="0031600E"/>
    <w:rsid w:val="0031637F"/>
    <w:rsid w:val="00316ABF"/>
    <w:rsid w:val="0031772E"/>
    <w:rsid w:val="00317DB4"/>
    <w:rsid w:val="00317FD3"/>
    <w:rsid w:val="0032065E"/>
    <w:rsid w:val="003208DC"/>
    <w:rsid w:val="00320D2C"/>
    <w:rsid w:val="00320F11"/>
    <w:rsid w:val="003226EF"/>
    <w:rsid w:val="0032288E"/>
    <w:rsid w:val="00322890"/>
    <w:rsid w:val="003231DB"/>
    <w:rsid w:val="003232E8"/>
    <w:rsid w:val="00323320"/>
    <w:rsid w:val="00323964"/>
    <w:rsid w:val="003248C1"/>
    <w:rsid w:val="0032490A"/>
    <w:rsid w:val="0032493C"/>
    <w:rsid w:val="00324B45"/>
    <w:rsid w:val="00324D05"/>
    <w:rsid w:val="00324DF1"/>
    <w:rsid w:val="00325112"/>
    <w:rsid w:val="00325A24"/>
    <w:rsid w:val="00326647"/>
    <w:rsid w:val="0032677E"/>
    <w:rsid w:val="00326DFE"/>
    <w:rsid w:val="00327270"/>
    <w:rsid w:val="00327337"/>
    <w:rsid w:val="00327386"/>
    <w:rsid w:val="003274AA"/>
    <w:rsid w:val="00327E45"/>
    <w:rsid w:val="00327F4E"/>
    <w:rsid w:val="00330063"/>
    <w:rsid w:val="003302CC"/>
    <w:rsid w:val="0033046E"/>
    <w:rsid w:val="00331C9D"/>
    <w:rsid w:val="00331D20"/>
    <w:rsid w:val="0033212E"/>
    <w:rsid w:val="0033251C"/>
    <w:rsid w:val="00332540"/>
    <w:rsid w:val="003329A2"/>
    <w:rsid w:val="00332BDE"/>
    <w:rsid w:val="003330B2"/>
    <w:rsid w:val="00333344"/>
    <w:rsid w:val="00333489"/>
    <w:rsid w:val="00333854"/>
    <w:rsid w:val="00333C03"/>
    <w:rsid w:val="00333F22"/>
    <w:rsid w:val="003342CC"/>
    <w:rsid w:val="00334D65"/>
    <w:rsid w:val="00334E97"/>
    <w:rsid w:val="00334FFF"/>
    <w:rsid w:val="0033538A"/>
    <w:rsid w:val="00335647"/>
    <w:rsid w:val="00335E92"/>
    <w:rsid w:val="0033604B"/>
    <w:rsid w:val="00336189"/>
    <w:rsid w:val="00336C91"/>
    <w:rsid w:val="00336F47"/>
    <w:rsid w:val="00337137"/>
    <w:rsid w:val="0033730D"/>
    <w:rsid w:val="00340419"/>
    <w:rsid w:val="003404D2"/>
    <w:rsid w:val="00340727"/>
    <w:rsid w:val="00340B58"/>
    <w:rsid w:val="00340CF2"/>
    <w:rsid w:val="00340CF3"/>
    <w:rsid w:val="00340E98"/>
    <w:rsid w:val="00341077"/>
    <w:rsid w:val="00341121"/>
    <w:rsid w:val="00341136"/>
    <w:rsid w:val="00341177"/>
    <w:rsid w:val="003419AD"/>
    <w:rsid w:val="00341AA0"/>
    <w:rsid w:val="00341D24"/>
    <w:rsid w:val="00341D38"/>
    <w:rsid w:val="003420DC"/>
    <w:rsid w:val="0034215F"/>
    <w:rsid w:val="00342A40"/>
    <w:rsid w:val="00343864"/>
    <w:rsid w:val="00343927"/>
    <w:rsid w:val="00343DF7"/>
    <w:rsid w:val="00343E21"/>
    <w:rsid w:val="00343F3A"/>
    <w:rsid w:val="0034413C"/>
    <w:rsid w:val="00344233"/>
    <w:rsid w:val="0034496D"/>
    <w:rsid w:val="003457ED"/>
    <w:rsid w:val="00345F7D"/>
    <w:rsid w:val="0034679F"/>
    <w:rsid w:val="00347041"/>
    <w:rsid w:val="0035015E"/>
    <w:rsid w:val="00350237"/>
    <w:rsid w:val="00350347"/>
    <w:rsid w:val="003503C0"/>
    <w:rsid w:val="00350B99"/>
    <w:rsid w:val="00350D5A"/>
    <w:rsid w:val="00350F14"/>
    <w:rsid w:val="003512FF"/>
    <w:rsid w:val="00351E51"/>
    <w:rsid w:val="00352D18"/>
    <w:rsid w:val="0035315C"/>
    <w:rsid w:val="00353818"/>
    <w:rsid w:val="00353E5C"/>
    <w:rsid w:val="003540AA"/>
    <w:rsid w:val="0035442D"/>
    <w:rsid w:val="00354ACD"/>
    <w:rsid w:val="00354ECB"/>
    <w:rsid w:val="00355124"/>
    <w:rsid w:val="00355CD6"/>
    <w:rsid w:val="00355FDB"/>
    <w:rsid w:val="003566D6"/>
    <w:rsid w:val="00356BC7"/>
    <w:rsid w:val="00357208"/>
    <w:rsid w:val="003579F9"/>
    <w:rsid w:val="00357D03"/>
    <w:rsid w:val="003601C1"/>
    <w:rsid w:val="0036088F"/>
    <w:rsid w:val="00361C85"/>
    <w:rsid w:val="00361D36"/>
    <w:rsid w:val="00362AC4"/>
    <w:rsid w:val="00363356"/>
    <w:rsid w:val="00363650"/>
    <w:rsid w:val="00363820"/>
    <w:rsid w:val="00363C3B"/>
    <w:rsid w:val="00363FE3"/>
    <w:rsid w:val="00363FF0"/>
    <w:rsid w:val="0036493B"/>
    <w:rsid w:val="0036496D"/>
    <w:rsid w:val="00364F5D"/>
    <w:rsid w:val="00364FDE"/>
    <w:rsid w:val="00365162"/>
    <w:rsid w:val="0036517E"/>
    <w:rsid w:val="00366858"/>
    <w:rsid w:val="00366864"/>
    <w:rsid w:val="003668E7"/>
    <w:rsid w:val="00366A8F"/>
    <w:rsid w:val="00366BEC"/>
    <w:rsid w:val="0036721C"/>
    <w:rsid w:val="00367500"/>
    <w:rsid w:val="003678E2"/>
    <w:rsid w:val="003679F9"/>
    <w:rsid w:val="00367B1A"/>
    <w:rsid w:val="00367F29"/>
    <w:rsid w:val="00370434"/>
    <w:rsid w:val="003705C1"/>
    <w:rsid w:val="00370FB2"/>
    <w:rsid w:val="003723DD"/>
    <w:rsid w:val="00372BE2"/>
    <w:rsid w:val="00372C85"/>
    <w:rsid w:val="003735A5"/>
    <w:rsid w:val="003741DD"/>
    <w:rsid w:val="003744C8"/>
    <w:rsid w:val="00374766"/>
    <w:rsid w:val="00374AE6"/>
    <w:rsid w:val="00374D5A"/>
    <w:rsid w:val="003752EA"/>
    <w:rsid w:val="003753E2"/>
    <w:rsid w:val="00375A15"/>
    <w:rsid w:val="00375C71"/>
    <w:rsid w:val="00375CC7"/>
    <w:rsid w:val="00375CEB"/>
    <w:rsid w:val="00375DCF"/>
    <w:rsid w:val="00375E50"/>
    <w:rsid w:val="0037621D"/>
    <w:rsid w:val="003766D8"/>
    <w:rsid w:val="003770EA"/>
    <w:rsid w:val="00377500"/>
    <w:rsid w:val="003779D5"/>
    <w:rsid w:val="003808AA"/>
    <w:rsid w:val="00380E95"/>
    <w:rsid w:val="00380FB0"/>
    <w:rsid w:val="003818D0"/>
    <w:rsid w:val="00381BFE"/>
    <w:rsid w:val="00381DEC"/>
    <w:rsid w:val="00382394"/>
    <w:rsid w:val="0038254D"/>
    <w:rsid w:val="00382833"/>
    <w:rsid w:val="00382EC8"/>
    <w:rsid w:val="003830B8"/>
    <w:rsid w:val="0038363B"/>
    <w:rsid w:val="00383AA2"/>
    <w:rsid w:val="00383CC1"/>
    <w:rsid w:val="00384062"/>
    <w:rsid w:val="003840BB"/>
    <w:rsid w:val="0038485D"/>
    <w:rsid w:val="003849BC"/>
    <w:rsid w:val="00385F60"/>
    <w:rsid w:val="003864F8"/>
    <w:rsid w:val="00386642"/>
    <w:rsid w:val="00386786"/>
    <w:rsid w:val="003869D1"/>
    <w:rsid w:val="00386F44"/>
    <w:rsid w:val="00387430"/>
    <w:rsid w:val="003874A8"/>
    <w:rsid w:val="003875DA"/>
    <w:rsid w:val="00387AB1"/>
    <w:rsid w:val="00387C5B"/>
    <w:rsid w:val="00387F3C"/>
    <w:rsid w:val="00390568"/>
    <w:rsid w:val="0039079E"/>
    <w:rsid w:val="00390866"/>
    <w:rsid w:val="00390CBA"/>
    <w:rsid w:val="00391EE8"/>
    <w:rsid w:val="003924C2"/>
    <w:rsid w:val="003929C5"/>
    <w:rsid w:val="00392C34"/>
    <w:rsid w:val="00392D1C"/>
    <w:rsid w:val="0039334E"/>
    <w:rsid w:val="00393B70"/>
    <w:rsid w:val="00393C14"/>
    <w:rsid w:val="00393C7D"/>
    <w:rsid w:val="00393CB2"/>
    <w:rsid w:val="00393E12"/>
    <w:rsid w:val="00394011"/>
    <w:rsid w:val="00394125"/>
    <w:rsid w:val="00394127"/>
    <w:rsid w:val="00394356"/>
    <w:rsid w:val="0039439D"/>
    <w:rsid w:val="00394A8C"/>
    <w:rsid w:val="0039542F"/>
    <w:rsid w:val="0039547F"/>
    <w:rsid w:val="003957EC"/>
    <w:rsid w:val="003961A9"/>
    <w:rsid w:val="003966D3"/>
    <w:rsid w:val="00397029"/>
    <w:rsid w:val="0039752D"/>
    <w:rsid w:val="0039758F"/>
    <w:rsid w:val="00397785"/>
    <w:rsid w:val="003977D8"/>
    <w:rsid w:val="00397B10"/>
    <w:rsid w:val="00397BFE"/>
    <w:rsid w:val="003A0119"/>
    <w:rsid w:val="003A081E"/>
    <w:rsid w:val="003A102A"/>
    <w:rsid w:val="003A14B4"/>
    <w:rsid w:val="003A16AD"/>
    <w:rsid w:val="003A23B8"/>
    <w:rsid w:val="003A2A2D"/>
    <w:rsid w:val="003A2F84"/>
    <w:rsid w:val="003A3021"/>
    <w:rsid w:val="003A3082"/>
    <w:rsid w:val="003A3691"/>
    <w:rsid w:val="003A3AEE"/>
    <w:rsid w:val="003A3AFD"/>
    <w:rsid w:val="003A425D"/>
    <w:rsid w:val="003A46B1"/>
    <w:rsid w:val="003A4ADD"/>
    <w:rsid w:val="003A4B0F"/>
    <w:rsid w:val="003A4BBC"/>
    <w:rsid w:val="003A4C28"/>
    <w:rsid w:val="003A4CBA"/>
    <w:rsid w:val="003A5301"/>
    <w:rsid w:val="003A5C09"/>
    <w:rsid w:val="003A6174"/>
    <w:rsid w:val="003A61DA"/>
    <w:rsid w:val="003A656B"/>
    <w:rsid w:val="003A6898"/>
    <w:rsid w:val="003A6C30"/>
    <w:rsid w:val="003A7BC6"/>
    <w:rsid w:val="003B0C93"/>
    <w:rsid w:val="003B1506"/>
    <w:rsid w:val="003B1E28"/>
    <w:rsid w:val="003B20AD"/>
    <w:rsid w:val="003B28BB"/>
    <w:rsid w:val="003B2C52"/>
    <w:rsid w:val="003B2F02"/>
    <w:rsid w:val="003B335D"/>
    <w:rsid w:val="003B3927"/>
    <w:rsid w:val="003B397F"/>
    <w:rsid w:val="003B39B0"/>
    <w:rsid w:val="003B3AF7"/>
    <w:rsid w:val="003B4029"/>
    <w:rsid w:val="003B4822"/>
    <w:rsid w:val="003B514D"/>
    <w:rsid w:val="003B51A6"/>
    <w:rsid w:val="003B624F"/>
    <w:rsid w:val="003B6608"/>
    <w:rsid w:val="003B6CFE"/>
    <w:rsid w:val="003B6EF5"/>
    <w:rsid w:val="003B6FE7"/>
    <w:rsid w:val="003B75A8"/>
    <w:rsid w:val="003B7B72"/>
    <w:rsid w:val="003B7E04"/>
    <w:rsid w:val="003C114A"/>
    <w:rsid w:val="003C11BD"/>
    <w:rsid w:val="003C136C"/>
    <w:rsid w:val="003C13FF"/>
    <w:rsid w:val="003C1C42"/>
    <w:rsid w:val="003C25DC"/>
    <w:rsid w:val="003C2EBB"/>
    <w:rsid w:val="003C36B7"/>
    <w:rsid w:val="003C36CA"/>
    <w:rsid w:val="003C37A9"/>
    <w:rsid w:val="003C38B2"/>
    <w:rsid w:val="003C4078"/>
    <w:rsid w:val="003C5380"/>
    <w:rsid w:val="003C5490"/>
    <w:rsid w:val="003C587E"/>
    <w:rsid w:val="003C6668"/>
    <w:rsid w:val="003C6893"/>
    <w:rsid w:val="003C68D9"/>
    <w:rsid w:val="003C70C7"/>
    <w:rsid w:val="003C779F"/>
    <w:rsid w:val="003D0A13"/>
    <w:rsid w:val="003D0B6A"/>
    <w:rsid w:val="003D0F65"/>
    <w:rsid w:val="003D1370"/>
    <w:rsid w:val="003D1BA7"/>
    <w:rsid w:val="003D1F4D"/>
    <w:rsid w:val="003D1F95"/>
    <w:rsid w:val="003D22A9"/>
    <w:rsid w:val="003D2CE9"/>
    <w:rsid w:val="003D354F"/>
    <w:rsid w:val="003D3707"/>
    <w:rsid w:val="003D395F"/>
    <w:rsid w:val="003D396D"/>
    <w:rsid w:val="003D39AE"/>
    <w:rsid w:val="003D3D45"/>
    <w:rsid w:val="003D44DB"/>
    <w:rsid w:val="003D4B0E"/>
    <w:rsid w:val="003D4CAB"/>
    <w:rsid w:val="003D4EA2"/>
    <w:rsid w:val="003D570C"/>
    <w:rsid w:val="003D63CE"/>
    <w:rsid w:val="003D703C"/>
    <w:rsid w:val="003D718D"/>
    <w:rsid w:val="003D7AA8"/>
    <w:rsid w:val="003D7FF3"/>
    <w:rsid w:val="003E02FA"/>
    <w:rsid w:val="003E0322"/>
    <w:rsid w:val="003E03B9"/>
    <w:rsid w:val="003E06A9"/>
    <w:rsid w:val="003E0BB3"/>
    <w:rsid w:val="003E15BE"/>
    <w:rsid w:val="003E1B4E"/>
    <w:rsid w:val="003E26B3"/>
    <w:rsid w:val="003E4419"/>
    <w:rsid w:val="003E4D45"/>
    <w:rsid w:val="003E4F91"/>
    <w:rsid w:val="003E59B7"/>
    <w:rsid w:val="003E5A7B"/>
    <w:rsid w:val="003E5A8D"/>
    <w:rsid w:val="003E5DE0"/>
    <w:rsid w:val="003E64FA"/>
    <w:rsid w:val="003E6A78"/>
    <w:rsid w:val="003E6E39"/>
    <w:rsid w:val="003E7664"/>
    <w:rsid w:val="003E7F46"/>
    <w:rsid w:val="003E7F80"/>
    <w:rsid w:val="003E7F8C"/>
    <w:rsid w:val="003F01A2"/>
    <w:rsid w:val="003F0206"/>
    <w:rsid w:val="003F02D2"/>
    <w:rsid w:val="003F087B"/>
    <w:rsid w:val="003F08BE"/>
    <w:rsid w:val="003F0AD5"/>
    <w:rsid w:val="003F0F75"/>
    <w:rsid w:val="003F0FE3"/>
    <w:rsid w:val="003F11C5"/>
    <w:rsid w:val="003F198A"/>
    <w:rsid w:val="003F19E5"/>
    <w:rsid w:val="003F236E"/>
    <w:rsid w:val="003F293C"/>
    <w:rsid w:val="003F4145"/>
    <w:rsid w:val="003F452A"/>
    <w:rsid w:val="003F477D"/>
    <w:rsid w:val="003F4B11"/>
    <w:rsid w:val="003F5275"/>
    <w:rsid w:val="003F53A5"/>
    <w:rsid w:val="003F5EDC"/>
    <w:rsid w:val="003F6264"/>
    <w:rsid w:val="003F6754"/>
    <w:rsid w:val="003F67F0"/>
    <w:rsid w:val="003F7124"/>
    <w:rsid w:val="003F7BB1"/>
    <w:rsid w:val="004003BD"/>
    <w:rsid w:val="0040063D"/>
    <w:rsid w:val="00401072"/>
    <w:rsid w:val="004012DA"/>
    <w:rsid w:val="00401448"/>
    <w:rsid w:val="00401BE6"/>
    <w:rsid w:val="00402943"/>
    <w:rsid w:val="00402E1E"/>
    <w:rsid w:val="00403310"/>
    <w:rsid w:val="00403B56"/>
    <w:rsid w:val="00403F31"/>
    <w:rsid w:val="00404A11"/>
    <w:rsid w:val="00404AE2"/>
    <w:rsid w:val="00404BAA"/>
    <w:rsid w:val="00404E09"/>
    <w:rsid w:val="004052EE"/>
    <w:rsid w:val="00405701"/>
    <w:rsid w:val="0040663B"/>
    <w:rsid w:val="004067D7"/>
    <w:rsid w:val="00406D41"/>
    <w:rsid w:val="00406DDC"/>
    <w:rsid w:val="0040727B"/>
    <w:rsid w:val="00407472"/>
    <w:rsid w:val="004074C9"/>
    <w:rsid w:val="004078B7"/>
    <w:rsid w:val="00407C7D"/>
    <w:rsid w:val="00410ECD"/>
    <w:rsid w:val="0041157F"/>
    <w:rsid w:val="00411902"/>
    <w:rsid w:val="00411DCB"/>
    <w:rsid w:val="00412B1D"/>
    <w:rsid w:val="004134D0"/>
    <w:rsid w:val="004141F3"/>
    <w:rsid w:val="00414B6F"/>
    <w:rsid w:val="00415864"/>
    <w:rsid w:val="00415B3C"/>
    <w:rsid w:val="00415BD1"/>
    <w:rsid w:val="0041627F"/>
    <w:rsid w:val="00416736"/>
    <w:rsid w:val="00416BF5"/>
    <w:rsid w:val="00416D4F"/>
    <w:rsid w:val="004172EE"/>
    <w:rsid w:val="004175FD"/>
    <w:rsid w:val="00417DEF"/>
    <w:rsid w:val="00420518"/>
    <w:rsid w:val="00420D04"/>
    <w:rsid w:val="00420FBA"/>
    <w:rsid w:val="004212CB"/>
    <w:rsid w:val="00421D48"/>
    <w:rsid w:val="00422550"/>
    <w:rsid w:val="0042365D"/>
    <w:rsid w:val="00423F50"/>
    <w:rsid w:val="0042460F"/>
    <w:rsid w:val="0042474E"/>
    <w:rsid w:val="00424AD0"/>
    <w:rsid w:val="00425066"/>
    <w:rsid w:val="004253B5"/>
    <w:rsid w:val="00425545"/>
    <w:rsid w:val="0042555E"/>
    <w:rsid w:val="00425656"/>
    <w:rsid w:val="004264CB"/>
    <w:rsid w:val="00426517"/>
    <w:rsid w:val="00426632"/>
    <w:rsid w:val="00426A31"/>
    <w:rsid w:val="00426C16"/>
    <w:rsid w:val="0042773A"/>
    <w:rsid w:val="00427CD9"/>
    <w:rsid w:val="004301D0"/>
    <w:rsid w:val="0043177E"/>
    <w:rsid w:val="00431786"/>
    <w:rsid w:val="004317ED"/>
    <w:rsid w:val="0043193D"/>
    <w:rsid w:val="00431958"/>
    <w:rsid w:val="004319BB"/>
    <w:rsid w:val="00432156"/>
    <w:rsid w:val="00432494"/>
    <w:rsid w:val="00433A81"/>
    <w:rsid w:val="0043416F"/>
    <w:rsid w:val="00434235"/>
    <w:rsid w:val="00434645"/>
    <w:rsid w:val="00434667"/>
    <w:rsid w:val="00434F67"/>
    <w:rsid w:val="00435267"/>
    <w:rsid w:val="0043564C"/>
    <w:rsid w:val="00436A4C"/>
    <w:rsid w:val="00436C1D"/>
    <w:rsid w:val="00436E08"/>
    <w:rsid w:val="0043718E"/>
    <w:rsid w:val="00437256"/>
    <w:rsid w:val="004374EB"/>
    <w:rsid w:val="00440662"/>
    <w:rsid w:val="00440BAD"/>
    <w:rsid w:val="00441143"/>
    <w:rsid w:val="004417F8"/>
    <w:rsid w:val="00441996"/>
    <w:rsid w:val="004421E2"/>
    <w:rsid w:val="0044276E"/>
    <w:rsid w:val="00442A5B"/>
    <w:rsid w:val="00442CDE"/>
    <w:rsid w:val="00442E79"/>
    <w:rsid w:val="0044326B"/>
    <w:rsid w:val="00443CC9"/>
    <w:rsid w:val="00443E3C"/>
    <w:rsid w:val="004440D0"/>
    <w:rsid w:val="004442CD"/>
    <w:rsid w:val="00444319"/>
    <w:rsid w:val="00444915"/>
    <w:rsid w:val="00444B70"/>
    <w:rsid w:val="00444B9B"/>
    <w:rsid w:val="00446441"/>
    <w:rsid w:val="004467F6"/>
    <w:rsid w:val="0044696A"/>
    <w:rsid w:val="00446F4B"/>
    <w:rsid w:val="00447A8F"/>
    <w:rsid w:val="00447BB0"/>
    <w:rsid w:val="00447D05"/>
    <w:rsid w:val="00449068"/>
    <w:rsid w:val="00450465"/>
    <w:rsid w:val="00450709"/>
    <w:rsid w:val="00451771"/>
    <w:rsid w:val="00451B06"/>
    <w:rsid w:val="00451B69"/>
    <w:rsid w:val="0045229A"/>
    <w:rsid w:val="00452602"/>
    <w:rsid w:val="004528A9"/>
    <w:rsid w:val="00452EBB"/>
    <w:rsid w:val="0045310C"/>
    <w:rsid w:val="00453248"/>
    <w:rsid w:val="0045392C"/>
    <w:rsid w:val="00453B78"/>
    <w:rsid w:val="0045402A"/>
    <w:rsid w:val="0045488E"/>
    <w:rsid w:val="00454AD3"/>
    <w:rsid w:val="00454E29"/>
    <w:rsid w:val="0045537F"/>
    <w:rsid w:val="00455699"/>
    <w:rsid w:val="00455A79"/>
    <w:rsid w:val="00455B90"/>
    <w:rsid w:val="00455EBA"/>
    <w:rsid w:val="00455F84"/>
    <w:rsid w:val="00456262"/>
    <w:rsid w:val="004575B6"/>
    <w:rsid w:val="004605CA"/>
    <w:rsid w:val="00460A82"/>
    <w:rsid w:val="00461204"/>
    <w:rsid w:val="00461634"/>
    <w:rsid w:val="00461AEA"/>
    <w:rsid w:val="004620E8"/>
    <w:rsid w:val="00462C2A"/>
    <w:rsid w:val="0046304A"/>
    <w:rsid w:val="004639DA"/>
    <w:rsid w:val="00463DBD"/>
    <w:rsid w:val="00463FC7"/>
    <w:rsid w:val="00464596"/>
    <w:rsid w:val="00464AC9"/>
    <w:rsid w:val="00464BA5"/>
    <w:rsid w:val="00464C82"/>
    <w:rsid w:val="00464FCA"/>
    <w:rsid w:val="004653EA"/>
    <w:rsid w:val="00465D29"/>
    <w:rsid w:val="0046621A"/>
    <w:rsid w:val="00466B18"/>
    <w:rsid w:val="00466B86"/>
    <w:rsid w:val="00466E53"/>
    <w:rsid w:val="004674AC"/>
    <w:rsid w:val="00467B75"/>
    <w:rsid w:val="004701B8"/>
    <w:rsid w:val="00470625"/>
    <w:rsid w:val="00470A14"/>
    <w:rsid w:val="00470B5B"/>
    <w:rsid w:val="00470CBE"/>
    <w:rsid w:val="00470DA2"/>
    <w:rsid w:val="004718AA"/>
    <w:rsid w:val="004719FB"/>
    <w:rsid w:val="0047200B"/>
    <w:rsid w:val="004723A4"/>
    <w:rsid w:val="00472BD1"/>
    <w:rsid w:val="00472CF5"/>
    <w:rsid w:val="0047302B"/>
    <w:rsid w:val="0047313E"/>
    <w:rsid w:val="00473826"/>
    <w:rsid w:val="00473AE7"/>
    <w:rsid w:val="00473F5C"/>
    <w:rsid w:val="00474561"/>
    <w:rsid w:val="00474D93"/>
    <w:rsid w:val="00474F12"/>
    <w:rsid w:val="00474FA5"/>
    <w:rsid w:val="00475CF0"/>
    <w:rsid w:val="00475F6D"/>
    <w:rsid w:val="00476342"/>
    <w:rsid w:val="0047663C"/>
    <w:rsid w:val="004769F3"/>
    <w:rsid w:val="00476DDB"/>
    <w:rsid w:val="00476EC3"/>
    <w:rsid w:val="0047748A"/>
    <w:rsid w:val="0047768F"/>
    <w:rsid w:val="00477F26"/>
    <w:rsid w:val="004800BA"/>
    <w:rsid w:val="00480255"/>
    <w:rsid w:val="00480726"/>
    <w:rsid w:val="004807BF"/>
    <w:rsid w:val="00480E8B"/>
    <w:rsid w:val="004810E8"/>
    <w:rsid w:val="00481320"/>
    <w:rsid w:val="00481D30"/>
    <w:rsid w:val="00482781"/>
    <w:rsid w:val="0048335F"/>
    <w:rsid w:val="00483667"/>
    <w:rsid w:val="00483946"/>
    <w:rsid w:val="00483AE1"/>
    <w:rsid w:val="00483DB1"/>
    <w:rsid w:val="00483FB8"/>
    <w:rsid w:val="00484693"/>
    <w:rsid w:val="004846B1"/>
    <w:rsid w:val="0048492A"/>
    <w:rsid w:val="00484C49"/>
    <w:rsid w:val="004851BB"/>
    <w:rsid w:val="004857FC"/>
    <w:rsid w:val="00485BB0"/>
    <w:rsid w:val="00486313"/>
    <w:rsid w:val="00486AC2"/>
    <w:rsid w:val="004870D9"/>
    <w:rsid w:val="0048725D"/>
    <w:rsid w:val="004876E0"/>
    <w:rsid w:val="0048781E"/>
    <w:rsid w:val="0049014A"/>
    <w:rsid w:val="00490446"/>
    <w:rsid w:val="004909DE"/>
    <w:rsid w:val="0049129F"/>
    <w:rsid w:val="00491331"/>
    <w:rsid w:val="004918EC"/>
    <w:rsid w:val="00491E63"/>
    <w:rsid w:val="00491EF3"/>
    <w:rsid w:val="00491F51"/>
    <w:rsid w:val="0049220F"/>
    <w:rsid w:val="00492C75"/>
    <w:rsid w:val="00492CD8"/>
    <w:rsid w:val="00493054"/>
    <w:rsid w:val="00493C21"/>
    <w:rsid w:val="00494797"/>
    <w:rsid w:val="00495437"/>
    <w:rsid w:val="00495C49"/>
    <w:rsid w:val="00495EA3"/>
    <w:rsid w:val="00495EBE"/>
    <w:rsid w:val="00496732"/>
    <w:rsid w:val="004968A6"/>
    <w:rsid w:val="00496F9C"/>
    <w:rsid w:val="004972E5"/>
    <w:rsid w:val="00497AFC"/>
    <w:rsid w:val="00497F9A"/>
    <w:rsid w:val="004A00C7"/>
    <w:rsid w:val="004A0421"/>
    <w:rsid w:val="004A048B"/>
    <w:rsid w:val="004A0589"/>
    <w:rsid w:val="004A0AAB"/>
    <w:rsid w:val="004A0E85"/>
    <w:rsid w:val="004A15F0"/>
    <w:rsid w:val="004A199A"/>
    <w:rsid w:val="004A1A2F"/>
    <w:rsid w:val="004A1AE6"/>
    <w:rsid w:val="004A3159"/>
    <w:rsid w:val="004A31F7"/>
    <w:rsid w:val="004A3C8D"/>
    <w:rsid w:val="004A4062"/>
    <w:rsid w:val="004A41B6"/>
    <w:rsid w:val="004A49B8"/>
    <w:rsid w:val="004A4E82"/>
    <w:rsid w:val="004A54DB"/>
    <w:rsid w:val="004A56DC"/>
    <w:rsid w:val="004A5778"/>
    <w:rsid w:val="004A597E"/>
    <w:rsid w:val="004A6211"/>
    <w:rsid w:val="004A6349"/>
    <w:rsid w:val="004A7065"/>
    <w:rsid w:val="004A7220"/>
    <w:rsid w:val="004A740E"/>
    <w:rsid w:val="004A7B0A"/>
    <w:rsid w:val="004A7B7A"/>
    <w:rsid w:val="004A7BEB"/>
    <w:rsid w:val="004A7C3C"/>
    <w:rsid w:val="004A7C93"/>
    <w:rsid w:val="004B0034"/>
    <w:rsid w:val="004B00BD"/>
    <w:rsid w:val="004B025E"/>
    <w:rsid w:val="004B03B4"/>
    <w:rsid w:val="004B0C41"/>
    <w:rsid w:val="004B0D6F"/>
    <w:rsid w:val="004B1377"/>
    <w:rsid w:val="004B176C"/>
    <w:rsid w:val="004B185B"/>
    <w:rsid w:val="004B1B52"/>
    <w:rsid w:val="004B2932"/>
    <w:rsid w:val="004B302D"/>
    <w:rsid w:val="004B33C5"/>
    <w:rsid w:val="004B3E61"/>
    <w:rsid w:val="004B3F24"/>
    <w:rsid w:val="004B413B"/>
    <w:rsid w:val="004B43CA"/>
    <w:rsid w:val="004B4BD0"/>
    <w:rsid w:val="004B4CFB"/>
    <w:rsid w:val="004B638D"/>
    <w:rsid w:val="004B652A"/>
    <w:rsid w:val="004B690C"/>
    <w:rsid w:val="004B7017"/>
    <w:rsid w:val="004B7B3E"/>
    <w:rsid w:val="004B7CCB"/>
    <w:rsid w:val="004C00EE"/>
    <w:rsid w:val="004C07F5"/>
    <w:rsid w:val="004C0A24"/>
    <w:rsid w:val="004C0EF6"/>
    <w:rsid w:val="004C1386"/>
    <w:rsid w:val="004C18AD"/>
    <w:rsid w:val="004C1C34"/>
    <w:rsid w:val="004C1D99"/>
    <w:rsid w:val="004C214B"/>
    <w:rsid w:val="004C2429"/>
    <w:rsid w:val="004C2651"/>
    <w:rsid w:val="004C2B1F"/>
    <w:rsid w:val="004C2BE9"/>
    <w:rsid w:val="004C31B0"/>
    <w:rsid w:val="004C3432"/>
    <w:rsid w:val="004C3A8D"/>
    <w:rsid w:val="004C4230"/>
    <w:rsid w:val="004C545C"/>
    <w:rsid w:val="004C5646"/>
    <w:rsid w:val="004C585D"/>
    <w:rsid w:val="004C5DA8"/>
    <w:rsid w:val="004C608B"/>
    <w:rsid w:val="004C69E8"/>
    <w:rsid w:val="004C73AD"/>
    <w:rsid w:val="004C7E38"/>
    <w:rsid w:val="004D0D26"/>
    <w:rsid w:val="004D0F20"/>
    <w:rsid w:val="004D0F92"/>
    <w:rsid w:val="004D10D0"/>
    <w:rsid w:val="004D124F"/>
    <w:rsid w:val="004D1349"/>
    <w:rsid w:val="004D162E"/>
    <w:rsid w:val="004D1F54"/>
    <w:rsid w:val="004D25EB"/>
    <w:rsid w:val="004D38FB"/>
    <w:rsid w:val="004D3A01"/>
    <w:rsid w:val="004D3C5B"/>
    <w:rsid w:val="004D3DF3"/>
    <w:rsid w:val="004D405E"/>
    <w:rsid w:val="004D41A7"/>
    <w:rsid w:val="004D436C"/>
    <w:rsid w:val="004D46EB"/>
    <w:rsid w:val="004D479B"/>
    <w:rsid w:val="004D48EA"/>
    <w:rsid w:val="004D4903"/>
    <w:rsid w:val="004D4AEB"/>
    <w:rsid w:val="004D4F57"/>
    <w:rsid w:val="004D5C80"/>
    <w:rsid w:val="004D5E56"/>
    <w:rsid w:val="004D653D"/>
    <w:rsid w:val="004D671C"/>
    <w:rsid w:val="004D67BA"/>
    <w:rsid w:val="004D69A0"/>
    <w:rsid w:val="004D70B3"/>
    <w:rsid w:val="004D7719"/>
    <w:rsid w:val="004D7950"/>
    <w:rsid w:val="004E0063"/>
    <w:rsid w:val="004E0601"/>
    <w:rsid w:val="004E0AD5"/>
    <w:rsid w:val="004E0D59"/>
    <w:rsid w:val="004E0DB4"/>
    <w:rsid w:val="004E0F0F"/>
    <w:rsid w:val="004E0F35"/>
    <w:rsid w:val="004E1732"/>
    <w:rsid w:val="004E1D6B"/>
    <w:rsid w:val="004E1E29"/>
    <w:rsid w:val="004E2345"/>
    <w:rsid w:val="004E2E33"/>
    <w:rsid w:val="004E2EA6"/>
    <w:rsid w:val="004E33A3"/>
    <w:rsid w:val="004E3598"/>
    <w:rsid w:val="004E360B"/>
    <w:rsid w:val="004E3EB8"/>
    <w:rsid w:val="004E4BA2"/>
    <w:rsid w:val="004E4C9A"/>
    <w:rsid w:val="004E4CE6"/>
    <w:rsid w:val="004E5416"/>
    <w:rsid w:val="004E5D4A"/>
    <w:rsid w:val="004E6988"/>
    <w:rsid w:val="004E6B97"/>
    <w:rsid w:val="004E6F4D"/>
    <w:rsid w:val="004E70CA"/>
    <w:rsid w:val="004E7A2A"/>
    <w:rsid w:val="004E7B08"/>
    <w:rsid w:val="004E7E4C"/>
    <w:rsid w:val="004F0BF9"/>
    <w:rsid w:val="004F0D0B"/>
    <w:rsid w:val="004F1764"/>
    <w:rsid w:val="004F19C8"/>
    <w:rsid w:val="004F1C11"/>
    <w:rsid w:val="004F1FA4"/>
    <w:rsid w:val="004F24A9"/>
    <w:rsid w:val="004F25C7"/>
    <w:rsid w:val="004F2908"/>
    <w:rsid w:val="004F2FEF"/>
    <w:rsid w:val="004F3112"/>
    <w:rsid w:val="004F3A8E"/>
    <w:rsid w:val="004F3E8E"/>
    <w:rsid w:val="004F4050"/>
    <w:rsid w:val="004F4DB7"/>
    <w:rsid w:val="004F5060"/>
    <w:rsid w:val="004F51BD"/>
    <w:rsid w:val="004F5CFF"/>
    <w:rsid w:val="004F642B"/>
    <w:rsid w:val="004F6CB5"/>
    <w:rsid w:val="004F6FC7"/>
    <w:rsid w:val="004F7003"/>
    <w:rsid w:val="004F721C"/>
    <w:rsid w:val="004F758D"/>
    <w:rsid w:val="004F7ED4"/>
    <w:rsid w:val="0050004B"/>
    <w:rsid w:val="00500FD5"/>
    <w:rsid w:val="00502152"/>
    <w:rsid w:val="00502283"/>
    <w:rsid w:val="00502EBD"/>
    <w:rsid w:val="00503666"/>
    <w:rsid w:val="00504633"/>
    <w:rsid w:val="005053D3"/>
    <w:rsid w:val="00505536"/>
    <w:rsid w:val="005056B0"/>
    <w:rsid w:val="00505A7A"/>
    <w:rsid w:val="00505BC1"/>
    <w:rsid w:val="00506525"/>
    <w:rsid w:val="0050669C"/>
    <w:rsid w:val="005069C2"/>
    <w:rsid w:val="00506ACE"/>
    <w:rsid w:val="005070C6"/>
    <w:rsid w:val="00507140"/>
    <w:rsid w:val="00507BD3"/>
    <w:rsid w:val="00510811"/>
    <w:rsid w:val="00510960"/>
    <w:rsid w:val="00510A33"/>
    <w:rsid w:val="00510E63"/>
    <w:rsid w:val="00511449"/>
    <w:rsid w:val="00511CB4"/>
    <w:rsid w:val="00511EFB"/>
    <w:rsid w:val="00512DAD"/>
    <w:rsid w:val="0051338E"/>
    <w:rsid w:val="005139CB"/>
    <w:rsid w:val="00513E17"/>
    <w:rsid w:val="0051405C"/>
    <w:rsid w:val="0051410C"/>
    <w:rsid w:val="00514500"/>
    <w:rsid w:val="0051477A"/>
    <w:rsid w:val="00514A92"/>
    <w:rsid w:val="0051533A"/>
    <w:rsid w:val="00515FE2"/>
    <w:rsid w:val="00516010"/>
    <w:rsid w:val="00517104"/>
    <w:rsid w:val="00517175"/>
    <w:rsid w:val="005178D0"/>
    <w:rsid w:val="00517944"/>
    <w:rsid w:val="00517A1C"/>
    <w:rsid w:val="00520739"/>
    <w:rsid w:val="0052079F"/>
    <w:rsid w:val="00520838"/>
    <w:rsid w:val="00520B6C"/>
    <w:rsid w:val="00520D38"/>
    <w:rsid w:val="00520DBD"/>
    <w:rsid w:val="00521103"/>
    <w:rsid w:val="005212DC"/>
    <w:rsid w:val="005227F6"/>
    <w:rsid w:val="00522882"/>
    <w:rsid w:val="00522980"/>
    <w:rsid w:val="0052346B"/>
    <w:rsid w:val="005240E1"/>
    <w:rsid w:val="005244C6"/>
    <w:rsid w:val="005244F6"/>
    <w:rsid w:val="00524A8B"/>
    <w:rsid w:val="00524AFF"/>
    <w:rsid w:val="00524DD5"/>
    <w:rsid w:val="00524ECA"/>
    <w:rsid w:val="005256A7"/>
    <w:rsid w:val="00525AAB"/>
    <w:rsid w:val="0052633D"/>
    <w:rsid w:val="0052667E"/>
    <w:rsid w:val="005269B3"/>
    <w:rsid w:val="005269FC"/>
    <w:rsid w:val="00526FF3"/>
    <w:rsid w:val="005270F0"/>
    <w:rsid w:val="005272D9"/>
    <w:rsid w:val="005277DA"/>
    <w:rsid w:val="005279B2"/>
    <w:rsid w:val="00527D62"/>
    <w:rsid w:val="005302C3"/>
    <w:rsid w:val="005303AD"/>
    <w:rsid w:val="00531477"/>
    <w:rsid w:val="00531C24"/>
    <w:rsid w:val="005326DD"/>
    <w:rsid w:val="0053288A"/>
    <w:rsid w:val="00532C9B"/>
    <w:rsid w:val="00532D9D"/>
    <w:rsid w:val="005339F8"/>
    <w:rsid w:val="00533C3F"/>
    <w:rsid w:val="00533FD4"/>
    <w:rsid w:val="0053402D"/>
    <w:rsid w:val="005342A5"/>
    <w:rsid w:val="00535E3F"/>
    <w:rsid w:val="00535EDE"/>
    <w:rsid w:val="00535FA0"/>
    <w:rsid w:val="0053625D"/>
    <w:rsid w:val="005369E4"/>
    <w:rsid w:val="0053720F"/>
    <w:rsid w:val="005375F5"/>
    <w:rsid w:val="005378B3"/>
    <w:rsid w:val="00537B8A"/>
    <w:rsid w:val="00537BF7"/>
    <w:rsid w:val="00537FAB"/>
    <w:rsid w:val="0054023D"/>
    <w:rsid w:val="00540FA5"/>
    <w:rsid w:val="00541C88"/>
    <w:rsid w:val="00541F5A"/>
    <w:rsid w:val="00543352"/>
    <w:rsid w:val="005436E4"/>
    <w:rsid w:val="00543F5B"/>
    <w:rsid w:val="0054460D"/>
    <w:rsid w:val="00544E68"/>
    <w:rsid w:val="00544FEC"/>
    <w:rsid w:val="00545075"/>
    <w:rsid w:val="00545180"/>
    <w:rsid w:val="00545462"/>
    <w:rsid w:val="005460B3"/>
    <w:rsid w:val="00546548"/>
    <w:rsid w:val="00546616"/>
    <w:rsid w:val="0054664F"/>
    <w:rsid w:val="005469AE"/>
    <w:rsid w:val="00546DD4"/>
    <w:rsid w:val="005476AE"/>
    <w:rsid w:val="005477F2"/>
    <w:rsid w:val="00547DBD"/>
    <w:rsid w:val="005501C6"/>
    <w:rsid w:val="005508C5"/>
    <w:rsid w:val="00550A6F"/>
    <w:rsid w:val="00551B3C"/>
    <w:rsid w:val="00551C9C"/>
    <w:rsid w:val="00552134"/>
    <w:rsid w:val="00552D21"/>
    <w:rsid w:val="0055393C"/>
    <w:rsid w:val="00553AEA"/>
    <w:rsid w:val="00554213"/>
    <w:rsid w:val="0055439C"/>
    <w:rsid w:val="00554CD9"/>
    <w:rsid w:val="00555661"/>
    <w:rsid w:val="00556172"/>
    <w:rsid w:val="00556715"/>
    <w:rsid w:val="00556D6A"/>
    <w:rsid w:val="00557A09"/>
    <w:rsid w:val="00557A67"/>
    <w:rsid w:val="00560208"/>
    <w:rsid w:val="00560811"/>
    <w:rsid w:val="00560AFF"/>
    <w:rsid w:val="00560EC5"/>
    <w:rsid w:val="005615D6"/>
    <w:rsid w:val="00561F6A"/>
    <w:rsid w:val="00562D80"/>
    <w:rsid w:val="005631C3"/>
    <w:rsid w:val="00564AD8"/>
    <w:rsid w:val="00564BAF"/>
    <w:rsid w:val="0056542A"/>
    <w:rsid w:val="0056551B"/>
    <w:rsid w:val="00565BEF"/>
    <w:rsid w:val="00565E64"/>
    <w:rsid w:val="0056629B"/>
    <w:rsid w:val="00566458"/>
    <w:rsid w:val="00566C4A"/>
    <w:rsid w:val="00566FB8"/>
    <w:rsid w:val="00567133"/>
    <w:rsid w:val="00567F64"/>
    <w:rsid w:val="005707EC"/>
    <w:rsid w:val="005714D3"/>
    <w:rsid w:val="005718D4"/>
    <w:rsid w:val="00571B1E"/>
    <w:rsid w:val="00571E7B"/>
    <w:rsid w:val="00571E9D"/>
    <w:rsid w:val="00572622"/>
    <w:rsid w:val="00572FE9"/>
    <w:rsid w:val="00573574"/>
    <w:rsid w:val="005735A6"/>
    <w:rsid w:val="00573664"/>
    <w:rsid w:val="00573B20"/>
    <w:rsid w:val="0057408A"/>
    <w:rsid w:val="00574371"/>
    <w:rsid w:val="005743EA"/>
    <w:rsid w:val="0057463A"/>
    <w:rsid w:val="0057476A"/>
    <w:rsid w:val="00574F5E"/>
    <w:rsid w:val="005761E7"/>
    <w:rsid w:val="0057653E"/>
    <w:rsid w:val="00577482"/>
    <w:rsid w:val="00577688"/>
    <w:rsid w:val="005776C2"/>
    <w:rsid w:val="00577BC4"/>
    <w:rsid w:val="00580A7E"/>
    <w:rsid w:val="0058181C"/>
    <w:rsid w:val="00581BE0"/>
    <w:rsid w:val="00581C4B"/>
    <w:rsid w:val="00581CC1"/>
    <w:rsid w:val="00581FDD"/>
    <w:rsid w:val="00582D82"/>
    <w:rsid w:val="00582E57"/>
    <w:rsid w:val="005831A4"/>
    <w:rsid w:val="005833F5"/>
    <w:rsid w:val="00583592"/>
    <w:rsid w:val="005835AF"/>
    <w:rsid w:val="00583DFA"/>
    <w:rsid w:val="00584A5A"/>
    <w:rsid w:val="00584E9F"/>
    <w:rsid w:val="00585865"/>
    <w:rsid w:val="005861A2"/>
    <w:rsid w:val="0058639B"/>
    <w:rsid w:val="005866F3"/>
    <w:rsid w:val="0058675A"/>
    <w:rsid w:val="005868D5"/>
    <w:rsid w:val="00586A0E"/>
    <w:rsid w:val="00586C6A"/>
    <w:rsid w:val="00586D67"/>
    <w:rsid w:val="00586D8E"/>
    <w:rsid w:val="005878CD"/>
    <w:rsid w:val="00587CC6"/>
    <w:rsid w:val="0059002E"/>
    <w:rsid w:val="00591168"/>
    <w:rsid w:val="00591B94"/>
    <w:rsid w:val="00591B9F"/>
    <w:rsid w:val="00591E52"/>
    <w:rsid w:val="00591F4C"/>
    <w:rsid w:val="005929A8"/>
    <w:rsid w:val="00592DFA"/>
    <w:rsid w:val="00592F75"/>
    <w:rsid w:val="005935C8"/>
    <w:rsid w:val="005936AB"/>
    <w:rsid w:val="00593789"/>
    <w:rsid w:val="0059431B"/>
    <w:rsid w:val="00594ADD"/>
    <w:rsid w:val="00594F55"/>
    <w:rsid w:val="00594FA6"/>
    <w:rsid w:val="005959B7"/>
    <w:rsid w:val="00595B8B"/>
    <w:rsid w:val="00595C4F"/>
    <w:rsid w:val="00595FF1"/>
    <w:rsid w:val="005965E4"/>
    <w:rsid w:val="00596AC2"/>
    <w:rsid w:val="00597188"/>
    <w:rsid w:val="00597409"/>
    <w:rsid w:val="00597443"/>
    <w:rsid w:val="00597667"/>
    <w:rsid w:val="00597BFD"/>
    <w:rsid w:val="00597C00"/>
    <w:rsid w:val="005A03CF"/>
    <w:rsid w:val="005A04CC"/>
    <w:rsid w:val="005A092C"/>
    <w:rsid w:val="005A0A1D"/>
    <w:rsid w:val="005A0EFD"/>
    <w:rsid w:val="005A137D"/>
    <w:rsid w:val="005A1CCB"/>
    <w:rsid w:val="005A22F8"/>
    <w:rsid w:val="005A247E"/>
    <w:rsid w:val="005A255C"/>
    <w:rsid w:val="005A261C"/>
    <w:rsid w:val="005A3132"/>
    <w:rsid w:val="005A38A3"/>
    <w:rsid w:val="005A45DA"/>
    <w:rsid w:val="005A466E"/>
    <w:rsid w:val="005A46DD"/>
    <w:rsid w:val="005A46F5"/>
    <w:rsid w:val="005A4AD9"/>
    <w:rsid w:val="005A4B3B"/>
    <w:rsid w:val="005A4DAB"/>
    <w:rsid w:val="005A5239"/>
    <w:rsid w:val="005A559B"/>
    <w:rsid w:val="005A5D4F"/>
    <w:rsid w:val="005A63D0"/>
    <w:rsid w:val="005A6709"/>
    <w:rsid w:val="005A6D2D"/>
    <w:rsid w:val="005A6F13"/>
    <w:rsid w:val="005A7B3B"/>
    <w:rsid w:val="005B0491"/>
    <w:rsid w:val="005B0FD9"/>
    <w:rsid w:val="005B1342"/>
    <w:rsid w:val="005B1577"/>
    <w:rsid w:val="005B15F9"/>
    <w:rsid w:val="005B1CD6"/>
    <w:rsid w:val="005B2030"/>
    <w:rsid w:val="005B225C"/>
    <w:rsid w:val="005B240F"/>
    <w:rsid w:val="005B2C98"/>
    <w:rsid w:val="005B2E75"/>
    <w:rsid w:val="005B30BD"/>
    <w:rsid w:val="005B34CA"/>
    <w:rsid w:val="005B368E"/>
    <w:rsid w:val="005B36BC"/>
    <w:rsid w:val="005B3D1C"/>
    <w:rsid w:val="005B4030"/>
    <w:rsid w:val="005B4773"/>
    <w:rsid w:val="005B4EA9"/>
    <w:rsid w:val="005B5543"/>
    <w:rsid w:val="005B56CE"/>
    <w:rsid w:val="005B56F4"/>
    <w:rsid w:val="005B57A7"/>
    <w:rsid w:val="005B6432"/>
    <w:rsid w:val="005B6766"/>
    <w:rsid w:val="005B6CFA"/>
    <w:rsid w:val="005B70F7"/>
    <w:rsid w:val="005B722B"/>
    <w:rsid w:val="005B75EE"/>
    <w:rsid w:val="005B7860"/>
    <w:rsid w:val="005B7A1F"/>
    <w:rsid w:val="005B7F39"/>
    <w:rsid w:val="005C009A"/>
    <w:rsid w:val="005C0218"/>
    <w:rsid w:val="005C162D"/>
    <w:rsid w:val="005C1B24"/>
    <w:rsid w:val="005C218F"/>
    <w:rsid w:val="005C2D1E"/>
    <w:rsid w:val="005C4811"/>
    <w:rsid w:val="005C499C"/>
    <w:rsid w:val="005C4C99"/>
    <w:rsid w:val="005C593C"/>
    <w:rsid w:val="005C59A5"/>
    <w:rsid w:val="005C5A09"/>
    <w:rsid w:val="005C640B"/>
    <w:rsid w:val="005C68E6"/>
    <w:rsid w:val="005C71C5"/>
    <w:rsid w:val="005C782C"/>
    <w:rsid w:val="005C7BD5"/>
    <w:rsid w:val="005D050A"/>
    <w:rsid w:val="005D11EA"/>
    <w:rsid w:val="005D1B67"/>
    <w:rsid w:val="005D1E4D"/>
    <w:rsid w:val="005D1EE5"/>
    <w:rsid w:val="005D200E"/>
    <w:rsid w:val="005D2FA7"/>
    <w:rsid w:val="005D3168"/>
    <w:rsid w:val="005D34AD"/>
    <w:rsid w:val="005D3665"/>
    <w:rsid w:val="005D38F2"/>
    <w:rsid w:val="005D3A46"/>
    <w:rsid w:val="005D3CFA"/>
    <w:rsid w:val="005D40BA"/>
    <w:rsid w:val="005D47EF"/>
    <w:rsid w:val="005D4AE7"/>
    <w:rsid w:val="005D4F51"/>
    <w:rsid w:val="005D5134"/>
    <w:rsid w:val="005D54BA"/>
    <w:rsid w:val="005D5A6E"/>
    <w:rsid w:val="005D67AC"/>
    <w:rsid w:val="005D696F"/>
    <w:rsid w:val="005D697F"/>
    <w:rsid w:val="005D76C6"/>
    <w:rsid w:val="005D7723"/>
    <w:rsid w:val="005D7770"/>
    <w:rsid w:val="005D7B06"/>
    <w:rsid w:val="005D7E37"/>
    <w:rsid w:val="005E0085"/>
    <w:rsid w:val="005E03F0"/>
    <w:rsid w:val="005E0C64"/>
    <w:rsid w:val="005E13EC"/>
    <w:rsid w:val="005E1D87"/>
    <w:rsid w:val="005E26F6"/>
    <w:rsid w:val="005E2C67"/>
    <w:rsid w:val="005E2E31"/>
    <w:rsid w:val="005E300F"/>
    <w:rsid w:val="005E3F12"/>
    <w:rsid w:val="005E4241"/>
    <w:rsid w:val="005E4312"/>
    <w:rsid w:val="005E44CA"/>
    <w:rsid w:val="005E4B18"/>
    <w:rsid w:val="005E4BB8"/>
    <w:rsid w:val="005E4EF4"/>
    <w:rsid w:val="005E58A6"/>
    <w:rsid w:val="005E5AEB"/>
    <w:rsid w:val="005E5CEF"/>
    <w:rsid w:val="005E643B"/>
    <w:rsid w:val="005E6837"/>
    <w:rsid w:val="005E6D7C"/>
    <w:rsid w:val="005E6FAF"/>
    <w:rsid w:val="005E7EA2"/>
    <w:rsid w:val="005F065C"/>
    <w:rsid w:val="005F11DB"/>
    <w:rsid w:val="005F1A01"/>
    <w:rsid w:val="005F1CD9"/>
    <w:rsid w:val="005F2137"/>
    <w:rsid w:val="005F2188"/>
    <w:rsid w:val="005F228D"/>
    <w:rsid w:val="005F243A"/>
    <w:rsid w:val="005F2DC6"/>
    <w:rsid w:val="005F2FEE"/>
    <w:rsid w:val="005F3221"/>
    <w:rsid w:val="005F393A"/>
    <w:rsid w:val="005F39C4"/>
    <w:rsid w:val="005F3C34"/>
    <w:rsid w:val="005F4356"/>
    <w:rsid w:val="005F46FC"/>
    <w:rsid w:val="005F5DF9"/>
    <w:rsid w:val="005F6018"/>
    <w:rsid w:val="005F6098"/>
    <w:rsid w:val="005F6873"/>
    <w:rsid w:val="005F73D8"/>
    <w:rsid w:val="005F7849"/>
    <w:rsid w:val="005F7990"/>
    <w:rsid w:val="005F7DE2"/>
    <w:rsid w:val="005F7F81"/>
    <w:rsid w:val="00600167"/>
    <w:rsid w:val="006008E3"/>
    <w:rsid w:val="0060098E"/>
    <w:rsid w:val="00600A59"/>
    <w:rsid w:val="00600D82"/>
    <w:rsid w:val="00601E4C"/>
    <w:rsid w:val="00602959"/>
    <w:rsid w:val="00603004"/>
    <w:rsid w:val="0060318D"/>
    <w:rsid w:val="00603477"/>
    <w:rsid w:val="0060355C"/>
    <w:rsid w:val="00603931"/>
    <w:rsid w:val="00603D2A"/>
    <w:rsid w:val="00604D88"/>
    <w:rsid w:val="0060583D"/>
    <w:rsid w:val="00605D11"/>
    <w:rsid w:val="00606465"/>
    <w:rsid w:val="00606AA2"/>
    <w:rsid w:val="00606C9C"/>
    <w:rsid w:val="00607284"/>
    <w:rsid w:val="0060779B"/>
    <w:rsid w:val="00610195"/>
    <w:rsid w:val="00610B06"/>
    <w:rsid w:val="006119EF"/>
    <w:rsid w:val="00611E34"/>
    <w:rsid w:val="006124AF"/>
    <w:rsid w:val="006127C5"/>
    <w:rsid w:val="006133EB"/>
    <w:rsid w:val="00613A2F"/>
    <w:rsid w:val="00613C50"/>
    <w:rsid w:val="00613F17"/>
    <w:rsid w:val="006142B4"/>
    <w:rsid w:val="00614991"/>
    <w:rsid w:val="00614B4D"/>
    <w:rsid w:val="006151D4"/>
    <w:rsid w:val="00615941"/>
    <w:rsid w:val="00615AB8"/>
    <w:rsid w:val="00616102"/>
    <w:rsid w:val="00616250"/>
    <w:rsid w:val="00616B93"/>
    <w:rsid w:val="00617147"/>
    <w:rsid w:val="006172C5"/>
    <w:rsid w:val="0061744F"/>
    <w:rsid w:val="006178A4"/>
    <w:rsid w:val="006179AB"/>
    <w:rsid w:val="00617BAC"/>
    <w:rsid w:val="00617F89"/>
    <w:rsid w:val="006200B1"/>
    <w:rsid w:val="006203E1"/>
    <w:rsid w:val="0062049F"/>
    <w:rsid w:val="006208AE"/>
    <w:rsid w:val="006211A6"/>
    <w:rsid w:val="00621648"/>
    <w:rsid w:val="00621B71"/>
    <w:rsid w:val="006220C1"/>
    <w:rsid w:val="0062231A"/>
    <w:rsid w:val="00622526"/>
    <w:rsid w:val="00622560"/>
    <w:rsid w:val="006239E6"/>
    <w:rsid w:val="00623AF1"/>
    <w:rsid w:val="00623E22"/>
    <w:rsid w:val="0062436D"/>
    <w:rsid w:val="00624C5D"/>
    <w:rsid w:val="00624F0A"/>
    <w:rsid w:val="0062516B"/>
    <w:rsid w:val="006251B9"/>
    <w:rsid w:val="006266C8"/>
    <w:rsid w:val="00626F8A"/>
    <w:rsid w:val="006273B4"/>
    <w:rsid w:val="00627D49"/>
    <w:rsid w:val="00630BB7"/>
    <w:rsid w:val="00630FF6"/>
    <w:rsid w:val="00631198"/>
    <w:rsid w:val="006313A9"/>
    <w:rsid w:val="00631CC1"/>
    <w:rsid w:val="00632056"/>
    <w:rsid w:val="00632651"/>
    <w:rsid w:val="00632848"/>
    <w:rsid w:val="00632BB2"/>
    <w:rsid w:val="0063301E"/>
    <w:rsid w:val="00633AA3"/>
    <w:rsid w:val="00634088"/>
    <w:rsid w:val="00635024"/>
    <w:rsid w:val="006354B8"/>
    <w:rsid w:val="006357F2"/>
    <w:rsid w:val="00635A83"/>
    <w:rsid w:val="00636011"/>
    <w:rsid w:val="00636864"/>
    <w:rsid w:val="00636958"/>
    <w:rsid w:val="00636B5F"/>
    <w:rsid w:val="00636DE0"/>
    <w:rsid w:val="00636FAC"/>
    <w:rsid w:val="0063703B"/>
    <w:rsid w:val="0063765A"/>
    <w:rsid w:val="00637CDF"/>
    <w:rsid w:val="0064009E"/>
    <w:rsid w:val="006403B4"/>
    <w:rsid w:val="00640B76"/>
    <w:rsid w:val="0064112E"/>
    <w:rsid w:val="0064145A"/>
    <w:rsid w:val="00641E6A"/>
    <w:rsid w:val="00642025"/>
    <w:rsid w:val="0064294E"/>
    <w:rsid w:val="0064374F"/>
    <w:rsid w:val="00643AA3"/>
    <w:rsid w:val="006445AD"/>
    <w:rsid w:val="00644BF3"/>
    <w:rsid w:val="00644DA0"/>
    <w:rsid w:val="00645991"/>
    <w:rsid w:val="00645C11"/>
    <w:rsid w:val="00647198"/>
    <w:rsid w:val="00647BDF"/>
    <w:rsid w:val="00650237"/>
    <w:rsid w:val="006503CE"/>
    <w:rsid w:val="006503D6"/>
    <w:rsid w:val="00650FB2"/>
    <w:rsid w:val="00651017"/>
    <w:rsid w:val="00651590"/>
    <w:rsid w:val="00651709"/>
    <w:rsid w:val="00651AA9"/>
    <w:rsid w:val="00651DFB"/>
    <w:rsid w:val="00651E92"/>
    <w:rsid w:val="00651F9D"/>
    <w:rsid w:val="0065230D"/>
    <w:rsid w:val="00652499"/>
    <w:rsid w:val="006526F4"/>
    <w:rsid w:val="00652D0F"/>
    <w:rsid w:val="00652E17"/>
    <w:rsid w:val="006535B2"/>
    <w:rsid w:val="00653692"/>
    <w:rsid w:val="0065369A"/>
    <w:rsid w:val="00653BE6"/>
    <w:rsid w:val="00653E59"/>
    <w:rsid w:val="00654422"/>
    <w:rsid w:val="006549A6"/>
    <w:rsid w:val="006549A8"/>
    <w:rsid w:val="00654C48"/>
    <w:rsid w:val="00654C6B"/>
    <w:rsid w:val="0065554B"/>
    <w:rsid w:val="00655AE3"/>
    <w:rsid w:val="00655D1A"/>
    <w:rsid w:val="00657111"/>
    <w:rsid w:val="00657416"/>
    <w:rsid w:val="0066052C"/>
    <w:rsid w:val="006608C5"/>
    <w:rsid w:val="00660ADB"/>
    <w:rsid w:val="00660DF4"/>
    <w:rsid w:val="00660FC1"/>
    <w:rsid w:val="0066143C"/>
    <w:rsid w:val="00661A51"/>
    <w:rsid w:val="00661CC7"/>
    <w:rsid w:val="00661F41"/>
    <w:rsid w:val="006623DA"/>
    <w:rsid w:val="0066298A"/>
    <w:rsid w:val="0066319C"/>
    <w:rsid w:val="00663265"/>
    <w:rsid w:val="0066428E"/>
    <w:rsid w:val="006648D3"/>
    <w:rsid w:val="00664AF7"/>
    <w:rsid w:val="00664FE3"/>
    <w:rsid w:val="00665357"/>
    <w:rsid w:val="0066565F"/>
    <w:rsid w:val="00666514"/>
    <w:rsid w:val="006669C4"/>
    <w:rsid w:val="00666C5E"/>
    <w:rsid w:val="00666ED3"/>
    <w:rsid w:val="00666FAB"/>
    <w:rsid w:val="006674A6"/>
    <w:rsid w:val="00667801"/>
    <w:rsid w:val="006678ED"/>
    <w:rsid w:val="00667B38"/>
    <w:rsid w:val="00667C5E"/>
    <w:rsid w:val="0067005A"/>
    <w:rsid w:val="00670188"/>
    <w:rsid w:val="00670BEC"/>
    <w:rsid w:val="00670C4E"/>
    <w:rsid w:val="00670EF4"/>
    <w:rsid w:val="00671390"/>
    <w:rsid w:val="00671A18"/>
    <w:rsid w:val="00671BF8"/>
    <w:rsid w:val="006724EB"/>
    <w:rsid w:val="006726C5"/>
    <w:rsid w:val="00672724"/>
    <w:rsid w:val="00672A66"/>
    <w:rsid w:val="006730FF"/>
    <w:rsid w:val="00673718"/>
    <w:rsid w:val="00673A24"/>
    <w:rsid w:val="00673C7A"/>
    <w:rsid w:val="00674800"/>
    <w:rsid w:val="0067481D"/>
    <w:rsid w:val="00674EA5"/>
    <w:rsid w:val="00674F32"/>
    <w:rsid w:val="0067512D"/>
    <w:rsid w:val="006758BA"/>
    <w:rsid w:val="00676519"/>
    <w:rsid w:val="00676678"/>
    <w:rsid w:val="00676AB0"/>
    <w:rsid w:val="00676F8F"/>
    <w:rsid w:val="0067701C"/>
    <w:rsid w:val="006776EF"/>
    <w:rsid w:val="0067771C"/>
    <w:rsid w:val="006778CF"/>
    <w:rsid w:val="00677B75"/>
    <w:rsid w:val="00677B7E"/>
    <w:rsid w:val="00677EAF"/>
    <w:rsid w:val="0068080C"/>
    <w:rsid w:val="00680BD6"/>
    <w:rsid w:val="00680DF7"/>
    <w:rsid w:val="00680E1A"/>
    <w:rsid w:val="00680F65"/>
    <w:rsid w:val="006814DE"/>
    <w:rsid w:val="0068157D"/>
    <w:rsid w:val="006815D5"/>
    <w:rsid w:val="00681DC6"/>
    <w:rsid w:val="00683454"/>
    <w:rsid w:val="00683563"/>
    <w:rsid w:val="00683BB8"/>
    <w:rsid w:val="006847DC"/>
    <w:rsid w:val="006853CF"/>
    <w:rsid w:val="00685606"/>
    <w:rsid w:val="00685B52"/>
    <w:rsid w:val="006865D6"/>
    <w:rsid w:val="00686A37"/>
    <w:rsid w:val="00687156"/>
    <w:rsid w:val="00687285"/>
    <w:rsid w:val="006874CD"/>
    <w:rsid w:val="00687D75"/>
    <w:rsid w:val="00690E12"/>
    <w:rsid w:val="00691314"/>
    <w:rsid w:val="00691F62"/>
    <w:rsid w:val="00692311"/>
    <w:rsid w:val="0069245B"/>
    <w:rsid w:val="006928AA"/>
    <w:rsid w:val="00692E0C"/>
    <w:rsid w:val="006939F9"/>
    <w:rsid w:val="00693A62"/>
    <w:rsid w:val="00693C1B"/>
    <w:rsid w:val="0069409E"/>
    <w:rsid w:val="00694145"/>
    <w:rsid w:val="006941A5"/>
    <w:rsid w:val="006943ED"/>
    <w:rsid w:val="006944A4"/>
    <w:rsid w:val="006946CB"/>
    <w:rsid w:val="006947D7"/>
    <w:rsid w:val="00695740"/>
    <w:rsid w:val="006958ED"/>
    <w:rsid w:val="00695BF6"/>
    <w:rsid w:val="00695C76"/>
    <w:rsid w:val="00695CD1"/>
    <w:rsid w:val="006961AA"/>
    <w:rsid w:val="00696A2C"/>
    <w:rsid w:val="0069756F"/>
    <w:rsid w:val="00697BA2"/>
    <w:rsid w:val="00697DD9"/>
    <w:rsid w:val="00697E5D"/>
    <w:rsid w:val="00697F89"/>
    <w:rsid w:val="006A003F"/>
    <w:rsid w:val="006A019B"/>
    <w:rsid w:val="006A01CE"/>
    <w:rsid w:val="006A042E"/>
    <w:rsid w:val="006A0657"/>
    <w:rsid w:val="006A0790"/>
    <w:rsid w:val="006A0DD3"/>
    <w:rsid w:val="006A10E4"/>
    <w:rsid w:val="006A117A"/>
    <w:rsid w:val="006A1891"/>
    <w:rsid w:val="006A1B32"/>
    <w:rsid w:val="006A1CCF"/>
    <w:rsid w:val="006A281D"/>
    <w:rsid w:val="006A2C3A"/>
    <w:rsid w:val="006A2D1D"/>
    <w:rsid w:val="006A3850"/>
    <w:rsid w:val="006A3FBD"/>
    <w:rsid w:val="006A4200"/>
    <w:rsid w:val="006A4438"/>
    <w:rsid w:val="006A4697"/>
    <w:rsid w:val="006A48FB"/>
    <w:rsid w:val="006A4987"/>
    <w:rsid w:val="006A49A9"/>
    <w:rsid w:val="006A4B7E"/>
    <w:rsid w:val="006A4EA5"/>
    <w:rsid w:val="006A4F01"/>
    <w:rsid w:val="006A590A"/>
    <w:rsid w:val="006A59C7"/>
    <w:rsid w:val="006A5AB7"/>
    <w:rsid w:val="006A5CEF"/>
    <w:rsid w:val="006A5E04"/>
    <w:rsid w:val="006A6355"/>
    <w:rsid w:val="006A6BF3"/>
    <w:rsid w:val="006A7603"/>
    <w:rsid w:val="006A7B3D"/>
    <w:rsid w:val="006A7C0C"/>
    <w:rsid w:val="006A7C98"/>
    <w:rsid w:val="006A7E09"/>
    <w:rsid w:val="006B0BF2"/>
    <w:rsid w:val="006B0CEA"/>
    <w:rsid w:val="006B0EAE"/>
    <w:rsid w:val="006B1532"/>
    <w:rsid w:val="006B1C79"/>
    <w:rsid w:val="006B2162"/>
    <w:rsid w:val="006B278A"/>
    <w:rsid w:val="006B28F5"/>
    <w:rsid w:val="006B2D8F"/>
    <w:rsid w:val="006B30F7"/>
    <w:rsid w:val="006B3241"/>
    <w:rsid w:val="006B395C"/>
    <w:rsid w:val="006B3C9F"/>
    <w:rsid w:val="006B3F14"/>
    <w:rsid w:val="006B3F6A"/>
    <w:rsid w:val="006B458B"/>
    <w:rsid w:val="006B45C6"/>
    <w:rsid w:val="006B4B80"/>
    <w:rsid w:val="006B4D7E"/>
    <w:rsid w:val="006B4E40"/>
    <w:rsid w:val="006B4F1C"/>
    <w:rsid w:val="006B4F7F"/>
    <w:rsid w:val="006B52B8"/>
    <w:rsid w:val="006B5A8A"/>
    <w:rsid w:val="006B60B1"/>
    <w:rsid w:val="006B617E"/>
    <w:rsid w:val="006B6399"/>
    <w:rsid w:val="006B63D3"/>
    <w:rsid w:val="006B67D7"/>
    <w:rsid w:val="006B6933"/>
    <w:rsid w:val="006B695F"/>
    <w:rsid w:val="006C0669"/>
    <w:rsid w:val="006C0EF1"/>
    <w:rsid w:val="006C11E5"/>
    <w:rsid w:val="006C14F4"/>
    <w:rsid w:val="006C1C42"/>
    <w:rsid w:val="006C1CF0"/>
    <w:rsid w:val="006C2076"/>
    <w:rsid w:val="006C2077"/>
    <w:rsid w:val="006C263E"/>
    <w:rsid w:val="006C2713"/>
    <w:rsid w:val="006C2A89"/>
    <w:rsid w:val="006C2FE4"/>
    <w:rsid w:val="006C3869"/>
    <w:rsid w:val="006C3D95"/>
    <w:rsid w:val="006C4351"/>
    <w:rsid w:val="006C4A46"/>
    <w:rsid w:val="006C593F"/>
    <w:rsid w:val="006C6BA4"/>
    <w:rsid w:val="006C6BAF"/>
    <w:rsid w:val="006C720E"/>
    <w:rsid w:val="006C7980"/>
    <w:rsid w:val="006C7BAB"/>
    <w:rsid w:val="006D057B"/>
    <w:rsid w:val="006D061C"/>
    <w:rsid w:val="006D0DB7"/>
    <w:rsid w:val="006D0DF6"/>
    <w:rsid w:val="006D0E0B"/>
    <w:rsid w:val="006D0F5F"/>
    <w:rsid w:val="006D1CFA"/>
    <w:rsid w:val="006D23C3"/>
    <w:rsid w:val="006D2519"/>
    <w:rsid w:val="006D27CF"/>
    <w:rsid w:val="006D28CE"/>
    <w:rsid w:val="006D2E0E"/>
    <w:rsid w:val="006D3372"/>
    <w:rsid w:val="006D33C4"/>
    <w:rsid w:val="006D34F2"/>
    <w:rsid w:val="006D366F"/>
    <w:rsid w:val="006D36BA"/>
    <w:rsid w:val="006D40DB"/>
    <w:rsid w:val="006D4577"/>
    <w:rsid w:val="006D4BD5"/>
    <w:rsid w:val="006D4F41"/>
    <w:rsid w:val="006D53BA"/>
    <w:rsid w:val="006D5F6E"/>
    <w:rsid w:val="006D5F9A"/>
    <w:rsid w:val="006D5FE9"/>
    <w:rsid w:val="006D60A2"/>
    <w:rsid w:val="006D61EB"/>
    <w:rsid w:val="006D648D"/>
    <w:rsid w:val="006D6B5A"/>
    <w:rsid w:val="006D6BC5"/>
    <w:rsid w:val="006D6DD9"/>
    <w:rsid w:val="006D6E0E"/>
    <w:rsid w:val="006E091C"/>
    <w:rsid w:val="006E0DA4"/>
    <w:rsid w:val="006E117E"/>
    <w:rsid w:val="006E1634"/>
    <w:rsid w:val="006E1987"/>
    <w:rsid w:val="006E1EEB"/>
    <w:rsid w:val="006E1FA4"/>
    <w:rsid w:val="006E227A"/>
    <w:rsid w:val="006E263B"/>
    <w:rsid w:val="006E269C"/>
    <w:rsid w:val="006E2AB4"/>
    <w:rsid w:val="006E34C4"/>
    <w:rsid w:val="006E37EB"/>
    <w:rsid w:val="006E3883"/>
    <w:rsid w:val="006E3B2C"/>
    <w:rsid w:val="006E3C7C"/>
    <w:rsid w:val="006E3FD0"/>
    <w:rsid w:val="006E4755"/>
    <w:rsid w:val="006E498E"/>
    <w:rsid w:val="006E4ADC"/>
    <w:rsid w:val="006E4B2F"/>
    <w:rsid w:val="006E4B91"/>
    <w:rsid w:val="006E4D2A"/>
    <w:rsid w:val="006E5560"/>
    <w:rsid w:val="006E5AC1"/>
    <w:rsid w:val="006E626D"/>
    <w:rsid w:val="006E6668"/>
    <w:rsid w:val="006E67E9"/>
    <w:rsid w:val="006E6918"/>
    <w:rsid w:val="006E6BBB"/>
    <w:rsid w:val="006E6E2A"/>
    <w:rsid w:val="006E70C3"/>
    <w:rsid w:val="006E732E"/>
    <w:rsid w:val="006E7A26"/>
    <w:rsid w:val="006F005C"/>
    <w:rsid w:val="006F0260"/>
    <w:rsid w:val="006F0840"/>
    <w:rsid w:val="006F0CEA"/>
    <w:rsid w:val="006F1933"/>
    <w:rsid w:val="006F1BA8"/>
    <w:rsid w:val="006F1BEF"/>
    <w:rsid w:val="006F2313"/>
    <w:rsid w:val="006F25E2"/>
    <w:rsid w:val="006F2667"/>
    <w:rsid w:val="006F340E"/>
    <w:rsid w:val="006F353B"/>
    <w:rsid w:val="006F37BC"/>
    <w:rsid w:val="006F3B70"/>
    <w:rsid w:val="006F3DBB"/>
    <w:rsid w:val="006F5103"/>
    <w:rsid w:val="006F544B"/>
    <w:rsid w:val="006F55E5"/>
    <w:rsid w:val="006F5629"/>
    <w:rsid w:val="006F5E14"/>
    <w:rsid w:val="006F622B"/>
    <w:rsid w:val="006F67A7"/>
    <w:rsid w:val="006F68A0"/>
    <w:rsid w:val="006F6B22"/>
    <w:rsid w:val="006F71AE"/>
    <w:rsid w:val="006F79BC"/>
    <w:rsid w:val="00700027"/>
    <w:rsid w:val="0070090D"/>
    <w:rsid w:val="00701064"/>
    <w:rsid w:val="00701D0F"/>
    <w:rsid w:val="00701DAC"/>
    <w:rsid w:val="007021AB"/>
    <w:rsid w:val="00702408"/>
    <w:rsid w:val="007029DB"/>
    <w:rsid w:val="00702B61"/>
    <w:rsid w:val="007034F0"/>
    <w:rsid w:val="00703B21"/>
    <w:rsid w:val="00703D3D"/>
    <w:rsid w:val="00703E39"/>
    <w:rsid w:val="00704B62"/>
    <w:rsid w:val="00704E3B"/>
    <w:rsid w:val="007050F0"/>
    <w:rsid w:val="0070539E"/>
    <w:rsid w:val="00705A73"/>
    <w:rsid w:val="00706194"/>
    <w:rsid w:val="00706549"/>
    <w:rsid w:val="00706CE6"/>
    <w:rsid w:val="0070713E"/>
    <w:rsid w:val="0071154F"/>
    <w:rsid w:val="00711B75"/>
    <w:rsid w:val="00711D49"/>
    <w:rsid w:val="007121C5"/>
    <w:rsid w:val="00712520"/>
    <w:rsid w:val="00712711"/>
    <w:rsid w:val="007131AF"/>
    <w:rsid w:val="00713A89"/>
    <w:rsid w:val="00713BB8"/>
    <w:rsid w:val="00714139"/>
    <w:rsid w:val="00714313"/>
    <w:rsid w:val="00714C9B"/>
    <w:rsid w:val="00715452"/>
    <w:rsid w:val="007155B7"/>
    <w:rsid w:val="007167CB"/>
    <w:rsid w:val="007167E2"/>
    <w:rsid w:val="007168EA"/>
    <w:rsid w:val="007178E7"/>
    <w:rsid w:val="00717909"/>
    <w:rsid w:val="00717C55"/>
    <w:rsid w:val="007200E8"/>
    <w:rsid w:val="00720441"/>
    <w:rsid w:val="00721E8B"/>
    <w:rsid w:val="00722352"/>
    <w:rsid w:val="00722371"/>
    <w:rsid w:val="00722C64"/>
    <w:rsid w:val="00723075"/>
    <w:rsid w:val="0072334D"/>
    <w:rsid w:val="007239DB"/>
    <w:rsid w:val="00724533"/>
    <w:rsid w:val="0072520C"/>
    <w:rsid w:val="0072523B"/>
    <w:rsid w:val="007257FE"/>
    <w:rsid w:val="00725A24"/>
    <w:rsid w:val="007268FF"/>
    <w:rsid w:val="00726911"/>
    <w:rsid w:val="00726B75"/>
    <w:rsid w:val="00726DFB"/>
    <w:rsid w:val="0072708F"/>
    <w:rsid w:val="0072722C"/>
    <w:rsid w:val="00727403"/>
    <w:rsid w:val="00727701"/>
    <w:rsid w:val="00727B70"/>
    <w:rsid w:val="007304D5"/>
    <w:rsid w:val="007305F9"/>
    <w:rsid w:val="00730831"/>
    <w:rsid w:val="00730A38"/>
    <w:rsid w:val="0073102F"/>
    <w:rsid w:val="00731515"/>
    <w:rsid w:val="00732033"/>
    <w:rsid w:val="00732038"/>
    <w:rsid w:val="007323D3"/>
    <w:rsid w:val="007324D5"/>
    <w:rsid w:val="00732678"/>
    <w:rsid w:val="00733BE4"/>
    <w:rsid w:val="00733DF1"/>
    <w:rsid w:val="0073418E"/>
    <w:rsid w:val="007342FE"/>
    <w:rsid w:val="00734383"/>
    <w:rsid w:val="00735602"/>
    <w:rsid w:val="00735C71"/>
    <w:rsid w:val="00735D28"/>
    <w:rsid w:val="00735E68"/>
    <w:rsid w:val="007360F2"/>
    <w:rsid w:val="00736468"/>
    <w:rsid w:val="007364A9"/>
    <w:rsid w:val="0073667C"/>
    <w:rsid w:val="00736DDF"/>
    <w:rsid w:val="0073701D"/>
    <w:rsid w:val="00737036"/>
    <w:rsid w:val="00737101"/>
    <w:rsid w:val="007372A2"/>
    <w:rsid w:val="00737A1A"/>
    <w:rsid w:val="00740072"/>
    <w:rsid w:val="007400B0"/>
    <w:rsid w:val="0074041B"/>
    <w:rsid w:val="00740F7D"/>
    <w:rsid w:val="00741533"/>
    <w:rsid w:val="007419D5"/>
    <w:rsid w:val="00741A09"/>
    <w:rsid w:val="00741A8F"/>
    <w:rsid w:val="007423AD"/>
    <w:rsid w:val="00742D67"/>
    <w:rsid w:val="00743941"/>
    <w:rsid w:val="007439F9"/>
    <w:rsid w:val="00743A39"/>
    <w:rsid w:val="00743A5F"/>
    <w:rsid w:val="00743D67"/>
    <w:rsid w:val="0074464C"/>
    <w:rsid w:val="007447B1"/>
    <w:rsid w:val="00744B16"/>
    <w:rsid w:val="00744C06"/>
    <w:rsid w:val="00746DD9"/>
    <w:rsid w:val="0074732E"/>
    <w:rsid w:val="007477EB"/>
    <w:rsid w:val="00750878"/>
    <w:rsid w:val="0075087D"/>
    <w:rsid w:val="0075087E"/>
    <w:rsid w:val="007508CF"/>
    <w:rsid w:val="00750913"/>
    <w:rsid w:val="00750A49"/>
    <w:rsid w:val="00750A74"/>
    <w:rsid w:val="00751525"/>
    <w:rsid w:val="0075188D"/>
    <w:rsid w:val="00751BBF"/>
    <w:rsid w:val="007521F9"/>
    <w:rsid w:val="007525FA"/>
    <w:rsid w:val="00752B36"/>
    <w:rsid w:val="00752ED6"/>
    <w:rsid w:val="007533D1"/>
    <w:rsid w:val="007535B5"/>
    <w:rsid w:val="00753941"/>
    <w:rsid w:val="00753BDB"/>
    <w:rsid w:val="007540B1"/>
    <w:rsid w:val="007543AE"/>
    <w:rsid w:val="007546D8"/>
    <w:rsid w:val="007549F3"/>
    <w:rsid w:val="00754C0F"/>
    <w:rsid w:val="00754C73"/>
    <w:rsid w:val="00755284"/>
    <w:rsid w:val="00755367"/>
    <w:rsid w:val="0075609C"/>
    <w:rsid w:val="00757A20"/>
    <w:rsid w:val="0076011B"/>
    <w:rsid w:val="00760259"/>
    <w:rsid w:val="00760A0D"/>
    <w:rsid w:val="00760B56"/>
    <w:rsid w:val="00760D35"/>
    <w:rsid w:val="00760ECE"/>
    <w:rsid w:val="00761007"/>
    <w:rsid w:val="00761440"/>
    <w:rsid w:val="00761493"/>
    <w:rsid w:val="007614ED"/>
    <w:rsid w:val="007615EC"/>
    <w:rsid w:val="00761672"/>
    <w:rsid w:val="007616FE"/>
    <w:rsid w:val="00761F05"/>
    <w:rsid w:val="00761F9D"/>
    <w:rsid w:val="00762535"/>
    <w:rsid w:val="00762B26"/>
    <w:rsid w:val="00762B93"/>
    <w:rsid w:val="00762DF0"/>
    <w:rsid w:val="00762E66"/>
    <w:rsid w:val="00762F07"/>
    <w:rsid w:val="00763617"/>
    <w:rsid w:val="0076398B"/>
    <w:rsid w:val="00763D5D"/>
    <w:rsid w:val="00764173"/>
    <w:rsid w:val="007647AA"/>
    <w:rsid w:val="00764AAF"/>
    <w:rsid w:val="007655F3"/>
    <w:rsid w:val="007656A6"/>
    <w:rsid w:val="007656BC"/>
    <w:rsid w:val="00765D1F"/>
    <w:rsid w:val="00765F58"/>
    <w:rsid w:val="00766440"/>
    <w:rsid w:val="007668A5"/>
    <w:rsid w:val="00767763"/>
    <w:rsid w:val="0076796A"/>
    <w:rsid w:val="00767D89"/>
    <w:rsid w:val="00767F74"/>
    <w:rsid w:val="007700C5"/>
    <w:rsid w:val="0077010B"/>
    <w:rsid w:val="0077022E"/>
    <w:rsid w:val="0077076C"/>
    <w:rsid w:val="007709B5"/>
    <w:rsid w:val="00770C73"/>
    <w:rsid w:val="00770FC6"/>
    <w:rsid w:val="007714AF"/>
    <w:rsid w:val="0077159F"/>
    <w:rsid w:val="007715D9"/>
    <w:rsid w:val="00771C5A"/>
    <w:rsid w:val="00772D24"/>
    <w:rsid w:val="0077301D"/>
    <w:rsid w:val="007730C5"/>
    <w:rsid w:val="00774287"/>
    <w:rsid w:val="0077429C"/>
    <w:rsid w:val="007751A0"/>
    <w:rsid w:val="007754E8"/>
    <w:rsid w:val="00775CCB"/>
    <w:rsid w:val="0077600B"/>
    <w:rsid w:val="00776373"/>
    <w:rsid w:val="007764D9"/>
    <w:rsid w:val="00776615"/>
    <w:rsid w:val="00776A21"/>
    <w:rsid w:val="007771FF"/>
    <w:rsid w:val="00777B85"/>
    <w:rsid w:val="00777F3E"/>
    <w:rsid w:val="00780DEA"/>
    <w:rsid w:val="007810AC"/>
    <w:rsid w:val="00781A8A"/>
    <w:rsid w:val="00782597"/>
    <w:rsid w:val="007832E7"/>
    <w:rsid w:val="00783D77"/>
    <w:rsid w:val="00783E29"/>
    <w:rsid w:val="007843F7"/>
    <w:rsid w:val="00784C5F"/>
    <w:rsid w:val="00784DC7"/>
    <w:rsid w:val="007853FE"/>
    <w:rsid w:val="007855B2"/>
    <w:rsid w:val="00785A37"/>
    <w:rsid w:val="00785D9E"/>
    <w:rsid w:val="00785EC0"/>
    <w:rsid w:val="007860FD"/>
    <w:rsid w:val="0078621E"/>
    <w:rsid w:val="007866BD"/>
    <w:rsid w:val="007866FF"/>
    <w:rsid w:val="0078685A"/>
    <w:rsid w:val="0078689A"/>
    <w:rsid w:val="007868F8"/>
    <w:rsid w:val="00786D38"/>
    <w:rsid w:val="007870E0"/>
    <w:rsid w:val="00787153"/>
    <w:rsid w:val="007873B3"/>
    <w:rsid w:val="00787D98"/>
    <w:rsid w:val="007903A8"/>
    <w:rsid w:val="00790978"/>
    <w:rsid w:val="00790E7B"/>
    <w:rsid w:val="00792658"/>
    <w:rsid w:val="00793309"/>
    <w:rsid w:val="00793E88"/>
    <w:rsid w:val="0079465B"/>
    <w:rsid w:val="00794A32"/>
    <w:rsid w:val="00795013"/>
    <w:rsid w:val="0079588C"/>
    <w:rsid w:val="00795BCE"/>
    <w:rsid w:val="007966BC"/>
    <w:rsid w:val="00796AF9"/>
    <w:rsid w:val="00797CE3"/>
    <w:rsid w:val="00797D63"/>
    <w:rsid w:val="00797EA3"/>
    <w:rsid w:val="007A1263"/>
    <w:rsid w:val="007A173F"/>
    <w:rsid w:val="007A17C0"/>
    <w:rsid w:val="007A23AC"/>
    <w:rsid w:val="007A254A"/>
    <w:rsid w:val="007A27E4"/>
    <w:rsid w:val="007A29B0"/>
    <w:rsid w:val="007A2FE1"/>
    <w:rsid w:val="007A309A"/>
    <w:rsid w:val="007A319B"/>
    <w:rsid w:val="007A36B3"/>
    <w:rsid w:val="007A398F"/>
    <w:rsid w:val="007A4E4C"/>
    <w:rsid w:val="007A50F1"/>
    <w:rsid w:val="007A53A9"/>
    <w:rsid w:val="007A59A6"/>
    <w:rsid w:val="007A5BF3"/>
    <w:rsid w:val="007A6532"/>
    <w:rsid w:val="007A690A"/>
    <w:rsid w:val="007A6C17"/>
    <w:rsid w:val="007A6CCF"/>
    <w:rsid w:val="007A7945"/>
    <w:rsid w:val="007B0940"/>
    <w:rsid w:val="007B0BEF"/>
    <w:rsid w:val="007B0EDC"/>
    <w:rsid w:val="007B0FA2"/>
    <w:rsid w:val="007B10D1"/>
    <w:rsid w:val="007B1144"/>
    <w:rsid w:val="007B1A91"/>
    <w:rsid w:val="007B1AE4"/>
    <w:rsid w:val="007B1CE6"/>
    <w:rsid w:val="007B1FEF"/>
    <w:rsid w:val="007B20D2"/>
    <w:rsid w:val="007B2161"/>
    <w:rsid w:val="007B3883"/>
    <w:rsid w:val="007B3C7D"/>
    <w:rsid w:val="007B3C95"/>
    <w:rsid w:val="007B3D42"/>
    <w:rsid w:val="007B3F56"/>
    <w:rsid w:val="007B427C"/>
    <w:rsid w:val="007B43F0"/>
    <w:rsid w:val="007B44F9"/>
    <w:rsid w:val="007B479B"/>
    <w:rsid w:val="007B486E"/>
    <w:rsid w:val="007B4CEC"/>
    <w:rsid w:val="007B51A5"/>
    <w:rsid w:val="007B5733"/>
    <w:rsid w:val="007B5FA0"/>
    <w:rsid w:val="007B6207"/>
    <w:rsid w:val="007B6A77"/>
    <w:rsid w:val="007B6CF2"/>
    <w:rsid w:val="007B706A"/>
    <w:rsid w:val="007B7146"/>
    <w:rsid w:val="007B719E"/>
    <w:rsid w:val="007B75A3"/>
    <w:rsid w:val="007B78D6"/>
    <w:rsid w:val="007B79C0"/>
    <w:rsid w:val="007B7F33"/>
    <w:rsid w:val="007C0772"/>
    <w:rsid w:val="007C0C78"/>
    <w:rsid w:val="007C0E07"/>
    <w:rsid w:val="007C0E20"/>
    <w:rsid w:val="007C1183"/>
    <w:rsid w:val="007C1515"/>
    <w:rsid w:val="007C26EB"/>
    <w:rsid w:val="007C307E"/>
    <w:rsid w:val="007C30ED"/>
    <w:rsid w:val="007C3139"/>
    <w:rsid w:val="007C38E3"/>
    <w:rsid w:val="007C3F01"/>
    <w:rsid w:val="007C3F2D"/>
    <w:rsid w:val="007C41AA"/>
    <w:rsid w:val="007C4878"/>
    <w:rsid w:val="007C491F"/>
    <w:rsid w:val="007C4998"/>
    <w:rsid w:val="007C4ABB"/>
    <w:rsid w:val="007C4C1B"/>
    <w:rsid w:val="007C515F"/>
    <w:rsid w:val="007C576E"/>
    <w:rsid w:val="007C578E"/>
    <w:rsid w:val="007C5B91"/>
    <w:rsid w:val="007C5BB7"/>
    <w:rsid w:val="007C6325"/>
    <w:rsid w:val="007C63D4"/>
    <w:rsid w:val="007C64A0"/>
    <w:rsid w:val="007C64CA"/>
    <w:rsid w:val="007C6BD2"/>
    <w:rsid w:val="007C6E48"/>
    <w:rsid w:val="007C73C0"/>
    <w:rsid w:val="007D056C"/>
    <w:rsid w:val="007D1155"/>
    <w:rsid w:val="007D160E"/>
    <w:rsid w:val="007D19AB"/>
    <w:rsid w:val="007D1ABC"/>
    <w:rsid w:val="007D1F75"/>
    <w:rsid w:val="007D1FB2"/>
    <w:rsid w:val="007D2049"/>
    <w:rsid w:val="007D2133"/>
    <w:rsid w:val="007D266B"/>
    <w:rsid w:val="007D2870"/>
    <w:rsid w:val="007D2A09"/>
    <w:rsid w:val="007D317E"/>
    <w:rsid w:val="007D3675"/>
    <w:rsid w:val="007D3B36"/>
    <w:rsid w:val="007D3BA1"/>
    <w:rsid w:val="007D3C55"/>
    <w:rsid w:val="007D3F65"/>
    <w:rsid w:val="007D453F"/>
    <w:rsid w:val="007D464F"/>
    <w:rsid w:val="007D49D5"/>
    <w:rsid w:val="007D4E22"/>
    <w:rsid w:val="007D5138"/>
    <w:rsid w:val="007D523D"/>
    <w:rsid w:val="007D532B"/>
    <w:rsid w:val="007D559C"/>
    <w:rsid w:val="007D587B"/>
    <w:rsid w:val="007D5E50"/>
    <w:rsid w:val="007D5F3E"/>
    <w:rsid w:val="007D6074"/>
    <w:rsid w:val="007D62FC"/>
    <w:rsid w:val="007D6AB8"/>
    <w:rsid w:val="007D6B19"/>
    <w:rsid w:val="007D7618"/>
    <w:rsid w:val="007D7E63"/>
    <w:rsid w:val="007D7EC0"/>
    <w:rsid w:val="007E058A"/>
    <w:rsid w:val="007E061D"/>
    <w:rsid w:val="007E0835"/>
    <w:rsid w:val="007E0EA6"/>
    <w:rsid w:val="007E1587"/>
    <w:rsid w:val="007E1749"/>
    <w:rsid w:val="007E1AA0"/>
    <w:rsid w:val="007E1BE3"/>
    <w:rsid w:val="007E1CA8"/>
    <w:rsid w:val="007E1FAB"/>
    <w:rsid w:val="007E21CD"/>
    <w:rsid w:val="007E250E"/>
    <w:rsid w:val="007E2ACE"/>
    <w:rsid w:val="007E31F8"/>
    <w:rsid w:val="007E39B7"/>
    <w:rsid w:val="007E3D52"/>
    <w:rsid w:val="007E4174"/>
    <w:rsid w:val="007E4294"/>
    <w:rsid w:val="007E4316"/>
    <w:rsid w:val="007E47EF"/>
    <w:rsid w:val="007E4D0D"/>
    <w:rsid w:val="007E4D7E"/>
    <w:rsid w:val="007E4DD8"/>
    <w:rsid w:val="007E4F2D"/>
    <w:rsid w:val="007E5745"/>
    <w:rsid w:val="007E57DA"/>
    <w:rsid w:val="007E5A35"/>
    <w:rsid w:val="007E5CA6"/>
    <w:rsid w:val="007E5CCD"/>
    <w:rsid w:val="007E60E1"/>
    <w:rsid w:val="007E6890"/>
    <w:rsid w:val="007E7937"/>
    <w:rsid w:val="007E7CAD"/>
    <w:rsid w:val="007F0A2B"/>
    <w:rsid w:val="007F1887"/>
    <w:rsid w:val="007F216A"/>
    <w:rsid w:val="007F2954"/>
    <w:rsid w:val="007F2EEA"/>
    <w:rsid w:val="007F35B7"/>
    <w:rsid w:val="007F438C"/>
    <w:rsid w:val="007F44BA"/>
    <w:rsid w:val="007F44C5"/>
    <w:rsid w:val="007F4A7A"/>
    <w:rsid w:val="007F4C2B"/>
    <w:rsid w:val="007F4C64"/>
    <w:rsid w:val="007F4F1D"/>
    <w:rsid w:val="007F50D5"/>
    <w:rsid w:val="007F55CC"/>
    <w:rsid w:val="007F5A05"/>
    <w:rsid w:val="007F5A6C"/>
    <w:rsid w:val="007F5DA0"/>
    <w:rsid w:val="007F5F49"/>
    <w:rsid w:val="007F67FB"/>
    <w:rsid w:val="007F682E"/>
    <w:rsid w:val="007F6832"/>
    <w:rsid w:val="007F6B79"/>
    <w:rsid w:val="007F70A4"/>
    <w:rsid w:val="007F7193"/>
    <w:rsid w:val="007F737B"/>
    <w:rsid w:val="007F7EF5"/>
    <w:rsid w:val="0080005F"/>
    <w:rsid w:val="008003F2"/>
    <w:rsid w:val="008004F4"/>
    <w:rsid w:val="0080058F"/>
    <w:rsid w:val="008009E1"/>
    <w:rsid w:val="00800DCC"/>
    <w:rsid w:val="00800F93"/>
    <w:rsid w:val="008011B5"/>
    <w:rsid w:val="008012DF"/>
    <w:rsid w:val="00801314"/>
    <w:rsid w:val="008013CB"/>
    <w:rsid w:val="00801605"/>
    <w:rsid w:val="008016D5"/>
    <w:rsid w:val="0080183B"/>
    <w:rsid w:val="00801906"/>
    <w:rsid w:val="00801AE6"/>
    <w:rsid w:val="00801DD0"/>
    <w:rsid w:val="00802B9E"/>
    <w:rsid w:val="00802EA3"/>
    <w:rsid w:val="00803101"/>
    <w:rsid w:val="00803121"/>
    <w:rsid w:val="00803916"/>
    <w:rsid w:val="00803D2A"/>
    <w:rsid w:val="00804039"/>
    <w:rsid w:val="0080419A"/>
    <w:rsid w:val="008058E2"/>
    <w:rsid w:val="00805E1B"/>
    <w:rsid w:val="00806120"/>
    <w:rsid w:val="00806484"/>
    <w:rsid w:val="00806813"/>
    <w:rsid w:val="00806BC5"/>
    <w:rsid w:val="00807285"/>
    <w:rsid w:val="00807388"/>
    <w:rsid w:val="008074A4"/>
    <w:rsid w:val="00807FAA"/>
    <w:rsid w:val="00810FCC"/>
    <w:rsid w:val="008116DF"/>
    <w:rsid w:val="00811A77"/>
    <w:rsid w:val="00811C90"/>
    <w:rsid w:val="00811E29"/>
    <w:rsid w:val="008120BC"/>
    <w:rsid w:val="00812C2F"/>
    <w:rsid w:val="00812FE3"/>
    <w:rsid w:val="00813BE0"/>
    <w:rsid w:val="00813C8A"/>
    <w:rsid w:val="008143A0"/>
    <w:rsid w:val="00814514"/>
    <w:rsid w:val="0081484B"/>
    <w:rsid w:val="008150CF"/>
    <w:rsid w:val="00815160"/>
    <w:rsid w:val="008154EA"/>
    <w:rsid w:val="008159B5"/>
    <w:rsid w:val="0081632A"/>
    <w:rsid w:val="00816A76"/>
    <w:rsid w:val="00816AAB"/>
    <w:rsid w:val="00816D78"/>
    <w:rsid w:val="00817CD6"/>
    <w:rsid w:val="00817DAD"/>
    <w:rsid w:val="008207D6"/>
    <w:rsid w:val="008208B3"/>
    <w:rsid w:val="008208D2"/>
    <w:rsid w:val="00820E30"/>
    <w:rsid w:val="00821036"/>
    <w:rsid w:val="00821090"/>
    <w:rsid w:val="00821916"/>
    <w:rsid w:val="00822652"/>
    <w:rsid w:val="00822CF4"/>
    <w:rsid w:val="00822EFB"/>
    <w:rsid w:val="0082316B"/>
    <w:rsid w:val="008234C6"/>
    <w:rsid w:val="00823A13"/>
    <w:rsid w:val="00823F78"/>
    <w:rsid w:val="00824280"/>
    <w:rsid w:val="00824801"/>
    <w:rsid w:val="00824F04"/>
    <w:rsid w:val="00824F09"/>
    <w:rsid w:val="00824F0D"/>
    <w:rsid w:val="00824FAC"/>
    <w:rsid w:val="0082532D"/>
    <w:rsid w:val="00825889"/>
    <w:rsid w:val="00825C84"/>
    <w:rsid w:val="00826417"/>
    <w:rsid w:val="0082662C"/>
    <w:rsid w:val="00827D67"/>
    <w:rsid w:val="00827FAE"/>
    <w:rsid w:val="008304F3"/>
    <w:rsid w:val="00830F81"/>
    <w:rsid w:val="00831224"/>
    <w:rsid w:val="008315D2"/>
    <w:rsid w:val="00831633"/>
    <w:rsid w:val="00831A55"/>
    <w:rsid w:val="00832E11"/>
    <w:rsid w:val="00833096"/>
    <w:rsid w:val="0083355F"/>
    <w:rsid w:val="00833DFA"/>
    <w:rsid w:val="0083574B"/>
    <w:rsid w:val="00835F8E"/>
    <w:rsid w:val="00836011"/>
    <w:rsid w:val="0083691A"/>
    <w:rsid w:val="00836E08"/>
    <w:rsid w:val="00836E5B"/>
    <w:rsid w:val="00837146"/>
    <w:rsid w:val="00837EC9"/>
    <w:rsid w:val="008401DE"/>
    <w:rsid w:val="00840C25"/>
    <w:rsid w:val="0084171C"/>
    <w:rsid w:val="00841DEA"/>
    <w:rsid w:val="00842183"/>
    <w:rsid w:val="008427BC"/>
    <w:rsid w:val="008434CD"/>
    <w:rsid w:val="008435AF"/>
    <w:rsid w:val="0084440D"/>
    <w:rsid w:val="008447F5"/>
    <w:rsid w:val="00844A88"/>
    <w:rsid w:val="008454C6"/>
    <w:rsid w:val="008454F2"/>
    <w:rsid w:val="008455D7"/>
    <w:rsid w:val="00845FB7"/>
    <w:rsid w:val="00846DEE"/>
    <w:rsid w:val="008470A1"/>
    <w:rsid w:val="008472BB"/>
    <w:rsid w:val="00847ABD"/>
    <w:rsid w:val="0085031C"/>
    <w:rsid w:val="00850341"/>
    <w:rsid w:val="0085087C"/>
    <w:rsid w:val="00850F4C"/>
    <w:rsid w:val="008523F5"/>
    <w:rsid w:val="0085255E"/>
    <w:rsid w:val="00852CB6"/>
    <w:rsid w:val="00853544"/>
    <w:rsid w:val="00853D69"/>
    <w:rsid w:val="00853F3C"/>
    <w:rsid w:val="008545F2"/>
    <w:rsid w:val="00854FFA"/>
    <w:rsid w:val="00855843"/>
    <w:rsid w:val="00856143"/>
    <w:rsid w:val="00856220"/>
    <w:rsid w:val="00856FFD"/>
    <w:rsid w:val="008573AE"/>
    <w:rsid w:val="008574C1"/>
    <w:rsid w:val="00857717"/>
    <w:rsid w:val="00857766"/>
    <w:rsid w:val="00857FCA"/>
    <w:rsid w:val="00860A07"/>
    <w:rsid w:val="00860AB4"/>
    <w:rsid w:val="00860F11"/>
    <w:rsid w:val="008617A7"/>
    <w:rsid w:val="00861F54"/>
    <w:rsid w:val="008621D9"/>
    <w:rsid w:val="008621E0"/>
    <w:rsid w:val="00862564"/>
    <w:rsid w:val="00862610"/>
    <w:rsid w:val="008627C2"/>
    <w:rsid w:val="008627E3"/>
    <w:rsid w:val="00862EFB"/>
    <w:rsid w:val="008630E1"/>
    <w:rsid w:val="00863F87"/>
    <w:rsid w:val="00864075"/>
    <w:rsid w:val="008644C4"/>
    <w:rsid w:val="00864745"/>
    <w:rsid w:val="00864852"/>
    <w:rsid w:val="0086488E"/>
    <w:rsid w:val="0086532C"/>
    <w:rsid w:val="008653D6"/>
    <w:rsid w:val="008655B0"/>
    <w:rsid w:val="00865612"/>
    <w:rsid w:val="0086705B"/>
    <w:rsid w:val="008670AC"/>
    <w:rsid w:val="00867A6F"/>
    <w:rsid w:val="00867D43"/>
    <w:rsid w:val="00870105"/>
    <w:rsid w:val="0087045D"/>
    <w:rsid w:val="00870B43"/>
    <w:rsid w:val="008712F9"/>
    <w:rsid w:val="00871872"/>
    <w:rsid w:val="00871F0B"/>
    <w:rsid w:val="008723DB"/>
    <w:rsid w:val="008727EB"/>
    <w:rsid w:val="00872BDF"/>
    <w:rsid w:val="00872BFE"/>
    <w:rsid w:val="008738CF"/>
    <w:rsid w:val="00873ABE"/>
    <w:rsid w:val="00873CE5"/>
    <w:rsid w:val="00873DCB"/>
    <w:rsid w:val="008740FA"/>
    <w:rsid w:val="00874248"/>
    <w:rsid w:val="008743C7"/>
    <w:rsid w:val="00874F1D"/>
    <w:rsid w:val="00875289"/>
    <w:rsid w:val="0087598D"/>
    <w:rsid w:val="00875E00"/>
    <w:rsid w:val="00875F23"/>
    <w:rsid w:val="00876F5B"/>
    <w:rsid w:val="00877493"/>
    <w:rsid w:val="008778A3"/>
    <w:rsid w:val="00877CAC"/>
    <w:rsid w:val="00877EDC"/>
    <w:rsid w:val="00877FF3"/>
    <w:rsid w:val="0088038A"/>
    <w:rsid w:val="00880415"/>
    <w:rsid w:val="0088121E"/>
    <w:rsid w:val="008814F8"/>
    <w:rsid w:val="00881A56"/>
    <w:rsid w:val="00881ACE"/>
    <w:rsid w:val="0088249F"/>
    <w:rsid w:val="00883480"/>
    <w:rsid w:val="00883814"/>
    <w:rsid w:val="00883BF2"/>
    <w:rsid w:val="00884DAC"/>
    <w:rsid w:val="00884E66"/>
    <w:rsid w:val="00885AA2"/>
    <w:rsid w:val="00885DEE"/>
    <w:rsid w:val="00885F22"/>
    <w:rsid w:val="00886D06"/>
    <w:rsid w:val="00886E19"/>
    <w:rsid w:val="00887D1F"/>
    <w:rsid w:val="00887EC9"/>
    <w:rsid w:val="0089003B"/>
    <w:rsid w:val="00890127"/>
    <w:rsid w:val="0089077A"/>
    <w:rsid w:val="00890BF4"/>
    <w:rsid w:val="00891AF1"/>
    <w:rsid w:val="00892587"/>
    <w:rsid w:val="00892609"/>
    <w:rsid w:val="00892867"/>
    <w:rsid w:val="008951E7"/>
    <w:rsid w:val="008952E9"/>
    <w:rsid w:val="008956CD"/>
    <w:rsid w:val="00895E77"/>
    <w:rsid w:val="008967AA"/>
    <w:rsid w:val="008967C6"/>
    <w:rsid w:val="00896C5A"/>
    <w:rsid w:val="00897034"/>
    <w:rsid w:val="0089710A"/>
    <w:rsid w:val="008974BA"/>
    <w:rsid w:val="008976AD"/>
    <w:rsid w:val="00897AE0"/>
    <w:rsid w:val="00897C32"/>
    <w:rsid w:val="00897F52"/>
    <w:rsid w:val="008A1F83"/>
    <w:rsid w:val="008A2450"/>
    <w:rsid w:val="008A251F"/>
    <w:rsid w:val="008A2AFB"/>
    <w:rsid w:val="008A3083"/>
    <w:rsid w:val="008A315A"/>
    <w:rsid w:val="008A3359"/>
    <w:rsid w:val="008A3BAB"/>
    <w:rsid w:val="008A3FEE"/>
    <w:rsid w:val="008A4073"/>
    <w:rsid w:val="008A4118"/>
    <w:rsid w:val="008A43AB"/>
    <w:rsid w:val="008A4613"/>
    <w:rsid w:val="008A4C24"/>
    <w:rsid w:val="008A5846"/>
    <w:rsid w:val="008A5D68"/>
    <w:rsid w:val="008A5E2B"/>
    <w:rsid w:val="008A62F9"/>
    <w:rsid w:val="008A66F9"/>
    <w:rsid w:val="008A76E3"/>
    <w:rsid w:val="008A7863"/>
    <w:rsid w:val="008A7C0F"/>
    <w:rsid w:val="008A7E6E"/>
    <w:rsid w:val="008B021F"/>
    <w:rsid w:val="008B15DD"/>
    <w:rsid w:val="008B167F"/>
    <w:rsid w:val="008B22A4"/>
    <w:rsid w:val="008B2763"/>
    <w:rsid w:val="008B3163"/>
    <w:rsid w:val="008B31A1"/>
    <w:rsid w:val="008B3235"/>
    <w:rsid w:val="008B3625"/>
    <w:rsid w:val="008B3A0F"/>
    <w:rsid w:val="008B3CC2"/>
    <w:rsid w:val="008B3D76"/>
    <w:rsid w:val="008B3DA4"/>
    <w:rsid w:val="008B3E9D"/>
    <w:rsid w:val="008B4176"/>
    <w:rsid w:val="008B5A2A"/>
    <w:rsid w:val="008B5AD2"/>
    <w:rsid w:val="008B5E06"/>
    <w:rsid w:val="008B62B2"/>
    <w:rsid w:val="008B6A0D"/>
    <w:rsid w:val="008B6A8D"/>
    <w:rsid w:val="008B78DB"/>
    <w:rsid w:val="008B7AE6"/>
    <w:rsid w:val="008B7F8C"/>
    <w:rsid w:val="008C05B5"/>
    <w:rsid w:val="008C0993"/>
    <w:rsid w:val="008C0A8F"/>
    <w:rsid w:val="008C0C14"/>
    <w:rsid w:val="008C1227"/>
    <w:rsid w:val="008C1898"/>
    <w:rsid w:val="008C1BE2"/>
    <w:rsid w:val="008C203C"/>
    <w:rsid w:val="008C2158"/>
    <w:rsid w:val="008C2C25"/>
    <w:rsid w:val="008C303E"/>
    <w:rsid w:val="008C41A7"/>
    <w:rsid w:val="008C44E9"/>
    <w:rsid w:val="008C49DB"/>
    <w:rsid w:val="008C4BED"/>
    <w:rsid w:val="008C4E08"/>
    <w:rsid w:val="008C4EDB"/>
    <w:rsid w:val="008C4F4A"/>
    <w:rsid w:val="008C514C"/>
    <w:rsid w:val="008C5D5B"/>
    <w:rsid w:val="008C5DF6"/>
    <w:rsid w:val="008C63FE"/>
    <w:rsid w:val="008C695C"/>
    <w:rsid w:val="008C6D9C"/>
    <w:rsid w:val="008C6E5A"/>
    <w:rsid w:val="008C70CF"/>
    <w:rsid w:val="008C7650"/>
    <w:rsid w:val="008C765D"/>
    <w:rsid w:val="008C7A29"/>
    <w:rsid w:val="008C7E14"/>
    <w:rsid w:val="008C7E2F"/>
    <w:rsid w:val="008C7FBB"/>
    <w:rsid w:val="008D000B"/>
    <w:rsid w:val="008D0591"/>
    <w:rsid w:val="008D0678"/>
    <w:rsid w:val="008D08DC"/>
    <w:rsid w:val="008D0CEB"/>
    <w:rsid w:val="008D0EC2"/>
    <w:rsid w:val="008D10DF"/>
    <w:rsid w:val="008D10E9"/>
    <w:rsid w:val="008D12A1"/>
    <w:rsid w:val="008D1856"/>
    <w:rsid w:val="008D1CD8"/>
    <w:rsid w:val="008D1E6D"/>
    <w:rsid w:val="008D2599"/>
    <w:rsid w:val="008D2963"/>
    <w:rsid w:val="008D2C02"/>
    <w:rsid w:val="008D2D69"/>
    <w:rsid w:val="008D2D8A"/>
    <w:rsid w:val="008D35B1"/>
    <w:rsid w:val="008D38E7"/>
    <w:rsid w:val="008D3C68"/>
    <w:rsid w:val="008D40A4"/>
    <w:rsid w:val="008D478D"/>
    <w:rsid w:val="008D4D23"/>
    <w:rsid w:val="008D4FA0"/>
    <w:rsid w:val="008D63BC"/>
    <w:rsid w:val="008D64AE"/>
    <w:rsid w:val="008D67D7"/>
    <w:rsid w:val="008D7474"/>
    <w:rsid w:val="008D7BE2"/>
    <w:rsid w:val="008D7E55"/>
    <w:rsid w:val="008D7E77"/>
    <w:rsid w:val="008E08BC"/>
    <w:rsid w:val="008E15BF"/>
    <w:rsid w:val="008E1A7A"/>
    <w:rsid w:val="008E2555"/>
    <w:rsid w:val="008E2F18"/>
    <w:rsid w:val="008E371B"/>
    <w:rsid w:val="008E373D"/>
    <w:rsid w:val="008E3C69"/>
    <w:rsid w:val="008E3CD6"/>
    <w:rsid w:val="008E3DC6"/>
    <w:rsid w:val="008E3E6B"/>
    <w:rsid w:val="008E46BA"/>
    <w:rsid w:val="008E46DC"/>
    <w:rsid w:val="008E48E0"/>
    <w:rsid w:val="008E4CD0"/>
    <w:rsid w:val="008E4F4C"/>
    <w:rsid w:val="008E55A5"/>
    <w:rsid w:val="008E5772"/>
    <w:rsid w:val="008E5927"/>
    <w:rsid w:val="008E5967"/>
    <w:rsid w:val="008E692C"/>
    <w:rsid w:val="008E706C"/>
    <w:rsid w:val="008E7329"/>
    <w:rsid w:val="008F00D0"/>
    <w:rsid w:val="008F0408"/>
    <w:rsid w:val="008F146F"/>
    <w:rsid w:val="008F1739"/>
    <w:rsid w:val="008F1819"/>
    <w:rsid w:val="008F18A8"/>
    <w:rsid w:val="008F1D5E"/>
    <w:rsid w:val="008F1FD0"/>
    <w:rsid w:val="008F2093"/>
    <w:rsid w:val="008F2688"/>
    <w:rsid w:val="008F2FD0"/>
    <w:rsid w:val="008F3411"/>
    <w:rsid w:val="008F3580"/>
    <w:rsid w:val="008F38FD"/>
    <w:rsid w:val="008F42AF"/>
    <w:rsid w:val="008F4743"/>
    <w:rsid w:val="008F4BA9"/>
    <w:rsid w:val="008F4DEC"/>
    <w:rsid w:val="008F4F9F"/>
    <w:rsid w:val="008F5D1A"/>
    <w:rsid w:val="008F6CEE"/>
    <w:rsid w:val="008F6F13"/>
    <w:rsid w:val="008F758B"/>
    <w:rsid w:val="008F769B"/>
    <w:rsid w:val="009009F9"/>
    <w:rsid w:val="00900AEC"/>
    <w:rsid w:val="0090111E"/>
    <w:rsid w:val="009011D1"/>
    <w:rsid w:val="009014C4"/>
    <w:rsid w:val="00901600"/>
    <w:rsid w:val="00901D18"/>
    <w:rsid w:val="00901D67"/>
    <w:rsid w:val="009023DC"/>
    <w:rsid w:val="009023E4"/>
    <w:rsid w:val="00902B46"/>
    <w:rsid w:val="00902BAF"/>
    <w:rsid w:val="009030A3"/>
    <w:rsid w:val="009035E0"/>
    <w:rsid w:val="00903604"/>
    <w:rsid w:val="0090367C"/>
    <w:rsid w:val="0090377A"/>
    <w:rsid w:val="009037A2"/>
    <w:rsid w:val="00903A3D"/>
    <w:rsid w:val="00904312"/>
    <w:rsid w:val="009043B0"/>
    <w:rsid w:val="0090460C"/>
    <w:rsid w:val="00904981"/>
    <w:rsid w:val="00904B2F"/>
    <w:rsid w:val="00904F2E"/>
    <w:rsid w:val="0090520B"/>
    <w:rsid w:val="0090527C"/>
    <w:rsid w:val="00905416"/>
    <w:rsid w:val="00905911"/>
    <w:rsid w:val="00905993"/>
    <w:rsid w:val="0090621F"/>
    <w:rsid w:val="0090662A"/>
    <w:rsid w:val="00906D6E"/>
    <w:rsid w:val="0090762A"/>
    <w:rsid w:val="00907F02"/>
    <w:rsid w:val="0091012D"/>
    <w:rsid w:val="00910555"/>
    <w:rsid w:val="00910F70"/>
    <w:rsid w:val="0091116A"/>
    <w:rsid w:val="00911707"/>
    <w:rsid w:val="00911742"/>
    <w:rsid w:val="009117A3"/>
    <w:rsid w:val="00911D7F"/>
    <w:rsid w:val="009122F9"/>
    <w:rsid w:val="00912D10"/>
    <w:rsid w:val="00913051"/>
    <w:rsid w:val="0091327C"/>
    <w:rsid w:val="0091345A"/>
    <w:rsid w:val="00913773"/>
    <w:rsid w:val="00913796"/>
    <w:rsid w:val="00913B10"/>
    <w:rsid w:val="00914584"/>
    <w:rsid w:val="00914E00"/>
    <w:rsid w:val="0091519C"/>
    <w:rsid w:val="00915397"/>
    <w:rsid w:val="009153CE"/>
    <w:rsid w:val="009155BC"/>
    <w:rsid w:val="009156B8"/>
    <w:rsid w:val="00915A8D"/>
    <w:rsid w:val="00915E2D"/>
    <w:rsid w:val="00916125"/>
    <w:rsid w:val="00916316"/>
    <w:rsid w:val="009166CA"/>
    <w:rsid w:val="009166D0"/>
    <w:rsid w:val="0091745E"/>
    <w:rsid w:val="0091754C"/>
    <w:rsid w:val="0092003F"/>
    <w:rsid w:val="009200F3"/>
    <w:rsid w:val="00920185"/>
    <w:rsid w:val="0092019C"/>
    <w:rsid w:val="00920261"/>
    <w:rsid w:val="00920446"/>
    <w:rsid w:val="0092045E"/>
    <w:rsid w:val="009207C2"/>
    <w:rsid w:val="00920885"/>
    <w:rsid w:val="0092113E"/>
    <w:rsid w:val="00921372"/>
    <w:rsid w:val="0092159D"/>
    <w:rsid w:val="009221E9"/>
    <w:rsid w:val="009222CF"/>
    <w:rsid w:val="009226C4"/>
    <w:rsid w:val="00922BDA"/>
    <w:rsid w:val="00923854"/>
    <w:rsid w:val="00923C63"/>
    <w:rsid w:val="00923C7E"/>
    <w:rsid w:val="00923E34"/>
    <w:rsid w:val="00924263"/>
    <w:rsid w:val="0092434A"/>
    <w:rsid w:val="009244A6"/>
    <w:rsid w:val="00924A77"/>
    <w:rsid w:val="00925102"/>
    <w:rsid w:val="00925439"/>
    <w:rsid w:val="0092550D"/>
    <w:rsid w:val="00925932"/>
    <w:rsid w:val="00925BA9"/>
    <w:rsid w:val="00925D04"/>
    <w:rsid w:val="009263BC"/>
    <w:rsid w:val="009275AB"/>
    <w:rsid w:val="00930C57"/>
    <w:rsid w:val="009310D6"/>
    <w:rsid w:val="0093121D"/>
    <w:rsid w:val="0093129B"/>
    <w:rsid w:val="009312F3"/>
    <w:rsid w:val="009322F7"/>
    <w:rsid w:val="009327A9"/>
    <w:rsid w:val="00932E5E"/>
    <w:rsid w:val="00933496"/>
    <w:rsid w:val="00933517"/>
    <w:rsid w:val="00933AE7"/>
    <w:rsid w:val="00934864"/>
    <w:rsid w:val="0093492E"/>
    <w:rsid w:val="00934EF3"/>
    <w:rsid w:val="00934F56"/>
    <w:rsid w:val="0093535C"/>
    <w:rsid w:val="009356BC"/>
    <w:rsid w:val="00936033"/>
    <w:rsid w:val="00936627"/>
    <w:rsid w:val="0093683E"/>
    <w:rsid w:val="009376C2"/>
    <w:rsid w:val="00937A8A"/>
    <w:rsid w:val="00937B0A"/>
    <w:rsid w:val="00937E50"/>
    <w:rsid w:val="00940003"/>
    <w:rsid w:val="009400BE"/>
    <w:rsid w:val="009401F4"/>
    <w:rsid w:val="00940274"/>
    <w:rsid w:val="00940740"/>
    <w:rsid w:val="00940860"/>
    <w:rsid w:val="00940F2F"/>
    <w:rsid w:val="00940F38"/>
    <w:rsid w:val="0094108D"/>
    <w:rsid w:val="00942264"/>
    <w:rsid w:val="0094228F"/>
    <w:rsid w:val="009423DA"/>
    <w:rsid w:val="0094265B"/>
    <w:rsid w:val="00942D60"/>
    <w:rsid w:val="00943104"/>
    <w:rsid w:val="0094327E"/>
    <w:rsid w:val="009437C1"/>
    <w:rsid w:val="00943EB7"/>
    <w:rsid w:val="009445F3"/>
    <w:rsid w:val="0094479D"/>
    <w:rsid w:val="009447A1"/>
    <w:rsid w:val="00944CCA"/>
    <w:rsid w:val="00944D1C"/>
    <w:rsid w:val="00945523"/>
    <w:rsid w:val="00945D6D"/>
    <w:rsid w:val="0094632B"/>
    <w:rsid w:val="00946A90"/>
    <w:rsid w:val="00946DB7"/>
    <w:rsid w:val="00946E24"/>
    <w:rsid w:val="00946F39"/>
    <w:rsid w:val="00947F41"/>
    <w:rsid w:val="00950092"/>
    <w:rsid w:val="00950141"/>
    <w:rsid w:val="00950322"/>
    <w:rsid w:val="009508B7"/>
    <w:rsid w:val="00950C2B"/>
    <w:rsid w:val="00951319"/>
    <w:rsid w:val="00951D9A"/>
    <w:rsid w:val="00951F5C"/>
    <w:rsid w:val="009527AD"/>
    <w:rsid w:val="00952CF3"/>
    <w:rsid w:val="00953B65"/>
    <w:rsid w:val="00954233"/>
    <w:rsid w:val="0095477D"/>
    <w:rsid w:val="00954801"/>
    <w:rsid w:val="00954CD8"/>
    <w:rsid w:val="009551A2"/>
    <w:rsid w:val="009559DB"/>
    <w:rsid w:val="00955A80"/>
    <w:rsid w:val="00955B13"/>
    <w:rsid w:val="009565F1"/>
    <w:rsid w:val="009566B9"/>
    <w:rsid w:val="00957557"/>
    <w:rsid w:val="009579B2"/>
    <w:rsid w:val="00957C31"/>
    <w:rsid w:val="0096040C"/>
    <w:rsid w:val="00960A0B"/>
    <w:rsid w:val="00960BC6"/>
    <w:rsid w:val="00961923"/>
    <w:rsid w:val="00961AD7"/>
    <w:rsid w:val="00961B26"/>
    <w:rsid w:val="00961F52"/>
    <w:rsid w:val="00962174"/>
    <w:rsid w:val="009621A3"/>
    <w:rsid w:val="0096227E"/>
    <w:rsid w:val="009622D0"/>
    <w:rsid w:val="00962797"/>
    <w:rsid w:val="00962B5D"/>
    <w:rsid w:val="00962C8C"/>
    <w:rsid w:val="00962E64"/>
    <w:rsid w:val="0096306B"/>
    <w:rsid w:val="009634A8"/>
    <w:rsid w:val="0096367D"/>
    <w:rsid w:val="00963A7E"/>
    <w:rsid w:val="00963B6B"/>
    <w:rsid w:val="00963FAA"/>
    <w:rsid w:val="0096401B"/>
    <w:rsid w:val="009640B8"/>
    <w:rsid w:val="0096478A"/>
    <w:rsid w:val="009648F5"/>
    <w:rsid w:val="00964A82"/>
    <w:rsid w:val="00965174"/>
    <w:rsid w:val="009651F2"/>
    <w:rsid w:val="00965423"/>
    <w:rsid w:val="009655C9"/>
    <w:rsid w:val="00965ACB"/>
    <w:rsid w:val="009660DC"/>
    <w:rsid w:val="00966412"/>
    <w:rsid w:val="009668E0"/>
    <w:rsid w:val="00966C91"/>
    <w:rsid w:val="009670C4"/>
    <w:rsid w:val="0096724A"/>
    <w:rsid w:val="00967307"/>
    <w:rsid w:val="009677C5"/>
    <w:rsid w:val="009678BE"/>
    <w:rsid w:val="00967920"/>
    <w:rsid w:val="00967A32"/>
    <w:rsid w:val="00967BAC"/>
    <w:rsid w:val="00967FD5"/>
    <w:rsid w:val="00970072"/>
    <w:rsid w:val="00970073"/>
    <w:rsid w:val="00970442"/>
    <w:rsid w:val="00970767"/>
    <w:rsid w:val="00970D09"/>
    <w:rsid w:val="00970D9A"/>
    <w:rsid w:val="0097194D"/>
    <w:rsid w:val="00971973"/>
    <w:rsid w:val="00972C2B"/>
    <w:rsid w:val="00973357"/>
    <w:rsid w:val="0097340E"/>
    <w:rsid w:val="009734CE"/>
    <w:rsid w:val="00973631"/>
    <w:rsid w:val="009736F5"/>
    <w:rsid w:val="009742BC"/>
    <w:rsid w:val="009747A0"/>
    <w:rsid w:val="00974B10"/>
    <w:rsid w:val="00974C06"/>
    <w:rsid w:val="00974D85"/>
    <w:rsid w:val="00975073"/>
    <w:rsid w:val="009751CA"/>
    <w:rsid w:val="009757BB"/>
    <w:rsid w:val="009758CD"/>
    <w:rsid w:val="00975A2E"/>
    <w:rsid w:val="00975C05"/>
    <w:rsid w:val="00975DF6"/>
    <w:rsid w:val="009766E4"/>
    <w:rsid w:val="009768E2"/>
    <w:rsid w:val="00976D7A"/>
    <w:rsid w:val="00977025"/>
    <w:rsid w:val="00980054"/>
    <w:rsid w:val="0098052A"/>
    <w:rsid w:val="0098060B"/>
    <w:rsid w:val="009806B8"/>
    <w:rsid w:val="00980790"/>
    <w:rsid w:val="00981186"/>
    <w:rsid w:val="00981317"/>
    <w:rsid w:val="00981D53"/>
    <w:rsid w:val="00982440"/>
    <w:rsid w:val="009824CD"/>
    <w:rsid w:val="00982776"/>
    <w:rsid w:val="00982AD9"/>
    <w:rsid w:val="00982B45"/>
    <w:rsid w:val="00982EE8"/>
    <w:rsid w:val="00983115"/>
    <w:rsid w:val="0098313F"/>
    <w:rsid w:val="0098315E"/>
    <w:rsid w:val="00983487"/>
    <w:rsid w:val="00983AC3"/>
    <w:rsid w:val="00983B99"/>
    <w:rsid w:val="00984867"/>
    <w:rsid w:val="00984FD4"/>
    <w:rsid w:val="009851D0"/>
    <w:rsid w:val="0098530B"/>
    <w:rsid w:val="009853E5"/>
    <w:rsid w:val="0098574B"/>
    <w:rsid w:val="009859A7"/>
    <w:rsid w:val="009859DC"/>
    <w:rsid w:val="00985CA0"/>
    <w:rsid w:val="009861BA"/>
    <w:rsid w:val="009864BF"/>
    <w:rsid w:val="009865DA"/>
    <w:rsid w:val="00986AB3"/>
    <w:rsid w:val="00986ACF"/>
    <w:rsid w:val="00986AE6"/>
    <w:rsid w:val="00986B36"/>
    <w:rsid w:val="00986C03"/>
    <w:rsid w:val="0098763C"/>
    <w:rsid w:val="0098781F"/>
    <w:rsid w:val="00987F3B"/>
    <w:rsid w:val="009900E4"/>
    <w:rsid w:val="009904CF"/>
    <w:rsid w:val="00990B28"/>
    <w:rsid w:val="00990C21"/>
    <w:rsid w:val="009922F1"/>
    <w:rsid w:val="009929A5"/>
    <w:rsid w:val="00993213"/>
    <w:rsid w:val="0099343D"/>
    <w:rsid w:val="009944E0"/>
    <w:rsid w:val="00994A8D"/>
    <w:rsid w:val="0099508D"/>
    <w:rsid w:val="00995355"/>
    <w:rsid w:val="00995710"/>
    <w:rsid w:val="0099595D"/>
    <w:rsid w:val="00996390"/>
    <w:rsid w:val="009968EB"/>
    <w:rsid w:val="009968F2"/>
    <w:rsid w:val="00996BFD"/>
    <w:rsid w:val="0099724F"/>
    <w:rsid w:val="00997827"/>
    <w:rsid w:val="00997A9B"/>
    <w:rsid w:val="00997B9D"/>
    <w:rsid w:val="00997C1D"/>
    <w:rsid w:val="00997CD4"/>
    <w:rsid w:val="009A05F7"/>
    <w:rsid w:val="009A0898"/>
    <w:rsid w:val="009A11D7"/>
    <w:rsid w:val="009A1276"/>
    <w:rsid w:val="009A17C8"/>
    <w:rsid w:val="009A1960"/>
    <w:rsid w:val="009A1DD0"/>
    <w:rsid w:val="009A21D5"/>
    <w:rsid w:val="009A23CC"/>
    <w:rsid w:val="009A288F"/>
    <w:rsid w:val="009A2DD5"/>
    <w:rsid w:val="009A2EDF"/>
    <w:rsid w:val="009A2F07"/>
    <w:rsid w:val="009A2FAF"/>
    <w:rsid w:val="009A33A7"/>
    <w:rsid w:val="009A3B08"/>
    <w:rsid w:val="009A3C5E"/>
    <w:rsid w:val="009A3CD9"/>
    <w:rsid w:val="009A3E11"/>
    <w:rsid w:val="009A3FC7"/>
    <w:rsid w:val="009A4352"/>
    <w:rsid w:val="009A4D50"/>
    <w:rsid w:val="009A50CE"/>
    <w:rsid w:val="009A539C"/>
    <w:rsid w:val="009A63D6"/>
    <w:rsid w:val="009A65E0"/>
    <w:rsid w:val="009A67E8"/>
    <w:rsid w:val="009A6C33"/>
    <w:rsid w:val="009A7015"/>
    <w:rsid w:val="009A73F5"/>
    <w:rsid w:val="009A76FF"/>
    <w:rsid w:val="009A7BCD"/>
    <w:rsid w:val="009B0272"/>
    <w:rsid w:val="009B0AA6"/>
    <w:rsid w:val="009B0ACE"/>
    <w:rsid w:val="009B0B1B"/>
    <w:rsid w:val="009B0B7F"/>
    <w:rsid w:val="009B161C"/>
    <w:rsid w:val="009B1870"/>
    <w:rsid w:val="009B1D09"/>
    <w:rsid w:val="009B230D"/>
    <w:rsid w:val="009B2685"/>
    <w:rsid w:val="009B385E"/>
    <w:rsid w:val="009B412A"/>
    <w:rsid w:val="009B41BA"/>
    <w:rsid w:val="009B4257"/>
    <w:rsid w:val="009B4E20"/>
    <w:rsid w:val="009B4E8D"/>
    <w:rsid w:val="009B5C63"/>
    <w:rsid w:val="009B6567"/>
    <w:rsid w:val="009B65EB"/>
    <w:rsid w:val="009B6A35"/>
    <w:rsid w:val="009B7003"/>
    <w:rsid w:val="009B73E3"/>
    <w:rsid w:val="009B75E6"/>
    <w:rsid w:val="009B791D"/>
    <w:rsid w:val="009B7988"/>
    <w:rsid w:val="009B7A34"/>
    <w:rsid w:val="009B7CC2"/>
    <w:rsid w:val="009C0139"/>
    <w:rsid w:val="009C0AA0"/>
    <w:rsid w:val="009C0C57"/>
    <w:rsid w:val="009C0FAC"/>
    <w:rsid w:val="009C130F"/>
    <w:rsid w:val="009C1BC6"/>
    <w:rsid w:val="009C219D"/>
    <w:rsid w:val="009C21D6"/>
    <w:rsid w:val="009C2386"/>
    <w:rsid w:val="009C2B74"/>
    <w:rsid w:val="009C2C95"/>
    <w:rsid w:val="009C3DCD"/>
    <w:rsid w:val="009C485E"/>
    <w:rsid w:val="009C585F"/>
    <w:rsid w:val="009C5B37"/>
    <w:rsid w:val="009C5B5F"/>
    <w:rsid w:val="009C60F4"/>
    <w:rsid w:val="009C6234"/>
    <w:rsid w:val="009C64C4"/>
    <w:rsid w:val="009C6BBF"/>
    <w:rsid w:val="009C6CE3"/>
    <w:rsid w:val="009C6D97"/>
    <w:rsid w:val="009C77D8"/>
    <w:rsid w:val="009C7B6D"/>
    <w:rsid w:val="009D000D"/>
    <w:rsid w:val="009D08D8"/>
    <w:rsid w:val="009D0BCA"/>
    <w:rsid w:val="009D1070"/>
    <w:rsid w:val="009D1225"/>
    <w:rsid w:val="009D16A7"/>
    <w:rsid w:val="009D19AB"/>
    <w:rsid w:val="009D26F2"/>
    <w:rsid w:val="009D296A"/>
    <w:rsid w:val="009D3387"/>
    <w:rsid w:val="009D3454"/>
    <w:rsid w:val="009D40E2"/>
    <w:rsid w:val="009D44A3"/>
    <w:rsid w:val="009D4627"/>
    <w:rsid w:val="009D4B0C"/>
    <w:rsid w:val="009D4F88"/>
    <w:rsid w:val="009D537D"/>
    <w:rsid w:val="009D572C"/>
    <w:rsid w:val="009D6670"/>
    <w:rsid w:val="009D6BDA"/>
    <w:rsid w:val="009D6C8E"/>
    <w:rsid w:val="009D6E30"/>
    <w:rsid w:val="009D7CB3"/>
    <w:rsid w:val="009E00C2"/>
    <w:rsid w:val="009E0283"/>
    <w:rsid w:val="009E0E8B"/>
    <w:rsid w:val="009E11D5"/>
    <w:rsid w:val="009E1226"/>
    <w:rsid w:val="009E17FC"/>
    <w:rsid w:val="009E1CD8"/>
    <w:rsid w:val="009E2A37"/>
    <w:rsid w:val="009E3003"/>
    <w:rsid w:val="009E30FB"/>
    <w:rsid w:val="009E3553"/>
    <w:rsid w:val="009E35C9"/>
    <w:rsid w:val="009E3C3F"/>
    <w:rsid w:val="009E3D20"/>
    <w:rsid w:val="009E3D5B"/>
    <w:rsid w:val="009E4153"/>
    <w:rsid w:val="009E4F51"/>
    <w:rsid w:val="009E6049"/>
    <w:rsid w:val="009E6ACC"/>
    <w:rsid w:val="009E7898"/>
    <w:rsid w:val="009E7F40"/>
    <w:rsid w:val="009F0BA6"/>
    <w:rsid w:val="009F101F"/>
    <w:rsid w:val="009F2C5D"/>
    <w:rsid w:val="009F2CEF"/>
    <w:rsid w:val="009F2FB4"/>
    <w:rsid w:val="009F35FE"/>
    <w:rsid w:val="009F374A"/>
    <w:rsid w:val="009F3D26"/>
    <w:rsid w:val="009F421F"/>
    <w:rsid w:val="009F4506"/>
    <w:rsid w:val="009F46A9"/>
    <w:rsid w:val="009F4F9A"/>
    <w:rsid w:val="009F585B"/>
    <w:rsid w:val="009F5DBD"/>
    <w:rsid w:val="009F6250"/>
    <w:rsid w:val="009F64A5"/>
    <w:rsid w:val="009F652E"/>
    <w:rsid w:val="009F6679"/>
    <w:rsid w:val="009F6D74"/>
    <w:rsid w:val="009F732F"/>
    <w:rsid w:val="009F744E"/>
    <w:rsid w:val="009F7933"/>
    <w:rsid w:val="009F7C59"/>
    <w:rsid w:val="009F7DF3"/>
    <w:rsid w:val="00A002A5"/>
    <w:rsid w:val="00A00894"/>
    <w:rsid w:val="00A01287"/>
    <w:rsid w:val="00A01E0C"/>
    <w:rsid w:val="00A02C00"/>
    <w:rsid w:val="00A02C57"/>
    <w:rsid w:val="00A03068"/>
    <w:rsid w:val="00A03B38"/>
    <w:rsid w:val="00A03FE0"/>
    <w:rsid w:val="00A046B7"/>
    <w:rsid w:val="00A049B5"/>
    <w:rsid w:val="00A05206"/>
    <w:rsid w:val="00A0559B"/>
    <w:rsid w:val="00A06087"/>
    <w:rsid w:val="00A064D5"/>
    <w:rsid w:val="00A07E98"/>
    <w:rsid w:val="00A07FA9"/>
    <w:rsid w:val="00A101DB"/>
    <w:rsid w:val="00A10767"/>
    <w:rsid w:val="00A1080F"/>
    <w:rsid w:val="00A10E4D"/>
    <w:rsid w:val="00A10FE4"/>
    <w:rsid w:val="00A112E2"/>
    <w:rsid w:val="00A115F1"/>
    <w:rsid w:val="00A11632"/>
    <w:rsid w:val="00A1182B"/>
    <w:rsid w:val="00A118B5"/>
    <w:rsid w:val="00A11BD0"/>
    <w:rsid w:val="00A11D76"/>
    <w:rsid w:val="00A11E99"/>
    <w:rsid w:val="00A128D8"/>
    <w:rsid w:val="00A12C1F"/>
    <w:rsid w:val="00A12C96"/>
    <w:rsid w:val="00A13206"/>
    <w:rsid w:val="00A145E2"/>
    <w:rsid w:val="00A146F1"/>
    <w:rsid w:val="00A147B7"/>
    <w:rsid w:val="00A14CE5"/>
    <w:rsid w:val="00A150E3"/>
    <w:rsid w:val="00A151E3"/>
    <w:rsid w:val="00A1593F"/>
    <w:rsid w:val="00A1598B"/>
    <w:rsid w:val="00A15B80"/>
    <w:rsid w:val="00A15D88"/>
    <w:rsid w:val="00A161B4"/>
    <w:rsid w:val="00A166A7"/>
    <w:rsid w:val="00A16872"/>
    <w:rsid w:val="00A16A93"/>
    <w:rsid w:val="00A16F74"/>
    <w:rsid w:val="00A1795E"/>
    <w:rsid w:val="00A17C31"/>
    <w:rsid w:val="00A17CBF"/>
    <w:rsid w:val="00A17D41"/>
    <w:rsid w:val="00A20100"/>
    <w:rsid w:val="00A20237"/>
    <w:rsid w:val="00A2043F"/>
    <w:rsid w:val="00A204D9"/>
    <w:rsid w:val="00A20754"/>
    <w:rsid w:val="00A20A0A"/>
    <w:rsid w:val="00A20B5B"/>
    <w:rsid w:val="00A20BA7"/>
    <w:rsid w:val="00A212A4"/>
    <w:rsid w:val="00A21347"/>
    <w:rsid w:val="00A213AB"/>
    <w:rsid w:val="00A21642"/>
    <w:rsid w:val="00A21DA3"/>
    <w:rsid w:val="00A225DE"/>
    <w:rsid w:val="00A22C02"/>
    <w:rsid w:val="00A22FD9"/>
    <w:rsid w:val="00A23337"/>
    <w:rsid w:val="00A23353"/>
    <w:rsid w:val="00A2390E"/>
    <w:rsid w:val="00A239B6"/>
    <w:rsid w:val="00A24A04"/>
    <w:rsid w:val="00A24A0F"/>
    <w:rsid w:val="00A24E05"/>
    <w:rsid w:val="00A25041"/>
    <w:rsid w:val="00A25658"/>
    <w:rsid w:val="00A2574F"/>
    <w:rsid w:val="00A25910"/>
    <w:rsid w:val="00A25A1D"/>
    <w:rsid w:val="00A2600F"/>
    <w:rsid w:val="00A262F6"/>
    <w:rsid w:val="00A26730"/>
    <w:rsid w:val="00A267E5"/>
    <w:rsid w:val="00A26826"/>
    <w:rsid w:val="00A26B8A"/>
    <w:rsid w:val="00A26DDC"/>
    <w:rsid w:val="00A26FB6"/>
    <w:rsid w:val="00A271DA"/>
    <w:rsid w:val="00A274C6"/>
    <w:rsid w:val="00A27DCD"/>
    <w:rsid w:val="00A309C0"/>
    <w:rsid w:val="00A30E17"/>
    <w:rsid w:val="00A334BF"/>
    <w:rsid w:val="00A337D3"/>
    <w:rsid w:val="00A33A33"/>
    <w:rsid w:val="00A33A65"/>
    <w:rsid w:val="00A33E38"/>
    <w:rsid w:val="00A345C8"/>
    <w:rsid w:val="00A34670"/>
    <w:rsid w:val="00A34737"/>
    <w:rsid w:val="00A34907"/>
    <w:rsid w:val="00A34DFA"/>
    <w:rsid w:val="00A35035"/>
    <w:rsid w:val="00A35C75"/>
    <w:rsid w:val="00A36335"/>
    <w:rsid w:val="00A365EF"/>
    <w:rsid w:val="00A36A90"/>
    <w:rsid w:val="00A36C7E"/>
    <w:rsid w:val="00A36D49"/>
    <w:rsid w:val="00A36FC5"/>
    <w:rsid w:val="00A40343"/>
    <w:rsid w:val="00A406CD"/>
    <w:rsid w:val="00A40ACF"/>
    <w:rsid w:val="00A410BD"/>
    <w:rsid w:val="00A41556"/>
    <w:rsid w:val="00A41BDB"/>
    <w:rsid w:val="00A41C35"/>
    <w:rsid w:val="00A41ED6"/>
    <w:rsid w:val="00A42138"/>
    <w:rsid w:val="00A42462"/>
    <w:rsid w:val="00A425E4"/>
    <w:rsid w:val="00A42B9C"/>
    <w:rsid w:val="00A436F7"/>
    <w:rsid w:val="00A43817"/>
    <w:rsid w:val="00A43B14"/>
    <w:rsid w:val="00A4454E"/>
    <w:rsid w:val="00A453F9"/>
    <w:rsid w:val="00A45587"/>
    <w:rsid w:val="00A45B4D"/>
    <w:rsid w:val="00A45FB2"/>
    <w:rsid w:val="00A46B82"/>
    <w:rsid w:val="00A470D7"/>
    <w:rsid w:val="00A47B1D"/>
    <w:rsid w:val="00A47CBF"/>
    <w:rsid w:val="00A47DD4"/>
    <w:rsid w:val="00A47FFA"/>
    <w:rsid w:val="00A50497"/>
    <w:rsid w:val="00A50616"/>
    <w:rsid w:val="00A50BE3"/>
    <w:rsid w:val="00A5177E"/>
    <w:rsid w:val="00A51B10"/>
    <w:rsid w:val="00A5203C"/>
    <w:rsid w:val="00A522DA"/>
    <w:rsid w:val="00A523E0"/>
    <w:rsid w:val="00A524BE"/>
    <w:rsid w:val="00A528EA"/>
    <w:rsid w:val="00A52BCD"/>
    <w:rsid w:val="00A533AF"/>
    <w:rsid w:val="00A537D1"/>
    <w:rsid w:val="00A539DB"/>
    <w:rsid w:val="00A544CC"/>
    <w:rsid w:val="00A54824"/>
    <w:rsid w:val="00A54A3C"/>
    <w:rsid w:val="00A54AC2"/>
    <w:rsid w:val="00A54B88"/>
    <w:rsid w:val="00A5555B"/>
    <w:rsid w:val="00A55775"/>
    <w:rsid w:val="00A55AF0"/>
    <w:rsid w:val="00A55C18"/>
    <w:rsid w:val="00A56081"/>
    <w:rsid w:val="00A5608D"/>
    <w:rsid w:val="00A560FB"/>
    <w:rsid w:val="00A56409"/>
    <w:rsid w:val="00A56845"/>
    <w:rsid w:val="00A5734B"/>
    <w:rsid w:val="00A579E3"/>
    <w:rsid w:val="00A57CB0"/>
    <w:rsid w:val="00A60BFB"/>
    <w:rsid w:val="00A60CC7"/>
    <w:rsid w:val="00A61AF0"/>
    <w:rsid w:val="00A63035"/>
    <w:rsid w:val="00A63116"/>
    <w:rsid w:val="00A638C4"/>
    <w:rsid w:val="00A638DD"/>
    <w:rsid w:val="00A63A91"/>
    <w:rsid w:val="00A63B34"/>
    <w:rsid w:val="00A63F44"/>
    <w:rsid w:val="00A64B56"/>
    <w:rsid w:val="00A64E1C"/>
    <w:rsid w:val="00A658CE"/>
    <w:rsid w:val="00A65A83"/>
    <w:rsid w:val="00A66441"/>
    <w:rsid w:val="00A66743"/>
    <w:rsid w:val="00A66888"/>
    <w:rsid w:val="00A66E6C"/>
    <w:rsid w:val="00A670A4"/>
    <w:rsid w:val="00A67785"/>
    <w:rsid w:val="00A677C7"/>
    <w:rsid w:val="00A679DE"/>
    <w:rsid w:val="00A705B5"/>
    <w:rsid w:val="00A7082F"/>
    <w:rsid w:val="00A70842"/>
    <w:rsid w:val="00A70ACE"/>
    <w:rsid w:val="00A71044"/>
    <w:rsid w:val="00A7112E"/>
    <w:rsid w:val="00A7143B"/>
    <w:rsid w:val="00A71AF1"/>
    <w:rsid w:val="00A72A5D"/>
    <w:rsid w:val="00A72C1D"/>
    <w:rsid w:val="00A7324D"/>
    <w:rsid w:val="00A73366"/>
    <w:rsid w:val="00A73842"/>
    <w:rsid w:val="00A73A41"/>
    <w:rsid w:val="00A743F8"/>
    <w:rsid w:val="00A74678"/>
    <w:rsid w:val="00A74739"/>
    <w:rsid w:val="00A754FE"/>
    <w:rsid w:val="00A757AC"/>
    <w:rsid w:val="00A758F0"/>
    <w:rsid w:val="00A75910"/>
    <w:rsid w:val="00A7734F"/>
    <w:rsid w:val="00A7757B"/>
    <w:rsid w:val="00A778B3"/>
    <w:rsid w:val="00A80A26"/>
    <w:rsid w:val="00A80BEB"/>
    <w:rsid w:val="00A80D31"/>
    <w:rsid w:val="00A80D93"/>
    <w:rsid w:val="00A819B2"/>
    <w:rsid w:val="00A81A03"/>
    <w:rsid w:val="00A8221C"/>
    <w:rsid w:val="00A823A8"/>
    <w:rsid w:val="00A82E42"/>
    <w:rsid w:val="00A82F5F"/>
    <w:rsid w:val="00A83299"/>
    <w:rsid w:val="00A836ED"/>
    <w:rsid w:val="00A8460F"/>
    <w:rsid w:val="00A84AE9"/>
    <w:rsid w:val="00A84C11"/>
    <w:rsid w:val="00A84C24"/>
    <w:rsid w:val="00A84C4C"/>
    <w:rsid w:val="00A853CA"/>
    <w:rsid w:val="00A853CC"/>
    <w:rsid w:val="00A85524"/>
    <w:rsid w:val="00A856DB"/>
    <w:rsid w:val="00A8577E"/>
    <w:rsid w:val="00A8681A"/>
    <w:rsid w:val="00A87100"/>
    <w:rsid w:val="00A90295"/>
    <w:rsid w:val="00A90317"/>
    <w:rsid w:val="00A90C06"/>
    <w:rsid w:val="00A91216"/>
    <w:rsid w:val="00A91278"/>
    <w:rsid w:val="00A916F3"/>
    <w:rsid w:val="00A91AB3"/>
    <w:rsid w:val="00A91BFF"/>
    <w:rsid w:val="00A91C95"/>
    <w:rsid w:val="00A92070"/>
    <w:rsid w:val="00A92681"/>
    <w:rsid w:val="00A9280A"/>
    <w:rsid w:val="00A92AFC"/>
    <w:rsid w:val="00A92D21"/>
    <w:rsid w:val="00A93065"/>
    <w:rsid w:val="00A930BA"/>
    <w:rsid w:val="00A93806"/>
    <w:rsid w:val="00A9385E"/>
    <w:rsid w:val="00A93B28"/>
    <w:rsid w:val="00A93D9E"/>
    <w:rsid w:val="00A93EE8"/>
    <w:rsid w:val="00A94137"/>
    <w:rsid w:val="00A9476D"/>
    <w:rsid w:val="00A94A0E"/>
    <w:rsid w:val="00A94CE4"/>
    <w:rsid w:val="00A94DF2"/>
    <w:rsid w:val="00A95628"/>
    <w:rsid w:val="00A95EEE"/>
    <w:rsid w:val="00A9616E"/>
    <w:rsid w:val="00A96570"/>
    <w:rsid w:val="00A96787"/>
    <w:rsid w:val="00A971C4"/>
    <w:rsid w:val="00A9756C"/>
    <w:rsid w:val="00A97893"/>
    <w:rsid w:val="00A97EDB"/>
    <w:rsid w:val="00A97F34"/>
    <w:rsid w:val="00AA0597"/>
    <w:rsid w:val="00AA084C"/>
    <w:rsid w:val="00AA0AF4"/>
    <w:rsid w:val="00AA0C6C"/>
    <w:rsid w:val="00AA0FF0"/>
    <w:rsid w:val="00AA131B"/>
    <w:rsid w:val="00AA1593"/>
    <w:rsid w:val="00AA19EC"/>
    <w:rsid w:val="00AA1DFA"/>
    <w:rsid w:val="00AA1F1F"/>
    <w:rsid w:val="00AA26A8"/>
    <w:rsid w:val="00AA2C3C"/>
    <w:rsid w:val="00AA2E1C"/>
    <w:rsid w:val="00AA2E58"/>
    <w:rsid w:val="00AA2ED6"/>
    <w:rsid w:val="00AA2FB0"/>
    <w:rsid w:val="00AA3209"/>
    <w:rsid w:val="00AA3466"/>
    <w:rsid w:val="00AA34B3"/>
    <w:rsid w:val="00AA3B4E"/>
    <w:rsid w:val="00AA3FCF"/>
    <w:rsid w:val="00AA3FF2"/>
    <w:rsid w:val="00AA456A"/>
    <w:rsid w:val="00AA4651"/>
    <w:rsid w:val="00AA46F9"/>
    <w:rsid w:val="00AA49B0"/>
    <w:rsid w:val="00AA4B2A"/>
    <w:rsid w:val="00AA556B"/>
    <w:rsid w:val="00AA5779"/>
    <w:rsid w:val="00AA662C"/>
    <w:rsid w:val="00AA6A15"/>
    <w:rsid w:val="00AA6D00"/>
    <w:rsid w:val="00AA6FFC"/>
    <w:rsid w:val="00AA7095"/>
    <w:rsid w:val="00AA7B6F"/>
    <w:rsid w:val="00AB0AB9"/>
    <w:rsid w:val="00AB0E5E"/>
    <w:rsid w:val="00AB116A"/>
    <w:rsid w:val="00AB1785"/>
    <w:rsid w:val="00AB2055"/>
    <w:rsid w:val="00AB20F7"/>
    <w:rsid w:val="00AB2320"/>
    <w:rsid w:val="00AB2368"/>
    <w:rsid w:val="00AB2829"/>
    <w:rsid w:val="00AB2C85"/>
    <w:rsid w:val="00AB4494"/>
    <w:rsid w:val="00AB48AC"/>
    <w:rsid w:val="00AB545F"/>
    <w:rsid w:val="00AB5890"/>
    <w:rsid w:val="00AB60A2"/>
    <w:rsid w:val="00AB640C"/>
    <w:rsid w:val="00AB6E98"/>
    <w:rsid w:val="00AB7481"/>
    <w:rsid w:val="00AB761E"/>
    <w:rsid w:val="00AB768D"/>
    <w:rsid w:val="00AB7773"/>
    <w:rsid w:val="00AC05A0"/>
    <w:rsid w:val="00AC0FB2"/>
    <w:rsid w:val="00AC1AF2"/>
    <w:rsid w:val="00AC21AD"/>
    <w:rsid w:val="00AC25D7"/>
    <w:rsid w:val="00AC3557"/>
    <w:rsid w:val="00AC3774"/>
    <w:rsid w:val="00AC3BF6"/>
    <w:rsid w:val="00AC3D08"/>
    <w:rsid w:val="00AC4033"/>
    <w:rsid w:val="00AC4524"/>
    <w:rsid w:val="00AC4630"/>
    <w:rsid w:val="00AC4AC0"/>
    <w:rsid w:val="00AC5222"/>
    <w:rsid w:val="00AC5308"/>
    <w:rsid w:val="00AC5590"/>
    <w:rsid w:val="00AC60A3"/>
    <w:rsid w:val="00AC6A50"/>
    <w:rsid w:val="00AC71C7"/>
    <w:rsid w:val="00AC7718"/>
    <w:rsid w:val="00AD0323"/>
    <w:rsid w:val="00AD0AA6"/>
    <w:rsid w:val="00AD0F16"/>
    <w:rsid w:val="00AD1451"/>
    <w:rsid w:val="00AD1A35"/>
    <w:rsid w:val="00AD1CBB"/>
    <w:rsid w:val="00AD1E76"/>
    <w:rsid w:val="00AD2375"/>
    <w:rsid w:val="00AD24ED"/>
    <w:rsid w:val="00AD2600"/>
    <w:rsid w:val="00AD2802"/>
    <w:rsid w:val="00AD2A73"/>
    <w:rsid w:val="00AD2CC0"/>
    <w:rsid w:val="00AD37C5"/>
    <w:rsid w:val="00AD3A49"/>
    <w:rsid w:val="00AD3EA4"/>
    <w:rsid w:val="00AD41DA"/>
    <w:rsid w:val="00AD4232"/>
    <w:rsid w:val="00AD432C"/>
    <w:rsid w:val="00AD4CA4"/>
    <w:rsid w:val="00AD5A18"/>
    <w:rsid w:val="00AD5CD4"/>
    <w:rsid w:val="00AD6173"/>
    <w:rsid w:val="00AD6E8F"/>
    <w:rsid w:val="00AD702C"/>
    <w:rsid w:val="00AD7416"/>
    <w:rsid w:val="00AD745E"/>
    <w:rsid w:val="00AD797E"/>
    <w:rsid w:val="00AD79ED"/>
    <w:rsid w:val="00AD7B1C"/>
    <w:rsid w:val="00AE0412"/>
    <w:rsid w:val="00AE05EB"/>
    <w:rsid w:val="00AE091E"/>
    <w:rsid w:val="00AE1503"/>
    <w:rsid w:val="00AE1AF6"/>
    <w:rsid w:val="00AE1DFB"/>
    <w:rsid w:val="00AE20CC"/>
    <w:rsid w:val="00AE22AB"/>
    <w:rsid w:val="00AE24F8"/>
    <w:rsid w:val="00AE251F"/>
    <w:rsid w:val="00AE2EDD"/>
    <w:rsid w:val="00AE340E"/>
    <w:rsid w:val="00AE3702"/>
    <w:rsid w:val="00AE3FB5"/>
    <w:rsid w:val="00AE4E4E"/>
    <w:rsid w:val="00AE577D"/>
    <w:rsid w:val="00AE592F"/>
    <w:rsid w:val="00AE629C"/>
    <w:rsid w:val="00AE6B7C"/>
    <w:rsid w:val="00AE7357"/>
    <w:rsid w:val="00AE74B5"/>
    <w:rsid w:val="00AE79F7"/>
    <w:rsid w:val="00AE7D08"/>
    <w:rsid w:val="00AE7EAA"/>
    <w:rsid w:val="00AE7FF8"/>
    <w:rsid w:val="00AF04F0"/>
    <w:rsid w:val="00AF09DF"/>
    <w:rsid w:val="00AF0F35"/>
    <w:rsid w:val="00AF0FFC"/>
    <w:rsid w:val="00AF10EE"/>
    <w:rsid w:val="00AF132C"/>
    <w:rsid w:val="00AF1A22"/>
    <w:rsid w:val="00AF1D5C"/>
    <w:rsid w:val="00AF20D4"/>
    <w:rsid w:val="00AF21BC"/>
    <w:rsid w:val="00AF224D"/>
    <w:rsid w:val="00AF2428"/>
    <w:rsid w:val="00AF2477"/>
    <w:rsid w:val="00AF25C2"/>
    <w:rsid w:val="00AF2784"/>
    <w:rsid w:val="00AF2BEC"/>
    <w:rsid w:val="00AF2F33"/>
    <w:rsid w:val="00AF3332"/>
    <w:rsid w:val="00AF3611"/>
    <w:rsid w:val="00AF39A5"/>
    <w:rsid w:val="00AF3E59"/>
    <w:rsid w:val="00AF3F48"/>
    <w:rsid w:val="00AF4183"/>
    <w:rsid w:val="00AF424F"/>
    <w:rsid w:val="00AF43E3"/>
    <w:rsid w:val="00AF4416"/>
    <w:rsid w:val="00AF465D"/>
    <w:rsid w:val="00AF46A7"/>
    <w:rsid w:val="00AF4771"/>
    <w:rsid w:val="00AF4EF8"/>
    <w:rsid w:val="00AF5048"/>
    <w:rsid w:val="00AF5225"/>
    <w:rsid w:val="00AF54EA"/>
    <w:rsid w:val="00AF5E55"/>
    <w:rsid w:val="00AF5E5B"/>
    <w:rsid w:val="00AF5EBE"/>
    <w:rsid w:val="00AF6142"/>
    <w:rsid w:val="00AF61A1"/>
    <w:rsid w:val="00AF63E5"/>
    <w:rsid w:val="00AF6DE1"/>
    <w:rsid w:val="00AF7584"/>
    <w:rsid w:val="00AF7633"/>
    <w:rsid w:val="00AF76D6"/>
    <w:rsid w:val="00AF7FCA"/>
    <w:rsid w:val="00B00B67"/>
    <w:rsid w:val="00B00C77"/>
    <w:rsid w:val="00B00D2D"/>
    <w:rsid w:val="00B00E31"/>
    <w:rsid w:val="00B01180"/>
    <w:rsid w:val="00B012D8"/>
    <w:rsid w:val="00B01796"/>
    <w:rsid w:val="00B0199E"/>
    <w:rsid w:val="00B01CDB"/>
    <w:rsid w:val="00B0203D"/>
    <w:rsid w:val="00B021F2"/>
    <w:rsid w:val="00B0262D"/>
    <w:rsid w:val="00B02924"/>
    <w:rsid w:val="00B02B4E"/>
    <w:rsid w:val="00B0328B"/>
    <w:rsid w:val="00B0338A"/>
    <w:rsid w:val="00B0353D"/>
    <w:rsid w:val="00B05130"/>
    <w:rsid w:val="00B0580F"/>
    <w:rsid w:val="00B05A98"/>
    <w:rsid w:val="00B05F66"/>
    <w:rsid w:val="00B06721"/>
    <w:rsid w:val="00B06938"/>
    <w:rsid w:val="00B07075"/>
    <w:rsid w:val="00B074E2"/>
    <w:rsid w:val="00B077A0"/>
    <w:rsid w:val="00B078FB"/>
    <w:rsid w:val="00B07B1C"/>
    <w:rsid w:val="00B10176"/>
    <w:rsid w:val="00B10346"/>
    <w:rsid w:val="00B10AFF"/>
    <w:rsid w:val="00B1126B"/>
    <w:rsid w:val="00B11A08"/>
    <w:rsid w:val="00B11A46"/>
    <w:rsid w:val="00B11DCA"/>
    <w:rsid w:val="00B11F23"/>
    <w:rsid w:val="00B12360"/>
    <w:rsid w:val="00B125C8"/>
    <w:rsid w:val="00B1264A"/>
    <w:rsid w:val="00B131F1"/>
    <w:rsid w:val="00B132D8"/>
    <w:rsid w:val="00B1425F"/>
    <w:rsid w:val="00B14619"/>
    <w:rsid w:val="00B147F9"/>
    <w:rsid w:val="00B147FA"/>
    <w:rsid w:val="00B14E32"/>
    <w:rsid w:val="00B14E85"/>
    <w:rsid w:val="00B1505C"/>
    <w:rsid w:val="00B152CB"/>
    <w:rsid w:val="00B15345"/>
    <w:rsid w:val="00B15A5A"/>
    <w:rsid w:val="00B1650E"/>
    <w:rsid w:val="00B170CE"/>
    <w:rsid w:val="00B17C5E"/>
    <w:rsid w:val="00B17ED1"/>
    <w:rsid w:val="00B20437"/>
    <w:rsid w:val="00B20E36"/>
    <w:rsid w:val="00B22895"/>
    <w:rsid w:val="00B229CE"/>
    <w:rsid w:val="00B22CD6"/>
    <w:rsid w:val="00B22DE2"/>
    <w:rsid w:val="00B23234"/>
    <w:rsid w:val="00B234D3"/>
    <w:rsid w:val="00B23C51"/>
    <w:rsid w:val="00B243F1"/>
    <w:rsid w:val="00B249F0"/>
    <w:rsid w:val="00B24B48"/>
    <w:rsid w:val="00B25240"/>
    <w:rsid w:val="00B25274"/>
    <w:rsid w:val="00B25322"/>
    <w:rsid w:val="00B25611"/>
    <w:rsid w:val="00B25A5A"/>
    <w:rsid w:val="00B25DD5"/>
    <w:rsid w:val="00B26A51"/>
    <w:rsid w:val="00B26E17"/>
    <w:rsid w:val="00B26E82"/>
    <w:rsid w:val="00B2742F"/>
    <w:rsid w:val="00B27CAE"/>
    <w:rsid w:val="00B30690"/>
    <w:rsid w:val="00B309F7"/>
    <w:rsid w:val="00B30CF5"/>
    <w:rsid w:val="00B30EE3"/>
    <w:rsid w:val="00B30FB3"/>
    <w:rsid w:val="00B3161F"/>
    <w:rsid w:val="00B31B90"/>
    <w:rsid w:val="00B323F8"/>
    <w:rsid w:val="00B32A20"/>
    <w:rsid w:val="00B32CB4"/>
    <w:rsid w:val="00B33E08"/>
    <w:rsid w:val="00B33FD0"/>
    <w:rsid w:val="00B34212"/>
    <w:rsid w:val="00B350A5"/>
    <w:rsid w:val="00B3517D"/>
    <w:rsid w:val="00B352FD"/>
    <w:rsid w:val="00B35386"/>
    <w:rsid w:val="00B3581D"/>
    <w:rsid w:val="00B359C3"/>
    <w:rsid w:val="00B35D2E"/>
    <w:rsid w:val="00B35EF0"/>
    <w:rsid w:val="00B36B9D"/>
    <w:rsid w:val="00B374C4"/>
    <w:rsid w:val="00B3795B"/>
    <w:rsid w:val="00B37E09"/>
    <w:rsid w:val="00B40016"/>
    <w:rsid w:val="00B41612"/>
    <w:rsid w:val="00B4170E"/>
    <w:rsid w:val="00B419FF"/>
    <w:rsid w:val="00B41CA8"/>
    <w:rsid w:val="00B4239C"/>
    <w:rsid w:val="00B428FC"/>
    <w:rsid w:val="00B42BEE"/>
    <w:rsid w:val="00B42CEB"/>
    <w:rsid w:val="00B42D43"/>
    <w:rsid w:val="00B432BD"/>
    <w:rsid w:val="00B437BB"/>
    <w:rsid w:val="00B43A8C"/>
    <w:rsid w:val="00B43B9E"/>
    <w:rsid w:val="00B4433B"/>
    <w:rsid w:val="00B44489"/>
    <w:rsid w:val="00B446CF"/>
    <w:rsid w:val="00B4489B"/>
    <w:rsid w:val="00B449C4"/>
    <w:rsid w:val="00B4514A"/>
    <w:rsid w:val="00B45428"/>
    <w:rsid w:val="00B45BCC"/>
    <w:rsid w:val="00B46597"/>
    <w:rsid w:val="00B46CE4"/>
    <w:rsid w:val="00B46F58"/>
    <w:rsid w:val="00B47020"/>
    <w:rsid w:val="00B47177"/>
    <w:rsid w:val="00B4776B"/>
    <w:rsid w:val="00B4797A"/>
    <w:rsid w:val="00B50044"/>
    <w:rsid w:val="00B50067"/>
    <w:rsid w:val="00B5006B"/>
    <w:rsid w:val="00B5012C"/>
    <w:rsid w:val="00B50827"/>
    <w:rsid w:val="00B50B9D"/>
    <w:rsid w:val="00B51605"/>
    <w:rsid w:val="00B516C2"/>
    <w:rsid w:val="00B51C09"/>
    <w:rsid w:val="00B51D77"/>
    <w:rsid w:val="00B52410"/>
    <w:rsid w:val="00B52CC9"/>
    <w:rsid w:val="00B53793"/>
    <w:rsid w:val="00B5385D"/>
    <w:rsid w:val="00B53B72"/>
    <w:rsid w:val="00B53DC5"/>
    <w:rsid w:val="00B5428C"/>
    <w:rsid w:val="00B542FD"/>
    <w:rsid w:val="00B543D8"/>
    <w:rsid w:val="00B54409"/>
    <w:rsid w:val="00B550E1"/>
    <w:rsid w:val="00B55776"/>
    <w:rsid w:val="00B5666D"/>
    <w:rsid w:val="00B5677D"/>
    <w:rsid w:val="00B5691B"/>
    <w:rsid w:val="00B56984"/>
    <w:rsid w:val="00B57BA6"/>
    <w:rsid w:val="00B57BBD"/>
    <w:rsid w:val="00B605EB"/>
    <w:rsid w:val="00B608ED"/>
    <w:rsid w:val="00B60E65"/>
    <w:rsid w:val="00B60F04"/>
    <w:rsid w:val="00B61608"/>
    <w:rsid w:val="00B616C2"/>
    <w:rsid w:val="00B61BAB"/>
    <w:rsid w:val="00B62242"/>
    <w:rsid w:val="00B6229F"/>
    <w:rsid w:val="00B62A58"/>
    <w:rsid w:val="00B62B18"/>
    <w:rsid w:val="00B62CA0"/>
    <w:rsid w:val="00B63230"/>
    <w:rsid w:val="00B63C69"/>
    <w:rsid w:val="00B63FB4"/>
    <w:rsid w:val="00B641B3"/>
    <w:rsid w:val="00B64444"/>
    <w:rsid w:val="00B648A9"/>
    <w:rsid w:val="00B652D8"/>
    <w:rsid w:val="00B6547C"/>
    <w:rsid w:val="00B66000"/>
    <w:rsid w:val="00B66113"/>
    <w:rsid w:val="00B6661E"/>
    <w:rsid w:val="00B66861"/>
    <w:rsid w:val="00B66AAE"/>
    <w:rsid w:val="00B66C0D"/>
    <w:rsid w:val="00B66D76"/>
    <w:rsid w:val="00B671A9"/>
    <w:rsid w:val="00B67294"/>
    <w:rsid w:val="00B707DF"/>
    <w:rsid w:val="00B70CA9"/>
    <w:rsid w:val="00B714BB"/>
    <w:rsid w:val="00B716E9"/>
    <w:rsid w:val="00B730F7"/>
    <w:rsid w:val="00B731D8"/>
    <w:rsid w:val="00B7333B"/>
    <w:rsid w:val="00B7362F"/>
    <w:rsid w:val="00B73F79"/>
    <w:rsid w:val="00B74102"/>
    <w:rsid w:val="00B74301"/>
    <w:rsid w:val="00B7483C"/>
    <w:rsid w:val="00B74A7A"/>
    <w:rsid w:val="00B74AF7"/>
    <w:rsid w:val="00B74C94"/>
    <w:rsid w:val="00B74CC4"/>
    <w:rsid w:val="00B74DCE"/>
    <w:rsid w:val="00B74FFF"/>
    <w:rsid w:val="00B751E1"/>
    <w:rsid w:val="00B752C6"/>
    <w:rsid w:val="00B75952"/>
    <w:rsid w:val="00B75B58"/>
    <w:rsid w:val="00B764A0"/>
    <w:rsid w:val="00B764C4"/>
    <w:rsid w:val="00B771A7"/>
    <w:rsid w:val="00B7740F"/>
    <w:rsid w:val="00B777BD"/>
    <w:rsid w:val="00B77DF9"/>
    <w:rsid w:val="00B8059B"/>
    <w:rsid w:val="00B808C7"/>
    <w:rsid w:val="00B80924"/>
    <w:rsid w:val="00B81159"/>
    <w:rsid w:val="00B8186B"/>
    <w:rsid w:val="00B81BBC"/>
    <w:rsid w:val="00B81C77"/>
    <w:rsid w:val="00B81DE6"/>
    <w:rsid w:val="00B820AF"/>
    <w:rsid w:val="00B820B0"/>
    <w:rsid w:val="00B821D4"/>
    <w:rsid w:val="00B82485"/>
    <w:rsid w:val="00B826FA"/>
    <w:rsid w:val="00B8272C"/>
    <w:rsid w:val="00B8321B"/>
    <w:rsid w:val="00B833F0"/>
    <w:rsid w:val="00B833F7"/>
    <w:rsid w:val="00B83688"/>
    <w:rsid w:val="00B836AA"/>
    <w:rsid w:val="00B83D17"/>
    <w:rsid w:val="00B851D6"/>
    <w:rsid w:val="00B85854"/>
    <w:rsid w:val="00B862DA"/>
    <w:rsid w:val="00B86422"/>
    <w:rsid w:val="00B868AD"/>
    <w:rsid w:val="00B86A8D"/>
    <w:rsid w:val="00B87771"/>
    <w:rsid w:val="00B910AC"/>
    <w:rsid w:val="00B91569"/>
    <w:rsid w:val="00B917EC"/>
    <w:rsid w:val="00B91E79"/>
    <w:rsid w:val="00B9209A"/>
    <w:rsid w:val="00B927BC"/>
    <w:rsid w:val="00B92AB5"/>
    <w:rsid w:val="00B9346B"/>
    <w:rsid w:val="00B93F35"/>
    <w:rsid w:val="00B94045"/>
    <w:rsid w:val="00B94AD6"/>
    <w:rsid w:val="00B94D29"/>
    <w:rsid w:val="00B94FD5"/>
    <w:rsid w:val="00B95798"/>
    <w:rsid w:val="00B9587A"/>
    <w:rsid w:val="00B95A21"/>
    <w:rsid w:val="00B96301"/>
    <w:rsid w:val="00B9631D"/>
    <w:rsid w:val="00B96358"/>
    <w:rsid w:val="00B9638D"/>
    <w:rsid w:val="00B96471"/>
    <w:rsid w:val="00B966CE"/>
    <w:rsid w:val="00B967EA"/>
    <w:rsid w:val="00B96A75"/>
    <w:rsid w:val="00B9704C"/>
    <w:rsid w:val="00B97385"/>
    <w:rsid w:val="00B97A00"/>
    <w:rsid w:val="00BA04BB"/>
    <w:rsid w:val="00BA0573"/>
    <w:rsid w:val="00BA0C54"/>
    <w:rsid w:val="00BA0F67"/>
    <w:rsid w:val="00BA1053"/>
    <w:rsid w:val="00BA11C9"/>
    <w:rsid w:val="00BA13E2"/>
    <w:rsid w:val="00BA1CF6"/>
    <w:rsid w:val="00BA1D17"/>
    <w:rsid w:val="00BA23A4"/>
    <w:rsid w:val="00BA244E"/>
    <w:rsid w:val="00BA3027"/>
    <w:rsid w:val="00BA32A0"/>
    <w:rsid w:val="00BA33DB"/>
    <w:rsid w:val="00BA37D8"/>
    <w:rsid w:val="00BA395D"/>
    <w:rsid w:val="00BA3A6D"/>
    <w:rsid w:val="00BA3A98"/>
    <w:rsid w:val="00BA3C14"/>
    <w:rsid w:val="00BA5817"/>
    <w:rsid w:val="00BA6190"/>
    <w:rsid w:val="00BA6348"/>
    <w:rsid w:val="00BA70A3"/>
    <w:rsid w:val="00BA724F"/>
    <w:rsid w:val="00BA7286"/>
    <w:rsid w:val="00BA7412"/>
    <w:rsid w:val="00BA798D"/>
    <w:rsid w:val="00BA7CFD"/>
    <w:rsid w:val="00BA7E7F"/>
    <w:rsid w:val="00BA7FE2"/>
    <w:rsid w:val="00BB03CE"/>
    <w:rsid w:val="00BB0D87"/>
    <w:rsid w:val="00BB0DC6"/>
    <w:rsid w:val="00BB0E2C"/>
    <w:rsid w:val="00BB1468"/>
    <w:rsid w:val="00BB14E4"/>
    <w:rsid w:val="00BB1C20"/>
    <w:rsid w:val="00BB2009"/>
    <w:rsid w:val="00BB2C9E"/>
    <w:rsid w:val="00BB2D25"/>
    <w:rsid w:val="00BB2E5C"/>
    <w:rsid w:val="00BB3A7B"/>
    <w:rsid w:val="00BB3CE3"/>
    <w:rsid w:val="00BB3D15"/>
    <w:rsid w:val="00BB48B8"/>
    <w:rsid w:val="00BB48EA"/>
    <w:rsid w:val="00BB49DB"/>
    <w:rsid w:val="00BB4D42"/>
    <w:rsid w:val="00BB4D88"/>
    <w:rsid w:val="00BB4DBE"/>
    <w:rsid w:val="00BB4EBB"/>
    <w:rsid w:val="00BB5808"/>
    <w:rsid w:val="00BB5BD0"/>
    <w:rsid w:val="00BB5EE1"/>
    <w:rsid w:val="00BB61FE"/>
    <w:rsid w:val="00BB6387"/>
    <w:rsid w:val="00BB798E"/>
    <w:rsid w:val="00BB7F10"/>
    <w:rsid w:val="00BC0291"/>
    <w:rsid w:val="00BC03F1"/>
    <w:rsid w:val="00BC0C16"/>
    <w:rsid w:val="00BC0E40"/>
    <w:rsid w:val="00BC101C"/>
    <w:rsid w:val="00BC1541"/>
    <w:rsid w:val="00BC214A"/>
    <w:rsid w:val="00BC3554"/>
    <w:rsid w:val="00BC36E5"/>
    <w:rsid w:val="00BC39A3"/>
    <w:rsid w:val="00BC41F7"/>
    <w:rsid w:val="00BC44FB"/>
    <w:rsid w:val="00BC476B"/>
    <w:rsid w:val="00BC4E31"/>
    <w:rsid w:val="00BC54FE"/>
    <w:rsid w:val="00BC5CE0"/>
    <w:rsid w:val="00BC5EA6"/>
    <w:rsid w:val="00BC634B"/>
    <w:rsid w:val="00BC65EF"/>
    <w:rsid w:val="00BC687E"/>
    <w:rsid w:val="00BC6CF3"/>
    <w:rsid w:val="00BC740F"/>
    <w:rsid w:val="00BC79A5"/>
    <w:rsid w:val="00BC7F0B"/>
    <w:rsid w:val="00BD0018"/>
    <w:rsid w:val="00BD0558"/>
    <w:rsid w:val="00BD11B9"/>
    <w:rsid w:val="00BD1436"/>
    <w:rsid w:val="00BD14FE"/>
    <w:rsid w:val="00BD1776"/>
    <w:rsid w:val="00BD19DF"/>
    <w:rsid w:val="00BD1B94"/>
    <w:rsid w:val="00BD1D80"/>
    <w:rsid w:val="00BD231F"/>
    <w:rsid w:val="00BD2843"/>
    <w:rsid w:val="00BD2B6E"/>
    <w:rsid w:val="00BD3479"/>
    <w:rsid w:val="00BD36F8"/>
    <w:rsid w:val="00BD3731"/>
    <w:rsid w:val="00BD38E3"/>
    <w:rsid w:val="00BD3A59"/>
    <w:rsid w:val="00BD3A5B"/>
    <w:rsid w:val="00BD3A8F"/>
    <w:rsid w:val="00BD3CB0"/>
    <w:rsid w:val="00BD4E69"/>
    <w:rsid w:val="00BD4F0E"/>
    <w:rsid w:val="00BD4FC2"/>
    <w:rsid w:val="00BD539E"/>
    <w:rsid w:val="00BD547B"/>
    <w:rsid w:val="00BD56CB"/>
    <w:rsid w:val="00BD5E91"/>
    <w:rsid w:val="00BD6466"/>
    <w:rsid w:val="00BD6487"/>
    <w:rsid w:val="00BD66DF"/>
    <w:rsid w:val="00BD6964"/>
    <w:rsid w:val="00BD6E0F"/>
    <w:rsid w:val="00BD6FD4"/>
    <w:rsid w:val="00BD7798"/>
    <w:rsid w:val="00BE02EF"/>
    <w:rsid w:val="00BE0C50"/>
    <w:rsid w:val="00BE1184"/>
    <w:rsid w:val="00BE13C5"/>
    <w:rsid w:val="00BE1C00"/>
    <w:rsid w:val="00BE1CD3"/>
    <w:rsid w:val="00BE1D6D"/>
    <w:rsid w:val="00BE1FE7"/>
    <w:rsid w:val="00BE214F"/>
    <w:rsid w:val="00BE2781"/>
    <w:rsid w:val="00BE2CEC"/>
    <w:rsid w:val="00BE31D8"/>
    <w:rsid w:val="00BE33E0"/>
    <w:rsid w:val="00BE442B"/>
    <w:rsid w:val="00BE4966"/>
    <w:rsid w:val="00BE55F6"/>
    <w:rsid w:val="00BE5794"/>
    <w:rsid w:val="00BE5FD2"/>
    <w:rsid w:val="00BE60BF"/>
    <w:rsid w:val="00BE6118"/>
    <w:rsid w:val="00BE63BF"/>
    <w:rsid w:val="00BE693C"/>
    <w:rsid w:val="00BE6E24"/>
    <w:rsid w:val="00BE71AA"/>
    <w:rsid w:val="00BF065F"/>
    <w:rsid w:val="00BF0A06"/>
    <w:rsid w:val="00BF0B36"/>
    <w:rsid w:val="00BF1213"/>
    <w:rsid w:val="00BF17EE"/>
    <w:rsid w:val="00BF195B"/>
    <w:rsid w:val="00BF1C4C"/>
    <w:rsid w:val="00BF2313"/>
    <w:rsid w:val="00BF2440"/>
    <w:rsid w:val="00BF254C"/>
    <w:rsid w:val="00BF2C12"/>
    <w:rsid w:val="00BF2CEC"/>
    <w:rsid w:val="00BF3573"/>
    <w:rsid w:val="00BF3A2C"/>
    <w:rsid w:val="00BF4DD9"/>
    <w:rsid w:val="00BF5A4B"/>
    <w:rsid w:val="00BF5A8E"/>
    <w:rsid w:val="00BF5AAA"/>
    <w:rsid w:val="00BF5B33"/>
    <w:rsid w:val="00BF5CF9"/>
    <w:rsid w:val="00BF65F4"/>
    <w:rsid w:val="00BF6B08"/>
    <w:rsid w:val="00BF6B6C"/>
    <w:rsid w:val="00BF70CD"/>
    <w:rsid w:val="00BF7370"/>
    <w:rsid w:val="00BF743B"/>
    <w:rsid w:val="00BF765C"/>
    <w:rsid w:val="00BF7824"/>
    <w:rsid w:val="00BF7D38"/>
    <w:rsid w:val="00C00224"/>
    <w:rsid w:val="00C00357"/>
    <w:rsid w:val="00C004A9"/>
    <w:rsid w:val="00C007C6"/>
    <w:rsid w:val="00C00A7E"/>
    <w:rsid w:val="00C00C08"/>
    <w:rsid w:val="00C00C93"/>
    <w:rsid w:val="00C00CEF"/>
    <w:rsid w:val="00C01132"/>
    <w:rsid w:val="00C013F4"/>
    <w:rsid w:val="00C014D8"/>
    <w:rsid w:val="00C02A37"/>
    <w:rsid w:val="00C02F69"/>
    <w:rsid w:val="00C0355D"/>
    <w:rsid w:val="00C036CC"/>
    <w:rsid w:val="00C03CDC"/>
    <w:rsid w:val="00C04511"/>
    <w:rsid w:val="00C047BA"/>
    <w:rsid w:val="00C05565"/>
    <w:rsid w:val="00C060A0"/>
    <w:rsid w:val="00C06D94"/>
    <w:rsid w:val="00C06D97"/>
    <w:rsid w:val="00C0726D"/>
    <w:rsid w:val="00C0765F"/>
    <w:rsid w:val="00C07DDB"/>
    <w:rsid w:val="00C10031"/>
    <w:rsid w:val="00C10185"/>
    <w:rsid w:val="00C103F8"/>
    <w:rsid w:val="00C10411"/>
    <w:rsid w:val="00C10971"/>
    <w:rsid w:val="00C10B53"/>
    <w:rsid w:val="00C1163C"/>
    <w:rsid w:val="00C11730"/>
    <w:rsid w:val="00C122AC"/>
    <w:rsid w:val="00C12421"/>
    <w:rsid w:val="00C126C7"/>
    <w:rsid w:val="00C129DF"/>
    <w:rsid w:val="00C13104"/>
    <w:rsid w:val="00C135AA"/>
    <w:rsid w:val="00C135D6"/>
    <w:rsid w:val="00C1377C"/>
    <w:rsid w:val="00C14136"/>
    <w:rsid w:val="00C14645"/>
    <w:rsid w:val="00C14BA7"/>
    <w:rsid w:val="00C14FDD"/>
    <w:rsid w:val="00C15512"/>
    <w:rsid w:val="00C155CA"/>
    <w:rsid w:val="00C155FC"/>
    <w:rsid w:val="00C15850"/>
    <w:rsid w:val="00C16700"/>
    <w:rsid w:val="00C169DF"/>
    <w:rsid w:val="00C16E85"/>
    <w:rsid w:val="00C176E0"/>
    <w:rsid w:val="00C178CB"/>
    <w:rsid w:val="00C20000"/>
    <w:rsid w:val="00C20217"/>
    <w:rsid w:val="00C2078D"/>
    <w:rsid w:val="00C20A19"/>
    <w:rsid w:val="00C20DFC"/>
    <w:rsid w:val="00C20FA7"/>
    <w:rsid w:val="00C21016"/>
    <w:rsid w:val="00C2118B"/>
    <w:rsid w:val="00C21826"/>
    <w:rsid w:val="00C218FA"/>
    <w:rsid w:val="00C21A7C"/>
    <w:rsid w:val="00C21F2B"/>
    <w:rsid w:val="00C21F75"/>
    <w:rsid w:val="00C22EC6"/>
    <w:rsid w:val="00C23C11"/>
    <w:rsid w:val="00C23DCF"/>
    <w:rsid w:val="00C23FE9"/>
    <w:rsid w:val="00C2460D"/>
    <w:rsid w:val="00C24D3D"/>
    <w:rsid w:val="00C24FA2"/>
    <w:rsid w:val="00C2527B"/>
    <w:rsid w:val="00C25F12"/>
    <w:rsid w:val="00C261DF"/>
    <w:rsid w:val="00C270A4"/>
    <w:rsid w:val="00C27922"/>
    <w:rsid w:val="00C27B93"/>
    <w:rsid w:val="00C27CB2"/>
    <w:rsid w:val="00C27D6C"/>
    <w:rsid w:val="00C27E92"/>
    <w:rsid w:val="00C3012F"/>
    <w:rsid w:val="00C3055B"/>
    <w:rsid w:val="00C30E42"/>
    <w:rsid w:val="00C30F14"/>
    <w:rsid w:val="00C32408"/>
    <w:rsid w:val="00C3254F"/>
    <w:rsid w:val="00C32EBE"/>
    <w:rsid w:val="00C33276"/>
    <w:rsid w:val="00C33388"/>
    <w:rsid w:val="00C336B9"/>
    <w:rsid w:val="00C336EC"/>
    <w:rsid w:val="00C3375D"/>
    <w:rsid w:val="00C33D65"/>
    <w:rsid w:val="00C34183"/>
    <w:rsid w:val="00C34257"/>
    <w:rsid w:val="00C34437"/>
    <w:rsid w:val="00C3462E"/>
    <w:rsid w:val="00C34A8B"/>
    <w:rsid w:val="00C34C9D"/>
    <w:rsid w:val="00C359D9"/>
    <w:rsid w:val="00C35C72"/>
    <w:rsid w:val="00C35CEE"/>
    <w:rsid w:val="00C36183"/>
    <w:rsid w:val="00C36433"/>
    <w:rsid w:val="00C36A98"/>
    <w:rsid w:val="00C375B1"/>
    <w:rsid w:val="00C40194"/>
    <w:rsid w:val="00C40378"/>
    <w:rsid w:val="00C407D1"/>
    <w:rsid w:val="00C410E5"/>
    <w:rsid w:val="00C41B70"/>
    <w:rsid w:val="00C41FAA"/>
    <w:rsid w:val="00C423DC"/>
    <w:rsid w:val="00C427F2"/>
    <w:rsid w:val="00C432F1"/>
    <w:rsid w:val="00C4395C"/>
    <w:rsid w:val="00C43FB5"/>
    <w:rsid w:val="00C43FD2"/>
    <w:rsid w:val="00C441F9"/>
    <w:rsid w:val="00C442A0"/>
    <w:rsid w:val="00C44965"/>
    <w:rsid w:val="00C44ADA"/>
    <w:rsid w:val="00C44EBC"/>
    <w:rsid w:val="00C44F7C"/>
    <w:rsid w:val="00C44F84"/>
    <w:rsid w:val="00C45083"/>
    <w:rsid w:val="00C45397"/>
    <w:rsid w:val="00C456B8"/>
    <w:rsid w:val="00C45CC2"/>
    <w:rsid w:val="00C45D1D"/>
    <w:rsid w:val="00C45FEB"/>
    <w:rsid w:val="00C4681B"/>
    <w:rsid w:val="00C46EA2"/>
    <w:rsid w:val="00C47037"/>
    <w:rsid w:val="00C4704F"/>
    <w:rsid w:val="00C47600"/>
    <w:rsid w:val="00C476BD"/>
    <w:rsid w:val="00C47CC9"/>
    <w:rsid w:val="00C47DAF"/>
    <w:rsid w:val="00C5005D"/>
    <w:rsid w:val="00C503E2"/>
    <w:rsid w:val="00C50610"/>
    <w:rsid w:val="00C510C0"/>
    <w:rsid w:val="00C5163E"/>
    <w:rsid w:val="00C51A45"/>
    <w:rsid w:val="00C52458"/>
    <w:rsid w:val="00C5287F"/>
    <w:rsid w:val="00C528D4"/>
    <w:rsid w:val="00C531A1"/>
    <w:rsid w:val="00C5371E"/>
    <w:rsid w:val="00C53D4A"/>
    <w:rsid w:val="00C53DC1"/>
    <w:rsid w:val="00C53E93"/>
    <w:rsid w:val="00C54170"/>
    <w:rsid w:val="00C55005"/>
    <w:rsid w:val="00C55410"/>
    <w:rsid w:val="00C55B54"/>
    <w:rsid w:val="00C55ED0"/>
    <w:rsid w:val="00C56599"/>
    <w:rsid w:val="00C56967"/>
    <w:rsid w:val="00C56BD2"/>
    <w:rsid w:val="00C56CFB"/>
    <w:rsid w:val="00C57F54"/>
    <w:rsid w:val="00C60085"/>
    <w:rsid w:val="00C6039E"/>
    <w:rsid w:val="00C60646"/>
    <w:rsid w:val="00C60A30"/>
    <w:rsid w:val="00C60A45"/>
    <w:rsid w:val="00C616EC"/>
    <w:rsid w:val="00C62296"/>
    <w:rsid w:val="00C62489"/>
    <w:rsid w:val="00C62BEF"/>
    <w:rsid w:val="00C6329C"/>
    <w:rsid w:val="00C6345D"/>
    <w:rsid w:val="00C63DF6"/>
    <w:rsid w:val="00C63E9A"/>
    <w:rsid w:val="00C63EA0"/>
    <w:rsid w:val="00C63F95"/>
    <w:rsid w:val="00C64C9C"/>
    <w:rsid w:val="00C64D88"/>
    <w:rsid w:val="00C65298"/>
    <w:rsid w:val="00C65498"/>
    <w:rsid w:val="00C65B9E"/>
    <w:rsid w:val="00C65F78"/>
    <w:rsid w:val="00C661B9"/>
    <w:rsid w:val="00C6632C"/>
    <w:rsid w:val="00C663FE"/>
    <w:rsid w:val="00C667C1"/>
    <w:rsid w:val="00C66A51"/>
    <w:rsid w:val="00C66AD7"/>
    <w:rsid w:val="00C66D4B"/>
    <w:rsid w:val="00C674DA"/>
    <w:rsid w:val="00C67D6C"/>
    <w:rsid w:val="00C70A9F"/>
    <w:rsid w:val="00C70B93"/>
    <w:rsid w:val="00C71035"/>
    <w:rsid w:val="00C71A07"/>
    <w:rsid w:val="00C720EA"/>
    <w:rsid w:val="00C73589"/>
    <w:rsid w:val="00C737E2"/>
    <w:rsid w:val="00C74033"/>
    <w:rsid w:val="00C740ED"/>
    <w:rsid w:val="00C743E3"/>
    <w:rsid w:val="00C74B35"/>
    <w:rsid w:val="00C74B6A"/>
    <w:rsid w:val="00C74B78"/>
    <w:rsid w:val="00C759A8"/>
    <w:rsid w:val="00C75A74"/>
    <w:rsid w:val="00C76273"/>
    <w:rsid w:val="00C762D9"/>
    <w:rsid w:val="00C76577"/>
    <w:rsid w:val="00C7667A"/>
    <w:rsid w:val="00C77370"/>
    <w:rsid w:val="00C778C0"/>
    <w:rsid w:val="00C77C38"/>
    <w:rsid w:val="00C77CED"/>
    <w:rsid w:val="00C77D36"/>
    <w:rsid w:val="00C80F56"/>
    <w:rsid w:val="00C813DD"/>
    <w:rsid w:val="00C8172C"/>
    <w:rsid w:val="00C818E1"/>
    <w:rsid w:val="00C81F3D"/>
    <w:rsid w:val="00C81F99"/>
    <w:rsid w:val="00C8454A"/>
    <w:rsid w:val="00C8459E"/>
    <w:rsid w:val="00C84C12"/>
    <w:rsid w:val="00C84CE8"/>
    <w:rsid w:val="00C84DF9"/>
    <w:rsid w:val="00C84F88"/>
    <w:rsid w:val="00C85EB2"/>
    <w:rsid w:val="00C85ECB"/>
    <w:rsid w:val="00C86D21"/>
    <w:rsid w:val="00C86DE1"/>
    <w:rsid w:val="00C87211"/>
    <w:rsid w:val="00C87B87"/>
    <w:rsid w:val="00C87FD7"/>
    <w:rsid w:val="00C917E2"/>
    <w:rsid w:val="00C91975"/>
    <w:rsid w:val="00C92AB1"/>
    <w:rsid w:val="00C92F19"/>
    <w:rsid w:val="00C9343E"/>
    <w:rsid w:val="00C93D26"/>
    <w:rsid w:val="00C93E84"/>
    <w:rsid w:val="00C93ECA"/>
    <w:rsid w:val="00C9441C"/>
    <w:rsid w:val="00C944B1"/>
    <w:rsid w:val="00C945D6"/>
    <w:rsid w:val="00C947F7"/>
    <w:rsid w:val="00C94A7D"/>
    <w:rsid w:val="00C94B13"/>
    <w:rsid w:val="00C9523C"/>
    <w:rsid w:val="00C95771"/>
    <w:rsid w:val="00C959FA"/>
    <w:rsid w:val="00C962B6"/>
    <w:rsid w:val="00C96CD1"/>
    <w:rsid w:val="00C97A1C"/>
    <w:rsid w:val="00C97A93"/>
    <w:rsid w:val="00C97AF8"/>
    <w:rsid w:val="00C97BC2"/>
    <w:rsid w:val="00CA0328"/>
    <w:rsid w:val="00CA0A04"/>
    <w:rsid w:val="00CA1294"/>
    <w:rsid w:val="00CA1B32"/>
    <w:rsid w:val="00CA1E29"/>
    <w:rsid w:val="00CA1E41"/>
    <w:rsid w:val="00CA2A2E"/>
    <w:rsid w:val="00CA319A"/>
    <w:rsid w:val="00CA348B"/>
    <w:rsid w:val="00CA3974"/>
    <w:rsid w:val="00CA3AEB"/>
    <w:rsid w:val="00CA459F"/>
    <w:rsid w:val="00CA4AA3"/>
    <w:rsid w:val="00CA4D94"/>
    <w:rsid w:val="00CA5B6A"/>
    <w:rsid w:val="00CA5CBC"/>
    <w:rsid w:val="00CA607A"/>
    <w:rsid w:val="00CA6162"/>
    <w:rsid w:val="00CA63EB"/>
    <w:rsid w:val="00CA6DB7"/>
    <w:rsid w:val="00CA73B6"/>
    <w:rsid w:val="00CA7406"/>
    <w:rsid w:val="00CA7AEC"/>
    <w:rsid w:val="00CA7FFC"/>
    <w:rsid w:val="00CB079D"/>
    <w:rsid w:val="00CB0887"/>
    <w:rsid w:val="00CB0C87"/>
    <w:rsid w:val="00CB1185"/>
    <w:rsid w:val="00CB12D8"/>
    <w:rsid w:val="00CB1341"/>
    <w:rsid w:val="00CB17F7"/>
    <w:rsid w:val="00CB197A"/>
    <w:rsid w:val="00CB1CE6"/>
    <w:rsid w:val="00CB1D73"/>
    <w:rsid w:val="00CB1DB5"/>
    <w:rsid w:val="00CB2228"/>
    <w:rsid w:val="00CB2243"/>
    <w:rsid w:val="00CB288D"/>
    <w:rsid w:val="00CB2D5F"/>
    <w:rsid w:val="00CB2DB6"/>
    <w:rsid w:val="00CB369A"/>
    <w:rsid w:val="00CB3CE6"/>
    <w:rsid w:val="00CB3D8D"/>
    <w:rsid w:val="00CB51C0"/>
    <w:rsid w:val="00CB5801"/>
    <w:rsid w:val="00CB58E2"/>
    <w:rsid w:val="00CB5EDF"/>
    <w:rsid w:val="00CB61F2"/>
    <w:rsid w:val="00CB6638"/>
    <w:rsid w:val="00CB6A7B"/>
    <w:rsid w:val="00CB6F92"/>
    <w:rsid w:val="00CB719D"/>
    <w:rsid w:val="00CB74FA"/>
    <w:rsid w:val="00CB7581"/>
    <w:rsid w:val="00CB7DB5"/>
    <w:rsid w:val="00CB7E6C"/>
    <w:rsid w:val="00CC001C"/>
    <w:rsid w:val="00CC0037"/>
    <w:rsid w:val="00CC0112"/>
    <w:rsid w:val="00CC0185"/>
    <w:rsid w:val="00CC0248"/>
    <w:rsid w:val="00CC07FE"/>
    <w:rsid w:val="00CC1908"/>
    <w:rsid w:val="00CC1A71"/>
    <w:rsid w:val="00CC209C"/>
    <w:rsid w:val="00CC2316"/>
    <w:rsid w:val="00CC250F"/>
    <w:rsid w:val="00CC287F"/>
    <w:rsid w:val="00CC2890"/>
    <w:rsid w:val="00CC29E5"/>
    <w:rsid w:val="00CC2E63"/>
    <w:rsid w:val="00CC30FE"/>
    <w:rsid w:val="00CC333E"/>
    <w:rsid w:val="00CC3A6E"/>
    <w:rsid w:val="00CC433B"/>
    <w:rsid w:val="00CC480F"/>
    <w:rsid w:val="00CC4F0A"/>
    <w:rsid w:val="00CC5085"/>
    <w:rsid w:val="00CC6371"/>
    <w:rsid w:val="00CC66AE"/>
    <w:rsid w:val="00CC6B0E"/>
    <w:rsid w:val="00CC6BEF"/>
    <w:rsid w:val="00CC7559"/>
    <w:rsid w:val="00CC766F"/>
    <w:rsid w:val="00CC7778"/>
    <w:rsid w:val="00CC7CFF"/>
    <w:rsid w:val="00CC7DA6"/>
    <w:rsid w:val="00CC7FA0"/>
    <w:rsid w:val="00CD05A0"/>
    <w:rsid w:val="00CD093F"/>
    <w:rsid w:val="00CD11AC"/>
    <w:rsid w:val="00CD19A1"/>
    <w:rsid w:val="00CD1A35"/>
    <w:rsid w:val="00CD1A3C"/>
    <w:rsid w:val="00CD1FF0"/>
    <w:rsid w:val="00CD2043"/>
    <w:rsid w:val="00CD2188"/>
    <w:rsid w:val="00CD2384"/>
    <w:rsid w:val="00CD2BCF"/>
    <w:rsid w:val="00CD3182"/>
    <w:rsid w:val="00CD3466"/>
    <w:rsid w:val="00CD3468"/>
    <w:rsid w:val="00CD3BC6"/>
    <w:rsid w:val="00CD3C03"/>
    <w:rsid w:val="00CD3C4C"/>
    <w:rsid w:val="00CD4424"/>
    <w:rsid w:val="00CD4CD4"/>
    <w:rsid w:val="00CD5A6D"/>
    <w:rsid w:val="00CD5B32"/>
    <w:rsid w:val="00CD6127"/>
    <w:rsid w:val="00CD6526"/>
    <w:rsid w:val="00CD657F"/>
    <w:rsid w:val="00CD674B"/>
    <w:rsid w:val="00CD6B0B"/>
    <w:rsid w:val="00CD6C56"/>
    <w:rsid w:val="00CD7395"/>
    <w:rsid w:val="00CD765B"/>
    <w:rsid w:val="00CD7960"/>
    <w:rsid w:val="00CE12BA"/>
    <w:rsid w:val="00CE1321"/>
    <w:rsid w:val="00CE1BBA"/>
    <w:rsid w:val="00CE1C4E"/>
    <w:rsid w:val="00CE1D20"/>
    <w:rsid w:val="00CE1F3E"/>
    <w:rsid w:val="00CE2220"/>
    <w:rsid w:val="00CE235A"/>
    <w:rsid w:val="00CE25BE"/>
    <w:rsid w:val="00CE2A73"/>
    <w:rsid w:val="00CE308B"/>
    <w:rsid w:val="00CE34D7"/>
    <w:rsid w:val="00CE3B84"/>
    <w:rsid w:val="00CE425C"/>
    <w:rsid w:val="00CE4585"/>
    <w:rsid w:val="00CE462A"/>
    <w:rsid w:val="00CE48FE"/>
    <w:rsid w:val="00CE500F"/>
    <w:rsid w:val="00CE54C5"/>
    <w:rsid w:val="00CE6255"/>
    <w:rsid w:val="00CE7259"/>
    <w:rsid w:val="00CE741D"/>
    <w:rsid w:val="00CE790E"/>
    <w:rsid w:val="00CE7C5C"/>
    <w:rsid w:val="00CF05F5"/>
    <w:rsid w:val="00CF0D9B"/>
    <w:rsid w:val="00CF1652"/>
    <w:rsid w:val="00CF18A7"/>
    <w:rsid w:val="00CF18DE"/>
    <w:rsid w:val="00CF1DD7"/>
    <w:rsid w:val="00CF1E24"/>
    <w:rsid w:val="00CF2455"/>
    <w:rsid w:val="00CF26E5"/>
    <w:rsid w:val="00CF30E2"/>
    <w:rsid w:val="00CF358C"/>
    <w:rsid w:val="00CF3726"/>
    <w:rsid w:val="00CF3ECA"/>
    <w:rsid w:val="00CF423A"/>
    <w:rsid w:val="00CF48BD"/>
    <w:rsid w:val="00CF4E06"/>
    <w:rsid w:val="00CF52CC"/>
    <w:rsid w:val="00CF56DF"/>
    <w:rsid w:val="00CF663D"/>
    <w:rsid w:val="00CF6986"/>
    <w:rsid w:val="00CF6A74"/>
    <w:rsid w:val="00CF6D01"/>
    <w:rsid w:val="00CF6D0D"/>
    <w:rsid w:val="00CF6DD2"/>
    <w:rsid w:val="00CF7B2A"/>
    <w:rsid w:val="00CF7D93"/>
    <w:rsid w:val="00D006CD"/>
    <w:rsid w:val="00D0098D"/>
    <w:rsid w:val="00D00E4C"/>
    <w:rsid w:val="00D01519"/>
    <w:rsid w:val="00D01C55"/>
    <w:rsid w:val="00D01CFE"/>
    <w:rsid w:val="00D01D5A"/>
    <w:rsid w:val="00D01FB1"/>
    <w:rsid w:val="00D036DE"/>
    <w:rsid w:val="00D039A3"/>
    <w:rsid w:val="00D03B34"/>
    <w:rsid w:val="00D03D3C"/>
    <w:rsid w:val="00D04CF2"/>
    <w:rsid w:val="00D05057"/>
    <w:rsid w:val="00D0621B"/>
    <w:rsid w:val="00D062DC"/>
    <w:rsid w:val="00D06963"/>
    <w:rsid w:val="00D06B5A"/>
    <w:rsid w:val="00D06D53"/>
    <w:rsid w:val="00D07E40"/>
    <w:rsid w:val="00D07F94"/>
    <w:rsid w:val="00D1001B"/>
    <w:rsid w:val="00D101FC"/>
    <w:rsid w:val="00D10B8C"/>
    <w:rsid w:val="00D10FE1"/>
    <w:rsid w:val="00D11421"/>
    <w:rsid w:val="00D1182F"/>
    <w:rsid w:val="00D1195A"/>
    <w:rsid w:val="00D1211B"/>
    <w:rsid w:val="00D12228"/>
    <w:rsid w:val="00D1272D"/>
    <w:rsid w:val="00D130B3"/>
    <w:rsid w:val="00D131FD"/>
    <w:rsid w:val="00D132AB"/>
    <w:rsid w:val="00D13BBB"/>
    <w:rsid w:val="00D1402E"/>
    <w:rsid w:val="00D14575"/>
    <w:rsid w:val="00D147F4"/>
    <w:rsid w:val="00D14A5E"/>
    <w:rsid w:val="00D14BA5"/>
    <w:rsid w:val="00D155E2"/>
    <w:rsid w:val="00D157D2"/>
    <w:rsid w:val="00D15F67"/>
    <w:rsid w:val="00D161B5"/>
    <w:rsid w:val="00D16885"/>
    <w:rsid w:val="00D1694E"/>
    <w:rsid w:val="00D16A90"/>
    <w:rsid w:val="00D16FB8"/>
    <w:rsid w:val="00D16FF2"/>
    <w:rsid w:val="00D171AD"/>
    <w:rsid w:val="00D1733E"/>
    <w:rsid w:val="00D17B21"/>
    <w:rsid w:val="00D202E3"/>
    <w:rsid w:val="00D212A9"/>
    <w:rsid w:val="00D212B3"/>
    <w:rsid w:val="00D21440"/>
    <w:rsid w:val="00D218E8"/>
    <w:rsid w:val="00D21E76"/>
    <w:rsid w:val="00D22589"/>
    <w:rsid w:val="00D2258E"/>
    <w:rsid w:val="00D2283C"/>
    <w:rsid w:val="00D22C42"/>
    <w:rsid w:val="00D22F6D"/>
    <w:rsid w:val="00D2344C"/>
    <w:rsid w:val="00D23A9C"/>
    <w:rsid w:val="00D23D6A"/>
    <w:rsid w:val="00D23DDF"/>
    <w:rsid w:val="00D2449B"/>
    <w:rsid w:val="00D24BBB"/>
    <w:rsid w:val="00D24D6D"/>
    <w:rsid w:val="00D24EF0"/>
    <w:rsid w:val="00D2504B"/>
    <w:rsid w:val="00D25DBF"/>
    <w:rsid w:val="00D26011"/>
    <w:rsid w:val="00D26171"/>
    <w:rsid w:val="00D261A3"/>
    <w:rsid w:val="00D26815"/>
    <w:rsid w:val="00D27998"/>
    <w:rsid w:val="00D3102D"/>
    <w:rsid w:val="00D314FC"/>
    <w:rsid w:val="00D31CA4"/>
    <w:rsid w:val="00D320A4"/>
    <w:rsid w:val="00D3276D"/>
    <w:rsid w:val="00D32ACA"/>
    <w:rsid w:val="00D33671"/>
    <w:rsid w:val="00D33A5D"/>
    <w:rsid w:val="00D33BE7"/>
    <w:rsid w:val="00D33F8A"/>
    <w:rsid w:val="00D33FD8"/>
    <w:rsid w:val="00D341E9"/>
    <w:rsid w:val="00D344CC"/>
    <w:rsid w:val="00D3474D"/>
    <w:rsid w:val="00D34E10"/>
    <w:rsid w:val="00D352E0"/>
    <w:rsid w:val="00D35642"/>
    <w:rsid w:val="00D356FA"/>
    <w:rsid w:val="00D35BFA"/>
    <w:rsid w:val="00D35C76"/>
    <w:rsid w:val="00D3644F"/>
    <w:rsid w:val="00D365FC"/>
    <w:rsid w:val="00D36732"/>
    <w:rsid w:val="00D367BF"/>
    <w:rsid w:val="00D375A0"/>
    <w:rsid w:val="00D37756"/>
    <w:rsid w:val="00D37924"/>
    <w:rsid w:val="00D37A93"/>
    <w:rsid w:val="00D401BD"/>
    <w:rsid w:val="00D40475"/>
    <w:rsid w:val="00D406EF"/>
    <w:rsid w:val="00D407B8"/>
    <w:rsid w:val="00D418C8"/>
    <w:rsid w:val="00D4191A"/>
    <w:rsid w:val="00D42249"/>
    <w:rsid w:val="00D42498"/>
    <w:rsid w:val="00D42E46"/>
    <w:rsid w:val="00D43A4C"/>
    <w:rsid w:val="00D43CDA"/>
    <w:rsid w:val="00D43D9F"/>
    <w:rsid w:val="00D44057"/>
    <w:rsid w:val="00D441BB"/>
    <w:rsid w:val="00D44813"/>
    <w:rsid w:val="00D44A40"/>
    <w:rsid w:val="00D44B0C"/>
    <w:rsid w:val="00D4593E"/>
    <w:rsid w:val="00D45CC7"/>
    <w:rsid w:val="00D45DDB"/>
    <w:rsid w:val="00D46026"/>
    <w:rsid w:val="00D46494"/>
    <w:rsid w:val="00D464A6"/>
    <w:rsid w:val="00D46779"/>
    <w:rsid w:val="00D467EE"/>
    <w:rsid w:val="00D46830"/>
    <w:rsid w:val="00D46F67"/>
    <w:rsid w:val="00D47071"/>
    <w:rsid w:val="00D471B3"/>
    <w:rsid w:val="00D47230"/>
    <w:rsid w:val="00D47476"/>
    <w:rsid w:val="00D47B31"/>
    <w:rsid w:val="00D47C55"/>
    <w:rsid w:val="00D47DA2"/>
    <w:rsid w:val="00D508C6"/>
    <w:rsid w:val="00D50E3E"/>
    <w:rsid w:val="00D513A7"/>
    <w:rsid w:val="00D518C5"/>
    <w:rsid w:val="00D51A84"/>
    <w:rsid w:val="00D51C2F"/>
    <w:rsid w:val="00D51F9D"/>
    <w:rsid w:val="00D520EE"/>
    <w:rsid w:val="00D52C18"/>
    <w:rsid w:val="00D52D85"/>
    <w:rsid w:val="00D537AE"/>
    <w:rsid w:val="00D53EB4"/>
    <w:rsid w:val="00D54364"/>
    <w:rsid w:val="00D54C04"/>
    <w:rsid w:val="00D55013"/>
    <w:rsid w:val="00D55269"/>
    <w:rsid w:val="00D55C31"/>
    <w:rsid w:val="00D55DD3"/>
    <w:rsid w:val="00D567AE"/>
    <w:rsid w:val="00D56A49"/>
    <w:rsid w:val="00D56AEB"/>
    <w:rsid w:val="00D57F4B"/>
    <w:rsid w:val="00D57F5B"/>
    <w:rsid w:val="00D600A7"/>
    <w:rsid w:val="00D60241"/>
    <w:rsid w:val="00D60988"/>
    <w:rsid w:val="00D60BC1"/>
    <w:rsid w:val="00D60E8C"/>
    <w:rsid w:val="00D62E59"/>
    <w:rsid w:val="00D632BF"/>
    <w:rsid w:val="00D6341A"/>
    <w:rsid w:val="00D644DF"/>
    <w:rsid w:val="00D64E92"/>
    <w:rsid w:val="00D64F0C"/>
    <w:rsid w:val="00D65CC2"/>
    <w:rsid w:val="00D6631A"/>
    <w:rsid w:val="00D66496"/>
    <w:rsid w:val="00D665F7"/>
    <w:rsid w:val="00D668E2"/>
    <w:rsid w:val="00D67599"/>
    <w:rsid w:val="00D67D30"/>
    <w:rsid w:val="00D67E58"/>
    <w:rsid w:val="00D70626"/>
    <w:rsid w:val="00D706CF"/>
    <w:rsid w:val="00D7081F"/>
    <w:rsid w:val="00D708FE"/>
    <w:rsid w:val="00D713FF"/>
    <w:rsid w:val="00D71417"/>
    <w:rsid w:val="00D7194B"/>
    <w:rsid w:val="00D725D1"/>
    <w:rsid w:val="00D7272F"/>
    <w:rsid w:val="00D72D6E"/>
    <w:rsid w:val="00D72D7A"/>
    <w:rsid w:val="00D7407B"/>
    <w:rsid w:val="00D741F5"/>
    <w:rsid w:val="00D74309"/>
    <w:rsid w:val="00D74552"/>
    <w:rsid w:val="00D74D14"/>
    <w:rsid w:val="00D757AE"/>
    <w:rsid w:val="00D75B47"/>
    <w:rsid w:val="00D7635B"/>
    <w:rsid w:val="00D76F54"/>
    <w:rsid w:val="00D77242"/>
    <w:rsid w:val="00D77264"/>
    <w:rsid w:val="00D77750"/>
    <w:rsid w:val="00D7799E"/>
    <w:rsid w:val="00D800EE"/>
    <w:rsid w:val="00D804F6"/>
    <w:rsid w:val="00D8050E"/>
    <w:rsid w:val="00D80696"/>
    <w:rsid w:val="00D806CA"/>
    <w:rsid w:val="00D80946"/>
    <w:rsid w:val="00D80D9F"/>
    <w:rsid w:val="00D80E0C"/>
    <w:rsid w:val="00D818DE"/>
    <w:rsid w:val="00D81AFD"/>
    <w:rsid w:val="00D8223F"/>
    <w:rsid w:val="00D823F1"/>
    <w:rsid w:val="00D82BE3"/>
    <w:rsid w:val="00D82C38"/>
    <w:rsid w:val="00D82E9B"/>
    <w:rsid w:val="00D837B9"/>
    <w:rsid w:val="00D83B68"/>
    <w:rsid w:val="00D83BCF"/>
    <w:rsid w:val="00D83E8E"/>
    <w:rsid w:val="00D844C8"/>
    <w:rsid w:val="00D8454C"/>
    <w:rsid w:val="00D84E51"/>
    <w:rsid w:val="00D853CA"/>
    <w:rsid w:val="00D85C25"/>
    <w:rsid w:val="00D85CF5"/>
    <w:rsid w:val="00D8603D"/>
    <w:rsid w:val="00D8618F"/>
    <w:rsid w:val="00D86BE9"/>
    <w:rsid w:val="00D86EB9"/>
    <w:rsid w:val="00D87019"/>
    <w:rsid w:val="00D8754E"/>
    <w:rsid w:val="00D87E9A"/>
    <w:rsid w:val="00D87EA6"/>
    <w:rsid w:val="00D90622"/>
    <w:rsid w:val="00D9080B"/>
    <w:rsid w:val="00D90818"/>
    <w:rsid w:val="00D91827"/>
    <w:rsid w:val="00D91D59"/>
    <w:rsid w:val="00D9252B"/>
    <w:rsid w:val="00D9253E"/>
    <w:rsid w:val="00D929E0"/>
    <w:rsid w:val="00D92D1D"/>
    <w:rsid w:val="00D933A6"/>
    <w:rsid w:val="00D933BE"/>
    <w:rsid w:val="00D93550"/>
    <w:rsid w:val="00D9393A"/>
    <w:rsid w:val="00D945F9"/>
    <w:rsid w:val="00D947C6"/>
    <w:rsid w:val="00D948A8"/>
    <w:rsid w:val="00D94989"/>
    <w:rsid w:val="00D94ABD"/>
    <w:rsid w:val="00D95A80"/>
    <w:rsid w:val="00D95DEE"/>
    <w:rsid w:val="00D95FBB"/>
    <w:rsid w:val="00D961CE"/>
    <w:rsid w:val="00D96F2C"/>
    <w:rsid w:val="00D96F38"/>
    <w:rsid w:val="00D971E5"/>
    <w:rsid w:val="00D975D3"/>
    <w:rsid w:val="00D97FD8"/>
    <w:rsid w:val="00DA0960"/>
    <w:rsid w:val="00DA0ADD"/>
    <w:rsid w:val="00DA14BB"/>
    <w:rsid w:val="00DA1AC1"/>
    <w:rsid w:val="00DA2080"/>
    <w:rsid w:val="00DA2F34"/>
    <w:rsid w:val="00DA3480"/>
    <w:rsid w:val="00DA3566"/>
    <w:rsid w:val="00DA3CC4"/>
    <w:rsid w:val="00DA3E48"/>
    <w:rsid w:val="00DA3FD0"/>
    <w:rsid w:val="00DA43C1"/>
    <w:rsid w:val="00DA45E1"/>
    <w:rsid w:val="00DA4D2B"/>
    <w:rsid w:val="00DA5C65"/>
    <w:rsid w:val="00DA5D11"/>
    <w:rsid w:val="00DA5D18"/>
    <w:rsid w:val="00DA617F"/>
    <w:rsid w:val="00DA6BBC"/>
    <w:rsid w:val="00DA6C8C"/>
    <w:rsid w:val="00DA6F0C"/>
    <w:rsid w:val="00DA6F68"/>
    <w:rsid w:val="00DA70DF"/>
    <w:rsid w:val="00DA75BC"/>
    <w:rsid w:val="00DA7DE7"/>
    <w:rsid w:val="00DA7E96"/>
    <w:rsid w:val="00DB028A"/>
    <w:rsid w:val="00DB041A"/>
    <w:rsid w:val="00DB068F"/>
    <w:rsid w:val="00DB09E6"/>
    <w:rsid w:val="00DB1167"/>
    <w:rsid w:val="00DB1285"/>
    <w:rsid w:val="00DB1664"/>
    <w:rsid w:val="00DB1747"/>
    <w:rsid w:val="00DB1A23"/>
    <w:rsid w:val="00DB1F60"/>
    <w:rsid w:val="00DB2173"/>
    <w:rsid w:val="00DB273F"/>
    <w:rsid w:val="00DB27B3"/>
    <w:rsid w:val="00DB2B43"/>
    <w:rsid w:val="00DB2D5C"/>
    <w:rsid w:val="00DB36F2"/>
    <w:rsid w:val="00DB378C"/>
    <w:rsid w:val="00DB37E4"/>
    <w:rsid w:val="00DB3A93"/>
    <w:rsid w:val="00DB4001"/>
    <w:rsid w:val="00DB42AE"/>
    <w:rsid w:val="00DB43DB"/>
    <w:rsid w:val="00DB445E"/>
    <w:rsid w:val="00DB460C"/>
    <w:rsid w:val="00DB4843"/>
    <w:rsid w:val="00DB4BEE"/>
    <w:rsid w:val="00DB518B"/>
    <w:rsid w:val="00DB51A6"/>
    <w:rsid w:val="00DB56B1"/>
    <w:rsid w:val="00DB5750"/>
    <w:rsid w:val="00DB5A81"/>
    <w:rsid w:val="00DB5A87"/>
    <w:rsid w:val="00DB6422"/>
    <w:rsid w:val="00DB6C28"/>
    <w:rsid w:val="00DB6C4D"/>
    <w:rsid w:val="00DB6D33"/>
    <w:rsid w:val="00DB6D77"/>
    <w:rsid w:val="00DB748B"/>
    <w:rsid w:val="00DB79D2"/>
    <w:rsid w:val="00DB7A71"/>
    <w:rsid w:val="00DC04E4"/>
    <w:rsid w:val="00DC083D"/>
    <w:rsid w:val="00DC0BE7"/>
    <w:rsid w:val="00DC0FAA"/>
    <w:rsid w:val="00DC14B8"/>
    <w:rsid w:val="00DC19FA"/>
    <w:rsid w:val="00DC1A6E"/>
    <w:rsid w:val="00DC1D47"/>
    <w:rsid w:val="00DC1DE5"/>
    <w:rsid w:val="00DC2D96"/>
    <w:rsid w:val="00DC3714"/>
    <w:rsid w:val="00DC3D57"/>
    <w:rsid w:val="00DC4692"/>
    <w:rsid w:val="00DC47E4"/>
    <w:rsid w:val="00DC4CA4"/>
    <w:rsid w:val="00DC52A5"/>
    <w:rsid w:val="00DC5670"/>
    <w:rsid w:val="00DC56EA"/>
    <w:rsid w:val="00DC5892"/>
    <w:rsid w:val="00DC5A08"/>
    <w:rsid w:val="00DC5A3B"/>
    <w:rsid w:val="00DC5A40"/>
    <w:rsid w:val="00DC5BED"/>
    <w:rsid w:val="00DC5E5E"/>
    <w:rsid w:val="00DC5EC2"/>
    <w:rsid w:val="00DC63ED"/>
    <w:rsid w:val="00DC68EB"/>
    <w:rsid w:val="00DC6CF3"/>
    <w:rsid w:val="00DC7023"/>
    <w:rsid w:val="00DC7664"/>
    <w:rsid w:val="00DC76FD"/>
    <w:rsid w:val="00DC7729"/>
    <w:rsid w:val="00DC7AD8"/>
    <w:rsid w:val="00DC7C82"/>
    <w:rsid w:val="00DD0322"/>
    <w:rsid w:val="00DD14B5"/>
    <w:rsid w:val="00DD1AF5"/>
    <w:rsid w:val="00DD1C2B"/>
    <w:rsid w:val="00DD1E0C"/>
    <w:rsid w:val="00DD2101"/>
    <w:rsid w:val="00DD2387"/>
    <w:rsid w:val="00DD24E8"/>
    <w:rsid w:val="00DD2536"/>
    <w:rsid w:val="00DD293B"/>
    <w:rsid w:val="00DD316B"/>
    <w:rsid w:val="00DD3452"/>
    <w:rsid w:val="00DD3624"/>
    <w:rsid w:val="00DD369F"/>
    <w:rsid w:val="00DD3A5A"/>
    <w:rsid w:val="00DD3F5A"/>
    <w:rsid w:val="00DD4A38"/>
    <w:rsid w:val="00DD4A96"/>
    <w:rsid w:val="00DD5ADE"/>
    <w:rsid w:val="00DD5AF9"/>
    <w:rsid w:val="00DD5F01"/>
    <w:rsid w:val="00DD645E"/>
    <w:rsid w:val="00DD65CD"/>
    <w:rsid w:val="00DD665B"/>
    <w:rsid w:val="00DD66C3"/>
    <w:rsid w:val="00DD6724"/>
    <w:rsid w:val="00DD696B"/>
    <w:rsid w:val="00DD7356"/>
    <w:rsid w:val="00DD74EC"/>
    <w:rsid w:val="00DD7E40"/>
    <w:rsid w:val="00DD7FE7"/>
    <w:rsid w:val="00DE0673"/>
    <w:rsid w:val="00DE08CA"/>
    <w:rsid w:val="00DE0942"/>
    <w:rsid w:val="00DE0E00"/>
    <w:rsid w:val="00DE0F11"/>
    <w:rsid w:val="00DE133D"/>
    <w:rsid w:val="00DE173F"/>
    <w:rsid w:val="00DE1D74"/>
    <w:rsid w:val="00DE2630"/>
    <w:rsid w:val="00DE27AF"/>
    <w:rsid w:val="00DE2AA2"/>
    <w:rsid w:val="00DE32F1"/>
    <w:rsid w:val="00DE3483"/>
    <w:rsid w:val="00DE394C"/>
    <w:rsid w:val="00DE3CA3"/>
    <w:rsid w:val="00DE3ECA"/>
    <w:rsid w:val="00DE417D"/>
    <w:rsid w:val="00DE4380"/>
    <w:rsid w:val="00DE4529"/>
    <w:rsid w:val="00DE470E"/>
    <w:rsid w:val="00DE47ED"/>
    <w:rsid w:val="00DE48EA"/>
    <w:rsid w:val="00DE5422"/>
    <w:rsid w:val="00DE5458"/>
    <w:rsid w:val="00DE5950"/>
    <w:rsid w:val="00DE5F4F"/>
    <w:rsid w:val="00DE6BDB"/>
    <w:rsid w:val="00DE6FCF"/>
    <w:rsid w:val="00DE714F"/>
    <w:rsid w:val="00DE72EF"/>
    <w:rsid w:val="00DE7389"/>
    <w:rsid w:val="00DE74B7"/>
    <w:rsid w:val="00DE7585"/>
    <w:rsid w:val="00DE775D"/>
    <w:rsid w:val="00DF00C7"/>
    <w:rsid w:val="00DF00D4"/>
    <w:rsid w:val="00DF0BDB"/>
    <w:rsid w:val="00DF0DA1"/>
    <w:rsid w:val="00DF1076"/>
    <w:rsid w:val="00DF11D8"/>
    <w:rsid w:val="00DF12E2"/>
    <w:rsid w:val="00DF1626"/>
    <w:rsid w:val="00DF17D6"/>
    <w:rsid w:val="00DF1D05"/>
    <w:rsid w:val="00DF1EBD"/>
    <w:rsid w:val="00DF2B76"/>
    <w:rsid w:val="00DF2E72"/>
    <w:rsid w:val="00DF35F2"/>
    <w:rsid w:val="00DF39A8"/>
    <w:rsid w:val="00DF39E3"/>
    <w:rsid w:val="00DF3BB4"/>
    <w:rsid w:val="00DF3E10"/>
    <w:rsid w:val="00DF4284"/>
    <w:rsid w:val="00DF445F"/>
    <w:rsid w:val="00DF4491"/>
    <w:rsid w:val="00DF44B3"/>
    <w:rsid w:val="00DF515A"/>
    <w:rsid w:val="00DF525F"/>
    <w:rsid w:val="00DF55E0"/>
    <w:rsid w:val="00DF5A65"/>
    <w:rsid w:val="00DF5FA5"/>
    <w:rsid w:val="00DF6591"/>
    <w:rsid w:val="00DF6BC9"/>
    <w:rsid w:val="00DF6D12"/>
    <w:rsid w:val="00DF7466"/>
    <w:rsid w:val="00DF7F4E"/>
    <w:rsid w:val="00E004A1"/>
    <w:rsid w:val="00E00539"/>
    <w:rsid w:val="00E005AF"/>
    <w:rsid w:val="00E005ED"/>
    <w:rsid w:val="00E00E68"/>
    <w:rsid w:val="00E00EB1"/>
    <w:rsid w:val="00E010A1"/>
    <w:rsid w:val="00E01303"/>
    <w:rsid w:val="00E01D36"/>
    <w:rsid w:val="00E0217D"/>
    <w:rsid w:val="00E02383"/>
    <w:rsid w:val="00E02506"/>
    <w:rsid w:val="00E0285C"/>
    <w:rsid w:val="00E034AB"/>
    <w:rsid w:val="00E034B7"/>
    <w:rsid w:val="00E03997"/>
    <w:rsid w:val="00E03E96"/>
    <w:rsid w:val="00E040CD"/>
    <w:rsid w:val="00E0411B"/>
    <w:rsid w:val="00E042D4"/>
    <w:rsid w:val="00E04F64"/>
    <w:rsid w:val="00E050C8"/>
    <w:rsid w:val="00E054DA"/>
    <w:rsid w:val="00E058B6"/>
    <w:rsid w:val="00E05BB6"/>
    <w:rsid w:val="00E0626A"/>
    <w:rsid w:val="00E06A95"/>
    <w:rsid w:val="00E06BAA"/>
    <w:rsid w:val="00E07B15"/>
    <w:rsid w:val="00E07D8A"/>
    <w:rsid w:val="00E11309"/>
    <w:rsid w:val="00E11B72"/>
    <w:rsid w:val="00E12C1E"/>
    <w:rsid w:val="00E12D73"/>
    <w:rsid w:val="00E13294"/>
    <w:rsid w:val="00E134C3"/>
    <w:rsid w:val="00E13ABF"/>
    <w:rsid w:val="00E13C02"/>
    <w:rsid w:val="00E13E6D"/>
    <w:rsid w:val="00E14133"/>
    <w:rsid w:val="00E146AE"/>
    <w:rsid w:val="00E14758"/>
    <w:rsid w:val="00E14E06"/>
    <w:rsid w:val="00E15224"/>
    <w:rsid w:val="00E15391"/>
    <w:rsid w:val="00E1545B"/>
    <w:rsid w:val="00E161F3"/>
    <w:rsid w:val="00E161FC"/>
    <w:rsid w:val="00E16365"/>
    <w:rsid w:val="00E16EFD"/>
    <w:rsid w:val="00E172BC"/>
    <w:rsid w:val="00E17B1E"/>
    <w:rsid w:val="00E17D7D"/>
    <w:rsid w:val="00E2036D"/>
    <w:rsid w:val="00E2051A"/>
    <w:rsid w:val="00E21328"/>
    <w:rsid w:val="00E2135B"/>
    <w:rsid w:val="00E21474"/>
    <w:rsid w:val="00E21623"/>
    <w:rsid w:val="00E216D6"/>
    <w:rsid w:val="00E21A1B"/>
    <w:rsid w:val="00E21BD9"/>
    <w:rsid w:val="00E21EF7"/>
    <w:rsid w:val="00E2201D"/>
    <w:rsid w:val="00E22CE0"/>
    <w:rsid w:val="00E23016"/>
    <w:rsid w:val="00E231DB"/>
    <w:rsid w:val="00E238D5"/>
    <w:rsid w:val="00E24501"/>
    <w:rsid w:val="00E24D49"/>
    <w:rsid w:val="00E24D9A"/>
    <w:rsid w:val="00E24DAE"/>
    <w:rsid w:val="00E24E76"/>
    <w:rsid w:val="00E24FD7"/>
    <w:rsid w:val="00E251D8"/>
    <w:rsid w:val="00E252C8"/>
    <w:rsid w:val="00E25757"/>
    <w:rsid w:val="00E258EF"/>
    <w:rsid w:val="00E25B75"/>
    <w:rsid w:val="00E25C62"/>
    <w:rsid w:val="00E25E61"/>
    <w:rsid w:val="00E25FD8"/>
    <w:rsid w:val="00E26576"/>
    <w:rsid w:val="00E265DD"/>
    <w:rsid w:val="00E2681B"/>
    <w:rsid w:val="00E269CF"/>
    <w:rsid w:val="00E26ADD"/>
    <w:rsid w:val="00E26C19"/>
    <w:rsid w:val="00E27458"/>
    <w:rsid w:val="00E27950"/>
    <w:rsid w:val="00E27B1F"/>
    <w:rsid w:val="00E303A2"/>
    <w:rsid w:val="00E30577"/>
    <w:rsid w:val="00E305F0"/>
    <w:rsid w:val="00E31745"/>
    <w:rsid w:val="00E31B50"/>
    <w:rsid w:val="00E3257E"/>
    <w:rsid w:val="00E32A22"/>
    <w:rsid w:val="00E32A27"/>
    <w:rsid w:val="00E32CDF"/>
    <w:rsid w:val="00E32F2A"/>
    <w:rsid w:val="00E33775"/>
    <w:rsid w:val="00E33A0C"/>
    <w:rsid w:val="00E3461D"/>
    <w:rsid w:val="00E34AE5"/>
    <w:rsid w:val="00E34FB4"/>
    <w:rsid w:val="00E35386"/>
    <w:rsid w:val="00E353D7"/>
    <w:rsid w:val="00E3576E"/>
    <w:rsid w:val="00E357A4"/>
    <w:rsid w:val="00E35DDA"/>
    <w:rsid w:val="00E36531"/>
    <w:rsid w:val="00E36AAE"/>
    <w:rsid w:val="00E37D76"/>
    <w:rsid w:val="00E4022D"/>
    <w:rsid w:val="00E40488"/>
    <w:rsid w:val="00E40645"/>
    <w:rsid w:val="00E40A14"/>
    <w:rsid w:val="00E42A09"/>
    <w:rsid w:val="00E42D27"/>
    <w:rsid w:val="00E4375C"/>
    <w:rsid w:val="00E43DE2"/>
    <w:rsid w:val="00E43DEF"/>
    <w:rsid w:val="00E43EBA"/>
    <w:rsid w:val="00E43FAF"/>
    <w:rsid w:val="00E44270"/>
    <w:rsid w:val="00E44331"/>
    <w:rsid w:val="00E44603"/>
    <w:rsid w:val="00E4571C"/>
    <w:rsid w:val="00E45F57"/>
    <w:rsid w:val="00E464D4"/>
    <w:rsid w:val="00E468A3"/>
    <w:rsid w:val="00E46D95"/>
    <w:rsid w:val="00E47006"/>
    <w:rsid w:val="00E479D7"/>
    <w:rsid w:val="00E5030E"/>
    <w:rsid w:val="00E5079C"/>
    <w:rsid w:val="00E5099D"/>
    <w:rsid w:val="00E50A36"/>
    <w:rsid w:val="00E50E02"/>
    <w:rsid w:val="00E51041"/>
    <w:rsid w:val="00E5119C"/>
    <w:rsid w:val="00E514A4"/>
    <w:rsid w:val="00E5217F"/>
    <w:rsid w:val="00E528BC"/>
    <w:rsid w:val="00E52B38"/>
    <w:rsid w:val="00E52D5B"/>
    <w:rsid w:val="00E52F2B"/>
    <w:rsid w:val="00E52FD3"/>
    <w:rsid w:val="00E530DA"/>
    <w:rsid w:val="00E53767"/>
    <w:rsid w:val="00E53D01"/>
    <w:rsid w:val="00E544AC"/>
    <w:rsid w:val="00E545D3"/>
    <w:rsid w:val="00E547BC"/>
    <w:rsid w:val="00E5582A"/>
    <w:rsid w:val="00E558A4"/>
    <w:rsid w:val="00E55DD6"/>
    <w:rsid w:val="00E55DE5"/>
    <w:rsid w:val="00E56C31"/>
    <w:rsid w:val="00E57051"/>
    <w:rsid w:val="00E570FD"/>
    <w:rsid w:val="00E57D0A"/>
    <w:rsid w:val="00E57E4D"/>
    <w:rsid w:val="00E57F46"/>
    <w:rsid w:val="00E6017E"/>
    <w:rsid w:val="00E60680"/>
    <w:rsid w:val="00E6085A"/>
    <w:rsid w:val="00E60BF3"/>
    <w:rsid w:val="00E60D01"/>
    <w:rsid w:val="00E61790"/>
    <w:rsid w:val="00E61815"/>
    <w:rsid w:val="00E61A16"/>
    <w:rsid w:val="00E61C3C"/>
    <w:rsid w:val="00E620A0"/>
    <w:rsid w:val="00E62EEC"/>
    <w:rsid w:val="00E631CF"/>
    <w:rsid w:val="00E63441"/>
    <w:rsid w:val="00E635EF"/>
    <w:rsid w:val="00E6428F"/>
    <w:rsid w:val="00E6443A"/>
    <w:rsid w:val="00E646E8"/>
    <w:rsid w:val="00E6484A"/>
    <w:rsid w:val="00E64871"/>
    <w:rsid w:val="00E64D09"/>
    <w:rsid w:val="00E64E10"/>
    <w:rsid w:val="00E6538B"/>
    <w:rsid w:val="00E656DD"/>
    <w:rsid w:val="00E664F9"/>
    <w:rsid w:val="00E671BD"/>
    <w:rsid w:val="00E6749A"/>
    <w:rsid w:val="00E67881"/>
    <w:rsid w:val="00E67A4E"/>
    <w:rsid w:val="00E67A82"/>
    <w:rsid w:val="00E67CF0"/>
    <w:rsid w:val="00E70044"/>
    <w:rsid w:val="00E70109"/>
    <w:rsid w:val="00E706F4"/>
    <w:rsid w:val="00E71472"/>
    <w:rsid w:val="00E71960"/>
    <w:rsid w:val="00E72024"/>
    <w:rsid w:val="00E723F8"/>
    <w:rsid w:val="00E72404"/>
    <w:rsid w:val="00E72E30"/>
    <w:rsid w:val="00E73903"/>
    <w:rsid w:val="00E73BA8"/>
    <w:rsid w:val="00E73C49"/>
    <w:rsid w:val="00E74692"/>
    <w:rsid w:val="00E74B8C"/>
    <w:rsid w:val="00E750DD"/>
    <w:rsid w:val="00E756AA"/>
    <w:rsid w:val="00E759B2"/>
    <w:rsid w:val="00E75B6B"/>
    <w:rsid w:val="00E75CD5"/>
    <w:rsid w:val="00E76A22"/>
    <w:rsid w:val="00E76CAD"/>
    <w:rsid w:val="00E7707F"/>
    <w:rsid w:val="00E770E4"/>
    <w:rsid w:val="00E7714B"/>
    <w:rsid w:val="00E77B46"/>
    <w:rsid w:val="00E77BC5"/>
    <w:rsid w:val="00E77C5F"/>
    <w:rsid w:val="00E80979"/>
    <w:rsid w:val="00E80E6D"/>
    <w:rsid w:val="00E8195F"/>
    <w:rsid w:val="00E81A09"/>
    <w:rsid w:val="00E81C69"/>
    <w:rsid w:val="00E81CEA"/>
    <w:rsid w:val="00E82132"/>
    <w:rsid w:val="00E832CE"/>
    <w:rsid w:val="00E8390D"/>
    <w:rsid w:val="00E839C9"/>
    <w:rsid w:val="00E839DE"/>
    <w:rsid w:val="00E83B48"/>
    <w:rsid w:val="00E8461C"/>
    <w:rsid w:val="00E8478F"/>
    <w:rsid w:val="00E8490A"/>
    <w:rsid w:val="00E84B28"/>
    <w:rsid w:val="00E850CE"/>
    <w:rsid w:val="00E857C9"/>
    <w:rsid w:val="00E8595B"/>
    <w:rsid w:val="00E862FA"/>
    <w:rsid w:val="00E863B3"/>
    <w:rsid w:val="00E86987"/>
    <w:rsid w:val="00E871EC"/>
    <w:rsid w:val="00E87E1B"/>
    <w:rsid w:val="00E87F28"/>
    <w:rsid w:val="00E90210"/>
    <w:rsid w:val="00E90287"/>
    <w:rsid w:val="00E91004"/>
    <w:rsid w:val="00E93477"/>
    <w:rsid w:val="00E937B0"/>
    <w:rsid w:val="00E9385F"/>
    <w:rsid w:val="00E9430B"/>
    <w:rsid w:val="00E95660"/>
    <w:rsid w:val="00E9576F"/>
    <w:rsid w:val="00E96022"/>
    <w:rsid w:val="00E96420"/>
    <w:rsid w:val="00E9797E"/>
    <w:rsid w:val="00EA0158"/>
    <w:rsid w:val="00EA0686"/>
    <w:rsid w:val="00EA092C"/>
    <w:rsid w:val="00EA10F8"/>
    <w:rsid w:val="00EA12BD"/>
    <w:rsid w:val="00EA191D"/>
    <w:rsid w:val="00EA1C76"/>
    <w:rsid w:val="00EA1FF3"/>
    <w:rsid w:val="00EA25A3"/>
    <w:rsid w:val="00EA344F"/>
    <w:rsid w:val="00EA398B"/>
    <w:rsid w:val="00EA3A58"/>
    <w:rsid w:val="00EA3DF8"/>
    <w:rsid w:val="00EA416E"/>
    <w:rsid w:val="00EA48EB"/>
    <w:rsid w:val="00EA4ADE"/>
    <w:rsid w:val="00EA5436"/>
    <w:rsid w:val="00EA6583"/>
    <w:rsid w:val="00EA6747"/>
    <w:rsid w:val="00EA6C61"/>
    <w:rsid w:val="00EA7067"/>
    <w:rsid w:val="00EB0892"/>
    <w:rsid w:val="00EB0BA9"/>
    <w:rsid w:val="00EB0EB2"/>
    <w:rsid w:val="00EB0F0B"/>
    <w:rsid w:val="00EB10B1"/>
    <w:rsid w:val="00EB1211"/>
    <w:rsid w:val="00EB139C"/>
    <w:rsid w:val="00EB17D9"/>
    <w:rsid w:val="00EB17E1"/>
    <w:rsid w:val="00EB2224"/>
    <w:rsid w:val="00EB2299"/>
    <w:rsid w:val="00EB22BA"/>
    <w:rsid w:val="00EB2304"/>
    <w:rsid w:val="00EB23CC"/>
    <w:rsid w:val="00EB26E6"/>
    <w:rsid w:val="00EB31DC"/>
    <w:rsid w:val="00EB35B6"/>
    <w:rsid w:val="00EB464F"/>
    <w:rsid w:val="00EB48F2"/>
    <w:rsid w:val="00EB4D0A"/>
    <w:rsid w:val="00EB4FB6"/>
    <w:rsid w:val="00EB529A"/>
    <w:rsid w:val="00EB535B"/>
    <w:rsid w:val="00EB5528"/>
    <w:rsid w:val="00EB5A62"/>
    <w:rsid w:val="00EB5E7F"/>
    <w:rsid w:val="00EB6308"/>
    <w:rsid w:val="00EB63C8"/>
    <w:rsid w:val="00EB6875"/>
    <w:rsid w:val="00EB6C85"/>
    <w:rsid w:val="00EB6E19"/>
    <w:rsid w:val="00EB7526"/>
    <w:rsid w:val="00EB75A0"/>
    <w:rsid w:val="00EB7AA2"/>
    <w:rsid w:val="00EB7CF5"/>
    <w:rsid w:val="00EB7DA9"/>
    <w:rsid w:val="00EC00ED"/>
    <w:rsid w:val="00EC09D4"/>
    <w:rsid w:val="00EC0B23"/>
    <w:rsid w:val="00EC128D"/>
    <w:rsid w:val="00EC1A9F"/>
    <w:rsid w:val="00EC1D6B"/>
    <w:rsid w:val="00EC2261"/>
    <w:rsid w:val="00EC2933"/>
    <w:rsid w:val="00EC2AB6"/>
    <w:rsid w:val="00EC2B08"/>
    <w:rsid w:val="00EC3539"/>
    <w:rsid w:val="00EC42C1"/>
    <w:rsid w:val="00EC4534"/>
    <w:rsid w:val="00EC4DB1"/>
    <w:rsid w:val="00EC663F"/>
    <w:rsid w:val="00EC6A79"/>
    <w:rsid w:val="00EC6E5F"/>
    <w:rsid w:val="00EC746A"/>
    <w:rsid w:val="00EC7D7E"/>
    <w:rsid w:val="00ED0271"/>
    <w:rsid w:val="00ED1350"/>
    <w:rsid w:val="00ED1387"/>
    <w:rsid w:val="00ED13B1"/>
    <w:rsid w:val="00ED1801"/>
    <w:rsid w:val="00ED1832"/>
    <w:rsid w:val="00ED2790"/>
    <w:rsid w:val="00ED28D6"/>
    <w:rsid w:val="00ED2F17"/>
    <w:rsid w:val="00ED3B8B"/>
    <w:rsid w:val="00ED3D3B"/>
    <w:rsid w:val="00ED401F"/>
    <w:rsid w:val="00ED45CC"/>
    <w:rsid w:val="00ED4C0D"/>
    <w:rsid w:val="00ED4CAB"/>
    <w:rsid w:val="00ED5123"/>
    <w:rsid w:val="00ED5E05"/>
    <w:rsid w:val="00ED6086"/>
    <w:rsid w:val="00ED6AE0"/>
    <w:rsid w:val="00ED6B90"/>
    <w:rsid w:val="00ED74E9"/>
    <w:rsid w:val="00ED751F"/>
    <w:rsid w:val="00ED7659"/>
    <w:rsid w:val="00EE00B9"/>
    <w:rsid w:val="00EE04F7"/>
    <w:rsid w:val="00EE0591"/>
    <w:rsid w:val="00EE12BE"/>
    <w:rsid w:val="00EE18CF"/>
    <w:rsid w:val="00EE1D2E"/>
    <w:rsid w:val="00EE1E8C"/>
    <w:rsid w:val="00EE1E9C"/>
    <w:rsid w:val="00EE2257"/>
    <w:rsid w:val="00EE238A"/>
    <w:rsid w:val="00EE24C0"/>
    <w:rsid w:val="00EE28FA"/>
    <w:rsid w:val="00EE2ABD"/>
    <w:rsid w:val="00EE2CE7"/>
    <w:rsid w:val="00EE304C"/>
    <w:rsid w:val="00EE3782"/>
    <w:rsid w:val="00EE3824"/>
    <w:rsid w:val="00EE3AE7"/>
    <w:rsid w:val="00EE3DB2"/>
    <w:rsid w:val="00EE4495"/>
    <w:rsid w:val="00EE44ED"/>
    <w:rsid w:val="00EE4EBA"/>
    <w:rsid w:val="00EE52FF"/>
    <w:rsid w:val="00EE5359"/>
    <w:rsid w:val="00EE53B7"/>
    <w:rsid w:val="00EE556A"/>
    <w:rsid w:val="00EE5B3C"/>
    <w:rsid w:val="00EE5B6B"/>
    <w:rsid w:val="00EE628C"/>
    <w:rsid w:val="00EE6A61"/>
    <w:rsid w:val="00EE70E7"/>
    <w:rsid w:val="00EE735C"/>
    <w:rsid w:val="00EE7717"/>
    <w:rsid w:val="00EE7A7A"/>
    <w:rsid w:val="00EE7B66"/>
    <w:rsid w:val="00EF0400"/>
    <w:rsid w:val="00EF061A"/>
    <w:rsid w:val="00EF0634"/>
    <w:rsid w:val="00EF074E"/>
    <w:rsid w:val="00EF0F0B"/>
    <w:rsid w:val="00EF1047"/>
    <w:rsid w:val="00EF1B7D"/>
    <w:rsid w:val="00EF285D"/>
    <w:rsid w:val="00EF2BAC"/>
    <w:rsid w:val="00EF2DEE"/>
    <w:rsid w:val="00EF33B3"/>
    <w:rsid w:val="00EF3A74"/>
    <w:rsid w:val="00EF3D5C"/>
    <w:rsid w:val="00EF469C"/>
    <w:rsid w:val="00EF5B7E"/>
    <w:rsid w:val="00EF5BBD"/>
    <w:rsid w:val="00EF62DB"/>
    <w:rsid w:val="00EF6455"/>
    <w:rsid w:val="00EF656E"/>
    <w:rsid w:val="00EF6ED8"/>
    <w:rsid w:val="00EF6EDD"/>
    <w:rsid w:val="00EF7084"/>
    <w:rsid w:val="00EF7671"/>
    <w:rsid w:val="00F0040E"/>
    <w:rsid w:val="00F00434"/>
    <w:rsid w:val="00F008CD"/>
    <w:rsid w:val="00F00B9D"/>
    <w:rsid w:val="00F00DC1"/>
    <w:rsid w:val="00F0127B"/>
    <w:rsid w:val="00F01890"/>
    <w:rsid w:val="00F01A14"/>
    <w:rsid w:val="00F02367"/>
    <w:rsid w:val="00F02996"/>
    <w:rsid w:val="00F02BCB"/>
    <w:rsid w:val="00F03BFC"/>
    <w:rsid w:val="00F040EF"/>
    <w:rsid w:val="00F0422D"/>
    <w:rsid w:val="00F04425"/>
    <w:rsid w:val="00F045AE"/>
    <w:rsid w:val="00F04834"/>
    <w:rsid w:val="00F04C68"/>
    <w:rsid w:val="00F0599A"/>
    <w:rsid w:val="00F06060"/>
    <w:rsid w:val="00F063CF"/>
    <w:rsid w:val="00F06619"/>
    <w:rsid w:val="00F06E4B"/>
    <w:rsid w:val="00F07275"/>
    <w:rsid w:val="00F0744B"/>
    <w:rsid w:val="00F079DA"/>
    <w:rsid w:val="00F111D0"/>
    <w:rsid w:val="00F11B8F"/>
    <w:rsid w:val="00F11FA1"/>
    <w:rsid w:val="00F12048"/>
    <w:rsid w:val="00F13088"/>
    <w:rsid w:val="00F13488"/>
    <w:rsid w:val="00F142B5"/>
    <w:rsid w:val="00F14BA1"/>
    <w:rsid w:val="00F14CF2"/>
    <w:rsid w:val="00F14FB9"/>
    <w:rsid w:val="00F15163"/>
    <w:rsid w:val="00F1556C"/>
    <w:rsid w:val="00F1558C"/>
    <w:rsid w:val="00F15709"/>
    <w:rsid w:val="00F160C1"/>
    <w:rsid w:val="00F161A8"/>
    <w:rsid w:val="00F16800"/>
    <w:rsid w:val="00F17302"/>
    <w:rsid w:val="00F17577"/>
    <w:rsid w:val="00F20BAC"/>
    <w:rsid w:val="00F20E30"/>
    <w:rsid w:val="00F2155F"/>
    <w:rsid w:val="00F21C47"/>
    <w:rsid w:val="00F22313"/>
    <w:rsid w:val="00F223B8"/>
    <w:rsid w:val="00F22654"/>
    <w:rsid w:val="00F22B38"/>
    <w:rsid w:val="00F22B4E"/>
    <w:rsid w:val="00F22C9F"/>
    <w:rsid w:val="00F2303D"/>
    <w:rsid w:val="00F236D2"/>
    <w:rsid w:val="00F23A20"/>
    <w:rsid w:val="00F240A3"/>
    <w:rsid w:val="00F2472D"/>
    <w:rsid w:val="00F24CDF"/>
    <w:rsid w:val="00F25E86"/>
    <w:rsid w:val="00F26119"/>
    <w:rsid w:val="00F261BC"/>
    <w:rsid w:val="00F266A5"/>
    <w:rsid w:val="00F2699D"/>
    <w:rsid w:val="00F269D0"/>
    <w:rsid w:val="00F26F7A"/>
    <w:rsid w:val="00F27377"/>
    <w:rsid w:val="00F3086C"/>
    <w:rsid w:val="00F30D29"/>
    <w:rsid w:val="00F30EDC"/>
    <w:rsid w:val="00F30FCB"/>
    <w:rsid w:val="00F32455"/>
    <w:rsid w:val="00F32C33"/>
    <w:rsid w:val="00F32D03"/>
    <w:rsid w:val="00F3310D"/>
    <w:rsid w:val="00F331D0"/>
    <w:rsid w:val="00F335FA"/>
    <w:rsid w:val="00F336AC"/>
    <w:rsid w:val="00F336E3"/>
    <w:rsid w:val="00F33B21"/>
    <w:rsid w:val="00F33E10"/>
    <w:rsid w:val="00F34643"/>
    <w:rsid w:val="00F3466D"/>
    <w:rsid w:val="00F34AA1"/>
    <w:rsid w:val="00F35638"/>
    <w:rsid w:val="00F35740"/>
    <w:rsid w:val="00F35E0E"/>
    <w:rsid w:val="00F36659"/>
    <w:rsid w:val="00F36CF5"/>
    <w:rsid w:val="00F37013"/>
    <w:rsid w:val="00F37231"/>
    <w:rsid w:val="00F37323"/>
    <w:rsid w:val="00F37A4E"/>
    <w:rsid w:val="00F37B2B"/>
    <w:rsid w:val="00F37B4D"/>
    <w:rsid w:val="00F42360"/>
    <w:rsid w:val="00F42426"/>
    <w:rsid w:val="00F4308B"/>
    <w:rsid w:val="00F43BD5"/>
    <w:rsid w:val="00F443FC"/>
    <w:rsid w:val="00F444EE"/>
    <w:rsid w:val="00F44765"/>
    <w:rsid w:val="00F44D63"/>
    <w:rsid w:val="00F44FE7"/>
    <w:rsid w:val="00F450E8"/>
    <w:rsid w:val="00F452E3"/>
    <w:rsid w:val="00F457DA"/>
    <w:rsid w:val="00F4587E"/>
    <w:rsid w:val="00F45B98"/>
    <w:rsid w:val="00F466BA"/>
    <w:rsid w:val="00F46ACF"/>
    <w:rsid w:val="00F4764C"/>
    <w:rsid w:val="00F47BE7"/>
    <w:rsid w:val="00F509D1"/>
    <w:rsid w:val="00F51081"/>
    <w:rsid w:val="00F5140E"/>
    <w:rsid w:val="00F518A1"/>
    <w:rsid w:val="00F518B9"/>
    <w:rsid w:val="00F52520"/>
    <w:rsid w:val="00F525D6"/>
    <w:rsid w:val="00F53429"/>
    <w:rsid w:val="00F53785"/>
    <w:rsid w:val="00F53BDA"/>
    <w:rsid w:val="00F53F4C"/>
    <w:rsid w:val="00F550F3"/>
    <w:rsid w:val="00F56233"/>
    <w:rsid w:val="00F5653D"/>
    <w:rsid w:val="00F56648"/>
    <w:rsid w:val="00F56A27"/>
    <w:rsid w:val="00F56FB8"/>
    <w:rsid w:val="00F6008C"/>
    <w:rsid w:val="00F6015F"/>
    <w:rsid w:val="00F60DE0"/>
    <w:rsid w:val="00F6124A"/>
    <w:rsid w:val="00F61D1C"/>
    <w:rsid w:val="00F6209B"/>
    <w:rsid w:val="00F623BD"/>
    <w:rsid w:val="00F62608"/>
    <w:rsid w:val="00F6282B"/>
    <w:rsid w:val="00F63098"/>
    <w:rsid w:val="00F63288"/>
    <w:rsid w:val="00F63507"/>
    <w:rsid w:val="00F63902"/>
    <w:rsid w:val="00F63938"/>
    <w:rsid w:val="00F63A22"/>
    <w:rsid w:val="00F63E47"/>
    <w:rsid w:val="00F63EC5"/>
    <w:rsid w:val="00F63ED3"/>
    <w:rsid w:val="00F63F79"/>
    <w:rsid w:val="00F63F9A"/>
    <w:rsid w:val="00F63FEB"/>
    <w:rsid w:val="00F64088"/>
    <w:rsid w:val="00F6454C"/>
    <w:rsid w:val="00F64626"/>
    <w:rsid w:val="00F64A3E"/>
    <w:rsid w:val="00F65071"/>
    <w:rsid w:val="00F65721"/>
    <w:rsid w:val="00F6583E"/>
    <w:rsid w:val="00F66765"/>
    <w:rsid w:val="00F67175"/>
    <w:rsid w:val="00F67223"/>
    <w:rsid w:val="00F674C2"/>
    <w:rsid w:val="00F6752B"/>
    <w:rsid w:val="00F675DB"/>
    <w:rsid w:val="00F67AE3"/>
    <w:rsid w:val="00F67D07"/>
    <w:rsid w:val="00F67ECC"/>
    <w:rsid w:val="00F67F18"/>
    <w:rsid w:val="00F702A2"/>
    <w:rsid w:val="00F708C0"/>
    <w:rsid w:val="00F70ADE"/>
    <w:rsid w:val="00F70CD5"/>
    <w:rsid w:val="00F70D44"/>
    <w:rsid w:val="00F71223"/>
    <w:rsid w:val="00F71436"/>
    <w:rsid w:val="00F7193E"/>
    <w:rsid w:val="00F71BC3"/>
    <w:rsid w:val="00F71E4F"/>
    <w:rsid w:val="00F72400"/>
    <w:rsid w:val="00F7258C"/>
    <w:rsid w:val="00F72593"/>
    <w:rsid w:val="00F7282F"/>
    <w:rsid w:val="00F72BA7"/>
    <w:rsid w:val="00F73425"/>
    <w:rsid w:val="00F738F0"/>
    <w:rsid w:val="00F7421F"/>
    <w:rsid w:val="00F74393"/>
    <w:rsid w:val="00F744ED"/>
    <w:rsid w:val="00F74686"/>
    <w:rsid w:val="00F74E9E"/>
    <w:rsid w:val="00F75134"/>
    <w:rsid w:val="00F7539C"/>
    <w:rsid w:val="00F75996"/>
    <w:rsid w:val="00F761A6"/>
    <w:rsid w:val="00F76AF6"/>
    <w:rsid w:val="00F76BD7"/>
    <w:rsid w:val="00F770BD"/>
    <w:rsid w:val="00F77255"/>
    <w:rsid w:val="00F773F1"/>
    <w:rsid w:val="00F77450"/>
    <w:rsid w:val="00F77733"/>
    <w:rsid w:val="00F80898"/>
    <w:rsid w:val="00F80C3C"/>
    <w:rsid w:val="00F83634"/>
    <w:rsid w:val="00F83AC5"/>
    <w:rsid w:val="00F83B25"/>
    <w:rsid w:val="00F84249"/>
    <w:rsid w:val="00F8533A"/>
    <w:rsid w:val="00F856CC"/>
    <w:rsid w:val="00F8656B"/>
    <w:rsid w:val="00F8668A"/>
    <w:rsid w:val="00F86823"/>
    <w:rsid w:val="00F87859"/>
    <w:rsid w:val="00F87E65"/>
    <w:rsid w:val="00F87E73"/>
    <w:rsid w:val="00F90249"/>
    <w:rsid w:val="00F90486"/>
    <w:rsid w:val="00F90C0E"/>
    <w:rsid w:val="00F90F19"/>
    <w:rsid w:val="00F91974"/>
    <w:rsid w:val="00F91AF2"/>
    <w:rsid w:val="00F91D36"/>
    <w:rsid w:val="00F91EEE"/>
    <w:rsid w:val="00F922C9"/>
    <w:rsid w:val="00F9271D"/>
    <w:rsid w:val="00F92783"/>
    <w:rsid w:val="00F92FDE"/>
    <w:rsid w:val="00F93522"/>
    <w:rsid w:val="00F938B8"/>
    <w:rsid w:val="00F93BD6"/>
    <w:rsid w:val="00F940B0"/>
    <w:rsid w:val="00F94961"/>
    <w:rsid w:val="00F94AB4"/>
    <w:rsid w:val="00F956D1"/>
    <w:rsid w:val="00F9588D"/>
    <w:rsid w:val="00F95EFC"/>
    <w:rsid w:val="00F9650A"/>
    <w:rsid w:val="00F96A3C"/>
    <w:rsid w:val="00F96CB7"/>
    <w:rsid w:val="00F97072"/>
    <w:rsid w:val="00F97BED"/>
    <w:rsid w:val="00FA0615"/>
    <w:rsid w:val="00FA0692"/>
    <w:rsid w:val="00FA0C4E"/>
    <w:rsid w:val="00FA294B"/>
    <w:rsid w:val="00FA2B24"/>
    <w:rsid w:val="00FA2D90"/>
    <w:rsid w:val="00FA2DF2"/>
    <w:rsid w:val="00FA2F93"/>
    <w:rsid w:val="00FA33F2"/>
    <w:rsid w:val="00FA3617"/>
    <w:rsid w:val="00FA3A3A"/>
    <w:rsid w:val="00FA40E9"/>
    <w:rsid w:val="00FA532E"/>
    <w:rsid w:val="00FA57BF"/>
    <w:rsid w:val="00FA5C7D"/>
    <w:rsid w:val="00FA6329"/>
    <w:rsid w:val="00FA6FD1"/>
    <w:rsid w:val="00FA7362"/>
    <w:rsid w:val="00FA740C"/>
    <w:rsid w:val="00FA79A9"/>
    <w:rsid w:val="00FB030E"/>
    <w:rsid w:val="00FB0536"/>
    <w:rsid w:val="00FB0C12"/>
    <w:rsid w:val="00FB0F9A"/>
    <w:rsid w:val="00FB1431"/>
    <w:rsid w:val="00FB1445"/>
    <w:rsid w:val="00FB163A"/>
    <w:rsid w:val="00FB1C23"/>
    <w:rsid w:val="00FB201B"/>
    <w:rsid w:val="00FB2320"/>
    <w:rsid w:val="00FB24CF"/>
    <w:rsid w:val="00FB2504"/>
    <w:rsid w:val="00FB2A4C"/>
    <w:rsid w:val="00FB357B"/>
    <w:rsid w:val="00FB3D1B"/>
    <w:rsid w:val="00FB413B"/>
    <w:rsid w:val="00FB4278"/>
    <w:rsid w:val="00FB4333"/>
    <w:rsid w:val="00FB45C3"/>
    <w:rsid w:val="00FB47FA"/>
    <w:rsid w:val="00FB492C"/>
    <w:rsid w:val="00FB4B34"/>
    <w:rsid w:val="00FB5136"/>
    <w:rsid w:val="00FB568F"/>
    <w:rsid w:val="00FB58B5"/>
    <w:rsid w:val="00FB595F"/>
    <w:rsid w:val="00FB5F5E"/>
    <w:rsid w:val="00FB616F"/>
    <w:rsid w:val="00FB67AC"/>
    <w:rsid w:val="00FB684B"/>
    <w:rsid w:val="00FB6A3F"/>
    <w:rsid w:val="00FB6E32"/>
    <w:rsid w:val="00FB7819"/>
    <w:rsid w:val="00FB78EC"/>
    <w:rsid w:val="00FB7929"/>
    <w:rsid w:val="00FB7AB0"/>
    <w:rsid w:val="00FB7D2A"/>
    <w:rsid w:val="00FC0255"/>
    <w:rsid w:val="00FC0F2A"/>
    <w:rsid w:val="00FC1300"/>
    <w:rsid w:val="00FC164A"/>
    <w:rsid w:val="00FC185E"/>
    <w:rsid w:val="00FC1CB4"/>
    <w:rsid w:val="00FC20DC"/>
    <w:rsid w:val="00FC3083"/>
    <w:rsid w:val="00FC38DD"/>
    <w:rsid w:val="00FC3CC1"/>
    <w:rsid w:val="00FC4699"/>
    <w:rsid w:val="00FC4BE9"/>
    <w:rsid w:val="00FC4D60"/>
    <w:rsid w:val="00FC5566"/>
    <w:rsid w:val="00FC5B73"/>
    <w:rsid w:val="00FC5C97"/>
    <w:rsid w:val="00FC5E50"/>
    <w:rsid w:val="00FC61EB"/>
    <w:rsid w:val="00FC635C"/>
    <w:rsid w:val="00FC6626"/>
    <w:rsid w:val="00FC699F"/>
    <w:rsid w:val="00FC6AE1"/>
    <w:rsid w:val="00FC6D25"/>
    <w:rsid w:val="00FC73EA"/>
    <w:rsid w:val="00FC7428"/>
    <w:rsid w:val="00FC7661"/>
    <w:rsid w:val="00FC776A"/>
    <w:rsid w:val="00FC78A9"/>
    <w:rsid w:val="00FC7D8E"/>
    <w:rsid w:val="00FD08C9"/>
    <w:rsid w:val="00FD0B1A"/>
    <w:rsid w:val="00FD0CB2"/>
    <w:rsid w:val="00FD1098"/>
    <w:rsid w:val="00FD1674"/>
    <w:rsid w:val="00FD1BB4"/>
    <w:rsid w:val="00FD2288"/>
    <w:rsid w:val="00FD3116"/>
    <w:rsid w:val="00FD439B"/>
    <w:rsid w:val="00FD484A"/>
    <w:rsid w:val="00FD485D"/>
    <w:rsid w:val="00FD4B21"/>
    <w:rsid w:val="00FD4FC5"/>
    <w:rsid w:val="00FD5C21"/>
    <w:rsid w:val="00FD5D60"/>
    <w:rsid w:val="00FD5E54"/>
    <w:rsid w:val="00FD608C"/>
    <w:rsid w:val="00FD6226"/>
    <w:rsid w:val="00FD6692"/>
    <w:rsid w:val="00FD66B8"/>
    <w:rsid w:val="00FD67E7"/>
    <w:rsid w:val="00FD6E52"/>
    <w:rsid w:val="00FD6F2F"/>
    <w:rsid w:val="00FD7CFB"/>
    <w:rsid w:val="00FE03E6"/>
    <w:rsid w:val="00FE04A9"/>
    <w:rsid w:val="00FE0770"/>
    <w:rsid w:val="00FE09F6"/>
    <w:rsid w:val="00FE0FB8"/>
    <w:rsid w:val="00FE1BB4"/>
    <w:rsid w:val="00FE1DC4"/>
    <w:rsid w:val="00FE24B0"/>
    <w:rsid w:val="00FE25E0"/>
    <w:rsid w:val="00FE25E2"/>
    <w:rsid w:val="00FE274E"/>
    <w:rsid w:val="00FE2D84"/>
    <w:rsid w:val="00FE34CF"/>
    <w:rsid w:val="00FE3A1D"/>
    <w:rsid w:val="00FE3AA2"/>
    <w:rsid w:val="00FE41E1"/>
    <w:rsid w:val="00FE463A"/>
    <w:rsid w:val="00FE4791"/>
    <w:rsid w:val="00FE4C31"/>
    <w:rsid w:val="00FE608E"/>
    <w:rsid w:val="00FE6424"/>
    <w:rsid w:val="00FE6761"/>
    <w:rsid w:val="00FE6A0B"/>
    <w:rsid w:val="00FE73A2"/>
    <w:rsid w:val="00FE78C4"/>
    <w:rsid w:val="00FE7DF4"/>
    <w:rsid w:val="00FE7E19"/>
    <w:rsid w:val="00FF05BE"/>
    <w:rsid w:val="00FF0B3D"/>
    <w:rsid w:val="00FF0D60"/>
    <w:rsid w:val="00FF0E02"/>
    <w:rsid w:val="00FF0F3E"/>
    <w:rsid w:val="00FF112F"/>
    <w:rsid w:val="00FF1189"/>
    <w:rsid w:val="00FF1831"/>
    <w:rsid w:val="00FF19A8"/>
    <w:rsid w:val="00FF1DEC"/>
    <w:rsid w:val="00FF1E0E"/>
    <w:rsid w:val="00FF27C4"/>
    <w:rsid w:val="00FF2AD8"/>
    <w:rsid w:val="00FF2DE7"/>
    <w:rsid w:val="00FF338F"/>
    <w:rsid w:val="00FF36FF"/>
    <w:rsid w:val="00FF3AAF"/>
    <w:rsid w:val="00FF4481"/>
    <w:rsid w:val="00FF468A"/>
    <w:rsid w:val="00FF4718"/>
    <w:rsid w:val="00FF47E3"/>
    <w:rsid w:val="00FF4E16"/>
    <w:rsid w:val="00FF5032"/>
    <w:rsid w:val="00FF5095"/>
    <w:rsid w:val="00FF568B"/>
    <w:rsid w:val="00FF635F"/>
    <w:rsid w:val="00FF63C9"/>
    <w:rsid w:val="00FF654C"/>
    <w:rsid w:val="00FF662C"/>
    <w:rsid w:val="00FF6677"/>
    <w:rsid w:val="00FF68C8"/>
    <w:rsid w:val="00FF7268"/>
    <w:rsid w:val="00FF7280"/>
    <w:rsid w:val="00FF7535"/>
    <w:rsid w:val="00FF7A9B"/>
    <w:rsid w:val="00FF7E6C"/>
    <w:rsid w:val="012A9678"/>
    <w:rsid w:val="01315E66"/>
    <w:rsid w:val="01419EFC"/>
    <w:rsid w:val="01456009"/>
    <w:rsid w:val="01484A29"/>
    <w:rsid w:val="01CE6CE4"/>
    <w:rsid w:val="01D24197"/>
    <w:rsid w:val="01D2F1EF"/>
    <w:rsid w:val="02046660"/>
    <w:rsid w:val="02411D90"/>
    <w:rsid w:val="027977B2"/>
    <w:rsid w:val="0296396C"/>
    <w:rsid w:val="02BACAC6"/>
    <w:rsid w:val="02BC9690"/>
    <w:rsid w:val="02BE5C75"/>
    <w:rsid w:val="02D32528"/>
    <w:rsid w:val="02D72BBE"/>
    <w:rsid w:val="02FCE7CC"/>
    <w:rsid w:val="031942F2"/>
    <w:rsid w:val="034479D1"/>
    <w:rsid w:val="03641782"/>
    <w:rsid w:val="037BCA22"/>
    <w:rsid w:val="037D5BBB"/>
    <w:rsid w:val="0386F9EA"/>
    <w:rsid w:val="039C3688"/>
    <w:rsid w:val="03A28746"/>
    <w:rsid w:val="03A8684B"/>
    <w:rsid w:val="03F6112D"/>
    <w:rsid w:val="04155956"/>
    <w:rsid w:val="0421F35E"/>
    <w:rsid w:val="04227A60"/>
    <w:rsid w:val="04261ABC"/>
    <w:rsid w:val="045A020A"/>
    <w:rsid w:val="0465774D"/>
    <w:rsid w:val="0490EA5D"/>
    <w:rsid w:val="049BC912"/>
    <w:rsid w:val="04B76163"/>
    <w:rsid w:val="04CEC6E8"/>
    <w:rsid w:val="04DCE2B6"/>
    <w:rsid w:val="04DF2FF4"/>
    <w:rsid w:val="04FDD651"/>
    <w:rsid w:val="05085802"/>
    <w:rsid w:val="051CE6C1"/>
    <w:rsid w:val="05296D62"/>
    <w:rsid w:val="0571D5B9"/>
    <w:rsid w:val="058F6CF5"/>
    <w:rsid w:val="05E433C8"/>
    <w:rsid w:val="05F81C04"/>
    <w:rsid w:val="0628E4BE"/>
    <w:rsid w:val="062E207D"/>
    <w:rsid w:val="06693FC6"/>
    <w:rsid w:val="06769789"/>
    <w:rsid w:val="06A8C4B5"/>
    <w:rsid w:val="06D68632"/>
    <w:rsid w:val="06DAFE7A"/>
    <w:rsid w:val="06E1825A"/>
    <w:rsid w:val="07106E95"/>
    <w:rsid w:val="07641F64"/>
    <w:rsid w:val="078ACA6C"/>
    <w:rsid w:val="0797E380"/>
    <w:rsid w:val="07ABE976"/>
    <w:rsid w:val="07D012A1"/>
    <w:rsid w:val="0836E5DD"/>
    <w:rsid w:val="084AE786"/>
    <w:rsid w:val="0857B6C0"/>
    <w:rsid w:val="08704E08"/>
    <w:rsid w:val="0874AEE5"/>
    <w:rsid w:val="0891D608"/>
    <w:rsid w:val="08923EF8"/>
    <w:rsid w:val="089A6B73"/>
    <w:rsid w:val="089E0643"/>
    <w:rsid w:val="08A1D530"/>
    <w:rsid w:val="08BAFD60"/>
    <w:rsid w:val="090AB34A"/>
    <w:rsid w:val="09353D24"/>
    <w:rsid w:val="095E5270"/>
    <w:rsid w:val="098DF878"/>
    <w:rsid w:val="09B31BE3"/>
    <w:rsid w:val="09BA85FC"/>
    <w:rsid w:val="09CFFF5A"/>
    <w:rsid w:val="0A0B0737"/>
    <w:rsid w:val="0A472824"/>
    <w:rsid w:val="0A5D321C"/>
    <w:rsid w:val="0A678B66"/>
    <w:rsid w:val="0AA48EA1"/>
    <w:rsid w:val="0AB5355A"/>
    <w:rsid w:val="0AEB2C95"/>
    <w:rsid w:val="0B125855"/>
    <w:rsid w:val="0B8BB797"/>
    <w:rsid w:val="0C326B5E"/>
    <w:rsid w:val="0C8B629B"/>
    <w:rsid w:val="0C8E3048"/>
    <w:rsid w:val="0CD39CAD"/>
    <w:rsid w:val="0D02730F"/>
    <w:rsid w:val="0D085C8B"/>
    <w:rsid w:val="0D0EE666"/>
    <w:rsid w:val="0D659DE0"/>
    <w:rsid w:val="0D867873"/>
    <w:rsid w:val="0D87B344"/>
    <w:rsid w:val="0D8A4091"/>
    <w:rsid w:val="0DF46DEB"/>
    <w:rsid w:val="0DF63769"/>
    <w:rsid w:val="0DF81AFC"/>
    <w:rsid w:val="0E49A4EC"/>
    <w:rsid w:val="0E4B9CB3"/>
    <w:rsid w:val="0E5E1EFA"/>
    <w:rsid w:val="0EFCBDC7"/>
    <w:rsid w:val="0F354A97"/>
    <w:rsid w:val="0F3B9B9F"/>
    <w:rsid w:val="0F3F8F06"/>
    <w:rsid w:val="0F796B39"/>
    <w:rsid w:val="0F95738A"/>
    <w:rsid w:val="0FA61A4A"/>
    <w:rsid w:val="0FD250C0"/>
    <w:rsid w:val="0FD82E62"/>
    <w:rsid w:val="0FE487D1"/>
    <w:rsid w:val="0FE91119"/>
    <w:rsid w:val="100E5AF3"/>
    <w:rsid w:val="1012BEDE"/>
    <w:rsid w:val="102BCDBB"/>
    <w:rsid w:val="102C1EBA"/>
    <w:rsid w:val="102DBBF2"/>
    <w:rsid w:val="103116B2"/>
    <w:rsid w:val="10334F41"/>
    <w:rsid w:val="1049B6F8"/>
    <w:rsid w:val="107FC0CA"/>
    <w:rsid w:val="1081ADDE"/>
    <w:rsid w:val="10854E43"/>
    <w:rsid w:val="109ADB69"/>
    <w:rsid w:val="10A574A9"/>
    <w:rsid w:val="10CCA30A"/>
    <w:rsid w:val="10D02C70"/>
    <w:rsid w:val="10EC56C0"/>
    <w:rsid w:val="10F6A881"/>
    <w:rsid w:val="111651F4"/>
    <w:rsid w:val="1127EE75"/>
    <w:rsid w:val="112E4071"/>
    <w:rsid w:val="1147FFB5"/>
    <w:rsid w:val="1151A853"/>
    <w:rsid w:val="11741020"/>
    <w:rsid w:val="11B9782B"/>
    <w:rsid w:val="11DA6312"/>
    <w:rsid w:val="12042700"/>
    <w:rsid w:val="1209B16C"/>
    <w:rsid w:val="1243E028"/>
    <w:rsid w:val="1271E57C"/>
    <w:rsid w:val="12A128B9"/>
    <w:rsid w:val="12CAFD92"/>
    <w:rsid w:val="12D67DE2"/>
    <w:rsid w:val="131021CE"/>
    <w:rsid w:val="1311E44D"/>
    <w:rsid w:val="131C15B1"/>
    <w:rsid w:val="132ED841"/>
    <w:rsid w:val="133BAB4A"/>
    <w:rsid w:val="138DAB99"/>
    <w:rsid w:val="13ACF639"/>
    <w:rsid w:val="13C44105"/>
    <w:rsid w:val="13C7EB7D"/>
    <w:rsid w:val="13DF7C30"/>
    <w:rsid w:val="13F4443A"/>
    <w:rsid w:val="1409FEF5"/>
    <w:rsid w:val="141AB421"/>
    <w:rsid w:val="14280D20"/>
    <w:rsid w:val="146942AB"/>
    <w:rsid w:val="1473A9C1"/>
    <w:rsid w:val="148CC5D4"/>
    <w:rsid w:val="14BCB852"/>
    <w:rsid w:val="14BE980E"/>
    <w:rsid w:val="14EC75B9"/>
    <w:rsid w:val="14ED7FC5"/>
    <w:rsid w:val="1503086F"/>
    <w:rsid w:val="1513AB34"/>
    <w:rsid w:val="153FB8D7"/>
    <w:rsid w:val="15B4918B"/>
    <w:rsid w:val="15FE990B"/>
    <w:rsid w:val="160A5E73"/>
    <w:rsid w:val="16182AA2"/>
    <w:rsid w:val="161B72BD"/>
    <w:rsid w:val="16228734"/>
    <w:rsid w:val="162E849B"/>
    <w:rsid w:val="163F98AD"/>
    <w:rsid w:val="1643A553"/>
    <w:rsid w:val="1673DD58"/>
    <w:rsid w:val="167F5D7D"/>
    <w:rsid w:val="168BC46D"/>
    <w:rsid w:val="16B34504"/>
    <w:rsid w:val="16BC19B3"/>
    <w:rsid w:val="16F650F2"/>
    <w:rsid w:val="16FDA5A7"/>
    <w:rsid w:val="16FE2917"/>
    <w:rsid w:val="1701D3C9"/>
    <w:rsid w:val="170CFC68"/>
    <w:rsid w:val="170E932F"/>
    <w:rsid w:val="17353977"/>
    <w:rsid w:val="174A7319"/>
    <w:rsid w:val="17504AAD"/>
    <w:rsid w:val="17559857"/>
    <w:rsid w:val="1758C2D9"/>
    <w:rsid w:val="175926F4"/>
    <w:rsid w:val="17680D09"/>
    <w:rsid w:val="1827C8CA"/>
    <w:rsid w:val="184526AB"/>
    <w:rsid w:val="1892C035"/>
    <w:rsid w:val="18EE9039"/>
    <w:rsid w:val="192FE122"/>
    <w:rsid w:val="19A5BA6E"/>
    <w:rsid w:val="19B39919"/>
    <w:rsid w:val="19EC48F5"/>
    <w:rsid w:val="1A21F4D4"/>
    <w:rsid w:val="1A2FE079"/>
    <w:rsid w:val="1A50FA2E"/>
    <w:rsid w:val="1A52BA49"/>
    <w:rsid w:val="1A64C677"/>
    <w:rsid w:val="1A7F9C52"/>
    <w:rsid w:val="1A912C10"/>
    <w:rsid w:val="1AB8969E"/>
    <w:rsid w:val="1ABFBDEF"/>
    <w:rsid w:val="1AD20AC3"/>
    <w:rsid w:val="1AE38BE9"/>
    <w:rsid w:val="1B028908"/>
    <w:rsid w:val="1B5934AD"/>
    <w:rsid w:val="1B702722"/>
    <w:rsid w:val="1B86D2C3"/>
    <w:rsid w:val="1BD0879E"/>
    <w:rsid w:val="1BEEA393"/>
    <w:rsid w:val="1BFA345A"/>
    <w:rsid w:val="1BFE4FA2"/>
    <w:rsid w:val="1C338292"/>
    <w:rsid w:val="1C45FD86"/>
    <w:rsid w:val="1C6DB9C5"/>
    <w:rsid w:val="1C856D88"/>
    <w:rsid w:val="1C96339B"/>
    <w:rsid w:val="1CBFD2B4"/>
    <w:rsid w:val="1D333C06"/>
    <w:rsid w:val="1D43F2A7"/>
    <w:rsid w:val="1D9121F1"/>
    <w:rsid w:val="1D96DFCC"/>
    <w:rsid w:val="1DA70A91"/>
    <w:rsid w:val="1DBA689F"/>
    <w:rsid w:val="1DE93DA9"/>
    <w:rsid w:val="1DFF9DF7"/>
    <w:rsid w:val="1E172101"/>
    <w:rsid w:val="1E3245A9"/>
    <w:rsid w:val="1E51BE86"/>
    <w:rsid w:val="1E684543"/>
    <w:rsid w:val="1EA59BF7"/>
    <w:rsid w:val="1EC2470F"/>
    <w:rsid w:val="1EC8653F"/>
    <w:rsid w:val="1F418BB6"/>
    <w:rsid w:val="1F4B71A4"/>
    <w:rsid w:val="1FAE4A12"/>
    <w:rsid w:val="1FC0BEDA"/>
    <w:rsid w:val="1FE67177"/>
    <w:rsid w:val="1FF31AA0"/>
    <w:rsid w:val="201A371A"/>
    <w:rsid w:val="20760FCE"/>
    <w:rsid w:val="209108A6"/>
    <w:rsid w:val="20998517"/>
    <w:rsid w:val="209BF31A"/>
    <w:rsid w:val="20AD8806"/>
    <w:rsid w:val="20B8E16A"/>
    <w:rsid w:val="20BDF0CC"/>
    <w:rsid w:val="20BE0825"/>
    <w:rsid w:val="20D4BA04"/>
    <w:rsid w:val="20D95878"/>
    <w:rsid w:val="20EF8EA0"/>
    <w:rsid w:val="2102F968"/>
    <w:rsid w:val="2150D5ED"/>
    <w:rsid w:val="2168C55F"/>
    <w:rsid w:val="217472D4"/>
    <w:rsid w:val="2178DE57"/>
    <w:rsid w:val="217B7FFA"/>
    <w:rsid w:val="21851D89"/>
    <w:rsid w:val="21AE22A3"/>
    <w:rsid w:val="21BBEC69"/>
    <w:rsid w:val="21DBD380"/>
    <w:rsid w:val="21E06475"/>
    <w:rsid w:val="21F90C42"/>
    <w:rsid w:val="21FF553D"/>
    <w:rsid w:val="22024433"/>
    <w:rsid w:val="2239347E"/>
    <w:rsid w:val="225845FF"/>
    <w:rsid w:val="226A366A"/>
    <w:rsid w:val="22A0DE95"/>
    <w:rsid w:val="22CF6CDC"/>
    <w:rsid w:val="22D2157D"/>
    <w:rsid w:val="22D38EEB"/>
    <w:rsid w:val="22DA7DB0"/>
    <w:rsid w:val="22E97CFC"/>
    <w:rsid w:val="22FF38DF"/>
    <w:rsid w:val="23745432"/>
    <w:rsid w:val="237E0AE4"/>
    <w:rsid w:val="23920182"/>
    <w:rsid w:val="23A76AA4"/>
    <w:rsid w:val="23AAA508"/>
    <w:rsid w:val="23E8AED2"/>
    <w:rsid w:val="240DE870"/>
    <w:rsid w:val="2456D7B2"/>
    <w:rsid w:val="249C3CCA"/>
    <w:rsid w:val="24B9903C"/>
    <w:rsid w:val="24BA5AA0"/>
    <w:rsid w:val="24D1C27F"/>
    <w:rsid w:val="24DC55EB"/>
    <w:rsid w:val="24FDCBDD"/>
    <w:rsid w:val="25166CFD"/>
    <w:rsid w:val="25180DCB"/>
    <w:rsid w:val="25515373"/>
    <w:rsid w:val="2575CD71"/>
    <w:rsid w:val="260B95EA"/>
    <w:rsid w:val="262062A1"/>
    <w:rsid w:val="265BBD2D"/>
    <w:rsid w:val="26876DE4"/>
    <w:rsid w:val="269F1DD4"/>
    <w:rsid w:val="26B4FB4B"/>
    <w:rsid w:val="27121451"/>
    <w:rsid w:val="27298360"/>
    <w:rsid w:val="27309925"/>
    <w:rsid w:val="276A1C8C"/>
    <w:rsid w:val="27BF93E5"/>
    <w:rsid w:val="27BFF3B9"/>
    <w:rsid w:val="2816662D"/>
    <w:rsid w:val="2837B2D3"/>
    <w:rsid w:val="286B2FFB"/>
    <w:rsid w:val="288475F2"/>
    <w:rsid w:val="28B6FF94"/>
    <w:rsid w:val="28BE5E96"/>
    <w:rsid w:val="28D7B474"/>
    <w:rsid w:val="28EBA326"/>
    <w:rsid w:val="29062F66"/>
    <w:rsid w:val="292C4CCB"/>
    <w:rsid w:val="2964FB91"/>
    <w:rsid w:val="297ECC8F"/>
    <w:rsid w:val="29B37DA6"/>
    <w:rsid w:val="29CFE602"/>
    <w:rsid w:val="29DC8342"/>
    <w:rsid w:val="29E18BA7"/>
    <w:rsid w:val="29E6359A"/>
    <w:rsid w:val="2A4AFD63"/>
    <w:rsid w:val="2A9C01DF"/>
    <w:rsid w:val="2AAC40A3"/>
    <w:rsid w:val="2AC2217D"/>
    <w:rsid w:val="2AFDD74D"/>
    <w:rsid w:val="2B07D951"/>
    <w:rsid w:val="2B256E4E"/>
    <w:rsid w:val="2B276642"/>
    <w:rsid w:val="2BA33E6A"/>
    <w:rsid w:val="2BBC38A2"/>
    <w:rsid w:val="2BDFAE71"/>
    <w:rsid w:val="2BE9EE33"/>
    <w:rsid w:val="2BF46F49"/>
    <w:rsid w:val="2BF4D182"/>
    <w:rsid w:val="2C05760F"/>
    <w:rsid w:val="2C0643F3"/>
    <w:rsid w:val="2C0E9738"/>
    <w:rsid w:val="2C13BDAE"/>
    <w:rsid w:val="2C18890E"/>
    <w:rsid w:val="2C3679DC"/>
    <w:rsid w:val="2C46EE04"/>
    <w:rsid w:val="2C6C7F46"/>
    <w:rsid w:val="2C6CE3B5"/>
    <w:rsid w:val="2C83CC21"/>
    <w:rsid w:val="2C87D776"/>
    <w:rsid w:val="2C892AFB"/>
    <w:rsid w:val="2C8B137D"/>
    <w:rsid w:val="2CAA5012"/>
    <w:rsid w:val="2CEDCC75"/>
    <w:rsid w:val="2CFFB862"/>
    <w:rsid w:val="2D189D99"/>
    <w:rsid w:val="2D53F590"/>
    <w:rsid w:val="2D62D161"/>
    <w:rsid w:val="2D66A643"/>
    <w:rsid w:val="2D6FF7CB"/>
    <w:rsid w:val="2D83BACA"/>
    <w:rsid w:val="2D96DB12"/>
    <w:rsid w:val="2DBA3BD5"/>
    <w:rsid w:val="2DBABA80"/>
    <w:rsid w:val="2DEEDCD1"/>
    <w:rsid w:val="2DF27989"/>
    <w:rsid w:val="2DF942EA"/>
    <w:rsid w:val="2E076D12"/>
    <w:rsid w:val="2E2F05DC"/>
    <w:rsid w:val="2E36235F"/>
    <w:rsid w:val="2E4A5674"/>
    <w:rsid w:val="2E6A73C3"/>
    <w:rsid w:val="2E6A76C8"/>
    <w:rsid w:val="2E93FEDA"/>
    <w:rsid w:val="2F5CB692"/>
    <w:rsid w:val="2FA675B7"/>
    <w:rsid w:val="2FC939B1"/>
    <w:rsid w:val="2FD4A642"/>
    <w:rsid w:val="3064F1F4"/>
    <w:rsid w:val="308C0EE3"/>
    <w:rsid w:val="30A97A89"/>
    <w:rsid w:val="30B3C8EF"/>
    <w:rsid w:val="30BF66F7"/>
    <w:rsid w:val="313B07E7"/>
    <w:rsid w:val="3145C9FB"/>
    <w:rsid w:val="3149DE80"/>
    <w:rsid w:val="31833BE8"/>
    <w:rsid w:val="31C0F140"/>
    <w:rsid w:val="31CDEDA5"/>
    <w:rsid w:val="31F76AF2"/>
    <w:rsid w:val="3203B77E"/>
    <w:rsid w:val="321E68F4"/>
    <w:rsid w:val="322BAA6F"/>
    <w:rsid w:val="3251EF1D"/>
    <w:rsid w:val="3253B2CC"/>
    <w:rsid w:val="3263910D"/>
    <w:rsid w:val="32893100"/>
    <w:rsid w:val="329A6BCE"/>
    <w:rsid w:val="329D4AB7"/>
    <w:rsid w:val="32A7353A"/>
    <w:rsid w:val="32B99F7D"/>
    <w:rsid w:val="32BB2201"/>
    <w:rsid w:val="32BC3E87"/>
    <w:rsid w:val="32BEAD95"/>
    <w:rsid w:val="32C2A657"/>
    <w:rsid w:val="32C78DBA"/>
    <w:rsid w:val="32E2B310"/>
    <w:rsid w:val="332364CD"/>
    <w:rsid w:val="332ED59D"/>
    <w:rsid w:val="335B2B5E"/>
    <w:rsid w:val="3374B0EF"/>
    <w:rsid w:val="3377EE21"/>
    <w:rsid w:val="3398E074"/>
    <w:rsid w:val="33A5726D"/>
    <w:rsid w:val="33BCD7DD"/>
    <w:rsid w:val="33C29ABE"/>
    <w:rsid w:val="33E7B5D5"/>
    <w:rsid w:val="33F317F0"/>
    <w:rsid w:val="3404F449"/>
    <w:rsid w:val="34090D97"/>
    <w:rsid w:val="3422530D"/>
    <w:rsid w:val="344EB671"/>
    <w:rsid w:val="345FD9AB"/>
    <w:rsid w:val="34643783"/>
    <w:rsid w:val="34A7F4D9"/>
    <w:rsid w:val="34C68D14"/>
    <w:rsid w:val="34D2BD90"/>
    <w:rsid w:val="34D4B0E7"/>
    <w:rsid w:val="34F8709E"/>
    <w:rsid w:val="35416963"/>
    <w:rsid w:val="355687F6"/>
    <w:rsid w:val="3559F481"/>
    <w:rsid w:val="35620696"/>
    <w:rsid w:val="35790551"/>
    <w:rsid w:val="3597CA00"/>
    <w:rsid w:val="359EBE76"/>
    <w:rsid w:val="35C63C6A"/>
    <w:rsid w:val="35D67B21"/>
    <w:rsid w:val="35D7F417"/>
    <w:rsid w:val="35DA7EA1"/>
    <w:rsid w:val="360E8315"/>
    <w:rsid w:val="3627B47D"/>
    <w:rsid w:val="36333F54"/>
    <w:rsid w:val="36369F25"/>
    <w:rsid w:val="367D56A8"/>
    <w:rsid w:val="368745DE"/>
    <w:rsid w:val="3690EE17"/>
    <w:rsid w:val="369F8A73"/>
    <w:rsid w:val="36A5FC6D"/>
    <w:rsid w:val="36AD1E8B"/>
    <w:rsid w:val="36EE8446"/>
    <w:rsid w:val="374D79C4"/>
    <w:rsid w:val="37683F18"/>
    <w:rsid w:val="376DEFD3"/>
    <w:rsid w:val="377EF354"/>
    <w:rsid w:val="3781396F"/>
    <w:rsid w:val="379075C1"/>
    <w:rsid w:val="37A4D9D2"/>
    <w:rsid w:val="37C58845"/>
    <w:rsid w:val="37DEA42E"/>
    <w:rsid w:val="37E451F1"/>
    <w:rsid w:val="38199351"/>
    <w:rsid w:val="3826DA94"/>
    <w:rsid w:val="38923497"/>
    <w:rsid w:val="389DF0C8"/>
    <w:rsid w:val="389E5034"/>
    <w:rsid w:val="389E5EDD"/>
    <w:rsid w:val="38FCAA18"/>
    <w:rsid w:val="391A72B2"/>
    <w:rsid w:val="392E64A3"/>
    <w:rsid w:val="39594CA0"/>
    <w:rsid w:val="398BB055"/>
    <w:rsid w:val="399C0C6D"/>
    <w:rsid w:val="39A4C00D"/>
    <w:rsid w:val="39B9976F"/>
    <w:rsid w:val="3A6664E9"/>
    <w:rsid w:val="3A725442"/>
    <w:rsid w:val="3A8C6838"/>
    <w:rsid w:val="3AF32917"/>
    <w:rsid w:val="3B0BE32C"/>
    <w:rsid w:val="3B3A24D8"/>
    <w:rsid w:val="3B3C82A6"/>
    <w:rsid w:val="3B693C8E"/>
    <w:rsid w:val="3B709D44"/>
    <w:rsid w:val="3B9CB50B"/>
    <w:rsid w:val="3BA65927"/>
    <w:rsid w:val="3BC70125"/>
    <w:rsid w:val="3BECFB70"/>
    <w:rsid w:val="3BFA73AD"/>
    <w:rsid w:val="3C035EA9"/>
    <w:rsid w:val="3C1AF7D5"/>
    <w:rsid w:val="3C1C1E29"/>
    <w:rsid w:val="3C753906"/>
    <w:rsid w:val="3CB58559"/>
    <w:rsid w:val="3CB94A09"/>
    <w:rsid w:val="3CCEC995"/>
    <w:rsid w:val="3CD1BA53"/>
    <w:rsid w:val="3CE26B4F"/>
    <w:rsid w:val="3CF0AD8D"/>
    <w:rsid w:val="3D183906"/>
    <w:rsid w:val="3D1EF9B6"/>
    <w:rsid w:val="3D47F7F9"/>
    <w:rsid w:val="3D4F1C4B"/>
    <w:rsid w:val="3D5765EC"/>
    <w:rsid w:val="3D70DEC5"/>
    <w:rsid w:val="3D8BDE10"/>
    <w:rsid w:val="3DD24C52"/>
    <w:rsid w:val="3DDD363A"/>
    <w:rsid w:val="3DDDBC03"/>
    <w:rsid w:val="3DE4D61C"/>
    <w:rsid w:val="3DF219D1"/>
    <w:rsid w:val="3DF3F9E7"/>
    <w:rsid w:val="3DF7B73A"/>
    <w:rsid w:val="3E13C1B7"/>
    <w:rsid w:val="3E43C4F5"/>
    <w:rsid w:val="3E702897"/>
    <w:rsid w:val="3E745B8F"/>
    <w:rsid w:val="3E97F612"/>
    <w:rsid w:val="3EA85C38"/>
    <w:rsid w:val="3EC8F938"/>
    <w:rsid w:val="3EE32B1D"/>
    <w:rsid w:val="3EF09DF8"/>
    <w:rsid w:val="3EF86885"/>
    <w:rsid w:val="3F11D650"/>
    <w:rsid w:val="3F5A4543"/>
    <w:rsid w:val="3F66274A"/>
    <w:rsid w:val="3F8854AA"/>
    <w:rsid w:val="3FAE99BE"/>
    <w:rsid w:val="3FD45CDE"/>
    <w:rsid w:val="3FE268EF"/>
    <w:rsid w:val="3FF75888"/>
    <w:rsid w:val="3FFEBBED"/>
    <w:rsid w:val="40ABAD96"/>
    <w:rsid w:val="40B430D4"/>
    <w:rsid w:val="414B4F74"/>
    <w:rsid w:val="4177793D"/>
    <w:rsid w:val="41D0CCA8"/>
    <w:rsid w:val="4208556E"/>
    <w:rsid w:val="421E8FDE"/>
    <w:rsid w:val="422E92E0"/>
    <w:rsid w:val="42714E44"/>
    <w:rsid w:val="4275FDA8"/>
    <w:rsid w:val="429AF66A"/>
    <w:rsid w:val="42A18386"/>
    <w:rsid w:val="42AF17E9"/>
    <w:rsid w:val="42B00220"/>
    <w:rsid w:val="42D2A8BA"/>
    <w:rsid w:val="42D51BC0"/>
    <w:rsid w:val="42D8DCB2"/>
    <w:rsid w:val="42E0F3D4"/>
    <w:rsid w:val="42E151D9"/>
    <w:rsid w:val="42E1CE9F"/>
    <w:rsid w:val="42E42997"/>
    <w:rsid w:val="42EDE91E"/>
    <w:rsid w:val="4328985A"/>
    <w:rsid w:val="43345C41"/>
    <w:rsid w:val="4344B81B"/>
    <w:rsid w:val="4370C24A"/>
    <w:rsid w:val="43AD8F24"/>
    <w:rsid w:val="43E97ADA"/>
    <w:rsid w:val="43ED48E9"/>
    <w:rsid w:val="444D4543"/>
    <w:rsid w:val="444D7E72"/>
    <w:rsid w:val="445847D3"/>
    <w:rsid w:val="448B2442"/>
    <w:rsid w:val="4494A99C"/>
    <w:rsid w:val="44A9D701"/>
    <w:rsid w:val="44AA14A0"/>
    <w:rsid w:val="450FDC7B"/>
    <w:rsid w:val="452E7894"/>
    <w:rsid w:val="45445ACA"/>
    <w:rsid w:val="4557A937"/>
    <w:rsid w:val="455C50F0"/>
    <w:rsid w:val="4560D777"/>
    <w:rsid w:val="45A98858"/>
    <w:rsid w:val="45BBF84E"/>
    <w:rsid w:val="45C750E1"/>
    <w:rsid w:val="45E22C53"/>
    <w:rsid w:val="45EFA258"/>
    <w:rsid w:val="45F79DF2"/>
    <w:rsid w:val="46384BDC"/>
    <w:rsid w:val="4670EA7D"/>
    <w:rsid w:val="467C5770"/>
    <w:rsid w:val="46D3C85F"/>
    <w:rsid w:val="46D3CDF0"/>
    <w:rsid w:val="4705DA0F"/>
    <w:rsid w:val="4713E34C"/>
    <w:rsid w:val="47497C5C"/>
    <w:rsid w:val="474A5AB6"/>
    <w:rsid w:val="474D9907"/>
    <w:rsid w:val="475605B4"/>
    <w:rsid w:val="475C22EB"/>
    <w:rsid w:val="477282A4"/>
    <w:rsid w:val="4778B01E"/>
    <w:rsid w:val="47915F5C"/>
    <w:rsid w:val="47A031F6"/>
    <w:rsid w:val="47B3013F"/>
    <w:rsid w:val="47D551F6"/>
    <w:rsid w:val="47F459B0"/>
    <w:rsid w:val="47FA381D"/>
    <w:rsid w:val="48578460"/>
    <w:rsid w:val="486A0856"/>
    <w:rsid w:val="48924E8E"/>
    <w:rsid w:val="489CE267"/>
    <w:rsid w:val="48D522CB"/>
    <w:rsid w:val="48EFF98E"/>
    <w:rsid w:val="4931CD81"/>
    <w:rsid w:val="49B5B073"/>
    <w:rsid w:val="49D67D00"/>
    <w:rsid w:val="49EC54E1"/>
    <w:rsid w:val="49F0DD41"/>
    <w:rsid w:val="49FE81DA"/>
    <w:rsid w:val="4A014F1B"/>
    <w:rsid w:val="4A145D7E"/>
    <w:rsid w:val="4A292520"/>
    <w:rsid w:val="4A3FC3B9"/>
    <w:rsid w:val="4A4698C0"/>
    <w:rsid w:val="4A5885D1"/>
    <w:rsid w:val="4A6D3C84"/>
    <w:rsid w:val="4A6F3E3B"/>
    <w:rsid w:val="4A7F1CCE"/>
    <w:rsid w:val="4B556DCE"/>
    <w:rsid w:val="4B5AD6DE"/>
    <w:rsid w:val="4B6D1C30"/>
    <w:rsid w:val="4B73056E"/>
    <w:rsid w:val="4BA74E81"/>
    <w:rsid w:val="4BAFE528"/>
    <w:rsid w:val="4BD1BAD8"/>
    <w:rsid w:val="4BF75195"/>
    <w:rsid w:val="4BFD295D"/>
    <w:rsid w:val="4C09CA71"/>
    <w:rsid w:val="4C1D6196"/>
    <w:rsid w:val="4C21F6FD"/>
    <w:rsid w:val="4C328A51"/>
    <w:rsid w:val="4C4BF8FF"/>
    <w:rsid w:val="4CF39867"/>
    <w:rsid w:val="4D32F44D"/>
    <w:rsid w:val="4D3315E4"/>
    <w:rsid w:val="4D56D850"/>
    <w:rsid w:val="4D7CB041"/>
    <w:rsid w:val="4D94A911"/>
    <w:rsid w:val="4DD4BFBA"/>
    <w:rsid w:val="4DD81292"/>
    <w:rsid w:val="4E04A0B0"/>
    <w:rsid w:val="4E14A936"/>
    <w:rsid w:val="4E6D54CB"/>
    <w:rsid w:val="4EFF327F"/>
    <w:rsid w:val="4F168338"/>
    <w:rsid w:val="4F16BA29"/>
    <w:rsid w:val="4F2C3A85"/>
    <w:rsid w:val="4F42B92B"/>
    <w:rsid w:val="4F70969C"/>
    <w:rsid w:val="4FC7E421"/>
    <w:rsid w:val="4FE6A9A7"/>
    <w:rsid w:val="500A0A81"/>
    <w:rsid w:val="5035BBE0"/>
    <w:rsid w:val="504A1E40"/>
    <w:rsid w:val="5053F92E"/>
    <w:rsid w:val="50AB4C5F"/>
    <w:rsid w:val="50C951A3"/>
    <w:rsid w:val="50DAD689"/>
    <w:rsid w:val="51083754"/>
    <w:rsid w:val="51334B19"/>
    <w:rsid w:val="51500ED5"/>
    <w:rsid w:val="515377FB"/>
    <w:rsid w:val="517B5686"/>
    <w:rsid w:val="5197C6F6"/>
    <w:rsid w:val="524B5B8B"/>
    <w:rsid w:val="52536991"/>
    <w:rsid w:val="525EDA31"/>
    <w:rsid w:val="5263DC70"/>
    <w:rsid w:val="52AF708B"/>
    <w:rsid w:val="52CFF941"/>
    <w:rsid w:val="52F5B1CF"/>
    <w:rsid w:val="53353240"/>
    <w:rsid w:val="5335B0A5"/>
    <w:rsid w:val="536149FB"/>
    <w:rsid w:val="53B26D58"/>
    <w:rsid w:val="53BF5439"/>
    <w:rsid w:val="53D652E9"/>
    <w:rsid w:val="54172C89"/>
    <w:rsid w:val="54227548"/>
    <w:rsid w:val="547EFAD7"/>
    <w:rsid w:val="54BC56B1"/>
    <w:rsid w:val="54E3D635"/>
    <w:rsid w:val="54EDE2A0"/>
    <w:rsid w:val="55198F91"/>
    <w:rsid w:val="554181F2"/>
    <w:rsid w:val="556BDF70"/>
    <w:rsid w:val="55867725"/>
    <w:rsid w:val="55A81EC6"/>
    <w:rsid w:val="55B622F8"/>
    <w:rsid w:val="55C4A7D4"/>
    <w:rsid w:val="55F4F933"/>
    <w:rsid w:val="55F7A134"/>
    <w:rsid w:val="562BC399"/>
    <w:rsid w:val="5649C2A0"/>
    <w:rsid w:val="5674AF68"/>
    <w:rsid w:val="569B7AEC"/>
    <w:rsid w:val="56A0EC8B"/>
    <w:rsid w:val="56C531A9"/>
    <w:rsid w:val="56DF97C9"/>
    <w:rsid w:val="56EA96CF"/>
    <w:rsid w:val="571920B3"/>
    <w:rsid w:val="575C3A9E"/>
    <w:rsid w:val="57773077"/>
    <w:rsid w:val="5781B69D"/>
    <w:rsid w:val="57833BA0"/>
    <w:rsid w:val="578DAED3"/>
    <w:rsid w:val="57A074C2"/>
    <w:rsid w:val="57CE27D8"/>
    <w:rsid w:val="5806FD83"/>
    <w:rsid w:val="582C2618"/>
    <w:rsid w:val="58537A3F"/>
    <w:rsid w:val="586727C2"/>
    <w:rsid w:val="587B585F"/>
    <w:rsid w:val="587CD6DC"/>
    <w:rsid w:val="58AC2555"/>
    <w:rsid w:val="58AD4F9C"/>
    <w:rsid w:val="58BEDD05"/>
    <w:rsid w:val="5909E704"/>
    <w:rsid w:val="5911EA81"/>
    <w:rsid w:val="593F3A34"/>
    <w:rsid w:val="5970B1ED"/>
    <w:rsid w:val="59A5194A"/>
    <w:rsid w:val="5A047D36"/>
    <w:rsid w:val="5A33BAD2"/>
    <w:rsid w:val="5A43942D"/>
    <w:rsid w:val="5A5D422D"/>
    <w:rsid w:val="5A5E8E96"/>
    <w:rsid w:val="5A805496"/>
    <w:rsid w:val="5AC94F1E"/>
    <w:rsid w:val="5AD67FDF"/>
    <w:rsid w:val="5AE18301"/>
    <w:rsid w:val="5AE7F98C"/>
    <w:rsid w:val="5B381EFB"/>
    <w:rsid w:val="5B57F973"/>
    <w:rsid w:val="5B609445"/>
    <w:rsid w:val="5B6C051B"/>
    <w:rsid w:val="5B7355DC"/>
    <w:rsid w:val="5B8B734B"/>
    <w:rsid w:val="5B99DB22"/>
    <w:rsid w:val="5BA17429"/>
    <w:rsid w:val="5BCDF1CB"/>
    <w:rsid w:val="5BF0D922"/>
    <w:rsid w:val="5C120FED"/>
    <w:rsid w:val="5C5804BA"/>
    <w:rsid w:val="5C6AF1B5"/>
    <w:rsid w:val="5C7137BF"/>
    <w:rsid w:val="5C95F8BD"/>
    <w:rsid w:val="5CB80C28"/>
    <w:rsid w:val="5CC2D5A0"/>
    <w:rsid w:val="5CE3D970"/>
    <w:rsid w:val="5CF1F9A6"/>
    <w:rsid w:val="5CFF60A8"/>
    <w:rsid w:val="5D1B5FB1"/>
    <w:rsid w:val="5D4A3043"/>
    <w:rsid w:val="5D78F94F"/>
    <w:rsid w:val="5DACB18E"/>
    <w:rsid w:val="5DC0A23C"/>
    <w:rsid w:val="5DD2F5DF"/>
    <w:rsid w:val="5DD4463B"/>
    <w:rsid w:val="5E0AEC63"/>
    <w:rsid w:val="5E125476"/>
    <w:rsid w:val="5E21F164"/>
    <w:rsid w:val="5E2B209B"/>
    <w:rsid w:val="5E38C5FD"/>
    <w:rsid w:val="5E733E86"/>
    <w:rsid w:val="5E75D5BB"/>
    <w:rsid w:val="5E81DDDF"/>
    <w:rsid w:val="5E8487A1"/>
    <w:rsid w:val="5EAA10B3"/>
    <w:rsid w:val="5F178AFC"/>
    <w:rsid w:val="5F27F642"/>
    <w:rsid w:val="5F6FC1F2"/>
    <w:rsid w:val="5FB0FC56"/>
    <w:rsid w:val="5FE553F3"/>
    <w:rsid w:val="6039CF40"/>
    <w:rsid w:val="604C899F"/>
    <w:rsid w:val="604D5B36"/>
    <w:rsid w:val="606613A0"/>
    <w:rsid w:val="606C1B1B"/>
    <w:rsid w:val="6081357B"/>
    <w:rsid w:val="6098E741"/>
    <w:rsid w:val="60A3263E"/>
    <w:rsid w:val="60A69898"/>
    <w:rsid w:val="60B21B42"/>
    <w:rsid w:val="60B791E7"/>
    <w:rsid w:val="60E870AC"/>
    <w:rsid w:val="60F48D54"/>
    <w:rsid w:val="6122A1A1"/>
    <w:rsid w:val="61501151"/>
    <w:rsid w:val="6159E58B"/>
    <w:rsid w:val="61DB7595"/>
    <w:rsid w:val="61E2FC87"/>
    <w:rsid w:val="61EA60A3"/>
    <w:rsid w:val="61F5154A"/>
    <w:rsid w:val="621B63F0"/>
    <w:rsid w:val="6234CC98"/>
    <w:rsid w:val="624880D2"/>
    <w:rsid w:val="6261A7C5"/>
    <w:rsid w:val="6270D5BB"/>
    <w:rsid w:val="62A14142"/>
    <w:rsid w:val="62A44A2F"/>
    <w:rsid w:val="62C60B5D"/>
    <w:rsid w:val="62C989B5"/>
    <w:rsid w:val="62DB2B56"/>
    <w:rsid w:val="62DF8F9E"/>
    <w:rsid w:val="62FF4755"/>
    <w:rsid w:val="631E5541"/>
    <w:rsid w:val="63224E36"/>
    <w:rsid w:val="633A2E3F"/>
    <w:rsid w:val="638D4E28"/>
    <w:rsid w:val="63A2E269"/>
    <w:rsid w:val="63B2D645"/>
    <w:rsid w:val="63E1A762"/>
    <w:rsid w:val="63E72AF8"/>
    <w:rsid w:val="63FA3F4A"/>
    <w:rsid w:val="646B44EB"/>
    <w:rsid w:val="6476D6B7"/>
    <w:rsid w:val="64B6B39C"/>
    <w:rsid w:val="64DC603A"/>
    <w:rsid w:val="65024C8D"/>
    <w:rsid w:val="65052409"/>
    <w:rsid w:val="65496942"/>
    <w:rsid w:val="656C8E99"/>
    <w:rsid w:val="658D7E1F"/>
    <w:rsid w:val="658DB465"/>
    <w:rsid w:val="659D3024"/>
    <w:rsid w:val="65A85641"/>
    <w:rsid w:val="65AF9437"/>
    <w:rsid w:val="65C9C3E0"/>
    <w:rsid w:val="65CD9944"/>
    <w:rsid w:val="65F1DE36"/>
    <w:rsid w:val="660E8BE2"/>
    <w:rsid w:val="6614E8FE"/>
    <w:rsid w:val="6621750C"/>
    <w:rsid w:val="6643816E"/>
    <w:rsid w:val="664D1FAC"/>
    <w:rsid w:val="665BE8F7"/>
    <w:rsid w:val="66A708CD"/>
    <w:rsid w:val="66D21C47"/>
    <w:rsid w:val="6753FFC2"/>
    <w:rsid w:val="67541338"/>
    <w:rsid w:val="67807012"/>
    <w:rsid w:val="67C51111"/>
    <w:rsid w:val="67D1175E"/>
    <w:rsid w:val="67EFE739"/>
    <w:rsid w:val="67FAAE8A"/>
    <w:rsid w:val="68024B8A"/>
    <w:rsid w:val="6811612F"/>
    <w:rsid w:val="683E6A77"/>
    <w:rsid w:val="6854AC15"/>
    <w:rsid w:val="685B0C95"/>
    <w:rsid w:val="6862591E"/>
    <w:rsid w:val="686F844B"/>
    <w:rsid w:val="68763434"/>
    <w:rsid w:val="688C65F4"/>
    <w:rsid w:val="68B3A09C"/>
    <w:rsid w:val="68F16FD4"/>
    <w:rsid w:val="6950657A"/>
    <w:rsid w:val="697FCB6E"/>
    <w:rsid w:val="698DC087"/>
    <w:rsid w:val="69ABAD39"/>
    <w:rsid w:val="69DE6676"/>
    <w:rsid w:val="69F4274B"/>
    <w:rsid w:val="6A1BE798"/>
    <w:rsid w:val="6A4581A4"/>
    <w:rsid w:val="6A762632"/>
    <w:rsid w:val="6A9559A4"/>
    <w:rsid w:val="6ABFC3B3"/>
    <w:rsid w:val="6AEDCE64"/>
    <w:rsid w:val="6B0E1DA9"/>
    <w:rsid w:val="6B1B733E"/>
    <w:rsid w:val="6B21850E"/>
    <w:rsid w:val="6B407C74"/>
    <w:rsid w:val="6B62F375"/>
    <w:rsid w:val="6B810E9C"/>
    <w:rsid w:val="6B8AFE47"/>
    <w:rsid w:val="6B8CA6A7"/>
    <w:rsid w:val="6BB09A26"/>
    <w:rsid w:val="6BBE0B11"/>
    <w:rsid w:val="6BC76AB6"/>
    <w:rsid w:val="6C09469C"/>
    <w:rsid w:val="6C4595BA"/>
    <w:rsid w:val="6C4F6E5F"/>
    <w:rsid w:val="6C809F08"/>
    <w:rsid w:val="6CE009F8"/>
    <w:rsid w:val="6CF138D1"/>
    <w:rsid w:val="6D120765"/>
    <w:rsid w:val="6D301453"/>
    <w:rsid w:val="6D5B1577"/>
    <w:rsid w:val="6D69EC9F"/>
    <w:rsid w:val="6D7B671E"/>
    <w:rsid w:val="6D7F8947"/>
    <w:rsid w:val="6D8AEDF7"/>
    <w:rsid w:val="6DAB6074"/>
    <w:rsid w:val="6DBE6304"/>
    <w:rsid w:val="6DCE1B3F"/>
    <w:rsid w:val="6E089DF8"/>
    <w:rsid w:val="6E256117"/>
    <w:rsid w:val="6E2642C2"/>
    <w:rsid w:val="6E4C458C"/>
    <w:rsid w:val="6E5A1EFC"/>
    <w:rsid w:val="6E5BF5EF"/>
    <w:rsid w:val="6E63E87D"/>
    <w:rsid w:val="6E6A2877"/>
    <w:rsid w:val="6E952D68"/>
    <w:rsid w:val="6EBC4EF2"/>
    <w:rsid w:val="6ECED7B0"/>
    <w:rsid w:val="6EDB7D6A"/>
    <w:rsid w:val="6EFB13AF"/>
    <w:rsid w:val="6F0212F6"/>
    <w:rsid w:val="6F759F7A"/>
    <w:rsid w:val="6F8EF5AA"/>
    <w:rsid w:val="6FBF3F57"/>
    <w:rsid w:val="6FCC1859"/>
    <w:rsid w:val="6FE25237"/>
    <w:rsid w:val="6FE59A4D"/>
    <w:rsid w:val="700EB86B"/>
    <w:rsid w:val="70319374"/>
    <w:rsid w:val="70407878"/>
    <w:rsid w:val="708A1166"/>
    <w:rsid w:val="708A142E"/>
    <w:rsid w:val="7098F70A"/>
    <w:rsid w:val="70B48E98"/>
    <w:rsid w:val="70C1F638"/>
    <w:rsid w:val="71078C8C"/>
    <w:rsid w:val="71095FA3"/>
    <w:rsid w:val="71101575"/>
    <w:rsid w:val="7154555F"/>
    <w:rsid w:val="71BE82D6"/>
    <w:rsid w:val="71C04B21"/>
    <w:rsid w:val="71C50EC4"/>
    <w:rsid w:val="71DA4722"/>
    <w:rsid w:val="71DCD663"/>
    <w:rsid w:val="71EA1F92"/>
    <w:rsid w:val="71F2FDA1"/>
    <w:rsid w:val="72018699"/>
    <w:rsid w:val="7231F0BE"/>
    <w:rsid w:val="7233356C"/>
    <w:rsid w:val="723DD4CF"/>
    <w:rsid w:val="725576CC"/>
    <w:rsid w:val="72975704"/>
    <w:rsid w:val="72B64200"/>
    <w:rsid w:val="72D2EA9C"/>
    <w:rsid w:val="7306CA58"/>
    <w:rsid w:val="730F44A1"/>
    <w:rsid w:val="731320E1"/>
    <w:rsid w:val="732C8DC8"/>
    <w:rsid w:val="733CF923"/>
    <w:rsid w:val="733F8C7D"/>
    <w:rsid w:val="735D727C"/>
    <w:rsid w:val="7373B007"/>
    <w:rsid w:val="739D8D7C"/>
    <w:rsid w:val="73A1B2C3"/>
    <w:rsid w:val="73A7C3FE"/>
    <w:rsid w:val="73B91627"/>
    <w:rsid w:val="73C7F70A"/>
    <w:rsid w:val="73D06996"/>
    <w:rsid w:val="73EC7C61"/>
    <w:rsid w:val="73F1D3C4"/>
    <w:rsid w:val="73F438B8"/>
    <w:rsid w:val="74026506"/>
    <w:rsid w:val="740332FB"/>
    <w:rsid w:val="743BC115"/>
    <w:rsid w:val="743CBFEF"/>
    <w:rsid w:val="74752803"/>
    <w:rsid w:val="749BE01E"/>
    <w:rsid w:val="74D3FBF6"/>
    <w:rsid w:val="74EDFEC4"/>
    <w:rsid w:val="74F7AD20"/>
    <w:rsid w:val="750B8BA2"/>
    <w:rsid w:val="75111F23"/>
    <w:rsid w:val="755288B4"/>
    <w:rsid w:val="755F01AD"/>
    <w:rsid w:val="756CF540"/>
    <w:rsid w:val="75CB6AE6"/>
    <w:rsid w:val="75CD1404"/>
    <w:rsid w:val="75D1FD50"/>
    <w:rsid w:val="760E3C38"/>
    <w:rsid w:val="760E57C6"/>
    <w:rsid w:val="76429866"/>
    <w:rsid w:val="76589214"/>
    <w:rsid w:val="76777F26"/>
    <w:rsid w:val="767B787E"/>
    <w:rsid w:val="767C98E2"/>
    <w:rsid w:val="769A6765"/>
    <w:rsid w:val="76E94187"/>
    <w:rsid w:val="77042729"/>
    <w:rsid w:val="7719171A"/>
    <w:rsid w:val="771E67AD"/>
    <w:rsid w:val="7743EA20"/>
    <w:rsid w:val="77487FA7"/>
    <w:rsid w:val="77563D4A"/>
    <w:rsid w:val="776AC827"/>
    <w:rsid w:val="776EE846"/>
    <w:rsid w:val="77A4E31B"/>
    <w:rsid w:val="77B4449F"/>
    <w:rsid w:val="77BF1D0D"/>
    <w:rsid w:val="77F4FC55"/>
    <w:rsid w:val="7853D21B"/>
    <w:rsid w:val="78AFD426"/>
    <w:rsid w:val="78E3FF47"/>
    <w:rsid w:val="79010027"/>
    <w:rsid w:val="7952B143"/>
    <w:rsid w:val="79604899"/>
    <w:rsid w:val="799E59C2"/>
    <w:rsid w:val="79CFBBD9"/>
    <w:rsid w:val="79E31F77"/>
    <w:rsid w:val="7A60FD25"/>
    <w:rsid w:val="7A696BFD"/>
    <w:rsid w:val="7A6A4EAC"/>
    <w:rsid w:val="7A88D056"/>
    <w:rsid w:val="7A8C02E7"/>
    <w:rsid w:val="7AC9C68D"/>
    <w:rsid w:val="7AD4D4CF"/>
    <w:rsid w:val="7AD6CB16"/>
    <w:rsid w:val="7B3B3422"/>
    <w:rsid w:val="7B3C7E3B"/>
    <w:rsid w:val="7B503379"/>
    <w:rsid w:val="7B65CBB2"/>
    <w:rsid w:val="7B6B8C3A"/>
    <w:rsid w:val="7B7E18DE"/>
    <w:rsid w:val="7B92BDA8"/>
    <w:rsid w:val="7C4CB1EB"/>
    <w:rsid w:val="7CBA5C58"/>
    <w:rsid w:val="7D0C21D8"/>
    <w:rsid w:val="7D2B4617"/>
    <w:rsid w:val="7D63B844"/>
    <w:rsid w:val="7D8A6251"/>
    <w:rsid w:val="7D96C380"/>
    <w:rsid w:val="7DBEB816"/>
    <w:rsid w:val="7DE25B13"/>
    <w:rsid w:val="7E2CDE4C"/>
    <w:rsid w:val="7E420983"/>
    <w:rsid w:val="7EA3AE8D"/>
    <w:rsid w:val="7EAA2ABE"/>
    <w:rsid w:val="7EBEAA2D"/>
    <w:rsid w:val="7ECA5262"/>
    <w:rsid w:val="7F07281C"/>
    <w:rsid w:val="7F3F0270"/>
    <w:rsid w:val="7F478BED"/>
    <w:rsid w:val="7F5932D5"/>
    <w:rsid w:val="7FD743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D1AA1"/>
  <w15:chartTrackingRefBased/>
  <w15:docId w15:val="{67A199D8-861F-43A5-AB31-148F9C10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A7B"/>
    <w:pPr>
      <w:jc w:val="both"/>
    </w:pPr>
    <w:rPr>
      <w:rFonts w:ascii="Roboto" w:hAnsi="Roboto"/>
      <w:sz w:val="20"/>
    </w:rPr>
  </w:style>
  <w:style w:type="paragraph" w:styleId="Heading1">
    <w:name w:val="heading 1"/>
    <w:basedOn w:val="Normal"/>
    <w:next w:val="Normal"/>
    <w:link w:val="Heading1Char"/>
    <w:uiPriority w:val="9"/>
    <w:qFormat/>
    <w:rsid w:val="0011411B"/>
    <w:pPr>
      <w:keepNext/>
      <w:keepLines/>
      <w:spacing w:before="240" w:after="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9"/>
    <w:unhideWhenUsed/>
    <w:qFormat/>
    <w:rsid w:val="00F331D0"/>
    <w:pPr>
      <w:pBdr>
        <w:bottom w:val="single" w:sz="18" w:space="1" w:color="D9D9D9" w:themeColor="background1" w:themeShade="D9"/>
      </w:pBdr>
      <w:spacing w:before="480" w:after="240" w:line="276" w:lineRule="auto"/>
      <w:outlineLvl w:val="1"/>
    </w:pPr>
    <w:rPr>
      <w:b/>
      <w:bCs/>
      <w:sz w:val="34"/>
      <w:szCs w:val="24"/>
    </w:rPr>
  </w:style>
  <w:style w:type="paragraph" w:styleId="Heading3">
    <w:name w:val="heading 3"/>
    <w:basedOn w:val="Normal"/>
    <w:next w:val="Normal"/>
    <w:link w:val="Heading3Char"/>
    <w:uiPriority w:val="9"/>
    <w:unhideWhenUsed/>
    <w:qFormat/>
    <w:rsid w:val="009C2386"/>
    <w:pPr>
      <w:keepNext/>
      <w:keepLines/>
      <w:pBdr>
        <w:bottom w:val="single" w:sz="6" w:space="1" w:color="D9D9D9" w:themeColor="background1" w:themeShade="D9"/>
      </w:pBdr>
      <w:spacing w:before="400" w:after="240"/>
      <w:outlineLvl w:val="2"/>
    </w:pPr>
    <w:rPr>
      <w:rFonts w:eastAsiaTheme="majorEastAsia" w:cstheme="majorBidi"/>
      <w:b/>
      <w:sz w:val="26"/>
      <w:szCs w:val="24"/>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DA3FD0"/>
    <w:pPr>
      <w:keepNext/>
      <w:keepLines/>
      <w:spacing w:before="120" w:after="120"/>
      <w:outlineLvl w:val="3"/>
    </w:pPr>
    <w:rPr>
      <w:rFonts w:eastAsiaTheme="majorEastAsia" w:cstheme="majorBidi"/>
      <w:b/>
      <w:iCs/>
      <w:sz w:val="24"/>
    </w:rPr>
  </w:style>
  <w:style w:type="paragraph" w:styleId="Heading5">
    <w:name w:val="heading 5"/>
    <w:basedOn w:val="Normal"/>
    <w:next w:val="Normal"/>
    <w:link w:val="Heading5Char"/>
    <w:uiPriority w:val="9"/>
    <w:semiHidden/>
    <w:unhideWhenUsed/>
    <w:qFormat/>
    <w:rsid w:val="00D212A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212A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212A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212A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12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4D3"/>
    <w:pPr>
      <w:ind w:left="720"/>
      <w:contextualSpacing/>
    </w:pPr>
  </w:style>
  <w:style w:type="paragraph" w:styleId="Header">
    <w:name w:val="header"/>
    <w:basedOn w:val="Normal"/>
    <w:link w:val="HeaderChar"/>
    <w:uiPriority w:val="99"/>
    <w:unhideWhenUsed/>
    <w:rsid w:val="00571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4D3"/>
  </w:style>
  <w:style w:type="paragraph" w:styleId="Footer">
    <w:name w:val="footer"/>
    <w:basedOn w:val="Normal"/>
    <w:link w:val="FooterChar"/>
    <w:uiPriority w:val="99"/>
    <w:unhideWhenUsed/>
    <w:rsid w:val="00571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4D3"/>
  </w:style>
  <w:style w:type="paragraph" w:styleId="Subtitle">
    <w:name w:val="Subtitle"/>
    <w:basedOn w:val="Normal"/>
    <w:next w:val="Normal"/>
    <w:link w:val="SubtitleChar"/>
    <w:uiPriority w:val="11"/>
    <w:qFormat/>
    <w:rsid w:val="005714D3"/>
    <w:pPr>
      <w:spacing w:line="276" w:lineRule="auto"/>
    </w:pPr>
    <w:rPr>
      <w:b/>
      <w:bCs/>
    </w:rPr>
  </w:style>
  <w:style w:type="character" w:customStyle="1" w:styleId="SubtitleChar">
    <w:name w:val="Subtitle Char"/>
    <w:basedOn w:val="DefaultParagraphFont"/>
    <w:link w:val="Subtitle"/>
    <w:uiPriority w:val="11"/>
    <w:rsid w:val="005714D3"/>
    <w:rPr>
      <w:rFonts w:ascii="Roboto" w:hAnsi="Roboto"/>
      <w:b/>
      <w:bCs/>
    </w:rPr>
  </w:style>
  <w:style w:type="paragraph" w:styleId="Title">
    <w:name w:val="Title"/>
    <w:basedOn w:val="Normal"/>
    <w:next w:val="Normal"/>
    <w:link w:val="TitleChar"/>
    <w:uiPriority w:val="10"/>
    <w:qFormat/>
    <w:rsid w:val="005714D3"/>
    <w:pPr>
      <w:spacing w:line="276" w:lineRule="auto"/>
      <w:jc w:val="center"/>
    </w:pPr>
    <w:rPr>
      <w:b/>
      <w:bCs/>
      <w:sz w:val="32"/>
      <w:szCs w:val="32"/>
    </w:rPr>
  </w:style>
  <w:style w:type="character" w:customStyle="1" w:styleId="TitleChar">
    <w:name w:val="Title Char"/>
    <w:basedOn w:val="DefaultParagraphFont"/>
    <w:link w:val="Title"/>
    <w:uiPriority w:val="10"/>
    <w:rsid w:val="005714D3"/>
    <w:rPr>
      <w:rFonts w:ascii="Roboto" w:hAnsi="Roboto"/>
      <w:b/>
      <w:bCs/>
      <w:sz w:val="32"/>
      <w:szCs w:val="32"/>
    </w:rPr>
  </w:style>
  <w:style w:type="character" w:styleId="BookTitle">
    <w:name w:val="Book Title"/>
    <w:aliases w:val="Decision"/>
    <w:basedOn w:val="DefaultParagraphFont"/>
    <w:uiPriority w:val="33"/>
    <w:qFormat/>
    <w:rsid w:val="005714D3"/>
    <w:rPr>
      <w:rFonts w:ascii="Roboto" w:eastAsiaTheme="majorEastAsia" w:hAnsi="Roboto" w:cstheme="majorBidi"/>
      <w:b/>
      <w:bCs/>
      <w:i w:val="0"/>
      <w:iCs/>
      <w:color w:val="FFFFFF" w:themeColor="background1"/>
      <w:spacing w:val="5"/>
      <w:sz w:val="32"/>
      <w:szCs w:val="32"/>
      <w:bdr w:val="single" w:sz="4" w:space="0" w:color="DBB731"/>
      <w:shd w:val="clear" w:color="auto" w:fill="DBB731"/>
    </w:rPr>
  </w:style>
  <w:style w:type="paragraph" w:styleId="BalloonText">
    <w:name w:val="Balloon Text"/>
    <w:basedOn w:val="Normal"/>
    <w:link w:val="BalloonTextChar"/>
    <w:uiPriority w:val="99"/>
    <w:semiHidden/>
    <w:unhideWhenUsed/>
    <w:rsid w:val="00222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230"/>
    <w:rPr>
      <w:rFonts w:ascii="Segoe UI" w:hAnsi="Segoe UI" w:cs="Segoe UI"/>
      <w:sz w:val="18"/>
      <w:szCs w:val="18"/>
    </w:rPr>
  </w:style>
  <w:style w:type="character" w:styleId="Hyperlink">
    <w:name w:val="Hyperlink"/>
    <w:basedOn w:val="DefaultParagraphFont"/>
    <w:uiPriority w:val="99"/>
    <w:unhideWhenUsed/>
    <w:rsid w:val="00D3102D"/>
    <w:rPr>
      <w:color w:val="0563C1" w:themeColor="hyperlink"/>
      <w:u w:val="single"/>
    </w:rPr>
  </w:style>
  <w:style w:type="character" w:customStyle="1" w:styleId="Heading2Char">
    <w:name w:val="Heading 2 Char"/>
    <w:basedOn w:val="DefaultParagraphFont"/>
    <w:link w:val="Heading2"/>
    <w:uiPriority w:val="9"/>
    <w:rsid w:val="00F331D0"/>
    <w:rPr>
      <w:rFonts w:ascii="Roboto" w:hAnsi="Roboto"/>
      <w:b/>
      <w:bCs/>
      <w:sz w:val="34"/>
      <w:szCs w:val="24"/>
    </w:rPr>
  </w:style>
  <w:style w:type="character" w:styleId="UnresolvedMention">
    <w:name w:val="Unresolved Mention"/>
    <w:basedOn w:val="DefaultParagraphFont"/>
    <w:uiPriority w:val="99"/>
    <w:unhideWhenUsed/>
    <w:rsid w:val="00197802"/>
    <w:rPr>
      <w:color w:val="605E5C"/>
      <w:shd w:val="clear" w:color="auto" w:fill="E1DFDD"/>
    </w:rPr>
  </w:style>
  <w:style w:type="table" w:styleId="TableGrid">
    <w:name w:val="Table Grid"/>
    <w:basedOn w:val="TableNormal"/>
    <w:uiPriority w:val="39"/>
    <w:rsid w:val="00DF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411B"/>
    <w:rPr>
      <w:rFonts w:ascii="Roboto" w:eastAsiaTheme="majorEastAsia" w:hAnsi="Roboto" w:cstheme="majorBidi"/>
      <w:b/>
      <w:color w:val="FFFFFF" w:themeColor="background1"/>
      <w:sz w:val="40"/>
      <w:szCs w:val="32"/>
    </w:rPr>
  </w:style>
  <w:style w:type="paragraph" w:styleId="TOCHeading">
    <w:name w:val="TOC Heading"/>
    <w:basedOn w:val="Heading1"/>
    <w:next w:val="Normal"/>
    <w:uiPriority w:val="39"/>
    <w:unhideWhenUsed/>
    <w:qFormat/>
    <w:rsid w:val="00E67A4E"/>
    <w:pPr>
      <w:outlineLvl w:val="9"/>
    </w:pPr>
    <w:rPr>
      <w:rFonts w:asciiTheme="majorHAnsi" w:hAnsiTheme="majorHAnsi"/>
      <w:b w:val="0"/>
      <w:color w:val="2F5496" w:themeColor="accent1" w:themeShade="BF"/>
      <w:lang w:eastAsia="en-US"/>
    </w:rPr>
  </w:style>
  <w:style w:type="paragraph" w:styleId="TOC1">
    <w:name w:val="toc 1"/>
    <w:basedOn w:val="Normal"/>
    <w:next w:val="Normal"/>
    <w:autoRedefine/>
    <w:uiPriority w:val="39"/>
    <w:unhideWhenUsed/>
    <w:rsid w:val="003419AD"/>
    <w:pPr>
      <w:tabs>
        <w:tab w:val="right" w:leader="dot" w:pos="9016"/>
      </w:tabs>
      <w:spacing w:after="100"/>
    </w:pPr>
  </w:style>
  <w:style w:type="paragraph" w:styleId="TOC2">
    <w:name w:val="toc 2"/>
    <w:basedOn w:val="Normal"/>
    <w:next w:val="Normal"/>
    <w:autoRedefine/>
    <w:uiPriority w:val="39"/>
    <w:unhideWhenUsed/>
    <w:rsid w:val="00007A90"/>
    <w:pPr>
      <w:tabs>
        <w:tab w:val="right" w:leader="dot" w:pos="9016"/>
      </w:tabs>
      <w:spacing w:after="100"/>
      <w:ind w:left="200"/>
    </w:pPr>
  </w:style>
  <w:style w:type="character" w:styleId="FollowedHyperlink">
    <w:name w:val="FollowedHyperlink"/>
    <w:basedOn w:val="DefaultParagraphFont"/>
    <w:uiPriority w:val="99"/>
    <w:semiHidden/>
    <w:unhideWhenUsed/>
    <w:rsid w:val="00BE1FE7"/>
    <w:rPr>
      <w:color w:val="954F72" w:themeColor="followedHyperlink"/>
      <w:u w:val="single"/>
    </w:rPr>
  </w:style>
  <w:style w:type="table" w:styleId="GridTable1Light-Accent1">
    <w:name w:val="Grid Table 1 Light Accent 1"/>
    <w:basedOn w:val="TableNormal"/>
    <w:uiPriority w:val="46"/>
    <w:rsid w:val="008B31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A7DE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8C1BE2"/>
    <w:rPr>
      <w:sz w:val="16"/>
      <w:szCs w:val="16"/>
    </w:rPr>
  </w:style>
  <w:style w:type="paragraph" w:styleId="CommentText">
    <w:name w:val="annotation text"/>
    <w:basedOn w:val="Normal"/>
    <w:link w:val="CommentTextChar"/>
    <w:uiPriority w:val="99"/>
    <w:unhideWhenUsed/>
    <w:rsid w:val="008C1BE2"/>
    <w:pPr>
      <w:spacing w:line="240" w:lineRule="auto"/>
    </w:pPr>
    <w:rPr>
      <w:szCs w:val="20"/>
    </w:rPr>
  </w:style>
  <w:style w:type="character" w:customStyle="1" w:styleId="CommentTextChar">
    <w:name w:val="Comment Text Char"/>
    <w:basedOn w:val="DefaultParagraphFont"/>
    <w:link w:val="CommentText"/>
    <w:uiPriority w:val="99"/>
    <w:rsid w:val="008C1BE2"/>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8C1BE2"/>
    <w:rPr>
      <w:b/>
      <w:bCs/>
    </w:rPr>
  </w:style>
  <w:style w:type="character" w:customStyle="1" w:styleId="CommentSubjectChar">
    <w:name w:val="Comment Subject Char"/>
    <w:basedOn w:val="CommentTextChar"/>
    <w:link w:val="CommentSubject"/>
    <w:uiPriority w:val="99"/>
    <w:semiHidden/>
    <w:rsid w:val="008C1BE2"/>
    <w:rPr>
      <w:rFonts w:ascii="Roboto" w:hAnsi="Roboto"/>
      <w:b/>
      <w:bCs/>
      <w:sz w:val="20"/>
      <w:szCs w:val="20"/>
    </w:rPr>
  </w:style>
  <w:style w:type="paragraph" w:customStyle="1" w:styleId="ql-indent-1">
    <w:name w:val="ql-indent-1"/>
    <w:basedOn w:val="Normal"/>
    <w:rsid w:val="0069131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D34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C2386"/>
    <w:rPr>
      <w:rFonts w:ascii="Roboto" w:eastAsiaTheme="majorEastAsia" w:hAnsi="Roboto" w:cstheme="majorBidi"/>
      <w:b/>
      <w:sz w:val="26"/>
      <w:szCs w:val="24"/>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DA3FD0"/>
    <w:rPr>
      <w:rFonts w:ascii="Roboto" w:eastAsiaTheme="majorEastAsia" w:hAnsi="Roboto" w:cstheme="majorBidi"/>
      <w:b/>
      <w:iCs/>
      <w:sz w:val="24"/>
    </w:rPr>
  </w:style>
  <w:style w:type="table" w:styleId="PlainTable5">
    <w:name w:val="Plain Table 5"/>
    <w:basedOn w:val="TableNormal"/>
    <w:uiPriority w:val="45"/>
    <w:rsid w:val="004029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0132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3411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C14645"/>
    <w:pPr>
      <w:spacing w:after="100"/>
      <w:ind w:left="400"/>
    </w:pPr>
  </w:style>
  <w:style w:type="table" w:styleId="TableGridLight">
    <w:name w:val="Grid Table Light"/>
    <w:basedOn w:val="TableNormal"/>
    <w:uiPriority w:val="40"/>
    <w:rsid w:val="00D56A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semiHidden/>
    <w:rsid w:val="00327386"/>
    <w:rPr>
      <w:rFonts w:ascii="Times New Roman" w:hAnsi="Times New Roman"/>
      <w:b/>
      <w:sz w:val="18"/>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iPriority w:val="99"/>
    <w:unhideWhenUsed/>
    <w:qFormat/>
    <w:rsid w:val="007B6CF2"/>
    <w:pPr>
      <w:spacing w:after="0" w:line="240" w:lineRule="auto"/>
    </w:pPr>
    <w:rPr>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7B6CF2"/>
    <w:rPr>
      <w:rFonts w:ascii="Roboto" w:hAnsi="Roboto"/>
      <w:sz w:val="20"/>
      <w:szCs w:val="20"/>
    </w:rPr>
  </w:style>
  <w:style w:type="character" w:styleId="FootnoteReference">
    <w:name w:val="footnote reference"/>
    <w:aliases w:val="16 Point,Superscript 6 Point,ftref,(Ref. de nota al pie),number,SUPERS,Footnote Reference Superscript,Ref,de nota al pie,註腳內容,de nota al pie + (Asian) MS Mincho,11 pt,Ref. de nota de rodapé1,Superscript 6 Point + 11 pt,stylish,fr,4_G"/>
    <w:basedOn w:val="DefaultParagraphFont"/>
    <w:link w:val="SUPERSCharCharCharCharCharCharCharChar"/>
    <w:unhideWhenUsed/>
    <w:qFormat/>
    <w:rsid w:val="007B6CF2"/>
    <w:rPr>
      <w:vertAlign w:val="superscript"/>
    </w:rPr>
  </w:style>
  <w:style w:type="character" w:customStyle="1" w:styleId="normaltextrun">
    <w:name w:val="normaltextrun"/>
    <w:basedOn w:val="DefaultParagraphFont"/>
    <w:rsid w:val="00E723F8"/>
  </w:style>
  <w:style w:type="character" w:customStyle="1" w:styleId="eop">
    <w:name w:val="eop"/>
    <w:basedOn w:val="DefaultParagraphFont"/>
    <w:rsid w:val="00E723F8"/>
  </w:style>
  <w:style w:type="numbering" w:customStyle="1" w:styleId="Normallist">
    <w:name w:val="Normal_list"/>
    <w:basedOn w:val="NoList"/>
    <w:rsid w:val="002141E9"/>
    <w:pPr>
      <w:numPr>
        <w:numId w:val="15"/>
      </w:numPr>
    </w:pPr>
  </w:style>
  <w:style w:type="paragraph" w:customStyle="1" w:styleId="Normalnumber">
    <w:name w:val="Normal_number"/>
    <w:basedOn w:val="Normal"/>
    <w:link w:val="NormalnumberChar"/>
    <w:qFormat/>
    <w:rsid w:val="002141E9"/>
    <w:pPr>
      <w:numPr>
        <w:numId w:val="15"/>
      </w:numPr>
      <w:spacing w:after="120" w:line="240" w:lineRule="auto"/>
      <w:jc w:val="left"/>
    </w:pPr>
    <w:rPr>
      <w:rFonts w:ascii="Times New Roman" w:eastAsia="MS Mincho" w:hAnsi="Times New Roman" w:cs="Times New Roman"/>
      <w:szCs w:val="20"/>
      <w:lang w:val="en-GB" w:eastAsia="en-US"/>
    </w:rPr>
  </w:style>
  <w:style w:type="character" w:customStyle="1" w:styleId="NormalnumberChar">
    <w:name w:val="Normal_number Char"/>
    <w:link w:val="Normalnumber"/>
    <w:qFormat/>
    <w:locked/>
    <w:rsid w:val="002141E9"/>
    <w:rPr>
      <w:rFonts w:ascii="Times New Roman" w:eastAsia="MS Mincho" w:hAnsi="Times New Roman" w:cs="Times New Roman"/>
      <w:sz w:val="20"/>
      <w:szCs w:val="20"/>
      <w:lang w:val="en-GB" w:eastAsia="en-US"/>
    </w:rPr>
  </w:style>
  <w:style w:type="paragraph" w:customStyle="1" w:styleId="BBTitle">
    <w:name w:val="BB_Title"/>
    <w:basedOn w:val="Normal"/>
    <w:link w:val="BBTitleChar"/>
    <w:qFormat/>
    <w:rsid w:val="006E732E"/>
    <w:pPr>
      <w:keepNext/>
      <w:keepLines/>
      <w:tabs>
        <w:tab w:val="left" w:pos="1247"/>
        <w:tab w:val="left" w:pos="1814"/>
        <w:tab w:val="left" w:pos="2381"/>
        <w:tab w:val="left" w:pos="2948"/>
        <w:tab w:val="left" w:pos="3515"/>
        <w:tab w:val="left" w:pos="4082"/>
      </w:tabs>
      <w:suppressAutoHyphens/>
      <w:spacing w:before="320" w:after="240" w:line="240" w:lineRule="auto"/>
      <w:ind w:left="1247" w:right="567"/>
      <w:jc w:val="left"/>
    </w:pPr>
    <w:rPr>
      <w:rFonts w:ascii="Times New Roman" w:eastAsia="Times New Roman" w:hAnsi="Times New Roman" w:cs="Times New Roman"/>
      <w:b/>
      <w:sz w:val="28"/>
      <w:szCs w:val="28"/>
      <w:lang w:val="en-GB" w:eastAsia="en-US"/>
    </w:rPr>
  </w:style>
  <w:style w:type="character" w:customStyle="1" w:styleId="BBTitleChar">
    <w:name w:val="BB_Title Char"/>
    <w:link w:val="BBTitle"/>
    <w:rsid w:val="006E732E"/>
    <w:rPr>
      <w:rFonts w:ascii="Times New Roman" w:eastAsia="Times New Roman" w:hAnsi="Times New Roman" w:cs="Times New Roman"/>
      <w:b/>
      <w:sz w:val="28"/>
      <w:szCs w:val="28"/>
      <w:lang w:val="en-GB" w:eastAsia="en-US"/>
    </w:rPr>
  </w:style>
  <w:style w:type="paragraph" w:customStyle="1" w:styleId="ZZAnxtitle">
    <w:name w:val="ZZ_Anx_title"/>
    <w:basedOn w:val="Normal"/>
    <w:link w:val="ZZAnxtitleChar"/>
    <w:rsid w:val="00EC2933"/>
    <w:pPr>
      <w:tabs>
        <w:tab w:val="left" w:pos="1247"/>
        <w:tab w:val="left" w:pos="1814"/>
        <w:tab w:val="left" w:pos="2381"/>
        <w:tab w:val="left" w:pos="2948"/>
        <w:tab w:val="left" w:pos="3515"/>
        <w:tab w:val="left" w:pos="4082"/>
      </w:tabs>
      <w:spacing w:before="360" w:after="120" w:line="240" w:lineRule="auto"/>
      <w:ind w:left="1247"/>
      <w:jc w:val="left"/>
    </w:pPr>
    <w:rPr>
      <w:rFonts w:ascii="Times New Roman" w:eastAsia="MS Mincho" w:hAnsi="Times New Roman" w:cs="Times New Roman"/>
      <w:b/>
      <w:bCs/>
      <w:sz w:val="28"/>
      <w:szCs w:val="26"/>
      <w:lang w:val="en-GB" w:eastAsia="en-US"/>
    </w:rPr>
  </w:style>
  <w:style w:type="character" w:customStyle="1" w:styleId="ZZAnxtitleChar">
    <w:name w:val="ZZ_Anx_title Char"/>
    <w:link w:val="ZZAnxtitle"/>
    <w:rsid w:val="00EC2933"/>
    <w:rPr>
      <w:rFonts w:ascii="Times New Roman" w:eastAsia="MS Mincho" w:hAnsi="Times New Roman" w:cs="Times New Roman"/>
      <w:b/>
      <w:bCs/>
      <w:sz w:val="28"/>
      <w:szCs w:val="26"/>
      <w:lang w:val="en-GB" w:eastAsia="en-US"/>
    </w:rPr>
  </w:style>
  <w:style w:type="paragraph" w:styleId="Revision">
    <w:name w:val="Revision"/>
    <w:hidden/>
    <w:uiPriority w:val="99"/>
    <w:semiHidden/>
    <w:rsid w:val="004C3432"/>
    <w:pPr>
      <w:spacing w:after="0" w:line="240" w:lineRule="auto"/>
    </w:pPr>
    <w:rPr>
      <w:rFonts w:ascii="Roboto" w:hAnsi="Roboto"/>
      <w:sz w:val="20"/>
    </w:rPr>
  </w:style>
  <w:style w:type="paragraph" w:styleId="TOC4">
    <w:name w:val="toc 4"/>
    <w:basedOn w:val="Normal"/>
    <w:next w:val="Normal"/>
    <w:autoRedefine/>
    <w:uiPriority w:val="39"/>
    <w:unhideWhenUsed/>
    <w:rsid w:val="006778CF"/>
    <w:pPr>
      <w:spacing w:after="100"/>
      <w:ind w:left="660"/>
      <w:jc w:val="left"/>
    </w:pPr>
    <w:rPr>
      <w:rFonts w:asciiTheme="minorHAnsi" w:hAnsiTheme="minorHAnsi"/>
      <w:sz w:val="22"/>
    </w:rPr>
  </w:style>
  <w:style w:type="paragraph" w:styleId="TOC5">
    <w:name w:val="toc 5"/>
    <w:basedOn w:val="Normal"/>
    <w:next w:val="Normal"/>
    <w:autoRedefine/>
    <w:uiPriority w:val="39"/>
    <w:unhideWhenUsed/>
    <w:rsid w:val="006778CF"/>
    <w:pPr>
      <w:spacing w:after="100"/>
      <w:ind w:left="880"/>
      <w:jc w:val="left"/>
    </w:pPr>
    <w:rPr>
      <w:rFonts w:asciiTheme="minorHAnsi" w:hAnsiTheme="minorHAnsi"/>
      <w:sz w:val="22"/>
    </w:rPr>
  </w:style>
  <w:style w:type="paragraph" w:styleId="TOC6">
    <w:name w:val="toc 6"/>
    <w:basedOn w:val="Normal"/>
    <w:next w:val="Normal"/>
    <w:autoRedefine/>
    <w:uiPriority w:val="39"/>
    <w:unhideWhenUsed/>
    <w:rsid w:val="006778CF"/>
    <w:pPr>
      <w:spacing w:after="100"/>
      <w:ind w:left="1100"/>
      <w:jc w:val="left"/>
    </w:pPr>
    <w:rPr>
      <w:rFonts w:asciiTheme="minorHAnsi" w:hAnsiTheme="minorHAnsi"/>
      <w:sz w:val="22"/>
    </w:rPr>
  </w:style>
  <w:style w:type="paragraph" w:styleId="TOC7">
    <w:name w:val="toc 7"/>
    <w:basedOn w:val="Normal"/>
    <w:next w:val="Normal"/>
    <w:autoRedefine/>
    <w:uiPriority w:val="39"/>
    <w:unhideWhenUsed/>
    <w:rsid w:val="006778CF"/>
    <w:pPr>
      <w:spacing w:after="100"/>
      <w:ind w:left="1320"/>
      <w:jc w:val="left"/>
    </w:pPr>
    <w:rPr>
      <w:rFonts w:asciiTheme="minorHAnsi" w:hAnsiTheme="minorHAnsi"/>
      <w:sz w:val="22"/>
    </w:rPr>
  </w:style>
  <w:style w:type="paragraph" w:styleId="TOC8">
    <w:name w:val="toc 8"/>
    <w:basedOn w:val="Normal"/>
    <w:next w:val="Normal"/>
    <w:autoRedefine/>
    <w:uiPriority w:val="39"/>
    <w:unhideWhenUsed/>
    <w:rsid w:val="006778CF"/>
    <w:pPr>
      <w:spacing w:after="100"/>
      <w:ind w:left="1540"/>
      <w:jc w:val="left"/>
    </w:pPr>
    <w:rPr>
      <w:rFonts w:asciiTheme="minorHAnsi" w:hAnsiTheme="minorHAnsi"/>
      <w:sz w:val="22"/>
    </w:rPr>
  </w:style>
  <w:style w:type="paragraph" w:styleId="TOC9">
    <w:name w:val="toc 9"/>
    <w:basedOn w:val="Normal"/>
    <w:next w:val="Normal"/>
    <w:autoRedefine/>
    <w:uiPriority w:val="39"/>
    <w:unhideWhenUsed/>
    <w:rsid w:val="006778CF"/>
    <w:pPr>
      <w:spacing w:after="100"/>
      <w:ind w:left="1760"/>
      <w:jc w:val="left"/>
    </w:pPr>
    <w:rPr>
      <w:rFonts w:asciiTheme="minorHAnsi" w:hAnsiTheme="minorHAnsi"/>
      <w:sz w:val="22"/>
    </w:rPr>
  </w:style>
  <w:style w:type="paragraph" w:customStyle="1" w:styleId="Normal-pool">
    <w:name w:val="Normal-pool"/>
    <w:link w:val="Normal-poolChar"/>
    <w:qFormat/>
    <w:rsid w:val="007C3139"/>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sz w:val="20"/>
      <w:szCs w:val="20"/>
      <w:lang w:eastAsia="en-US"/>
    </w:rPr>
  </w:style>
  <w:style w:type="paragraph" w:customStyle="1" w:styleId="Header-pool">
    <w:name w:val="Header-pool"/>
    <w:basedOn w:val="Normal-pool"/>
    <w:next w:val="Normal-pool"/>
    <w:rsid w:val="002A3A27"/>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customStyle="1" w:styleId="Normal-poolChar">
    <w:name w:val="Normal-pool Char"/>
    <w:link w:val="Normal-pool"/>
    <w:rsid w:val="00CD11AC"/>
    <w:rPr>
      <w:rFonts w:ascii="Times New Roman" w:eastAsia="SimSun" w:hAnsi="Times New Roman" w:cs="Times New Roman"/>
      <w:sz w:val="20"/>
      <w:szCs w:val="20"/>
      <w:lang w:eastAsia="en-US"/>
    </w:rPr>
  </w:style>
  <w:style w:type="paragraph" w:customStyle="1" w:styleId="AATitle">
    <w:name w:val="AA_Title"/>
    <w:basedOn w:val="Normal-pool"/>
    <w:qFormat/>
    <w:rsid w:val="00CD11AC"/>
    <w:pPr>
      <w:keepNext/>
      <w:keepLines/>
      <w:suppressAutoHyphens/>
      <w:ind w:right="5103"/>
    </w:pPr>
    <w:rPr>
      <w:b/>
      <w:lang w:val="en-GB"/>
    </w:rPr>
  </w:style>
  <w:style w:type="paragraph" w:customStyle="1" w:styleId="AATitle2">
    <w:name w:val="AA_Title2"/>
    <w:basedOn w:val="AATitle"/>
    <w:qFormat/>
    <w:rsid w:val="001C420A"/>
    <w:pPr>
      <w:tabs>
        <w:tab w:val="clear" w:pos="4082"/>
      </w:tabs>
      <w:spacing w:before="60"/>
      <w:ind w:right="4536"/>
    </w:pPr>
  </w:style>
  <w:style w:type="paragraph" w:customStyle="1" w:styleId="CH2">
    <w:name w:val="CH2"/>
    <w:basedOn w:val="Normal-pool"/>
    <w:next w:val="Normalnumber"/>
    <w:link w:val="CH2Char"/>
    <w:qFormat/>
    <w:rsid w:val="00CD11AC"/>
    <w:pPr>
      <w:keepNext/>
      <w:keepLines/>
      <w:tabs>
        <w:tab w:val="right" w:pos="851"/>
      </w:tabs>
      <w:suppressAutoHyphens/>
      <w:spacing w:before="240" w:after="120"/>
      <w:ind w:left="1247" w:right="284" w:hanging="1247"/>
    </w:pPr>
    <w:rPr>
      <w:b/>
      <w:sz w:val="24"/>
      <w:szCs w:val="24"/>
      <w:lang w:val="en-GB"/>
    </w:rPr>
  </w:style>
  <w:style w:type="character" w:customStyle="1" w:styleId="CH2Char">
    <w:name w:val="CH2 Char"/>
    <w:link w:val="CH2"/>
    <w:rsid w:val="00CD11AC"/>
    <w:rPr>
      <w:rFonts w:ascii="Times New Roman" w:eastAsia="SimSun" w:hAnsi="Times New Roman" w:cs="Times New Roman"/>
      <w:b/>
      <w:sz w:val="24"/>
      <w:szCs w:val="24"/>
      <w:lang w:val="en-GB" w:eastAsia="en-US"/>
    </w:rPr>
  </w:style>
  <w:style w:type="paragraph" w:styleId="Bibliography">
    <w:name w:val="Bibliography"/>
    <w:basedOn w:val="Normal"/>
    <w:next w:val="Normal"/>
    <w:uiPriority w:val="37"/>
    <w:semiHidden/>
    <w:unhideWhenUsed/>
    <w:rsid w:val="00D212A9"/>
  </w:style>
  <w:style w:type="paragraph" w:styleId="BlockText">
    <w:name w:val="Block Text"/>
    <w:basedOn w:val="Normal"/>
    <w:uiPriority w:val="99"/>
    <w:semiHidden/>
    <w:unhideWhenUsed/>
    <w:rsid w:val="00D212A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 w:type="paragraph" w:styleId="BodyText">
    <w:name w:val="Body Text"/>
    <w:basedOn w:val="Normal"/>
    <w:link w:val="BodyTextChar"/>
    <w:uiPriority w:val="99"/>
    <w:semiHidden/>
    <w:unhideWhenUsed/>
    <w:rsid w:val="00D212A9"/>
    <w:pPr>
      <w:spacing w:after="120"/>
    </w:pPr>
  </w:style>
  <w:style w:type="character" w:customStyle="1" w:styleId="BodyTextChar">
    <w:name w:val="Body Text Char"/>
    <w:basedOn w:val="DefaultParagraphFont"/>
    <w:link w:val="BodyText"/>
    <w:uiPriority w:val="99"/>
    <w:semiHidden/>
    <w:rsid w:val="00D212A9"/>
    <w:rPr>
      <w:rFonts w:ascii="Roboto" w:hAnsi="Roboto"/>
      <w:sz w:val="20"/>
    </w:rPr>
  </w:style>
  <w:style w:type="paragraph" w:styleId="BodyText2">
    <w:name w:val="Body Text 2"/>
    <w:basedOn w:val="Normal"/>
    <w:link w:val="BodyText2Char"/>
    <w:uiPriority w:val="99"/>
    <w:semiHidden/>
    <w:unhideWhenUsed/>
    <w:rsid w:val="00D212A9"/>
    <w:pPr>
      <w:spacing w:after="120" w:line="480" w:lineRule="auto"/>
    </w:pPr>
  </w:style>
  <w:style w:type="character" w:customStyle="1" w:styleId="BodyText2Char">
    <w:name w:val="Body Text 2 Char"/>
    <w:basedOn w:val="DefaultParagraphFont"/>
    <w:link w:val="BodyText2"/>
    <w:uiPriority w:val="99"/>
    <w:semiHidden/>
    <w:rsid w:val="00D212A9"/>
    <w:rPr>
      <w:rFonts w:ascii="Roboto" w:hAnsi="Roboto"/>
      <w:sz w:val="20"/>
    </w:rPr>
  </w:style>
  <w:style w:type="paragraph" w:styleId="BodyText3">
    <w:name w:val="Body Text 3"/>
    <w:basedOn w:val="Normal"/>
    <w:link w:val="BodyText3Char"/>
    <w:uiPriority w:val="99"/>
    <w:semiHidden/>
    <w:unhideWhenUsed/>
    <w:rsid w:val="00D212A9"/>
    <w:pPr>
      <w:spacing w:after="120"/>
    </w:pPr>
    <w:rPr>
      <w:sz w:val="16"/>
      <w:szCs w:val="16"/>
    </w:rPr>
  </w:style>
  <w:style w:type="character" w:customStyle="1" w:styleId="BodyText3Char">
    <w:name w:val="Body Text 3 Char"/>
    <w:basedOn w:val="DefaultParagraphFont"/>
    <w:link w:val="BodyText3"/>
    <w:uiPriority w:val="99"/>
    <w:semiHidden/>
    <w:rsid w:val="00D212A9"/>
    <w:rPr>
      <w:rFonts w:ascii="Roboto" w:hAnsi="Roboto"/>
      <w:sz w:val="16"/>
      <w:szCs w:val="16"/>
    </w:rPr>
  </w:style>
  <w:style w:type="paragraph" w:styleId="BodyTextFirstIndent">
    <w:name w:val="Body Text First Indent"/>
    <w:basedOn w:val="BodyText"/>
    <w:link w:val="BodyTextFirstIndentChar"/>
    <w:uiPriority w:val="99"/>
    <w:semiHidden/>
    <w:unhideWhenUsed/>
    <w:rsid w:val="00D212A9"/>
    <w:pPr>
      <w:spacing w:after="160"/>
      <w:ind w:firstLine="360"/>
    </w:pPr>
  </w:style>
  <w:style w:type="character" w:customStyle="1" w:styleId="BodyTextFirstIndentChar">
    <w:name w:val="Body Text First Indent Char"/>
    <w:basedOn w:val="BodyTextChar"/>
    <w:link w:val="BodyTextFirstIndent"/>
    <w:uiPriority w:val="99"/>
    <w:semiHidden/>
    <w:rsid w:val="00D212A9"/>
    <w:rPr>
      <w:rFonts w:ascii="Roboto" w:hAnsi="Roboto"/>
      <w:sz w:val="20"/>
    </w:rPr>
  </w:style>
  <w:style w:type="paragraph" w:styleId="BodyTextIndent">
    <w:name w:val="Body Text Indent"/>
    <w:basedOn w:val="Normal"/>
    <w:link w:val="BodyTextIndentChar"/>
    <w:uiPriority w:val="99"/>
    <w:semiHidden/>
    <w:unhideWhenUsed/>
    <w:rsid w:val="00D212A9"/>
    <w:pPr>
      <w:spacing w:after="120"/>
      <w:ind w:left="283"/>
    </w:pPr>
  </w:style>
  <w:style w:type="character" w:customStyle="1" w:styleId="BodyTextIndentChar">
    <w:name w:val="Body Text Indent Char"/>
    <w:basedOn w:val="DefaultParagraphFont"/>
    <w:link w:val="BodyTextIndent"/>
    <w:uiPriority w:val="99"/>
    <w:semiHidden/>
    <w:rsid w:val="00D212A9"/>
    <w:rPr>
      <w:rFonts w:ascii="Roboto" w:hAnsi="Roboto"/>
      <w:sz w:val="20"/>
    </w:rPr>
  </w:style>
  <w:style w:type="paragraph" w:styleId="BodyTextFirstIndent2">
    <w:name w:val="Body Text First Indent 2"/>
    <w:basedOn w:val="BodyTextIndent"/>
    <w:link w:val="BodyTextFirstIndent2Char"/>
    <w:uiPriority w:val="99"/>
    <w:semiHidden/>
    <w:unhideWhenUsed/>
    <w:rsid w:val="00D212A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212A9"/>
    <w:rPr>
      <w:rFonts w:ascii="Roboto" w:hAnsi="Roboto"/>
      <w:sz w:val="20"/>
    </w:rPr>
  </w:style>
  <w:style w:type="paragraph" w:styleId="BodyTextIndent2">
    <w:name w:val="Body Text Indent 2"/>
    <w:basedOn w:val="Normal"/>
    <w:link w:val="BodyTextIndent2Char"/>
    <w:uiPriority w:val="99"/>
    <w:semiHidden/>
    <w:unhideWhenUsed/>
    <w:rsid w:val="00D212A9"/>
    <w:pPr>
      <w:spacing w:after="120" w:line="480" w:lineRule="auto"/>
      <w:ind w:left="283"/>
    </w:pPr>
  </w:style>
  <w:style w:type="character" w:customStyle="1" w:styleId="BodyTextIndent2Char">
    <w:name w:val="Body Text Indent 2 Char"/>
    <w:basedOn w:val="DefaultParagraphFont"/>
    <w:link w:val="BodyTextIndent2"/>
    <w:uiPriority w:val="99"/>
    <w:semiHidden/>
    <w:rsid w:val="00D212A9"/>
    <w:rPr>
      <w:rFonts w:ascii="Roboto" w:hAnsi="Roboto"/>
      <w:sz w:val="20"/>
    </w:rPr>
  </w:style>
  <w:style w:type="paragraph" w:styleId="BodyTextIndent3">
    <w:name w:val="Body Text Indent 3"/>
    <w:basedOn w:val="Normal"/>
    <w:link w:val="BodyTextIndent3Char"/>
    <w:uiPriority w:val="99"/>
    <w:semiHidden/>
    <w:unhideWhenUsed/>
    <w:rsid w:val="00D212A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2A9"/>
    <w:rPr>
      <w:rFonts w:ascii="Roboto" w:hAnsi="Roboto"/>
      <w:sz w:val="16"/>
      <w:szCs w:val="16"/>
    </w:rPr>
  </w:style>
  <w:style w:type="paragraph" w:styleId="Caption">
    <w:name w:val="caption"/>
    <w:basedOn w:val="Normal"/>
    <w:next w:val="Normal"/>
    <w:uiPriority w:val="35"/>
    <w:semiHidden/>
    <w:unhideWhenUsed/>
    <w:qFormat/>
    <w:rsid w:val="00D212A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212A9"/>
    <w:pPr>
      <w:spacing w:after="0" w:line="240" w:lineRule="auto"/>
      <w:ind w:left="4252"/>
    </w:pPr>
  </w:style>
  <w:style w:type="character" w:customStyle="1" w:styleId="ClosingChar">
    <w:name w:val="Closing Char"/>
    <w:basedOn w:val="DefaultParagraphFont"/>
    <w:link w:val="Closing"/>
    <w:uiPriority w:val="99"/>
    <w:semiHidden/>
    <w:rsid w:val="00D212A9"/>
    <w:rPr>
      <w:rFonts w:ascii="Roboto" w:hAnsi="Roboto"/>
      <w:sz w:val="20"/>
    </w:rPr>
  </w:style>
  <w:style w:type="paragraph" w:styleId="Date">
    <w:name w:val="Date"/>
    <w:basedOn w:val="Normal"/>
    <w:next w:val="Normal"/>
    <w:link w:val="DateChar"/>
    <w:uiPriority w:val="99"/>
    <w:semiHidden/>
    <w:unhideWhenUsed/>
    <w:rsid w:val="00D212A9"/>
  </w:style>
  <w:style w:type="character" w:customStyle="1" w:styleId="DateChar">
    <w:name w:val="Date Char"/>
    <w:basedOn w:val="DefaultParagraphFont"/>
    <w:link w:val="Date"/>
    <w:uiPriority w:val="99"/>
    <w:semiHidden/>
    <w:rsid w:val="00D212A9"/>
    <w:rPr>
      <w:rFonts w:ascii="Roboto" w:hAnsi="Roboto"/>
      <w:sz w:val="20"/>
    </w:rPr>
  </w:style>
  <w:style w:type="paragraph" w:styleId="DocumentMap">
    <w:name w:val="Document Map"/>
    <w:basedOn w:val="Normal"/>
    <w:link w:val="DocumentMapChar"/>
    <w:uiPriority w:val="99"/>
    <w:semiHidden/>
    <w:unhideWhenUsed/>
    <w:rsid w:val="00D212A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2A9"/>
    <w:rPr>
      <w:rFonts w:ascii="Segoe UI" w:hAnsi="Segoe UI" w:cs="Segoe UI"/>
      <w:sz w:val="16"/>
      <w:szCs w:val="16"/>
    </w:rPr>
  </w:style>
  <w:style w:type="paragraph" w:styleId="E-mailSignature">
    <w:name w:val="E-mail Signature"/>
    <w:basedOn w:val="Normal"/>
    <w:link w:val="E-mailSignatureChar"/>
    <w:uiPriority w:val="99"/>
    <w:semiHidden/>
    <w:unhideWhenUsed/>
    <w:rsid w:val="00D212A9"/>
    <w:pPr>
      <w:spacing w:after="0" w:line="240" w:lineRule="auto"/>
    </w:pPr>
  </w:style>
  <w:style w:type="character" w:customStyle="1" w:styleId="E-mailSignatureChar">
    <w:name w:val="E-mail Signature Char"/>
    <w:basedOn w:val="DefaultParagraphFont"/>
    <w:link w:val="E-mailSignature"/>
    <w:uiPriority w:val="99"/>
    <w:semiHidden/>
    <w:rsid w:val="00D212A9"/>
    <w:rPr>
      <w:rFonts w:ascii="Roboto" w:hAnsi="Roboto"/>
      <w:sz w:val="20"/>
    </w:rPr>
  </w:style>
  <w:style w:type="paragraph" w:styleId="EndnoteText">
    <w:name w:val="endnote text"/>
    <w:basedOn w:val="Normal"/>
    <w:link w:val="EndnoteTextChar"/>
    <w:uiPriority w:val="99"/>
    <w:semiHidden/>
    <w:unhideWhenUsed/>
    <w:rsid w:val="00D212A9"/>
    <w:pPr>
      <w:spacing w:after="0" w:line="240" w:lineRule="auto"/>
    </w:pPr>
    <w:rPr>
      <w:szCs w:val="20"/>
    </w:rPr>
  </w:style>
  <w:style w:type="character" w:customStyle="1" w:styleId="EndnoteTextChar">
    <w:name w:val="Endnote Text Char"/>
    <w:basedOn w:val="DefaultParagraphFont"/>
    <w:link w:val="EndnoteText"/>
    <w:uiPriority w:val="99"/>
    <w:semiHidden/>
    <w:rsid w:val="00D212A9"/>
    <w:rPr>
      <w:rFonts w:ascii="Roboto" w:hAnsi="Roboto"/>
      <w:sz w:val="20"/>
      <w:szCs w:val="20"/>
    </w:rPr>
  </w:style>
  <w:style w:type="paragraph" w:styleId="EnvelopeAddress">
    <w:name w:val="envelope address"/>
    <w:basedOn w:val="Normal"/>
    <w:uiPriority w:val="99"/>
    <w:semiHidden/>
    <w:unhideWhenUsed/>
    <w:rsid w:val="00D212A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2A9"/>
    <w:pPr>
      <w:spacing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D212A9"/>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D212A9"/>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D212A9"/>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D212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12A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212A9"/>
    <w:pPr>
      <w:spacing w:after="0" w:line="240" w:lineRule="auto"/>
    </w:pPr>
    <w:rPr>
      <w:i/>
      <w:iCs/>
    </w:rPr>
  </w:style>
  <w:style w:type="character" w:customStyle="1" w:styleId="HTMLAddressChar">
    <w:name w:val="HTML Address Char"/>
    <w:basedOn w:val="DefaultParagraphFont"/>
    <w:link w:val="HTMLAddress"/>
    <w:uiPriority w:val="99"/>
    <w:semiHidden/>
    <w:rsid w:val="00D212A9"/>
    <w:rPr>
      <w:rFonts w:ascii="Roboto" w:hAnsi="Roboto"/>
      <w:i/>
      <w:iCs/>
      <w:sz w:val="20"/>
    </w:rPr>
  </w:style>
  <w:style w:type="paragraph" w:styleId="HTMLPreformatted">
    <w:name w:val="HTML Preformatted"/>
    <w:basedOn w:val="Normal"/>
    <w:link w:val="HTMLPreformattedChar"/>
    <w:uiPriority w:val="99"/>
    <w:semiHidden/>
    <w:unhideWhenUsed/>
    <w:rsid w:val="00D212A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212A9"/>
    <w:rPr>
      <w:rFonts w:ascii="Consolas" w:hAnsi="Consolas"/>
      <w:sz w:val="20"/>
      <w:szCs w:val="20"/>
    </w:rPr>
  </w:style>
  <w:style w:type="paragraph" w:styleId="Index1">
    <w:name w:val="index 1"/>
    <w:basedOn w:val="Normal"/>
    <w:next w:val="Normal"/>
    <w:autoRedefine/>
    <w:uiPriority w:val="99"/>
    <w:semiHidden/>
    <w:unhideWhenUsed/>
    <w:rsid w:val="00D212A9"/>
    <w:pPr>
      <w:spacing w:after="0" w:line="240" w:lineRule="auto"/>
      <w:ind w:left="200" w:hanging="200"/>
    </w:pPr>
  </w:style>
  <w:style w:type="paragraph" w:styleId="Index2">
    <w:name w:val="index 2"/>
    <w:basedOn w:val="Normal"/>
    <w:next w:val="Normal"/>
    <w:autoRedefine/>
    <w:uiPriority w:val="99"/>
    <w:semiHidden/>
    <w:unhideWhenUsed/>
    <w:rsid w:val="00D212A9"/>
    <w:pPr>
      <w:spacing w:after="0" w:line="240" w:lineRule="auto"/>
      <w:ind w:left="400" w:hanging="200"/>
    </w:pPr>
  </w:style>
  <w:style w:type="paragraph" w:styleId="Index3">
    <w:name w:val="index 3"/>
    <w:basedOn w:val="Normal"/>
    <w:next w:val="Normal"/>
    <w:autoRedefine/>
    <w:uiPriority w:val="99"/>
    <w:semiHidden/>
    <w:unhideWhenUsed/>
    <w:rsid w:val="00D212A9"/>
    <w:pPr>
      <w:spacing w:after="0" w:line="240" w:lineRule="auto"/>
      <w:ind w:left="600" w:hanging="200"/>
    </w:pPr>
  </w:style>
  <w:style w:type="paragraph" w:styleId="Index4">
    <w:name w:val="index 4"/>
    <w:basedOn w:val="Normal"/>
    <w:next w:val="Normal"/>
    <w:autoRedefine/>
    <w:uiPriority w:val="99"/>
    <w:semiHidden/>
    <w:unhideWhenUsed/>
    <w:rsid w:val="00D212A9"/>
    <w:pPr>
      <w:spacing w:after="0" w:line="240" w:lineRule="auto"/>
      <w:ind w:left="800" w:hanging="200"/>
    </w:pPr>
  </w:style>
  <w:style w:type="paragraph" w:styleId="Index5">
    <w:name w:val="index 5"/>
    <w:basedOn w:val="Normal"/>
    <w:next w:val="Normal"/>
    <w:autoRedefine/>
    <w:uiPriority w:val="99"/>
    <w:semiHidden/>
    <w:unhideWhenUsed/>
    <w:rsid w:val="00D212A9"/>
    <w:pPr>
      <w:spacing w:after="0" w:line="240" w:lineRule="auto"/>
      <w:ind w:left="1000" w:hanging="200"/>
    </w:pPr>
  </w:style>
  <w:style w:type="paragraph" w:styleId="Index6">
    <w:name w:val="index 6"/>
    <w:basedOn w:val="Normal"/>
    <w:next w:val="Normal"/>
    <w:autoRedefine/>
    <w:uiPriority w:val="99"/>
    <w:semiHidden/>
    <w:unhideWhenUsed/>
    <w:rsid w:val="00D212A9"/>
    <w:pPr>
      <w:spacing w:after="0" w:line="240" w:lineRule="auto"/>
      <w:ind w:left="1200" w:hanging="200"/>
    </w:pPr>
  </w:style>
  <w:style w:type="paragraph" w:styleId="Index7">
    <w:name w:val="index 7"/>
    <w:basedOn w:val="Normal"/>
    <w:next w:val="Normal"/>
    <w:autoRedefine/>
    <w:uiPriority w:val="99"/>
    <w:semiHidden/>
    <w:unhideWhenUsed/>
    <w:rsid w:val="00D212A9"/>
    <w:pPr>
      <w:spacing w:after="0" w:line="240" w:lineRule="auto"/>
      <w:ind w:left="1400" w:hanging="200"/>
    </w:pPr>
  </w:style>
  <w:style w:type="paragraph" w:styleId="Index8">
    <w:name w:val="index 8"/>
    <w:basedOn w:val="Normal"/>
    <w:next w:val="Normal"/>
    <w:autoRedefine/>
    <w:uiPriority w:val="99"/>
    <w:semiHidden/>
    <w:unhideWhenUsed/>
    <w:rsid w:val="00D212A9"/>
    <w:pPr>
      <w:spacing w:after="0" w:line="240" w:lineRule="auto"/>
      <w:ind w:left="1600" w:hanging="200"/>
    </w:pPr>
  </w:style>
  <w:style w:type="paragraph" w:styleId="Index9">
    <w:name w:val="index 9"/>
    <w:basedOn w:val="Normal"/>
    <w:next w:val="Normal"/>
    <w:autoRedefine/>
    <w:uiPriority w:val="99"/>
    <w:semiHidden/>
    <w:unhideWhenUsed/>
    <w:rsid w:val="00D212A9"/>
    <w:pPr>
      <w:spacing w:after="0" w:line="240" w:lineRule="auto"/>
      <w:ind w:left="1800" w:hanging="200"/>
    </w:pPr>
  </w:style>
  <w:style w:type="paragraph" w:styleId="IndexHeading">
    <w:name w:val="index heading"/>
    <w:basedOn w:val="Normal"/>
    <w:next w:val="Index1"/>
    <w:uiPriority w:val="99"/>
    <w:semiHidden/>
    <w:unhideWhenUsed/>
    <w:rsid w:val="00D212A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12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12A9"/>
    <w:rPr>
      <w:rFonts w:ascii="Roboto" w:hAnsi="Roboto"/>
      <w:i/>
      <w:iCs/>
      <w:color w:val="4472C4" w:themeColor="accent1"/>
      <w:sz w:val="20"/>
    </w:rPr>
  </w:style>
  <w:style w:type="paragraph" w:styleId="List">
    <w:name w:val="List"/>
    <w:basedOn w:val="Normal"/>
    <w:uiPriority w:val="99"/>
    <w:semiHidden/>
    <w:unhideWhenUsed/>
    <w:rsid w:val="00D212A9"/>
    <w:pPr>
      <w:ind w:left="283" w:hanging="283"/>
      <w:contextualSpacing/>
    </w:pPr>
  </w:style>
  <w:style w:type="paragraph" w:styleId="List2">
    <w:name w:val="List 2"/>
    <w:basedOn w:val="Normal"/>
    <w:uiPriority w:val="99"/>
    <w:semiHidden/>
    <w:unhideWhenUsed/>
    <w:rsid w:val="00D212A9"/>
    <w:pPr>
      <w:ind w:left="566" w:hanging="283"/>
      <w:contextualSpacing/>
    </w:pPr>
  </w:style>
  <w:style w:type="paragraph" w:styleId="List3">
    <w:name w:val="List 3"/>
    <w:basedOn w:val="Normal"/>
    <w:uiPriority w:val="99"/>
    <w:semiHidden/>
    <w:unhideWhenUsed/>
    <w:rsid w:val="00D212A9"/>
    <w:pPr>
      <w:ind w:left="849" w:hanging="283"/>
      <w:contextualSpacing/>
    </w:pPr>
  </w:style>
  <w:style w:type="paragraph" w:styleId="List4">
    <w:name w:val="List 4"/>
    <w:basedOn w:val="Normal"/>
    <w:uiPriority w:val="99"/>
    <w:semiHidden/>
    <w:unhideWhenUsed/>
    <w:rsid w:val="00D212A9"/>
    <w:pPr>
      <w:ind w:left="1132" w:hanging="283"/>
      <w:contextualSpacing/>
    </w:pPr>
  </w:style>
  <w:style w:type="paragraph" w:styleId="List5">
    <w:name w:val="List 5"/>
    <w:basedOn w:val="Normal"/>
    <w:uiPriority w:val="99"/>
    <w:semiHidden/>
    <w:unhideWhenUsed/>
    <w:rsid w:val="00D212A9"/>
    <w:pPr>
      <w:ind w:left="1415" w:hanging="283"/>
      <w:contextualSpacing/>
    </w:pPr>
  </w:style>
  <w:style w:type="paragraph" w:styleId="ListBullet">
    <w:name w:val="List Bullet"/>
    <w:basedOn w:val="Normal"/>
    <w:uiPriority w:val="99"/>
    <w:semiHidden/>
    <w:unhideWhenUsed/>
    <w:rsid w:val="00D212A9"/>
    <w:pPr>
      <w:numPr>
        <w:numId w:val="20"/>
      </w:numPr>
      <w:contextualSpacing/>
    </w:pPr>
  </w:style>
  <w:style w:type="paragraph" w:styleId="ListBullet2">
    <w:name w:val="List Bullet 2"/>
    <w:basedOn w:val="Normal"/>
    <w:uiPriority w:val="99"/>
    <w:semiHidden/>
    <w:unhideWhenUsed/>
    <w:rsid w:val="00D212A9"/>
    <w:pPr>
      <w:numPr>
        <w:numId w:val="21"/>
      </w:numPr>
      <w:contextualSpacing/>
    </w:pPr>
  </w:style>
  <w:style w:type="paragraph" w:styleId="ListBullet3">
    <w:name w:val="List Bullet 3"/>
    <w:basedOn w:val="Normal"/>
    <w:uiPriority w:val="99"/>
    <w:semiHidden/>
    <w:unhideWhenUsed/>
    <w:rsid w:val="00D212A9"/>
    <w:pPr>
      <w:numPr>
        <w:numId w:val="22"/>
      </w:numPr>
      <w:contextualSpacing/>
    </w:pPr>
  </w:style>
  <w:style w:type="paragraph" w:styleId="ListBullet4">
    <w:name w:val="List Bullet 4"/>
    <w:basedOn w:val="Normal"/>
    <w:uiPriority w:val="99"/>
    <w:semiHidden/>
    <w:unhideWhenUsed/>
    <w:rsid w:val="00D212A9"/>
    <w:pPr>
      <w:numPr>
        <w:numId w:val="23"/>
      </w:numPr>
      <w:contextualSpacing/>
    </w:pPr>
  </w:style>
  <w:style w:type="paragraph" w:styleId="ListBullet5">
    <w:name w:val="List Bullet 5"/>
    <w:basedOn w:val="Normal"/>
    <w:uiPriority w:val="99"/>
    <w:semiHidden/>
    <w:unhideWhenUsed/>
    <w:rsid w:val="00D212A9"/>
    <w:pPr>
      <w:numPr>
        <w:numId w:val="24"/>
      </w:numPr>
      <w:contextualSpacing/>
    </w:pPr>
  </w:style>
  <w:style w:type="paragraph" w:styleId="ListContinue">
    <w:name w:val="List Continue"/>
    <w:basedOn w:val="Normal"/>
    <w:uiPriority w:val="99"/>
    <w:semiHidden/>
    <w:unhideWhenUsed/>
    <w:rsid w:val="00D212A9"/>
    <w:pPr>
      <w:spacing w:after="120"/>
      <w:ind w:left="283"/>
      <w:contextualSpacing/>
    </w:pPr>
  </w:style>
  <w:style w:type="paragraph" w:styleId="ListContinue2">
    <w:name w:val="List Continue 2"/>
    <w:basedOn w:val="Normal"/>
    <w:uiPriority w:val="99"/>
    <w:semiHidden/>
    <w:unhideWhenUsed/>
    <w:rsid w:val="00D212A9"/>
    <w:pPr>
      <w:spacing w:after="120"/>
      <w:ind w:left="566"/>
      <w:contextualSpacing/>
    </w:pPr>
  </w:style>
  <w:style w:type="paragraph" w:styleId="ListContinue3">
    <w:name w:val="List Continue 3"/>
    <w:basedOn w:val="Normal"/>
    <w:uiPriority w:val="99"/>
    <w:semiHidden/>
    <w:unhideWhenUsed/>
    <w:rsid w:val="00D212A9"/>
    <w:pPr>
      <w:spacing w:after="120"/>
      <w:ind w:left="849"/>
      <w:contextualSpacing/>
    </w:pPr>
  </w:style>
  <w:style w:type="paragraph" w:styleId="ListContinue4">
    <w:name w:val="List Continue 4"/>
    <w:basedOn w:val="Normal"/>
    <w:uiPriority w:val="99"/>
    <w:semiHidden/>
    <w:unhideWhenUsed/>
    <w:rsid w:val="00D212A9"/>
    <w:pPr>
      <w:spacing w:after="120"/>
      <w:ind w:left="1132"/>
      <w:contextualSpacing/>
    </w:pPr>
  </w:style>
  <w:style w:type="paragraph" w:styleId="ListContinue5">
    <w:name w:val="List Continue 5"/>
    <w:basedOn w:val="Normal"/>
    <w:uiPriority w:val="99"/>
    <w:semiHidden/>
    <w:unhideWhenUsed/>
    <w:rsid w:val="00D212A9"/>
    <w:pPr>
      <w:spacing w:after="120"/>
      <w:ind w:left="1415"/>
      <w:contextualSpacing/>
    </w:pPr>
  </w:style>
  <w:style w:type="paragraph" w:styleId="ListNumber">
    <w:name w:val="List Number"/>
    <w:basedOn w:val="Normal"/>
    <w:uiPriority w:val="99"/>
    <w:semiHidden/>
    <w:unhideWhenUsed/>
    <w:rsid w:val="00D212A9"/>
    <w:pPr>
      <w:numPr>
        <w:numId w:val="25"/>
      </w:numPr>
      <w:contextualSpacing/>
    </w:pPr>
  </w:style>
  <w:style w:type="paragraph" w:styleId="ListNumber2">
    <w:name w:val="List Number 2"/>
    <w:basedOn w:val="Normal"/>
    <w:uiPriority w:val="99"/>
    <w:semiHidden/>
    <w:unhideWhenUsed/>
    <w:rsid w:val="00D212A9"/>
    <w:pPr>
      <w:numPr>
        <w:numId w:val="26"/>
      </w:numPr>
      <w:contextualSpacing/>
    </w:pPr>
  </w:style>
  <w:style w:type="paragraph" w:styleId="ListNumber3">
    <w:name w:val="List Number 3"/>
    <w:basedOn w:val="Normal"/>
    <w:uiPriority w:val="99"/>
    <w:semiHidden/>
    <w:unhideWhenUsed/>
    <w:rsid w:val="00D212A9"/>
    <w:pPr>
      <w:numPr>
        <w:numId w:val="27"/>
      </w:numPr>
      <w:contextualSpacing/>
    </w:pPr>
  </w:style>
  <w:style w:type="paragraph" w:styleId="ListNumber4">
    <w:name w:val="List Number 4"/>
    <w:basedOn w:val="Normal"/>
    <w:uiPriority w:val="99"/>
    <w:semiHidden/>
    <w:unhideWhenUsed/>
    <w:rsid w:val="00D212A9"/>
    <w:pPr>
      <w:numPr>
        <w:numId w:val="28"/>
      </w:numPr>
      <w:contextualSpacing/>
    </w:pPr>
  </w:style>
  <w:style w:type="paragraph" w:styleId="ListNumber5">
    <w:name w:val="List Number 5"/>
    <w:basedOn w:val="Normal"/>
    <w:uiPriority w:val="99"/>
    <w:semiHidden/>
    <w:unhideWhenUsed/>
    <w:rsid w:val="00D212A9"/>
    <w:pPr>
      <w:numPr>
        <w:numId w:val="29"/>
      </w:numPr>
      <w:contextualSpacing/>
    </w:pPr>
  </w:style>
  <w:style w:type="paragraph" w:styleId="MacroText">
    <w:name w:val="macro"/>
    <w:link w:val="MacroTextChar"/>
    <w:uiPriority w:val="99"/>
    <w:semiHidden/>
    <w:unhideWhenUsed/>
    <w:rsid w:val="00D212A9"/>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sz w:val="20"/>
      <w:szCs w:val="20"/>
    </w:rPr>
  </w:style>
  <w:style w:type="character" w:customStyle="1" w:styleId="MacroTextChar">
    <w:name w:val="Macro Text Char"/>
    <w:basedOn w:val="DefaultParagraphFont"/>
    <w:link w:val="MacroText"/>
    <w:uiPriority w:val="99"/>
    <w:semiHidden/>
    <w:rsid w:val="00D212A9"/>
    <w:rPr>
      <w:rFonts w:ascii="Consolas" w:hAnsi="Consolas"/>
      <w:sz w:val="20"/>
      <w:szCs w:val="20"/>
    </w:rPr>
  </w:style>
  <w:style w:type="paragraph" w:styleId="MessageHeader">
    <w:name w:val="Message Header"/>
    <w:basedOn w:val="Normal"/>
    <w:link w:val="MessageHeaderChar"/>
    <w:uiPriority w:val="99"/>
    <w:semiHidden/>
    <w:unhideWhenUsed/>
    <w:rsid w:val="00D212A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2A9"/>
    <w:rPr>
      <w:rFonts w:asciiTheme="majorHAnsi" w:eastAsiaTheme="majorEastAsia" w:hAnsiTheme="majorHAnsi" w:cstheme="majorBidi"/>
      <w:sz w:val="24"/>
      <w:szCs w:val="24"/>
      <w:shd w:val="pct20" w:color="auto" w:fill="auto"/>
    </w:rPr>
  </w:style>
  <w:style w:type="paragraph" w:styleId="NoSpacing">
    <w:name w:val="No Spacing"/>
    <w:uiPriority w:val="1"/>
    <w:qFormat/>
    <w:rsid w:val="00D212A9"/>
    <w:pPr>
      <w:spacing w:after="0" w:line="240" w:lineRule="auto"/>
      <w:jc w:val="both"/>
    </w:pPr>
    <w:rPr>
      <w:rFonts w:ascii="Roboto" w:hAnsi="Roboto"/>
      <w:sz w:val="20"/>
    </w:rPr>
  </w:style>
  <w:style w:type="paragraph" w:styleId="NormalIndent">
    <w:name w:val="Normal Indent"/>
    <w:basedOn w:val="Normal"/>
    <w:uiPriority w:val="99"/>
    <w:semiHidden/>
    <w:unhideWhenUsed/>
    <w:rsid w:val="00D212A9"/>
    <w:pPr>
      <w:ind w:left="720"/>
    </w:pPr>
  </w:style>
  <w:style w:type="paragraph" w:styleId="NoteHeading">
    <w:name w:val="Note Heading"/>
    <w:basedOn w:val="Normal"/>
    <w:next w:val="Normal"/>
    <w:link w:val="NoteHeadingChar"/>
    <w:uiPriority w:val="99"/>
    <w:semiHidden/>
    <w:unhideWhenUsed/>
    <w:rsid w:val="00D212A9"/>
    <w:pPr>
      <w:spacing w:after="0" w:line="240" w:lineRule="auto"/>
    </w:pPr>
  </w:style>
  <w:style w:type="character" w:customStyle="1" w:styleId="NoteHeadingChar">
    <w:name w:val="Note Heading Char"/>
    <w:basedOn w:val="DefaultParagraphFont"/>
    <w:link w:val="NoteHeading"/>
    <w:uiPriority w:val="99"/>
    <w:semiHidden/>
    <w:rsid w:val="00D212A9"/>
    <w:rPr>
      <w:rFonts w:ascii="Roboto" w:hAnsi="Roboto"/>
      <w:sz w:val="20"/>
    </w:rPr>
  </w:style>
  <w:style w:type="paragraph" w:styleId="PlainText">
    <w:name w:val="Plain Text"/>
    <w:basedOn w:val="Normal"/>
    <w:link w:val="PlainTextChar"/>
    <w:uiPriority w:val="99"/>
    <w:semiHidden/>
    <w:unhideWhenUsed/>
    <w:rsid w:val="00D212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12A9"/>
    <w:rPr>
      <w:rFonts w:ascii="Consolas" w:hAnsi="Consolas"/>
      <w:sz w:val="21"/>
      <w:szCs w:val="21"/>
    </w:rPr>
  </w:style>
  <w:style w:type="paragraph" w:styleId="Quote">
    <w:name w:val="Quote"/>
    <w:basedOn w:val="Normal"/>
    <w:next w:val="Normal"/>
    <w:link w:val="QuoteChar"/>
    <w:uiPriority w:val="29"/>
    <w:qFormat/>
    <w:rsid w:val="00D212A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212A9"/>
    <w:rPr>
      <w:rFonts w:ascii="Roboto" w:hAnsi="Roboto"/>
      <w:i/>
      <w:iCs/>
      <w:color w:val="404040" w:themeColor="text1" w:themeTint="BF"/>
      <w:sz w:val="20"/>
    </w:rPr>
  </w:style>
  <w:style w:type="paragraph" w:styleId="Salutation">
    <w:name w:val="Salutation"/>
    <w:basedOn w:val="Normal"/>
    <w:next w:val="Normal"/>
    <w:link w:val="SalutationChar"/>
    <w:uiPriority w:val="99"/>
    <w:semiHidden/>
    <w:unhideWhenUsed/>
    <w:rsid w:val="00D212A9"/>
  </w:style>
  <w:style w:type="character" w:customStyle="1" w:styleId="SalutationChar">
    <w:name w:val="Salutation Char"/>
    <w:basedOn w:val="DefaultParagraphFont"/>
    <w:link w:val="Salutation"/>
    <w:uiPriority w:val="99"/>
    <w:semiHidden/>
    <w:rsid w:val="00D212A9"/>
    <w:rPr>
      <w:rFonts w:ascii="Roboto" w:hAnsi="Roboto"/>
      <w:sz w:val="20"/>
    </w:rPr>
  </w:style>
  <w:style w:type="paragraph" w:styleId="Signature">
    <w:name w:val="Signature"/>
    <w:basedOn w:val="Normal"/>
    <w:link w:val="SignatureChar"/>
    <w:uiPriority w:val="99"/>
    <w:semiHidden/>
    <w:unhideWhenUsed/>
    <w:rsid w:val="00D212A9"/>
    <w:pPr>
      <w:spacing w:after="0" w:line="240" w:lineRule="auto"/>
      <w:ind w:left="4252"/>
    </w:pPr>
  </w:style>
  <w:style w:type="character" w:customStyle="1" w:styleId="SignatureChar">
    <w:name w:val="Signature Char"/>
    <w:basedOn w:val="DefaultParagraphFont"/>
    <w:link w:val="Signature"/>
    <w:uiPriority w:val="99"/>
    <w:semiHidden/>
    <w:rsid w:val="00D212A9"/>
    <w:rPr>
      <w:rFonts w:ascii="Roboto" w:hAnsi="Roboto"/>
      <w:sz w:val="20"/>
    </w:rPr>
  </w:style>
  <w:style w:type="paragraph" w:styleId="TableofAuthorities">
    <w:name w:val="table of authorities"/>
    <w:basedOn w:val="Normal"/>
    <w:next w:val="Normal"/>
    <w:uiPriority w:val="99"/>
    <w:semiHidden/>
    <w:unhideWhenUsed/>
    <w:rsid w:val="00D212A9"/>
    <w:pPr>
      <w:spacing w:after="0"/>
      <w:ind w:left="200" w:hanging="200"/>
    </w:pPr>
  </w:style>
  <w:style w:type="paragraph" w:styleId="TableofFigures">
    <w:name w:val="table of figures"/>
    <w:basedOn w:val="Normal"/>
    <w:next w:val="Normal"/>
    <w:uiPriority w:val="99"/>
    <w:semiHidden/>
    <w:unhideWhenUsed/>
    <w:rsid w:val="00D212A9"/>
    <w:pPr>
      <w:spacing w:after="0"/>
    </w:pPr>
  </w:style>
  <w:style w:type="paragraph" w:styleId="TOAHeading">
    <w:name w:val="toa heading"/>
    <w:basedOn w:val="Normal"/>
    <w:next w:val="Normal"/>
    <w:uiPriority w:val="99"/>
    <w:semiHidden/>
    <w:unhideWhenUsed/>
    <w:rsid w:val="00D212A9"/>
    <w:pPr>
      <w:spacing w:before="120"/>
    </w:pPr>
    <w:rPr>
      <w:rFonts w:asciiTheme="majorHAnsi" w:eastAsiaTheme="majorEastAsia" w:hAnsiTheme="majorHAnsi" w:cstheme="majorBidi"/>
      <w:b/>
      <w:bCs/>
      <w:sz w:val="24"/>
      <w:szCs w:val="24"/>
    </w:rPr>
  </w:style>
  <w:style w:type="character" w:styleId="Mention">
    <w:name w:val="Mention"/>
    <w:basedOn w:val="DefaultParagraphFont"/>
    <w:uiPriority w:val="99"/>
    <w:unhideWhenUsed/>
    <w:rsid w:val="007E250E"/>
    <w:rPr>
      <w:color w:val="2B579A"/>
      <w:shd w:val="clear" w:color="auto" w:fill="E1DFDD"/>
    </w:rPr>
  </w:style>
  <w:style w:type="paragraph" w:customStyle="1" w:styleId="paragraph">
    <w:name w:val="paragraph"/>
    <w:basedOn w:val="Normal"/>
    <w:rsid w:val="000F749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uperscript">
    <w:name w:val="superscript"/>
    <w:basedOn w:val="DefaultParagraphFont"/>
    <w:rsid w:val="000F749A"/>
  </w:style>
  <w:style w:type="paragraph" w:customStyle="1" w:styleId="Footnote-Text">
    <w:name w:val="Footnote-Text"/>
    <w:basedOn w:val="Normal-pool"/>
    <w:rsid w:val="009C5B5F"/>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paragraph" w:customStyle="1" w:styleId="ASymbol">
    <w:name w:val="A_Symbol"/>
    <w:basedOn w:val="Normal-pool"/>
    <w:rsid w:val="009C5B5F"/>
    <w:pPr>
      <w:tabs>
        <w:tab w:val="clear" w:pos="1247"/>
        <w:tab w:val="clear" w:pos="1814"/>
        <w:tab w:val="clear" w:pos="2381"/>
        <w:tab w:val="clear" w:pos="2948"/>
        <w:tab w:val="clear" w:pos="3515"/>
        <w:tab w:val="clear" w:pos="4082"/>
        <w:tab w:val="left" w:pos="1871"/>
        <w:tab w:val="left" w:pos="2495"/>
        <w:tab w:val="right" w:pos="2920"/>
        <w:tab w:val="left" w:pos="3119"/>
        <w:tab w:val="left" w:pos="3742"/>
        <w:tab w:val="left" w:pos="4366"/>
      </w:tabs>
    </w:pPr>
    <w:rPr>
      <w:lang w:val="en-GB"/>
    </w:rPr>
  </w:style>
  <w:style w:type="paragraph" w:customStyle="1" w:styleId="AText">
    <w:name w:val="A_Text"/>
    <w:basedOn w:val="Normal-pool"/>
    <w:rsid w:val="009C5B5F"/>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120"/>
    </w:pPr>
    <w:rPr>
      <w:rFonts w:eastAsia="Times New Roman"/>
    </w:rPr>
  </w:style>
  <w:style w:type="paragraph" w:customStyle="1" w:styleId="AUnitedNations">
    <w:name w:val="A_United_Nations"/>
    <w:basedOn w:val="Normal-pool"/>
    <w:next w:val="Normal-pool"/>
    <w:rsid w:val="009C5B5F"/>
    <w:pPr>
      <w:tabs>
        <w:tab w:val="clear" w:pos="1247"/>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20"/>
    </w:pPr>
    <w:rPr>
      <w:rFonts w:ascii="Arial" w:eastAsia="Times New Roman" w:hAnsi="Arial" w:cs="Times New Roman Bold"/>
      <w:b/>
      <w:caps/>
      <w:color w:val="000000" w:themeColor="text1"/>
      <w:sz w:val="27"/>
    </w:rPr>
  </w:style>
  <w:style w:type="paragraph" w:customStyle="1" w:styleId="ALogo">
    <w:name w:val="A_Logo"/>
    <w:basedOn w:val="Normal-pool"/>
    <w:link w:val="ALogoChar"/>
    <w:qFormat/>
    <w:rsid w:val="009C5B5F"/>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120" w:after="240"/>
    </w:pPr>
    <w:rPr>
      <w:rFonts w:eastAsia="Times New Roman"/>
    </w:rPr>
  </w:style>
  <w:style w:type="character" w:customStyle="1" w:styleId="ALogoChar">
    <w:name w:val="A_Logo Char"/>
    <w:basedOn w:val="Normal-poolChar"/>
    <w:link w:val="ALogo"/>
    <w:rsid w:val="009C5B5F"/>
    <w:rPr>
      <w:rFonts w:ascii="Times New Roman" w:eastAsia="Times New Roman" w:hAnsi="Times New Roman" w:cs="Times New Roman"/>
      <w:sz w:val="20"/>
      <w:szCs w:val="20"/>
      <w:lang w:eastAsia="en-US"/>
    </w:rPr>
  </w:style>
  <w:style w:type="paragraph" w:customStyle="1" w:styleId="ASpacer">
    <w:name w:val="A_Spacer"/>
    <w:basedOn w:val="Normal-pool"/>
    <w:link w:val="ASpacerChar"/>
    <w:qFormat/>
    <w:rsid w:val="009C5B5F"/>
    <w:pPr>
      <w:tabs>
        <w:tab w:val="clear" w:pos="1814"/>
        <w:tab w:val="clear" w:pos="2381"/>
        <w:tab w:val="clear" w:pos="2948"/>
        <w:tab w:val="clear" w:pos="3515"/>
        <w:tab w:val="clear" w:pos="4082"/>
        <w:tab w:val="left" w:pos="624"/>
        <w:tab w:val="left" w:pos="1871"/>
        <w:tab w:val="left" w:pos="2495"/>
        <w:tab w:val="left" w:pos="3119"/>
        <w:tab w:val="left" w:pos="3742"/>
        <w:tab w:val="left" w:pos="4366"/>
      </w:tabs>
    </w:pPr>
    <w:rPr>
      <w:rFonts w:eastAsia="Times New Roman"/>
      <w:sz w:val="2"/>
    </w:rPr>
  </w:style>
  <w:style w:type="character" w:customStyle="1" w:styleId="ASpacerChar">
    <w:name w:val="A_Spacer Char"/>
    <w:basedOn w:val="Normal-poolChar"/>
    <w:link w:val="ASpacer"/>
    <w:rsid w:val="009C5B5F"/>
    <w:rPr>
      <w:rFonts w:ascii="Times New Roman" w:eastAsia="Times New Roman" w:hAnsi="Times New Roman" w:cs="Times New Roman"/>
      <w:sz w:val="2"/>
      <w:szCs w:val="20"/>
      <w:lang w:eastAsia="en-US"/>
    </w:rPr>
  </w:style>
  <w:style w:type="paragraph" w:customStyle="1" w:styleId="AATitle1">
    <w:name w:val="AA_Title1"/>
    <w:basedOn w:val="AATitle"/>
    <w:qFormat/>
    <w:rsid w:val="009C5B5F"/>
    <w:pPr>
      <w:tabs>
        <w:tab w:val="clear" w:pos="1247"/>
        <w:tab w:val="clear" w:pos="1814"/>
        <w:tab w:val="clear" w:pos="2381"/>
        <w:tab w:val="clear" w:pos="2948"/>
        <w:tab w:val="clear" w:pos="3515"/>
        <w:tab w:val="clear" w:pos="4082"/>
        <w:tab w:val="left" w:pos="624"/>
        <w:tab w:val="left" w:pos="1871"/>
        <w:tab w:val="left" w:pos="2495"/>
        <w:tab w:val="right" w:pos="2920"/>
        <w:tab w:val="left" w:pos="3119"/>
        <w:tab w:val="left" w:pos="3742"/>
        <w:tab w:val="left" w:pos="4366"/>
      </w:tabs>
      <w:ind w:right="0"/>
    </w:pPr>
    <w:rPr>
      <w:rFonts w:eastAsia="Times New Roman"/>
      <w:b w:val="0"/>
      <w:lang w:val="en-US"/>
    </w:rPr>
  </w:style>
  <w:style w:type="paragraph" w:customStyle="1" w:styleId="AText0">
    <w:name w:val="A_Text0"/>
    <w:basedOn w:val="AText"/>
    <w:next w:val="AText"/>
    <w:qFormat/>
    <w:rsid w:val="009C5B5F"/>
    <w:pPr>
      <w:spacing w:before="0" w:after="120"/>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C499C"/>
    <w:pPr>
      <w:spacing w:line="240" w:lineRule="exact"/>
      <w:jc w:val="left"/>
    </w:pPr>
    <w:rPr>
      <w:rFonts w:asciiTheme="minorHAnsi" w:hAnsiTheme="minorHAnsi"/>
      <w:sz w:val="22"/>
      <w:vertAlign w:val="superscript"/>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19605C"/>
    <w:pPr>
      <w:spacing w:line="240" w:lineRule="exact"/>
    </w:pPr>
    <w:rPr>
      <w:rFonts w:ascii="Times New Roman" w:eastAsia="SimSun" w:hAnsi="Times New Roman" w:cs="Times New Roman"/>
      <w:szCs w:val="18"/>
      <w:vertAlign w:val="superscrip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941">
      <w:bodyDiv w:val="1"/>
      <w:marLeft w:val="0"/>
      <w:marRight w:val="0"/>
      <w:marTop w:val="0"/>
      <w:marBottom w:val="0"/>
      <w:divBdr>
        <w:top w:val="none" w:sz="0" w:space="0" w:color="auto"/>
        <w:left w:val="none" w:sz="0" w:space="0" w:color="auto"/>
        <w:bottom w:val="none" w:sz="0" w:space="0" w:color="auto"/>
        <w:right w:val="none" w:sz="0" w:space="0" w:color="auto"/>
      </w:divBdr>
    </w:div>
    <w:div w:id="72163158">
      <w:bodyDiv w:val="1"/>
      <w:marLeft w:val="0"/>
      <w:marRight w:val="0"/>
      <w:marTop w:val="0"/>
      <w:marBottom w:val="0"/>
      <w:divBdr>
        <w:top w:val="none" w:sz="0" w:space="0" w:color="auto"/>
        <w:left w:val="none" w:sz="0" w:space="0" w:color="auto"/>
        <w:bottom w:val="none" w:sz="0" w:space="0" w:color="auto"/>
        <w:right w:val="none" w:sz="0" w:space="0" w:color="auto"/>
      </w:divBdr>
    </w:div>
    <w:div w:id="98062045">
      <w:bodyDiv w:val="1"/>
      <w:marLeft w:val="0"/>
      <w:marRight w:val="0"/>
      <w:marTop w:val="0"/>
      <w:marBottom w:val="0"/>
      <w:divBdr>
        <w:top w:val="none" w:sz="0" w:space="0" w:color="auto"/>
        <w:left w:val="none" w:sz="0" w:space="0" w:color="auto"/>
        <w:bottom w:val="none" w:sz="0" w:space="0" w:color="auto"/>
        <w:right w:val="none" w:sz="0" w:space="0" w:color="auto"/>
      </w:divBdr>
    </w:div>
    <w:div w:id="258948033">
      <w:bodyDiv w:val="1"/>
      <w:marLeft w:val="0"/>
      <w:marRight w:val="0"/>
      <w:marTop w:val="0"/>
      <w:marBottom w:val="0"/>
      <w:divBdr>
        <w:top w:val="none" w:sz="0" w:space="0" w:color="auto"/>
        <w:left w:val="none" w:sz="0" w:space="0" w:color="auto"/>
        <w:bottom w:val="none" w:sz="0" w:space="0" w:color="auto"/>
        <w:right w:val="none" w:sz="0" w:space="0" w:color="auto"/>
      </w:divBdr>
    </w:div>
    <w:div w:id="331033091">
      <w:bodyDiv w:val="1"/>
      <w:marLeft w:val="0"/>
      <w:marRight w:val="0"/>
      <w:marTop w:val="0"/>
      <w:marBottom w:val="0"/>
      <w:divBdr>
        <w:top w:val="none" w:sz="0" w:space="0" w:color="auto"/>
        <w:left w:val="none" w:sz="0" w:space="0" w:color="auto"/>
        <w:bottom w:val="none" w:sz="0" w:space="0" w:color="auto"/>
        <w:right w:val="none" w:sz="0" w:space="0" w:color="auto"/>
      </w:divBdr>
    </w:div>
    <w:div w:id="505360369">
      <w:bodyDiv w:val="1"/>
      <w:marLeft w:val="0"/>
      <w:marRight w:val="0"/>
      <w:marTop w:val="0"/>
      <w:marBottom w:val="0"/>
      <w:divBdr>
        <w:top w:val="none" w:sz="0" w:space="0" w:color="auto"/>
        <w:left w:val="none" w:sz="0" w:space="0" w:color="auto"/>
        <w:bottom w:val="none" w:sz="0" w:space="0" w:color="auto"/>
        <w:right w:val="none" w:sz="0" w:space="0" w:color="auto"/>
      </w:divBdr>
    </w:div>
    <w:div w:id="535657623">
      <w:bodyDiv w:val="1"/>
      <w:marLeft w:val="0"/>
      <w:marRight w:val="0"/>
      <w:marTop w:val="0"/>
      <w:marBottom w:val="0"/>
      <w:divBdr>
        <w:top w:val="none" w:sz="0" w:space="0" w:color="auto"/>
        <w:left w:val="none" w:sz="0" w:space="0" w:color="auto"/>
        <w:bottom w:val="none" w:sz="0" w:space="0" w:color="auto"/>
        <w:right w:val="none" w:sz="0" w:space="0" w:color="auto"/>
      </w:divBdr>
    </w:div>
    <w:div w:id="624195005">
      <w:bodyDiv w:val="1"/>
      <w:marLeft w:val="0"/>
      <w:marRight w:val="0"/>
      <w:marTop w:val="0"/>
      <w:marBottom w:val="0"/>
      <w:divBdr>
        <w:top w:val="none" w:sz="0" w:space="0" w:color="auto"/>
        <w:left w:val="none" w:sz="0" w:space="0" w:color="auto"/>
        <w:bottom w:val="none" w:sz="0" w:space="0" w:color="auto"/>
        <w:right w:val="none" w:sz="0" w:space="0" w:color="auto"/>
      </w:divBdr>
    </w:div>
    <w:div w:id="718897130">
      <w:bodyDiv w:val="1"/>
      <w:marLeft w:val="0"/>
      <w:marRight w:val="0"/>
      <w:marTop w:val="0"/>
      <w:marBottom w:val="0"/>
      <w:divBdr>
        <w:top w:val="none" w:sz="0" w:space="0" w:color="auto"/>
        <w:left w:val="none" w:sz="0" w:space="0" w:color="auto"/>
        <w:bottom w:val="none" w:sz="0" w:space="0" w:color="auto"/>
        <w:right w:val="none" w:sz="0" w:space="0" w:color="auto"/>
      </w:divBdr>
    </w:div>
    <w:div w:id="728727182">
      <w:bodyDiv w:val="1"/>
      <w:marLeft w:val="0"/>
      <w:marRight w:val="0"/>
      <w:marTop w:val="0"/>
      <w:marBottom w:val="0"/>
      <w:divBdr>
        <w:top w:val="none" w:sz="0" w:space="0" w:color="auto"/>
        <w:left w:val="none" w:sz="0" w:space="0" w:color="auto"/>
        <w:bottom w:val="none" w:sz="0" w:space="0" w:color="auto"/>
        <w:right w:val="none" w:sz="0" w:space="0" w:color="auto"/>
      </w:divBdr>
    </w:div>
    <w:div w:id="746072610">
      <w:bodyDiv w:val="1"/>
      <w:marLeft w:val="0"/>
      <w:marRight w:val="0"/>
      <w:marTop w:val="0"/>
      <w:marBottom w:val="0"/>
      <w:divBdr>
        <w:top w:val="none" w:sz="0" w:space="0" w:color="auto"/>
        <w:left w:val="none" w:sz="0" w:space="0" w:color="auto"/>
        <w:bottom w:val="none" w:sz="0" w:space="0" w:color="auto"/>
        <w:right w:val="none" w:sz="0" w:space="0" w:color="auto"/>
      </w:divBdr>
    </w:div>
    <w:div w:id="823163396">
      <w:bodyDiv w:val="1"/>
      <w:marLeft w:val="0"/>
      <w:marRight w:val="0"/>
      <w:marTop w:val="0"/>
      <w:marBottom w:val="0"/>
      <w:divBdr>
        <w:top w:val="none" w:sz="0" w:space="0" w:color="auto"/>
        <w:left w:val="none" w:sz="0" w:space="0" w:color="auto"/>
        <w:bottom w:val="none" w:sz="0" w:space="0" w:color="auto"/>
        <w:right w:val="none" w:sz="0" w:space="0" w:color="auto"/>
      </w:divBdr>
    </w:div>
    <w:div w:id="910457668">
      <w:bodyDiv w:val="1"/>
      <w:marLeft w:val="0"/>
      <w:marRight w:val="0"/>
      <w:marTop w:val="0"/>
      <w:marBottom w:val="0"/>
      <w:divBdr>
        <w:top w:val="none" w:sz="0" w:space="0" w:color="auto"/>
        <w:left w:val="none" w:sz="0" w:space="0" w:color="auto"/>
        <w:bottom w:val="none" w:sz="0" w:space="0" w:color="auto"/>
        <w:right w:val="none" w:sz="0" w:space="0" w:color="auto"/>
      </w:divBdr>
    </w:div>
    <w:div w:id="957562020">
      <w:bodyDiv w:val="1"/>
      <w:marLeft w:val="0"/>
      <w:marRight w:val="0"/>
      <w:marTop w:val="0"/>
      <w:marBottom w:val="0"/>
      <w:divBdr>
        <w:top w:val="none" w:sz="0" w:space="0" w:color="auto"/>
        <w:left w:val="none" w:sz="0" w:space="0" w:color="auto"/>
        <w:bottom w:val="none" w:sz="0" w:space="0" w:color="auto"/>
        <w:right w:val="none" w:sz="0" w:space="0" w:color="auto"/>
      </w:divBdr>
    </w:div>
    <w:div w:id="994530477">
      <w:bodyDiv w:val="1"/>
      <w:marLeft w:val="0"/>
      <w:marRight w:val="0"/>
      <w:marTop w:val="0"/>
      <w:marBottom w:val="0"/>
      <w:divBdr>
        <w:top w:val="none" w:sz="0" w:space="0" w:color="auto"/>
        <w:left w:val="none" w:sz="0" w:space="0" w:color="auto"/>
        <w:bottom w:val="none" w:sz="0" w:space="0" w:color="auto"/>
        <w:right w:val="none" w:sz="0" w:space="0" w:color="auto"/>
      </w:divBdr>
    </w:div>
    <w:div w:id="1167937636">
      <w:bodyDiv w:val="1"/>
      <w:marLeft w:val="0"/>
      <w:marRight w:val="0"/>
      <w:marTop w:val="0"/>
      <w:marBottom w:val="0"/>
      <w:divBdr>
        <w:top w:val="none" w:sz="0" w:space="0" w:color="auto"/>
        <w:left w:val="none" w:sz="0" w:space="0" w:color="auto"/>
        <w:bottom w:val="none" w:sz="0" w:space="0" w:color="auto"/>
        <w:right w:val="none" w:sz="0" w:space="0" w:color="auto"/>
      </w:divBdr>
      <w:divsChild>
        <w:div w:id="1152403349">
          <w:marLeft w:val="0"/>
          <w:marRight w:val="0"/>
          <w:marTop w:val="0"/>
          <w:marBottom w:val="0"/>
          <w:divBdr>
            <w:top w:val="none" w:sz="0" w:space="0" w:color="auto"/>
            <w:left w:val="none" w:sz="0" w:space="0" w:color="auto"/>
            <w:bottom w:val="none" w:sz="0" w:space="0" w:color="auto"/>
            <w:right w:val="none" w:sz="0" w:space="0" w:color="auto"/>
          </w:divBdr>
        </w:div>
        <w:div w:id="1270310144">
          <w:marLeft w:val="0"/>
          <w:marRight w:val="0"/>
          <w:marTop w:val="0"/>
          <w:marBottom w:val="0"/>
          <w:divBdr>
            <w:top w:val="none" w:sz="0" w:space="0" w:color="auto"/>
            <w:left w:val="none" w:sz="0" w:space="0" w:color="auto"/>
            <w:bottom w:val="none" w:sz="0" w:space="0" w:color="auto"/>
            <w:right w:val="none" w:sz="0" w:space="0" w:color="auto"/>
          </w:divBdr>
        </w:div>
      </w:divsChild>
    </w:div>
    <w:div w:id="1204905122">
      <w:bodyDiv w:val="1"/>
      <w:marLeft w:val="0"/>
      <w:marRight w:val="0"/>
      <w:marTop w:val="0"/>
      <w:marBottom w:val="0"/>
      <w:divBdr>
        <w:top w:val="none" w:sz="0" w:space="0" w:color="auto"/>
        <w:left w:val="none" w:sz="0" w:space="0" w:color="auto"/>
        <w:bottom w:val="none" w:sz="0" w:space="0" w:color="auto"/>
        <w:right w:val="none" w:sz="0" w:space="0" w:color="auto"/>
      </w:divBdr>
    </w:div>
    <w:div w:id="1302031985">
      <w:bodyDiv w:val="1"/>
      <w:marLeft w:val="0"/>
      <w:marRight w:val="0"/>
      <w:marTop w:val="0"/>
      <w:marBottom w:val="0"/>
      <w:divBdr>
        <w:top w:val="none" w:sz="0" w:space="0" w:color="auto"/>
        <w:left w:val="none" w:sz="0" w:space="0" w:color="auto"/>
        <w:bottom w:val="none" w:sz="0" w:space="0" w:color="auto"/>
        <w:right w:val="none" w:sz="0" w:space="0" w:color="auto"/>
      </w:divBdr>
    </w:div>
    <w:div w:id="1302618745">
      <w:bodyDiv w:val="1"/>
      <w:marLeft w:val="0"/>
      <w:marRight w:val="0"/>
      <w:marTop w:val="0"/>
      <w:marBottom w:val="0"/>
      <w:divBdr>
        <w:top w:val="none" w:sz="0" w:space="0" w:color="auto"/>
        <w:left w:val="none" w:sz="0" w:space="0" w:color="auto"/>
        <w:bottom w:val="none" w:sz="0" w:space="0" w:color="auto"/>
        <w:right w:val="none" w:sz="0" w:space="0" w:color="auto"/>
      </w:divBdr>
    </w:div>
    <w:div w:id="1388995087">
      <w:bodyDiv w:val="1"/>
      <w:marLeft w:val="0"/>
      <w:marRight w:val="0"/>
      <w:marTop w:val="0"/>
      <w:marBottom w:val="0"/>
      <w:divBdr>
        <w:top w:val="none" w:sz="0" w:space="0" w:color="auto"/>
        <w:left w:val="none" w:sz="0" w:space="0" w:color="auto"/>
        <w:bottom w:val="none" w:sz="0" w:space="0" w:color="auto"/>
        <w:right w:val="none" w:sz="0" w:space="0" w:color="auto"/>
      </w:divBdr>
    </w:div>
    <w:div w:id="1613173755">
      <w:bodyDiv w:val="1"/>
      <w:marLeft w:val="0"/>
      <w:marRight w:val="0"/>
      <w:marTop w:val="0"/>
      <w:marBottom w:val="0"/>
      <w:divBdr>
        <w:top w:val="none" w:sz="0" w:space="0" w:color="auto"/>
        <w:left w:val="none" w:sz="0" w:space="0" w:color="auto"/>
        <w:bottom w:val="none" w:sz="0" w:space="0" w:color="auto"/>
        <w:right w:val="none" w:sz="0" w:space="0" w:color="auto"/>
      </w:divBdr>
    </w:div>
    <w:div w:id="1675834620">
      <w:bodyDiv w:val="1"/>
      <w:marLeft w:val="0"/>
      <w:marRight w:val="0"/>
      <w:marTop w:val="0"/>
      <w:marBottom w:val="0"/>
      <w:divBdr>
        <w:top w:val="none" w:sz="0" w:space="0" w:color="auto"/>
        <w:left w:val="none" w:sz="0" w:space="0" w:color="auto"/>
        <w:bottom w:val="none" w:sz="0" w:space="0" w:color="auto"/>
        <w:right w:val="none" w:sz="0" w:space="0" w:color="auto"/>
      </w:divBdr>
    </w:div>
    <w:div w:id="21268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header" Target="header19.xml"/><Relationship Id="rId55" Type="http://schemas.openxmlformats.org/officeDocument/2006/relationships/footer" Target="footer22.xml"/><Relationship Id="rId63" Type="http://schemas.openxmlformats.org/officeDocument/2006/relationships/hyperlink" Target="https://minamataconvention.org" TargetMode="External"/><Relationship Id="rId68" Type="http://schemas.openxmlformats.org/officeDocument/2006/relationships/header" Target="header28.xml"/><Relationship Id="rId76" Type="http://schemas.openxmlformats.org/officeDocument/2006/relationships/footer" Target="footer31.xml"/><Relationship Id="rId84" Type="http://schemas.openxmlformats.org/officeDocument/2006/relationships/header" Target="header34.xml"/><Relationship Id="rId89" Type="http://schemas.openxmlformats.org/officeDocument/2006/relationships/footer" Target="footer35.xml"/><Relationship Id="rId7" Type="http://schemas.openxmlformats.org/officeDocument/2006/relationships/settings" Target="settings.xml"/><Relationship Id="rId71" Type="http://schemas.openxmlformats.org/officeDocument/2006/relationships/footer" Target="footer29.xml"/><Relationship Id="rId92" Type="http://schemas.openxmlformats.org/officeDocument/2006/relationships/header" Target="header38.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footer" Target="footer21.xml"/><Relationship Id="rId58" Type="http://schemas.openxmlformats.org/officeDocument/2006/relationships/footer" Target="footer23.xml"/><Relationship Id="rId66" Type="http://schemas.openxmlformats.org/officeDocument/2006/relationships/header" Target="header27.xml"/><Relationship Id="rId74" Type="http://schemas.openxmlformats.org/officeDocument/2006/relationships/footer" Target="footer30.xml"/><Relationship Id="rId79" Type="http://schemas.openxmlformats.org/officeDocument/2006/relationships/hyperlink" Target="https://minamataconvention.org/en/meetings/cop5" TargetMode="External"/><Relationship Id="rId87" Type="http://schemas.openxmlformats.org/officeDocument/2006/relationships/footer" Target="footer34.xml"/><Relationship Id="rId5" Type="http://schemas.openxmlformats.org/officeDocument/2006/relationships/numbering" Target="numbering.xml"/><Relationship Id="rId61" Type="http://schemas.openxmlformats.org/officeDocument/2006/relationships/header" Target="header25.xml"/><Relationship Id="rId82" Type="http://schemas.openxmlformats.org/officeDocument/2006/relationships/hyperlink" Target="https://minamataconvention.org/resources/gender-priority-activities-biennium-2024-2025" TargetMode="External"/><Relationship Id="rId90" Type="http://schemas.openxmlformats.org/officeDocument/2006/relationships/header" Target="header37.xml"/><Relationship Id="rId95" Type="http://schemas.openxmlformats.org/officeDocument/2006/relationships/theme" Target="theme/theme1.xml"/><Relationship Id="rId19" Type="http://schemas.openxmlformats.org/officeDocument/2006/relationships/header" Target="header4.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footer" Target="footer28.xml"/><Relationship Id="rId77" Type="http://schemas.openxmlformats.org/officeDocument/2006/relationships/header" Target="header33.xml"/><Relationship Id="rId8" Type="http://schemas.openxmlformats.org/officeDocument/2006/relationships/webSettings" Target="webSettings.xml"/><Relationship Id="rId51" Type="http://schemas.openxmlformats.org/officeDocument/2006/relationships/footer" Target="footer20.xml"/><Relationship Id="rId72" Type="http://schemas.openxmlformats.org/officeDocument/2006/relationships/header" Target="header30.xml"/><Relationship Id="rId80" Type="http://schemas.openxmlformats.org/officeDocument/2006/relationships/hyperlink" Target="https://minamataconvention.org/en/documents/decisions-adopted-conference-parties-minamata-convention-mercury-its-fifth-meeting" TargetMode="External"/><Relationship Id="rId85" Type="http://schemas.openxmlformats.org/officeDocument/2006/relationships/footer" Target="footer33.xml"/><Relationship Id="rId93" Type="http://schemas.openxmlformats.org/officeDocument/2006/relationships/footer" Target="footer37.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footer" Target="footer27.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footer" Target="footer25.xml"/><Relationship Id="rId70" Type="http://schemas.openxmlformats.org/officeDocument/2006/relationships/header" Target="header29.xml"/><Relationship Id="rId75" Type="http://schemas.openxmlformats.org/officeDocument/2006/relationships/header" Target="header32.xml"/><Relationship Id="rId83" Type="http://schemas.openxmlformats.org/officeDocument/2006/relationships/hyperlink" Target="https://minamataconvention.org/en/resources/programme-work-and-budget-biennium-2024-2025" TargetMode="External"/><Relationship Id="rId88" Type="http://schemas.openxmlformats.org/officeDocument/2006/relationships/header" Target="header36.xml"/><Relationship Id="rId91" Type="http://schemas.openxmlformats.org/officeDocument/2006/relationships/footer" Target="footer36.xml"/><Relationship Id="rId9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oter" Target="footer11.xml"/><Relationship Id="rId49" Type="http://schemas.openxmlformats.org/officeDocument/2006/relationships/footer" Target="footer19.xml"/><Relationship Id="rId57" Type="http://schemas.openxmlformats.org/officeDocument/2006/relationships/header" Target="header23.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footer" Target="footer16.xml"/><Relationship Id="rId52" Type="http://schemas.openxmlformats.org/officeDocument/2006/relationships/header" Target="header20.xml"/><Relationship Id="rId60" Type="http://schemas.openxmlformats.org/officeDocument/2006/relationships/footer" Target="footer24.xml"/><Relationship Id="rId65" Type="http://schemas.openxmlformats.org/officeDocument/2006/relationships/footer" Target="footer26.xml"/><Relationship Id="rId73" Type="http://schemas.openxmlformats.org/officeDocument/2006/relationships/header" Target="header31.xml"/><Relationship Id="rId78" Type="http://schemas.openxmlformats.org/officeDocument/2006/relationships/footer" Target="footer32.xml"/><Relationship Id="rId81" Type="http://schemas.openxmlformats.org/officeDocument/2006/relationships/hyperlink" Target="https://minamataconvention.org/resources/gender-action-plan-minamata-convention-mercury" TargetMode="External"/><Relationship Id="rId86" Type="http://schemas.openxmlformats.org/officeDocument/2006/relationships/header" Target="header35.xm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8027D86-9BFA-46A6-985C-E9413AD160DA}">
    <t:Anchor>
      <t:Comment id="613587384"/>
    </t:Anchor>
    <t:History>
      <t:Event id="{2AA7EF45-E7E6-4B82-9869-399E500D0549}" time="2025-08-04T12:30:25.964Z">
        <t:Attribution userId="S::alexander.romanov@un.org::2e57d95c-532d-4d34-9bbf-7a14b8535aa2" userProvider="AD" userName="Alexander Romanov"/>
        <t:Anchor>
          <t:Comment id="613587384"/>
        </t:Anchor>
        <t:Create/>
      </t:Event>
      <t:Event id="{5A5A2C5A-133B-4E71-ABFD-26B2578A6B73}" time="2025-08-04T12:30:25.964Z">
        <t:Attribution userId="S::alexander.romanov@un.org::2e57d95c-532d-4d34-9bbf-7a14b8535aa2" userProvider="AD" userName="Alexander Romanov"/>
        <t:Anchor>
          <t:Comment id="613587384"/>
        </t:Anchor>
        <t:Assign userId="S::monika.stankiewicz@un.org::75386d43-ec3c-4baf-9004-d7a9476299f5" userProvider="AD" userName="Monika Stankiewicz"/>
      </t:Event>
      <t:Event id="{1BC276D7-479F-4D4F-BFDB-E3B753E45F40}" time="2025-08-04T12:30:25.964Z">
        <t:Attribution userId="S::alexander.romanov@un.org::2e57d95c-532d-4d34-9bbf-7a14b8535aa2" userProvider="AD" userName="Alexander Romanov"/>
        <t:Anchor>
          <t:Comment id="613587384"/>
        </t:Anchor>
        <t:SetTitle title="@Monika Stankiewicz Dear Monika, “a mapping analysis” comes from the COP-5 document for the 2024-2025 biennium workplan. It was not carried out. Should we keep it for the next biennium or drop it? Respective budget line 13.1 is linked to this activity…"/>
      </t:Event>
      <t:Event id="{F2F2EE00-5472-4988-B145-0B1743A886FD}" time="2025-08-05T17:57:38.454Z">
        <t:Attribution userId="S::linh.doan@un.org::2cf0b8e5-c3ac-4e38-8721-9d947898d092" userProvider="AD" userName="My Linh Do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9bad0-3155-475a-8063-b4d93685c2ad">
      <UserInfo>
        <DisplayName>Monika Stankiewicz</DisplayName>
        <AccountId>19</AccountId>
        <AccountType/>
      </UserInfo>
      <UserInfo>
        <DisplayName>Sandra Ruecker</DisplayName>
        <AccountId>17</AccountId>
        <AccountType/>
      </UserInfo>
      <UserInfo>
        <DisplayName>Claudia ten Have</DisplayName>
        <AccountId>12</AccountId>
        <AccountType/>
      </UserInfo>
      <UserInfo>
        <DisplayName>Anna Garcia Sans</DisplayName>
        <AccountId>21</AccountId>
        <AccountType/>
      </UserInfo>
      <UserInfo>
        <DisplayName>Marianne Bailey</DisplayName>
        <AccountId>22</AccountId>
        <AccountType/>
      </UserInfo>
      <UserInfo>
        <DisplayName>Eisaku Toda</DisplayName>
        <AccountId>11</AccountId>
        <AccountType/>
      </UserInfo>
      <UserInfo>
        <DisplayName>Pablo Garmon</DisplayName>
        <AccountId>70</AccountId>
        <AccountType/>
      </UserInfo>
      <UserInfo>
        <DisplayName>My Linh Doan</DisplayName>
        <AccountId>73</AccountId>
        <AccountType/>
      </UserInfo>
      <UserInfo>
        <DisplayName>Takafumi Anan</DisplayName>
        <AccountId>18</AccountId>
        <AccountType/>
      </UserInfo>
      <UserInfo>
        <DisplayName>Lara Ognibene</DisplayName>
        <AccountId>16</AccountId>
        <AccountType/>
      </UserInfo>
      <UserInfo>
        <DisplayName>Moses Okello</DisplayName>
        <AccountId>314</AccountId>
        <AccountType/>
      </UserInfo>
      <UserInfo>
        <DisplayName>Richard GUTIERREZ</DisplayName>
        <AccountId>162</AccountId>
        <AccountType/>
      </UserInfo>
      <UserInfo>
        <DisplayName>Alexandru Sofroni</DisplayName>
        <AccountId>13</AccountId>
        <AccountType/>
      </UserInfo>
      <UserInfo>
        <DisplayName>Manoela Pessoa De Miranda</DisplayName>
        <AccountId>137</AccountId>
        <AccountType/>
      </UserInfo>
      <UserInfo>
        <DisplayName>Reena Agrawal</DisplayName>
        <AccountId>23</AccountId>
        <AccountType/>
      </UserInfo>
      <UserInfo>
        <DisplayName>Maria Irene Rizzo</DisplayName>
        <AccountId>240</AccountId>
        <AccountType/>
      </UserInfo>
      <UserInfo>
        <DisplayName>Samuel Shimba</DisplayName>
        <AccountId>405</AccountId>
        <AccountType/>
      </UserInfo>
      <UserInfo>
        <DisplayName>Zablon Kiruki</DisplayName>
        <AccountId>513</AccountId>
        <AccountType/>
      </UserInfo>
    </SharedWithUsers>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85F57-DE83-4204-9B2E-07CCFFF3C325}">
  <ds:schemaRefs>
    <ds:schemaRef ds:uri="http://purl.org/dc/terms/"/>
    <ds:schemaRef ds:uri="985ec44e-1bab-4c0b-9df0-6ba128686fc9"/>
    <ds:schemaRef ds:uri="http://schemas.microsoft.com/office/2006/documentManagement/types"/>
    <ds:schemaRef ds:uri="http://purl.org/dc/dcmitype/"/>
    <ds:schemaRef ds:uri="822da31b-d518-49e2-88cd-1351ccd720a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e99bad0-3155-475a-8063-b4d93685c2ad"/>
    <ds:schemaRef ds:uri="http://www.w3.org/XML/1998/namespace"/>
  </ds:schemaRefs>
</ds:datastoreItem>
</file>

<file path=customXml/itemProps2.xml><?xml version="1.0" encoding="utf-8"?>
<ds:datastoreItem xmlns:ds="http://schemas.openxmlformats.org/officeDocument/2006/customXml" ds:itemID="{1D50B589-2D03-465C-8969-E833C986E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0384B-6B1F-4EF3-87B9-DEFF505451DE}">
  <ds:schemaRefs>
    <ds:schemaRef ds:uri="http://schemas.openxmlformats.org/officeDocument/2006/bibliography"/>
  </ds:schemaRefs>
</ds:datastoreItem>
</file>

<file path=customXml/itemProps4.xml><?xml version="1.0" encoding="utf-8"?>
<ds:datastoreItem xmlns:ds="http://schemas.openxmlformats.org/officeDocument/2006/customXml" ds:itemID="{47C667CE-DDFB-4BA0-A416-9A38C44030C1}">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81</Pages>
  <Words>22423</Words>
  <Characters>140964</Characters>
  <Application>Microsoft Office Word</Application>
  <DocSecurity>0</DocSecurity>
  <Lines>1174</Lines>
  <Paragraphs>326</Paragraphs>
  <ScaleCrop>false</ScaleCrop>
  <Company/>
  <LinksUpToDate>false</LinksUpToDate>
  <CharactersWithSpaces>163061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Garcia Sans</dc:creator>
  <cp:keywords/>
  <dc:description/>
  <cp:lastModifiedBy>My Linh Doan</cp:lastModifiedBy>
  <cp:revision>180</cp:revision>
  <cp:lastPrinted>2023-08-20T12:59:00Z</cp:lastPrinted>
  <dcterms:created xsi:type="dcterms:W3CDTF">2025-08-04T21:58:00Z</dcterms:created>
  <dcterms:modified xsi:type="dcterms:W3CDTF">2025-08-22T12:42:00Z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MediaServiceImageTags">
    <vt:lpwstr/>
  </property>
  <property fmtid="{D5CDD505-2E9C-101B-9397-08002B2CF9AE}" pid="4" name="GrammarlyDocumentId">
    <vt:lpwstr>fc6e832bd7734a3ee06addb1d5e3f5608d407923090525ffd9da250a7fd0076c</vt:lpwstr>
  </property>
</Properties>
</file>