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F66B97" w14:paraId="3875A4F0" w14:textId="77777777" w:rsidTr="00AE6AB6">
        <w:trPr>
          <w:trHeight w:val="57"/>
          <w:jc w:val="right"/>
        </w:trPr>
        <w:tc>
          <w:tcPr>
            <w:tcW w:w="1613" w:type="dxa"/>
          </w:tcPr>
          <w:p w14:paraId="237C9056" w14:textId="77777777" w:rsidR="0015442E" w:rsidRPr="00F66B97" w:rsidRDefault="0015442E" w:rsidP="00AE6AB6">
            <w:pPr>
              <w:rPr>
                <w:rFonts w:ascii="Arial" w:hAnsi="Arial" w:cs="Arial"/>
                <w:b/>
                <w:bCs/>
                <w:sz w:val="27"/>
                <w:szCs w:val="27"/>
              </w:rPr>
            </w:pPr>
            <w:r w:rsidRPr="00F66B97">
              <w:rPr>
                <w:rFonts w:ascii="Arial" w:hAnsi="Arial" w:cs="Arial"/>
                <w:b/>
                <w:bCs/>
                <w:sz w:val="27"/>
                <w:szCs w:val="27"/>
              </w:rPr>
              <w:t xml:space="preserve">UNITED </w:t>
            </w:r>
            <w:r w:rsidRPr="00F66B97">
              <w:rPr>
                <w:rFonts w:ascii="Arial" w:hAnsi="Arial" w:cs="Arial"/>
                <w:b/>
                <w:bCs/>
                <w:sz w:val="27"/>
                <w:szCs w:val="27"/>
              </w:rPr>
              <w:br/>
              <w:t>NATIONS</w:t>
            </w:r>
          </w:p>
        </w:tc>
        <w:tc>
          <w:tcPr>
            <w:tcW w:w="6467" w:type="dxa"/>
            <w:gridSpan w:val="3"/>
          </w:tcPr>
          <w:p w14:paraId="7CB9E85D" w14:textId="77777777" w:rsidR="0015442E" w:rsidRPr="00F66B97" w:rsidRDefault="0015442E" w:rsidP="00AE6AB6">
            <w:pPr>
              <w:spacing w:before="20"/>
            </w:pPr>
            <w:r w:rsidRPr="00AB65BD">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F66B97" w:rsidRDefault="00E3329D" w:rsidP="00AE6AB6">
            <w:pPr>
              <w:jc w:val="right"/>
              <w:rPr>
                <w:rFonts w:ascii="Arial" w:hAnsi="Arial" w:cs="Arial"/>
                <w:b/>
                <w:bCs/>
                <w:sz w:val="64"/>
                <w:szCs w:val="64"/>
              </w:rPr>
            </w:pPr>
            <w:r w:rsidRPr="00F66B97">
              <w:rPr>
                <w:rFonts w:ascii="Arial" w:hAnsi="Arial" w:cs="Arial"/>
                <w:b/>
                <w:bCs/>
                <w:sz w:val="64"/>
                <w:szCs w:val="64"/>
              </w:rPr>
              <w:t>M</w:t>
            </w:r>
            <w:r w:rsidR="0015442E" w:rsidRPr="00F66B97">
              <w:rPr>
                <w:rFonts w:ascii="Arial" w:hAnsi="Arial" w:cs="Arial"/>
                <w:b/>
                <w:bCs/>
                <w:sz w:val="64"/>
                <w:szCs w:val="64"/>
              </w:rPr>
              <w:t>C</w:t>
            </w:r>
          </w:p>
        </w:tc>
      </w:tr>
      <w:tr w:rsidR="0015442E" w:rsidRPr="00F66B97" w14:paraId="3541900C" w14:textId="77777777" w:rsidTr="00F96910">
        <w:trPr>
          <w:trHeight w:val="57"/>
          <w:jc w:val="right"/>
        </w:trPr>
        <w:tc>
          <w:tcPr>
            <w:tcW w:w="1613" w:type="dxa"/>
            <w:tcBorders>
              <w:bottom w:val="single" w:sz="4" w:space="0" w:color="auto"/>
            </w:tcBorders>
          </w:tcPr>
          <w:p w14:paraId="144561A9" w14:textId="77777777" w:rsidR="0015442E" w:rsidRPr="00F66B97" w:rsidRDefault="0015442E" w:rsidP="00AE6AB6"/>
        </w:tc>
        <w:tc>
          <w:tcPr>
            <w:tcW w:w="4807" w:type="dxa"/>
            <w:gridSpan w:val="2"/>
            <w:tcBorders>
              <w:bottom w:val="single" w:sz="4" w:space="0" w:color="auto"/>
            </w:tcBorders>
          </w:tcPr>
          <w:p w14:paraId="44C04C0A" w14:textId="77777777" w:rsidR="0015442E" w:rsidRPr="00F66B97" w:rsidRDefault="0015442E" w:rsidP="00AE6AB6"/>
        </w:tc>
        <w:tc>
          <w:tcPr>
            <w:tcW w:w="3076" w:type="dxa"/>
            <w:gridSpan w:val="2"/>
            <w:tcBorders>
              <w:bottom w:val="single" w:sz="4" w:space="0" w:color="auto"/>
            </w:tcBorders>
          </w:tcPr>
          <w:p w14:paraId="2031E597" w14:textId="58DF3B4E" w:rsidR="0015442E" w:rsidRPr="00F66B97" w:rsidRDefault="0015442E" w:rsidP="00AE6AB6">
            <w:r w:rsidRPr="00F66B97">
              <w:rPr>
                <w:b/>
                <w:bCs/>
                <w:sz w:val="28"/>
                <w:szCs w:val="28"/>
              </w:rPr>
              <w:t>UNEP</w:t>
            </w:r>
            <w:r w:rsidRPr="00F66B97">
              <w:t>/</w:t>
            </w:r>
            <w:r w:rsidR="00962471" w:rsidRPr="00F66B97">
              <w:t>MC</w:t>
            </w:r>
            <w:r w:rsidR="00EA2CF9" w:rsidRPr="00F66B97">
              <w:t>/</w:t>
            </w:r>
            <w:r w:rsidR="00962471" w:rsidRPr="00F66B97">
              <w:t>COP.</w:t>
            </w:r>
            <w:r w:rsidR="00587F77" w:rsidRPr="00F66B97">
              <w:t>6</w:t>
            </w:r>
            <w:r w:rsidR="00ED155C" w:rsidRPr="00F66B97">
              <w:t>/</w:t>
            </w:r>
            <w:r w:rsidR="006D1C7C" w:rsidRPr="00F66B97">
              <w:t>INF/</w:t>
            </w:r>
            <w:r w:rsidR="00A10195" w:rsidRPr="00F66B97">
              <w:t>34</w:t>
            </w:r>
          </w:p>
        </w:tc>
      </w:tr>
      <w:tr w:rsidR="0015442E" w:rsidRPr="00F66B97"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F66B97" w:rsidRDefault="009D7B82" w:rsidP="006520E8">
            <w:pPr>
              <w:spacing w:before="120" w:after="240"/>
              <w:ind w:left="-85"/>
              <w:rPr>
                <w:sz w:val="22"/>
              </w:rPr>
            </w:pPr>
            <w:r w:rsidRPr="00AB65BD">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7841CA"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11EAEC52" w:rsidR="0015442E" w:rsidRPr="007841CA" w:rsidRDefault="0015442E" w:rsidP="00AE6AB6">
            <w:pPr>
              <w:spacing w:before="120"/>
              <w:rPr>
                <w:iCs/>
              </w:rPr>
            </w:pPr>
            <w:r w:rsidRPr="007841CA">
              <w:t xml:space="preserve">Distr.: General </w:t>
            </w:r>
            <w:r w:rsidRPr="007841CA">
              <w:br/>
            </w:r>
            <w:r w:rsidR="005D3540" w:rsidRPr="00A229BC">
              <w:rPr>
                <w:iCs/>
              </w:rPr>
              <w:t xml:space="preserve">16 </w:t>
            </w:r>
            <w:r w:rsidR="00A10195" w:rsidRPr="00A229BC">
              <w:rPr>
                <w:iCs/>
              </w:rPr>
              <w:t>August</w:t>
            </w:r>
            <w:r w:rsidRPr="00A229BC">
              <w:rPr>
                <w:iCs/>
              </w:rPr>
              <w:t xml:space="preserve"> 202</w:t>
            </w:r>
            <w:r w:rsidR="00587F77" w:rsidRPr="00A229BC">
              <w:rPr>
                <w:iCs/>
              </w:rPr>
              <w:t>5</w:t>
            </w:r>
          </w:p>
          <w:p w14:paraId="786FA9DB" w14:textId="7C78C15B" w:rsidR="0015442E" w:rsidRPr="007841CA" w:rsidRDefault="0015442E" w:rsidP="00AE6AB6">
            <w:pPr>
              <w:spacing w:before="120"/>
              <w:rPr>
                <w:sz w:val="22"/>
              </w:rPr>
            </w:pPr>
            <w:r w:rsidRPr="007841CA">
              <w:t>English</w:t>
            </w:r>
            <w:r w:rsidR="005D3540" w:rsidRPr="007841CA">
              <w:t xml:space="preserve"> only</w:t>
            </w:r>
          </w:p>
        </w:tc>
      </w:tr>
    </w:tbl>
    <w:p w14:paraId="5D4E73B5" w14:textId="77777777" w:rsidR="00962471" w:rsidRPr="00A229BC" w:rsidRDefault="00962471" w:rsidP="00962471">
      <w:pPr>
        <w:pStyle w:val="AATitle"/>
        <w:rPr>
          <w:lang w:val="en-GB"/>
        </w:rPr>
      </w:pPr>
      <w:r w:rsidRPr="00A229BC">
        <w:rPr>
          <w:lang w:val="en-GB"/>
        </w:rPr>
        <w:t xml:space="preserve">Conference of the Parties to the </w:t>
      </w:r>
      <w:r w:rsidRPr="00A229BC">
        <w:rPr>
          <w:lang w:val="en-GB"/>
        </w:rPr>
        <w:br/>
        <w:t>Minamata Convention on Mercury</w:t>
      </w:r>
    </w:p>
    <w:p w14:paraId="25B9D054" w14:textId="67D89B84" w:rsidR="00962471" w:rsidRPr="00A229BC" w:rsidRDefault="00587F77" w:rsidP="00962471">
      <w:pPr>
        <w:pStyle w:val="AATitle"/>
        <w:rPr>
          <w:lang w:val="en-GB"/>
        </w:rPr>
      </w:pPr>
      <w:r w:rsidRPr="00A229BC">
        <w:rPr>
          <w:lang w:val="en-GB"/>
        </w:rPr>
        <w:t>Sixth</w:t>
      </w:r>
      <w:r w:rsidR="00962471" w:rsidRPr="00A229BC">
        <w:rPr>
          <w:lang w:val="en-GB"/>
        </w:rPr>
        <w:t xml:space="preserve"> meeting</w:t>
      </w:r>
    </w:p>
    <w:p w14:paraId="6479FDBB" w14:textId="26F55457" w:rsidR="005369CB" w:rsidRPr="00A229BC" w:rsidRDefault="00ED155C" w:rsidP="0015442E">
      <w:pPr>
        <w:pStyle w:val="AATitle"/>
        <w:rPr>
          <w:b w:val="0"/>
          <w:lang w:val="en-GB"/>
        </w:rPr>
      </w:pPr>
      <w:r w:rsidRPr="00A229BC">
        <w:rPr>
          <w:b w:val="0"/>
          <w:lang w:val="en-GB"/>
        </w:rPr>
        <w:t xml:space="preserve">Geneva, </w:t>
      </w:r>
      <w:r w:rsidR="00587F77" w:rsidRPr="00A229BC">
        <w:rPr>
          <w:b w:val="0"/>
          <w:lang w:val="en-GB"/>
        </w:rPr>
        <w:t>3</w:t>
      </w:r>
      <w:r w:rsidRPr="00A229BC">
        <w:rPr>
          <w:b w:val="0"/>
          <w:lang w:val="en-GB"/>
        </w:rPr>
        <w:t>–</w:t>
      </w:r>
      <w:r w:rsidR="00587F77" w:rsidRPr="00A229BC">
        <w:rPr>
          <w:b w:val="0"/>
          <w:lang w:val="en-GB"/>
        </w:rPr>
        <w:t>7</w:t>
      </w:r>
      <w:r w:rsidRPr="00A229BC">
        <w:rPr>
          <w:b w:val="0"/>
          <w:lang w:val="en-GB"/>
        </w:rPr>
        <w:t xml:space="preserve"> November 202</w:t>
      </w:r>
      <w:r w:rsidR="00587F77" w:rsidRPr="00A229BC">
        <w:rPr>
          <w:b w:val="0"/>
          <w:lang w:val="en-GB"/>
        </w:rPr>
        <w:t>5</w:t>
      </w:r>
    </w:p>
    <w:p w14:paraId="1D83FFB8" w14:textId="3D81CC34" w:rsidR="00435FD9" w:rsidRPr="00A229BC" w:rsidRDefault="00435FD9" w:rsidP="00880CCB">
      <w:pPr>
        <w:pStyle w:val="AATitle"/>
        <w:rPr>
          <w:b w:val="0"/>
          <w:lang w:val="en-GB"/>
        </w:rPr>
      </w:pPr>
      <w:r w:rsidRPr="00A229BC">
        <w:rPr>
          <w:b w:val="0"/>
          <w:lang w:val="en-GB"/>
        </w:rPr>
        <w:t xml:space="preserve">Item </w:t>
      </w:r>
      <w:r w:rsidR="00321111" w:rsidRPr="00A229BC">
        <w:rPr>
          <w:b w:val="0"/>
          <w:lang w:val="en-GB"/>
        </w:rPr>
        <w:t>5</w:t>
      </w:r>
      <w:r w:rsidRPr="00A229BC">
        <w:rPr>
          <w:b w:val="0"/>
          <w:lang w:val="en-GB"/>
        </w:rPr>
        <w:t xml:space="preserve"> of the provisional agenda</w:t>
      </w:r>
      <w:r w:rsidR="00880CCB" w:rsidRPr="00A229BC">
        <w:rPr>
          <w:rStyle w:val="FootnoteReference"/>
          <w:b w:val="0"/>
          <w:vertAlign w:val="baseline"/>
          <w:lang w:val="en-GB"/>
        </w:rPr>
        <w:footnoteReference w:customMarkFollows="1" w:id="2"/>
        <w:t>*</w:t>
      </w:r>
    </w:p>
    <w:p w14:paraId="3A82A9F2" w14:textId="4294C728" w:rsidR="00435FD9" w:rsidRPr="00A229BC" w:rsidRDefault="00027DE5" w:rsidP="00027DE5">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0"/>
        <w:rPr>
          <w:rFonts w:eastAsia="Times New Roman"/>
          <w:lang w:val="en-GB"/>
        </w:rPr>
      </w:pPr>
      <w:r w:rsidRPr="00A229BC">
        <w:rPr>
          <w:rFonts w:eastAsia="Times New Roman"/>
          <w:lang w:val="en-GB"/>
        </w:rPr>
        <w:t>International cooperation and coordination</w:t>
      </w:r>
    </w:p>
    <w:p w14:paraId="2D4BE6E9" w14:textId="1C1147E7" w:rsidR="00D8451A" w:rsidRPr="00BB2496" w:rsidRDefault="00C10ABA" w:rsidP="00F96910">
      <w:pPr>
        <w:pStyle w:val="BBTitle"/>
        <w:rPr>
          <w:lang w:val="en-GB"/>
        </w:rPr>
      </w:pPr>
      <w:r w:rsidRPr="00BB2496">
        <w:rPr>
          <w:lang w:val="en-GB"/>
        </w:rPr>
        <w:t xml:space="preserve">Report on activities undertaken within the </w:t>
      </w:r>
      <w:r w:rsidR="009C306A" w:rsidRPr="00BB2496">
        <w:rPr>
          <w:lang w:val="en-GB"/>
        </w:rPr>
        <w:t>Global Framework on Chemicals – for a Planet Free of Harm from Chemicals and Waste</w:t>
      </w:r>
      <w:r w:rsidR="00F9706D" w:rsidRPr="00BB2496">
        <w:rPr>
          <w:rStyle w:val="FootnoteReference"/>
          <w:rFonts w:asciiTheme="majorBidi" w:hAnsiTheme="majorBidi" w:cstheme="majorBidi"/>
          <w:sz w:val="28"/>
          <w:szCs w:val="28"/>
          <w:vertAlign w:val="baseline"/>
          <w:lang w:val="en-GB"/>
        </w:rPr>
        <w:footnoteReference w:customMarkFollows="1" w:id="3"/>
        <w:t>**</w:t>
      </w:r>
    </w:p>
    <w:p w14:paraId="5CC09887" w14:textId="60A92C0F" w:rsidR="0079019B" w:rsidRPr="00A229BC" w:rsidRDefault="0079019B" w:rsidP="00F96910">
      <w:pPr>
        <w:pStyle w:val="BBTitle"/>
        <w:rPr>
          <w:sz w:val="24"/>
          <w:szCs w:val="24"/>
          <w:lang w:val="en-GB"/>
        </w:rPr>
      </w:pPr>
      <w:r w:rsidRPr="00A229BC">
        <w:rPr>
          <w:sz w:val="24"/>
          <w:szCs w:val="24"/>
          <w:lang w:val="en-GB"/>
        </w:rPr>
        <w:t xml:space="preserve">Note by the </w:t>
      </w:r>
      <w:r w:rsidR="005D3540" w:rsidRPr="00A229BC">
        <w:rPr>
          <w:sz w:val="24"/>
          <w:szCs w:val="24"/>
          <w:lang w:val="en-GB"/>
        </w:rPr>
        <w:t>secretariat</w:t>
      </w:r>
    </w:p>
    <w:p w14:paraId="38685E48" w14:textId="508770C8" w:rsidR="00962471" w:rsidRPr="00A229BC" w:rsidRDefault="002525C0" w:rsidP="00A229BC">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ind w:right="707"/>
        <w:rPr>
          <w:lang w:val="en-GB"/>
        </w:rPr>
      </w:pPr>
      <w:r w:rsidRPr="00F66B97">
        <w:rPr>
          <w:rFonts w:eastAsia="Times New Roman"/>
          <w:lang w:val="en-GB"/>
        </w:rPr>
        <w:t xml:space="preserve">The annex to the present note sets out a report on </w:t>
      </w:r>
      <w:r w:rsidR="00027DE5" w:rsidRPr="00F66B97">
        <w:rPr>
          <w:rFonts w:eastAsia="Times New Roman"/>
          <w:lang w:val="en-GB"/>
        </w:rPr>
        <w:t xml:space="preserve">the activities of the Global Framework on Chemicals </w:t>
      </w:r>
      <w:r w:rsidR="0047013C" w:rsidRPr="00F66B97">
        <w:rPr>
          <w:rFonts w:eastAsia="Times New Roman"/>
          <w:lang w:val="en-GB"/>
        </w:rPr>
        <w:t>secretariat</w:t>
      </w:r>
      <w:r w:rsidR="00A94604" w:rsidRPr="00F66B97">
        <w:rPr>
          <w:rFonts w:eastAsia="Times New Roman"/>
          <w:lang w:val="en-GB"/>
        </w:rPr>
        <w:t xml:space="preserve">. The document was submitted by </w:t>
      </w:r>
      <w:r w:rsidR="00791672" w:rsidRPr="00F66B97">
        <w:rPr>
          <w:rFonts w:eastAsia="Times New Roman"/>
          <w:lang w:val="en-GB"/>
        </w:rPr>
        <w:t xml:space="preserve">UNEP’s Global Framework on Chemicals </w:t>
      </w:r>
      <w:r w:rsidR="0047013C" w:rsidRPr="00F66B97">
        <w:rPr>
          <w:rFonts w:eastAsia="Times New Roman"/>
          <w:lang w:val="en-GB"/>
        </w:rPr>
        <w:t>secretariat</w:t>
      </w:r>
      <w:r w:rsidR="00E3591B" w:rsidRPr="00F66B97">
        <w:rPr>
          <w:rFonts w:eastAsia="Times New Roman"/>
          <w:lang w:val="en-GB"/>
        </w:rPr>
        <w:t>. It is presented as received, without formal editing.</w:t>
      </w:r>
    </w:p>
    <w:p w14:paraId="3D3EB902" w14:textId="34C670BA" w:rsidR="008B4456" w:rsidRPr="00A229BC" w:rsidRDefault="008B4456" w:rsidP="6CDB52B7">
      <w:pPr>
        <w:rPr>
          <w:rFonts w:eastAsia="Times New Roman"/>
          <w:u w:val="single"/>
          <w:lang w:eastAsia="en-US"/>
        </w:rPr>
      </w:pPr>
      <w:r w:rsidRPr="00F66B97">
        <w:br w:type="page"/>
      </w:r>
    </w:p>
    <w:p w14:paraId="3BDF6763" w14:textId="07D3C92E" w:rsidR="008B4456" w:rsidRPr="00A229BC" w:rsidRDefault="00E3591B" w:rsidP="00FB0BB9">
      <w:pPr>
        <w:pStyle w:val="Normalnumber"/>
        <w:snapToGrid w:val="0"/>
        <w:spacing w:after="0"/>
        <w:rPr>
          <w:b/>
          <w:bCs/>
          <w:sz w:val="28"/>
          <w:szCs w:val="28"/>
          <w:lang w:val="en-GB"/>
        </w:rPr>
      </w:pPr>
      <w:r w:rsidRPr="00A229BC">
        <w:rPr>
          <w:b/>
          <w:bCs/>
          <w:sz w:val="28"/>
          <w:szCs w:val="28"/>
          <w:lang w:val="en-GB"/>
        </w:rPr>
        <w:lastRenderedPageBreak/>
        <w:t>Annex</w:t>
      </w:r>
    </w:p>
    <w:p w14:paraId="04F7175E" w14:textId="0144D146" w:rsidR="00E3591B" w:rsidRPr="00A229BC" w:rsidRDefault="00E03B75" w:rsidP="00D8451A">
      <w:pPr>
        <w:pStyle w:val="Normalnumber"/>
        <w:snapToGrid w:val="0"/>
        <w:spacing w:before="360"/>
        <w:ind w:left="1247"/>
        <w:rPr>
          <w:b/>
          <w:bCs/>
          <w:sz w:val="28"/>
          <w:szCs w:val="28"/>
          <w:lang w:val="en-GB"/>
        </w:rPr>
      </w:pPr>
      <w:r w:rsidRPr="00F66B97">
        <w:rPr>
          <w:b/>
          <w:bCs/>
          <w:sz w:val="28"/>
          <w:szCs w:val="28"/>
          <w:lang w:val="en-GB"/>
        </w:rPr>
        <w:t xml:space="preserve">Update on the </w:t>
      </w:r>
      <w:r w:rsidR="00D8451A" w:rsidRPr="00F66B97">
        <w:rPr>
          <w:b/>
          <w:bCs/>
          <w:sz w:val="28"/>
          <w:szCs w:val="28"/>
          <w:lang w:val="en-GB"/>
        </w:rPr>
        <w:t>Global Framework on Chemicals – for a Planet Free of Harm from Chemicals and Waste</w:t>
      </w:r>
    </w:p>
    <w:p w14:paraId="2A19AD9B" w14:textId="0A5CE6EE" w:rsidR="000B5BC8" w:rsidRPr="00F66B97" w:rsidRDefault="00545860" w:rsidP="00FB0BB9">
      <w:pPr>
        <w:pStyle w:val="CH1"/>
        <w:tabs>
          <w:tab w:val="clear" w:pos="1814"/>
          <w:tab w:val="clear" w:pos="2381"/>
          <w:tab w:val="clear" w:pos="2948"/>
          <w:tab w:val="clear" w:pos="3515"/>
          <w:tab w:val="clear" w:pos="4082"/>
          <w:tab w:val="left" w:pos="1871"/>
          <w:tab w:val="left" w:pos="2495"/>
          <w:tab w:val="left" w:pos="3119"/>
          <w:tab w:val="left" w:pos="3742"/>
          <w:tab w:val="left" w:pos="4366"/>
        </w:tabs>
        <w:snapToGrid w:val="0"/>
        <w:rPr>
          <w:rFonts w:eastAsia="Times New Roman"/>
          <w:lang w:val="en-GB"/>
        </w:rPr>
      </w:pPr>
      <w:r w:rsidRPr="00F66B97">
        <w:rPr>
          <w:rFonts w:eastAsia="Times New Roman"/>
          <w:lang w:val="en-GB"/>
        </w:rPr>
        <w:tab/>
      </w:r>
      <w:r w:rsidR="00B84D51" w:rsidRPr="00F66B97">
        <w:rPr>
          <w:rFonts w:eastAsia="Times New Roman"/>
          <w:lang w:val="en-GB"/>
        </w:rPr>
        <w:t>I.</w:t>
      </w:r>
      <w:r w:rsidR="00B84D51" w:rsidRPr="00F66B97">
        <w:rPr>
          <w:rFonts w:eastAsia="Times New Roman"/>
          <w:lang w:val="en-GB"/>
        </w:rPr>
        <w:tab/>
      </w:r>
      <w:r w:rsidR="00BC0052" w:rsidRPr="00F66B97">
        <w:rPr>
          <w:rFonts w:eastAsia="Times New Roman"/>
          <w:lang w:val="en-GB"/>
        </w:rPr>
        <w:t>Introduction</w:t>
      </w:r>
    </w:p>
    <w:p w14:paraId="137750F8" w14:textId="072D1E08" w:rsidR="004F21D4" w:rsidRPr="00F66B97" w:rsidRDefault="00E364DD"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rFonts w:asciiTheme="majorBidi" w:hAnsiTheme="majorBidi" w:cstheme="majorBidi"/>
          <w:lang w:val="en-GB"/>
        </w:rPr>
        <w:t xml:space="preserve">This </w:t>
      </w:r>
      <w:r w:rsidRPr="00A229BC">
        <w:rPr>
          <w:lang w:val="en-GB"/>
        </w:rPr>
        <w:t>report</w:t>
      </w:r>
      <w:r w:rsidRPr="00A229BC">
        <w:rPr>
          <w:rFonts w:asciiTheme="majorBidi" w:hAnsiTheme="majorBidi" w:cstheme="majorBidi"/>
          <w:lang w:val="en-GB"/>
        </w:rPr>
        <w:t xml:space="preserve"> presents an update on Global Framework on Chemicals (GFC) Secretariat </w:t>
      </w:r>
      <w:r w:rsidR="00760F59" w:rsidRPr="00A229BC">
        <w:rPr>
          <w:rFonts w:asciiTheme="majorBidi" w:hAnsiTheme="majorBidi" w:cstheme="majorBidi"/>
          <w:lang w:val="en-GB"/>
        </w:rPr>
        <w:t xml:space="preserve">and Fund </w:t>
      </w:r>
      <w:r w:rsidRPr="00A229BC">
        <w:rPr>
          <w:rFonts w:asciiTheme="majorBidi" w:hAnsiTheme="majorBidi" w:cstheme="majorBidi"/>
          <w:lang w:val="en-GB"/>
        </w:rPr>
        <w:t>activities</w:t>
      </w:r>
      <w:r w:rsidR="00760F59" w:rsidRPr="00A229BC">
        <w:rPr>
          <w:rFonts w:asciiTheme="majorBidi" w:hAnsiTheme="majorBidi" w:cstheme="majorBidi"/>
          <w:lang w:val="en-GB"/>
        </w:rPr>
        <w:t xml:space="preserve">. </w:t>
      </w:r>
      <w:r w:rsidR="004F21D4" w:rsidRPr="00F66B97">
        <w:rPr>
          <w:rFonts w:asciiTheme="majorBidi" w:hAnsiTheme="majorBidi" w:cstheme="majorBidi"/>
          <w:lang w:val="en-GB"/>
        </w:rPr>
        <w:t xml:space="preserve">The Global Framework on Chemicals, adopted at the fifth session of the International Conference on Chemicals Management (ICCM5), builds upon the Strategic Approach to International Chemicals Management (SAICM) by shifting to a target-driven model focused on achieving the vision of a planet free of harm from chemicals and waste. Its five strategic objectives and 28 internationally agreed targets promote systemic change through robust governance, cross-sector collaboration, and measurable outcomes. </w:t>
      </w:r>
    </w:p>
    <w:p w14:paraId="1B562249" w14:textId="7A2A0115" w:rsidR="000B5BC8" w:rsidRPr="00F66B97" w:rsidRDefault="004F21D4"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F66B97">
        <w:rPr>
          <w:rFonts w:asciiTheme="majorBidi" w:hAnsiTheme="majorBidi" w:cstheme="majorBidi"/>
          <w:lang w:val="en-GB"/>
        </w:rPr>
        <w:t xml:space="preserve">To ensure the successful implementation of the Framework, emphasis has been on strengthening </w:t>
      </w:r>
      <w:r w:rsidRPr="00A229BC">
        <w:rPr>
          <w:lang w:val="en-GB"/>
        </w:rPr>
        <w:t>foundational</w:t>
      </w:r>
      <w:r w:rsidRPr="00F66B97">
        <w:rPr>
          <w:rFonts w:asciiTheme="majorBidi" w:hAnsiTheme="majorBidi" w:cstheme="majorBidi"/>
          <w:lang w:val="en-GB"/>
        </w:rPr>
        <w:t xml:space="preserve"> capacities, </w:t>
      </w:r>
      <w:r w:rsidR="00BF61DE" w:rsidRPr="00F66B97">
        <w:rPr>
          <w:rFonts w:asciiTheme="majorBidi" w:hAnsiTheme="majorBidi" w:cstheme="majorBidi"/>
          <w:lang w:val="en-GB"/>
        </w:rPr>
        <w:t>engaging with</w:t>
      </w:r>
      <w:r w:rsidRPr="00F66B97">
        <w:rPr>
          <w:rFonts w:asciiTheme="majorBidi" w:hAnsiTheme="majorBidi" w:cstheme="majorBidi"/>
          <w:lang w:val="en-GB"/>
        </w:rPr>
        <w:t xml:space="preserve"> high impact sectors, promoting strategies to include innovative approaches</w:t>
      </w:r>
      <w:r w:rsidR="009D5663" w:rsidRPr="00F66B97">
        <w:rPr>
          <w:rFonts w:asciiTheme="majorBidi" w:hAnsiTheme="majorBidi" w:cstheme="majorBidi"/>
          <w:lang w:val="en-GB"/>
        </w:rPr>
        <w:t xml:space="preserve">, </w:t>
      </w:r>
      <w:r w:rsidRPr="00F66B97">
        <w:rPr>
          <w:rFonts w:asciiTheme="majorBidi" w:hAnsiTheme="majorBidi" w:cstheme="majorBidi"/>
          <w:lang w:val="en-GB"/>
        </w:rPr>
        <w:t xml:space="preserve">developing a strong sustained stakeholder engagement and </w:t>
      </w:r>
      <w:r w:rsidR="009D5663" w:rsidRPr="00F66B97">
        <w:rPr>
          <w:rFonts w:asciiTheme="majorBidi" w:hAnsiTheme="majorBidi" w:cstheme="majorBidi"/>
          <w:lang w:val="en-GB"/>
        </w:rPr>
        <w:t xml:space="preserve">mobilising </w:t>
      </w:r>
      <w:r w:rsidR="0051141D" w:rsidRPr="00F66B97">
        <w:rPr>
          <w:rFonts w:asciiTheme="majorBidi" w:hAnsiTheme="majorBidi" w:cstheme="majorBidi"/>
          <w:lang w:val="en-GB"/>
        </w:rPr>
        <w:t xml:space="preserve">the </w:t>
      </w:r>
      <w:r w:rsidRPr="00F66B97">
        <w:rPr>
          <w:rFonts w:asciiTheme="majorBidi" w:hAnsiTheme="majorBidi" w:cstheme="majorBidi"/>
          <w:lang w:val="en-GB"/>
        </w:rPr>
        <w:t xml:space="preserve">finance </w:t>
      </w:r>
      <w:r w:rsidR="0051141D" w:rsidRPr="00F66B97">
        <w:rPr>
          <w:rFonts w:asciiTheme="majorBidi" w:hAnsiTheme="majorBidi" w:cstheme="majorBidi"/>
          <w:lang w:val="en-GB"/>
        </w:rPr>
        <w:t>sector</w:t>
      </w:r>
      <w:r w:rsidRPr="00F66B97">
        <w:rPr>
          <w:rFonts w:asciiTheme="majorBidi" w:hAnsiTheme="majorBidi" w:cstheme="majorBidi"/>
          <w:lang w:val="en-GB"/>
        </w:rPr>
        <w:t xml:space="preserve">. </w:t>
      </w:r>
      <w:r w:rsidR="00907DF6" w:rsidRPr="00F66B97">
        <w:rPr>
          <w:rFonts w:asciiTheme="majorBidi" w:hAnsiTheme="majorBidi" w:cstheme="majorBidi"/>
          <w:lang w:val="en-GB"/>
        </w:rPr>
        <w:t>T</w:t>
      </w:r>
      <w:r w:rsidRPr="00F66B97">
        <w:rPr>
          <w:rFonts w:asciiTheme="majorBidi" w:hAnsiTheme="majorBidi" w:cstheme="majorBidi"/>
          <w:lang w:val="en-GB"/>
        </w:rPr>
        <w:t>he</w:t>
      </w:r>
      <w:r w:rsidR="00907DF6" w:rsidRPr="00F66B97">
        <w:rPr>
          <w:rFonts w:asciiTheme="majorBidi" w:hAnsiTheme="majorBidi" w:cstheme="majorBidi"/>
          <w:lang w:val="en-GB"/>
        </w:rPr>
        <w:t>re has been a</w:t>
      </w:r>
      <w:r w:rsidRPr="00F66B97">
        <w:rPr>
          <w:rFonts w:asciiTheme="majorBidi" w:hAnsiTheme="majorBidi" w:cstheme="majorBidi"/>
          <w:lang w:val="en-GB"/>
        </w:rPr>
        <w:t xml:space="preserve"> focus on developing measurable indicators, engaging key industrial sectors, </w:t>
      </w:r>
      <w:r w:rsidR="00801268" w:rsidRPr="00F66B97">
        <w:rPr>
          <w:rFonts w:asciiTheme="majorBidi" w:hAnsiTheme="majorBidi" w:cstheme="majorBidi"/>
          <w:lang w:val="en-GB"/>
        </w:rPr>
        <w:t xml:space="preserve">making </w:t>
      </w:r>
      <w:r w:rsidRPr="00F66B97">
        <w:rPr>
          <w:rFonts w:asciiTheme="majorBidi" w:hAnsiTheme="majorBidi" w:cstheme="majorBidi"/>
          <w:lang w:val="en-GB"/>
        </w:rPr>
        <w:t>the Framework Fund</w:t>
      </w:r>
      <w:r w:rsidR="00801268" w:rsidRPr="00F66B97">
        <w:rPr>
          <w:rFonts w:asciiTheme="majorBidi" w:hAnsiTheme="majorBidi" w:cstheme="majorBidi"/>
          <w:lang w:val="en-GB"/>
        </w:rPr>
        <w:t xml:space="preserve"> operational</w:t>
      </w:r>
      <w:r w:rsidRPr="00F66B97">
        <w:rPr>
          <w:rFonts w:asciiTheme="majorBidi" w:hAnsiTheme="majorBidi" w:cstheme="majorBidi"/>
          <w:lang w:val="en-GB"/>
        </w:rPr>
        <w:t>, integrating gender and social equity, and securing voluntary financial contributions.</w:t>
      </w:r>
    </w:p>
    <w:p w14:paraId="6891E166" w14:textId="62D99E4F" w:rsidR="008C64CB" w:rsidRPr="00F66B97" w:rsidRDefault="00AB6FCA" w:rsidP="00F15117">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8789"/>
        </w:tabs>
        <w:snapToGrid w:val="0"/>
        <w:rPr>
          <w:rFonts w:eastAsia="Times New Roman"/>
          <w:lang w:val="en-GB"/>
        </w:rPr>
      </w:pPr>
      <w:r w:rsidRPr="00F66B97">
        <w:rPr>
          <w:rFonts w:eastAsia="Times New Roman"/>
          <w:lang w:val="en-GB"/>
        </w:rPr>
        <w:tab/>
      </w:r>
      <w:r w:rsidR="001A28CF" w:rsidRPr="00F66B97">
        <w:rPr>
          <w:rFonts w:eastAsia="Times New Roman"/>
          <w:lang w:val="en-GB"/>
        </w:rPr>
        <w:t>II.</w:t>
      </w:r>
      <w:r w:rsidR="00FE608A" w:rsidRPr="00F66B97">
        <w:rPr>
          <w:rFonts w:eastAsia="Times New Roman"/>
          <w:lang w:val="en-GB"/>
        </w:rPr>
        <w:tab/>
        <w:t>Effective governance and secretariat services</w:t>
      </w:r>
    </w:p>
    <w:p w14:paraId="69728C77" w14:textId="7BAF7ED1" w:rsidR="00AB6FCA" w:rsidRPr="00A229BC" w:rsidRDefault="56A0E712"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Throughout the reporting period, the secretariat</w:t>
      </w:r>
      <w:r w:rsidR="000417C3" w:rsidRPr="00A229BC">
        <w:rPr>
          <w:lang w:val="en-GB"/>
        </w:rPr>
        <w:t xml:space="preserve"> </w:t>
      </w:r>
      <w:r w:rsidR="00324514" w:rsidRPr="00A229BC">
        <w:rPr>
          <w:lang w:val="en-GB"/>
        </w:rPr>
        <w:t xml:space="preserve">provided effective </w:t>
      </w:r>
      <w:r w:rsidR="001D2720" w:rsidRPr="00A229BC">
        <w:rPr>
          <w:lang w:val="en-GB"/>
        </w:rPr>
        <w:t>governance by</w:t>
      </w:r>
      <w:r w:rsidRPr="00A229BC">
        <w:rPr>
          <w:lang w:val="en-GB"/>
        </w:rPr>
        <w:t xml:space="preserve"> preparing and organizing seven meetings of the Bureau of the Framework. These meetings took place </w:t>
      </w:r>
      <w:r w:rsidRPr="00F66B97">
        <w:rPr>
          <w:rFonts w:asciiTheme="majorBidi" w:hAnsiTheme="majorBidi" w:cstheme="majorBidi"/>
          <w:lang w:val="en-GB"/>
        </w:rPr>
        <w:t>on</w:t>
      </w:r>
      <w:r w:rsidRPr="00A229BC">
        <w:rPr>
          <w:lang w:val="en-GB"/>
        </w:rPr>
        <w:t xml:space="preserve"> 25 </w:t>
      </w:r>
      <w:r w:rsidRPr="00A229BC">
        <w:rPr>
          <w:rFonts w:asciiTheme="majorBidi" w:hAnsiTheme="majorBidi" w:cstheme="majorBidi"/>
          <w:lang w:val="en-GB"/>
        </w:rPr>
        <w:t>October</w:t>
      </w:r>
      <w:r w:rsidRPr="00A229BC">
        <w:rPr>
          <w:lang w:val="en-GB"/>
        </w:rPr>
        <w:t xml:space="preserve"> and 5 December 2023, 26 February, 15 June and 12 November 2024, and on 30 January and 19 May 2025. In addition, </w:t>
      </w:r>
      <w:r w:rsidR="60A8F2D9" w:rsidRPr="00A229BC">
        <w:rPr>
          <w:lang w:val="en-GB"/>
        </w:rPr>
        <w:t>the secretariat organized</w:t>
      </w:r>
      <w:r w:rsidRPr="00A229BC">
        <w:rPr>
          <w:lang w:val="en-GB"/>
        </w:rPr>
        <w:t xml:space="preserve"> the first meeting of the </w:t>
      </w:r>
      <w:r w:rsidR="00FA20D2" w:rsidRPr="00A229BC">
        <w:rPr>
          <w:lang w:val="en-GB"/>
        </w:rPr>
        <w:t>Open-ended</w:t>
      </w:r>
      <w:r w:rsidR="009D026B" w:rsidRPr="00A229BC">
        <w:rPr>
          <w:lang w:val="en-GB"/>
        </w:rPr>
        <w:t xml:space="preserve"> </w:t>
      </w:r>
      <w:r w:rsidRPr="00A229BC">
        <w:rPr>
          <w:lang w:val="en-GB"/>
        </w:rPr>
        <w:t>W</w:t>
      </w:r>
      <w:r w:rsidR="009D026B" w:rsidRPr="00A229BC">
        <w:rPr>
          <w:lang w:val="en-GB"/>
        </w:rPr>
        <w:t xml:space="preserve">orking </w:t>
      </w:r>
      <w:r w:rsidRPr="00A229BC">
        <w:rPr>
          <w:lang w:val="en-GB"/>
        </w:rPr>
        <w:t>G</w:t>
      </w:r>
      <w:r w:rsidR="009D026B" w:rsidRPr="00A229BC">
        <w:rPr>
          <w:lang w:val="en-GB"/>
        </w:rPr>
        <w:t>roup</w:t>
      </w:r>
      <w:r w:rsidRPr="00A229BC">
        <w:rPr>
          <w:lang w:val="en-GB"/>
        </w:rPr>
        <w:t xml:space="preserve"> </w:t>
      </w:r>
      <w:r w:rsidR="001D2720" w:rsidRPr="00A229BC">
        <w:rPr>
          <w:lang w:val="en-GB"/>
        </w:rPr>
        <w:t xml:space="preserve">(OEWG) </w:t>
      </w:r>
      <w:r w:rsidRPr="00A229BC">
        <w:rPr>
          <w:lang w:val="en-GB"/>
        </w:rPr>
        <w:t xml:space="preserve">which </w:t>
      </w:r>
      <w:r w:rsidR="396C7CBF" w:rsidRPr="00A229BC">
        <w:rPr>
          <w:lang w:val="en-GB"/>
        </w:rPr>
        <w:t>took</w:t>
      </w:r>
      <w:r w:rsidRPr="00A229BC">
        <w:rPr>
          <w:lang w:val="en-GB"/>
        </w:rPr>
        <w:t xml:space="preserve"> place in June 2025 in Punta del Este, Uruguay. </w:t>
      </w:r>
    </w:p>
    <w:p w14:paraId="2E9CD4F4" w14:textId="77777777" w:rsidR="00AB6FCA" w:rsidRPr="00A229BC" w:rsidRDefault="00AB6FCA"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 xml:space="preserve">To support technical dialogue and progress, the secretariat convened five intersessional meetings of the ad </w:t>
      </w:r>
      <w:r w:rsidRPr="00A229BC">
        <w:rPr>
          <w:rFonts w:asciiTheme="majorBidi" w:hAnsiTheme="majorBidi" w:cstheme="majorBidi"/>
          <w:lang w:val="en-GB"/>
        </w:rPr>
        <w:t>hoc</w:t>
      </w:r>
      <w:r w:rsidRPr="00A229BC">
        <w:rPr>
          <w:lang w:val="en-GB"/>
        </w:rPr>
        <w:t xml:space="preserve"> group </w:t>
      </w:r>
      <w:r w:rsidRPr="00F66B97">
        <w:rPr>
          <w:rFonts w:asciiTheme="majorBidi" w:hAnsiTheme="majorBidi" w:cstheme="majorBidi"/>
          <w:lang w:val="en-GB"/>
        </w:rPr>
        <w:t>on</w:t>
      </w:r>
      <w:r w:rsidRPr="00A229BC">
        <w:rPr>
          <w:lang w:val="en-GB"/>
        </w:rPr>
        <w:t xml:space="preserve"> measurability and indicators. These were held between April 2024 and April 2025 and were complemented by surveys and task team engagements. Financial oversight remained a priority, with ongoing monitoring of the secretariat’s budget and donor contributions, alongside the coordination of regular reports to funding partners. </w:t>
      </w:r>
    </w:p>
    <w:p w14:paraId="48A84292" w14:textId="2308BCBE" w:rsidR="006D1C7C" w:rsidRPr="00F66B97" w:rsidRDefault="00AB6FCA"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 xml:space="preserve">A </w:t>
      </w:r>
      <w:r w:rsidRPr="00A229BC">
        <w:rPr>
          <w:rFonts w:asciiTheme="majorBidi" w:hAnsiTheme="majorBidi" w:cstheme="majorBidi"/>
          <w:lang w:val="en-GB"/>
        </w:rPr>
        <w:t>communications</w:t>
      </w:r>
      <w:r w:rsidRPr="00A229BC">
        <w:rPr>
          <w:lang w:val="en-GB"/>
        </w:rPr>
        <w:t xml:space="preserve"> strategy was developed to raise awareness and visibility of the Framework. This multi-stakeholder </w:t>
      </w:r>
      <w:r w:rsidRPr="00F66B97">
        <w:rPr>
          <w:rFonts w:asciiTheme="majorBidi" w:hAnsiTheme="majorBidi" w:cstheme="majorBidi"/>
          <w:lang w:val="en-GB"/>
        </w:rPr>
        <w:t>strategy</w:t>
      </w:r>
      <w:r w:rsidRPr="00A229BC">
        <w:rPr>
          <w:lang w:val="en-GB"/>
        </w:rPr>
        <w:t xml:space="preserve"> was implemented through presentations and contributions at over 30 events, contributing significantly to outreach across diverse stakeholder groups.</w:t>
      </w:r>
    </w:p>
    <w:p w14:paraId="4EA57879" w14:textId="74DFA609" w:rsidR="006D1C7C" w:rsidRPr="00A229BC" w:rsidRDefault="00F66B97" w:rsidP="00A229BC">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8789"/>
        </w:tabs>
        <w:snapToGrid w:val="0"/>
        <w:rPr>
          <w:rFonts w:eastAsia="Times New Roman"/>
          <w:lang w:val="en-GB"/>
        </w:rPr>
      </w:pPr>
      <w:r w:rsidRPr="00F66B97">
        <w:rPr>
          <w:rFonts w:eastAsia="Times New Roman"/>
          <w:lang w:val="en-GB"/>
        </w:rPr>
        <w:tab/>
      </w:r>
      <w:r w:rsidR="56A0E712" w:rsidRPr="00A229BC">
        <w:rPr>
          <w:rFonts w:eastAsia="Times New Roman"/>
          <w:lang w:val="en-GB"/>
        </w:rPr>
        <w:t>III.</w:t>
      </w:r>
      <w:r w:rsidRPr="00F66B97">
        <w:rPr>
          <w:rFonts w:eastAsia="Times New Roman"/>
          <w:lang w:val="en-GB"/>
        </w:rPr>
        <w:tab/>
      </w:r>
      <w:r w:rsidR="0DA6F653" w:rsidRPr="00F66B97">
        <w:rPr>
          <w:rFonts w:eastAsia="Times New Roman"/>
          <w:lang w:val="en-GB"/>
        </w:rPr>
        <w:t>Strengthening</w:t>
      </w:r>
      <w:r w:rsidR="0DA6F653" w:rsidRPr="00A229BC">
        <w:rPr>
          <w:rFonts w:eastAsia="Times New Roman"/>
          <w:lang w:val="en-GB"/>
        </w:rPr>
        <w:t xml:space="preserve"> international collaboration</w:t>
      </w:r>
    </w:p>
    <w:p w14:paraId="16DE8B97" w14:textId="63AC0FD3" w:rsidR="005A673F" w:rsidRPr="00A229BC" w:rsidRDefault="504472F7"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 xml:space="preserve">The secretariat actively contributed to the global chemicals and waste agenda by submitting key outcomes to major forums, including the United Nations Environment Assembly (UNEA), </w:t>
      </w:r>
      <w:r w:rsidR="17FA6C31" w:rsidRPr="00A229BC">
        <w:rPr>
          <w:lang w:val="en-GB"/>
        </w:rPr>
        <w:t xml:space="preserve">the World Health Assembly (WHA) </w:t>
      </w:r>
      <w:r w:rsidRPr="00A229BC">
        <w:rPr>
          <w:lang w:val="en-GB"/>
        </w:rPr>
        <w:t xml:space="preserve">and various chemicals and waste-related </w:t>
      </w:r>
      <w:r w:rsidRPr="00A229BC">
        <w:rPr>
          <w:rFonts w:asciiTheme="majorBidi" w:hAnsiTheme="majorBidi" w:cstheme="majorBidi"/>
          <w:lang w:val="en-GB"/>
        </w:rPr>
        <w:t>multilateral</w:t>
      </w:r>
      <w:r w:rsidRPr="00A229BC">
        <w:rPr>
          <w:lang w:val="en-GB"/>
        </w:rPr>
        <w:t xml:space="preserve"> environmental agreements. These efforts were part of broader work to foster multisectoral and multi-stakeholder engagement, particularly in implementing the programmatic elements of the Framework. </w:t>
      </w:r>
    </w:p>
    <w:p w14:paraId="60694E27" w14:textId="22684AFA" w:rsidR="005A673F" w:rsidRPr="00A229BC" w:rsidRDefault="705D8393"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C</w:t>
      </w:r>
      <w:r w:rsidR="504472F7" w:rsidRPr="00A229BC">
        <w:rPr>
          <w:lang w:val="en-GB"/>
        </w:rPr>
        <w:t xml:space="preserve">ollaboration on the organization of the </w:t>
      </w:r>
      <w:r w:rsidR="007B14C3" w:rsidRPr="00A229BC">
        <w:rPr>
          <w:lang w:val="en-GB"/>
        </w:rPr>
        <w:t xml:space="preserve">first meeting of the </w:t>
      </w:r>
      <w:r w:rsidR="504472F7" w:rsidRPr="00A229BC">
        <w:rPr>
          <w:lang w:val="en-GB"/>
        </w:rPr>
        <w:t>OEWG</w:t>
      </w:r>
      <w:r w:rsidR="002E775B" w:rsidRPr="00A229BC">
        <w:rPr>
          <w:lang w:val="en-GB"/>
        </w:rPr>
        <w:t xml:space="preserve"> </w:t>
      </w:r>
      <w:r w:rsidR="00334775" w:rsidRPr="00A229BC">
        <w:rPr>
          <w:lang w:val="en-GB"/>
        </w:rPr>
        <w:t>of the Global Framework on Chemicals</w:t>
      </w:r>
      <w:r w:rsidR="00BC0196" w:rsidRPr="00A229BC">
        <w:rPr>
          <w:lang w:val="en-GB"/>
        </w:rPr>
        <w:t xml:space="preserve"> 1</w:t>
      </w:r>
      <w:r w:rsidR="504472F7" w:rsidRPr="00A229BC">
        <w:rPr>
          <w:lang w:val="en-GB"/>
        </w:rPr>
        <w:t xml:space="preserve"> in June 2025 </w:t>
      </w:r>
      <w:r w:rsidR="001D2720" w:rsidRPr="00A229BC">
        <w:rPr>
          <w:lang w:val="en-GB"/>
        </w:rPr>
        <w:t>back-to-back</w:t>
      </w:r>
      <w:r w:rsidR="504472F7" w:rsidRPr="00A229BC">
        <w:rPr>
          <w:lang w:val="en-GB"/>
        </w:rPr>
        <w:t xml:space="preserve"> with the </w:t>
      </w:r>
      <w:r w:rsidR="007776C6" w:rsidRPr="00A229BC">
        <w:rPr>
          <w:lang w:val="en-GB"/>
        </w:rPr>
        <w:t xml:space="preserve">resumed third session of the </w:t>
      </w:r>
      <w:r w:rsidR="00FF71C0" w:rsidRPr="00A229BC">
        <w:rPr>
          <w:lang w:val="en-GB"/>
        </w:rPr>
        <w:t xml:space="preserve">ad hoc </w:t>
      </w:r>
      <w:r w:rsidR="504472F7" w:rsidRPr="00A229BC">
        <w:rPr>
          <w:lang w:val="en-GB"/>
        </w:rPr>
        <w:t>Open-</w:t>
      </w:r>
      <w:r w:rsidR="504472F7" w:rsidRPr="00A229BC">
        <w:rPr>
          <w:rFonts w:asciiTheme="majorBidi" w:hAnsiTheme="majorBidi" w:cstheme="majorBidi"/>
          <w:lang w:val="en-GB"/>
        </w:rPr>
        <w:t>ended</w:t>
      </w:r>
      <w:r w:rsidR="504472F7" w:rsidRPr="00A229BC">
        <w:rPr>
          <w:lang w:val="en-GB"/>
        </w:rPr>
        <w:t xml:space="preserve"> Working Group</w:t>
      </w:r>
      <w:r w:rsidR="003705E1" w:rsidRPr="00A229BC">
        <w:rPr>
          <w:lang w:val="en-GB"/>
        </w:rPr>
        <w:t xml:space="preserve"> and Intergove</w:t>
      </w:r>
      <w:r w:rsidR="00B95E88" w:rsidRPr="00A229BC">
        <w:rPr>
          <w:lang w:val="en-GB"/>
        </w:rPr>
        <w:t>r</w:t>
      </w:r>
      <w:r w:rsidR="003705E1" w:rsidRPr="00A229BC">
        <w:rPr>
          <w:lang w:val="en-GB"/>
        </w:rPr>
        <w:t>nmental Meeting</w:t>
      </w:r>
      <w:r w:rsidR="00F37838" w:rsidRPr="00A229BC">
        <w:rPr>
          <w:lang w:val="en-GB"/>
        </w:rPr>
        <w:t xml:space="preserve"> to establish a </w:t>
      </w:r>
      <w:r w:rsidR="504472F7" w:rsidRPr="00A229BC">
        <w:rPr>
          <w:lang w:val="en-GB"/>
        </w:rPr>
        <w:t>science-policy panel</w:t>
      </w:r>
      <w:r w:rsidR="00FB0B47" w:rsidRPr="00A229BC">
        <w:rPr>
          <w:lang w:val="en-GB"/>
        </w:rPr>
        <w:t xml:space="preserve"> on chemicals, waste and pollution</w:t>
      </w:r>
      <w:r w:rsidR="504472F7" w:rsidRPr="00A229BC">
        <w:rPr>
          <w:lang w:val="en-GB"/>
        </w:rPr>
        <w:t xml:space="preserve"> help</w:t>
      </w:r>
      <w:r w:rsidR="793B574A" w:rsidRPr="00A229BC">
        <w:rPr>
          <w:lang w:val="en-GB"/>
        </w:rPr>
        <w:t>ed</w:t>
      </w:r>
      <w:r w:rsidR="504472F7" w:rsidRPr="00A229BC">
        <w:rPr>
          <w:lang w:val="en-GB"/>
        </w:rPr>
        <w:t xml:space="preserve"> strengthen links between science and decision-making</w:t>
      </w:r>
      <w:r w:rsidR="004B4606" w:rsidRPr="00A229BC">
        <w:rPr>
          <w:lang w:val="en-GB"/>
        </w:rPr>
        <w:t xml:space="preserve"> for </w:t>
      </w:r>
      <w:r w:rsidR="504472F7" w:rsidRPr="00A229BC">
        <w:rPr>
          <w:lang w:val="en-GB"/>
        </w:rPr>
        <w:t>chemicals and waste</w:t>
      </w:r>
      <w:r w:rsidR="004B4606" w:rsidRPr="00A229BC">
        <w:rPr>
          <w:lang w:val="en-GB"/>
        </w:rPr>
        <w:t xml:space="preserve"> management</w:t>
      </w:r>
      <w:r w:rsidR="504472F7" w:rsidRPr="00A229BC">
        <w:rPr>
          <w:lang w:val="en-GB"/>
        </w:rPr>
        <w:t xml:space="preserve">. The secretariat has participated in multiple activities of the IOMC, working to deepen connections with the finance, economic, and industry sectors and to advance implementation </w:t>
      </w:r>
      <w:r w:rsidR="0037776E" w:rsidRPr="00A229BC">
        <w:rPr>
          <w:lang w:val="en-GB"/>
        </w:rPr>
        <w:t>programmes</w:t>
      </w:r>
      <w:r w:rsidR="504472F7" w:rsidRPr="00A229BC">
        <w:rPr>
          <w:lang w:val="en-GB"/>
        </w:rPr>
        <w:t xml:space="preserve">. </w:t>
      </w:r>
    </w:p>
    <w:p w14:paraId="16BD42F6" w14:textId="18A89695" w:rsidR="005420A1" w:rsidRPr="00A229BC" w:rsidRDefault="005A673F"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 xml:space="preserve">Jointly with the secretariats of the Basel, Rotterdam, and Stockholm conventions, an information document (UNEP/GFC/OEWG.1/INF/9) </w:t>
      </w:r>
      <w:r w:rsidR="00D41FB8" w:rsidRPr="00A229BC">
        <w:rPr>
          <w:lang w:val="en-GB"/>
        </w:rPr>
        <w:t>was</w:t>
      </w:r>
      <w:r w:rsidRPr="00A229BC">
        <w:rPr>
          <w:lang w:val="en-GB"/>
        </w:rPr>
        <w:t xml:space="preserve"> developed highlighting the contributions of the </w:t>
      </w:r>
      <w:r w:rsidRPr="00A229BC">
        <w:rPr>
          <w:rFonts w:asciiTheme="majorBidi" w:hAnsiTheme="majorBidi" w:cstheme="majorBidi"/>
          <w:lang w:val="en-GB"/>
        </w:rPr>
        <w:t>international</w:t>
      </w:r>
      <w:r w:rsidRPr="00A229BC">
        <w:rPr>
          <w:lang w:val="en-GB"/>
        </w:rPr>
        <w:t xml:space="preserve"> chemicals and waste framework to the Kunming-Montreal Global Biodiversity Framework. In addition, the secretariat assessed the functionality of the existing SAICM Knowledge Management Platform, with a view to adapting it for the broader needs of stakeholders under the Framework.</w:t>
      </w:r>
    </w:p>
    <w:p w14:paraId="4AAE3FC4" w14:textId="16A5903F" w:rsidR="004F1893" w:rsidRPr="00A229BC" w:rsidRDefault="007E1074" w:rsidP="00A229BC">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8789"/>
        </w:tabs>
        <w:snapToGrid w:val="0"/>
        <w:rPr>
          <w:rFonts w:eastAsia="Times New Roman"/>
          <w:lang w:val="en-GB"/>
        </w:rPr>
      </w:pPr>
      <w:r w:rsidRPr="00A229BC">
        <w:rPr>
          <w:rFonts w:eastAsia="Times New Roman"/>
          <w:lang w:val="en-GB"/>
        </w:rPr>
        <w:lastRenderedPageBreak/>
        <w:tab/>
      </w:r>
      <w:r w:rsidR="005A673F" w:rsidRPr="00A229BC">
        <w:rPr>
          <w:rFonts w:eastAsia="Times New Roman"/>
          <w:lang w:val="en-GB"/>
        </w:rPr>
        <w:t>IV.</w:t>
      </w:r>
      <w:r w:rsidRPr="00A229BC">
        <w:rPr>
          <w:rFonts w:eastAsia="Times New Roman"/>
          <w:lang w:val="en-GB"/>
        </w:rPr>
        <w:tab/>
        <w:t>Promoting a network of stakeholders</w:t>
      </w:r>
    </w:p>
    <w:p w14:paraId="022AF399" w14:textId="4EDF6C6B" w:rsidR="007E1074" w:rsidRPr="00A229BC" w:rsidRDefault="00775527"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 xml:space="preserve">Efforts undertaken to build a strong stakeholder base included proactive outreach to encourage the nomination of national focal points. As a result, there </w:t>
      </w:r>
      <w:r w:rsidR="006F17A2" w:rsidRPr="00A229BC">
        <w:rPr>
          <w:lang w:val="en-GB"/>
        </w:rPr>
        <w:t>has been</w:t>
      </w:r>
      <w:r w:rsidRPr="00A229BC">
        <w:rPr>
          <w:lang w:val="en-GB"/>
        </w:rPr>
        <w:t xml:space="preserve"> a noticeable increase in nominations</w:t>
      </w:r>
      <w:r w:rsidR="006F17A2" w:rsidRPr="00A229BC">
        <w:rPr>
          <w:lang w:val="en-GB"/>
        </w:rPr>
        <w:t xml:space="preserve"> al</w:t>
      </w:r>
      <w:r w:rsidRPr="00A229BC">
        <w:rPr>
          <w:lang w:val="en-GB"/>
        </w:rPr>
        <w:t>though further</w:t>
      </w:r>
      <w:r w:rsidR="006F17A2" w:rsidRPr="00A229BC">
        <w:rPr>
          <w:lang w:val="en-GB"/>
        </w:rPr>
        <w:t xml:space="preserve"> work to encourage</w:t>
      </w:r>
      <w:r w:rsidRPr="00A229BC">
        <w:rPr>
          <w:lang w:val="en-GB"/>
        </w:rPr>
        <w:t xml:space="preserve"> participation from a wider range of </w:t>
      </w:r>
      <w:r w:rsidRPr="00A229BC">
        <w:rPr>
          <w:rFonts w:asciiTheme="majorBidi" w:hAnsiTheme="majorBidi" w:cstheme="majorBidi"/>
          <w:lang w:val="en-GB"/>
        </w:rPr>
        <w:t>sectors</w:t>
      </w:r>
      <w:r w:rsidRPr="00A229BC">
        <w:rPr>
          <w:lang w:val="en-GB"/>
        </w:rPr>
        <w:t xml:space="preserve"> remains essential. To guide engagement, the secretariat drafted initial guidelines for national focal points. These guidelines provide advice on how focal points can promote and coordinate multisectoral collaboration, as well as foster effective risk communication and public awareness.</w:t>
      </w:r>
    </w:p>
    <w:p w14:paraId="39721104" w14:textId="6C4F35A3" w:rsidR="002C52A3" w:rsidRPr="00A229BC" w:rsidRDefault="003C2115" w:rsidP="00A229BC">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8789"/>
        </w:tabs>
        <w:snapToGrid w:val="0"/>
        <w:rPr>
          <w:rFonts w:eastAsia="Times New Roman"/>
          <w:lang w:val="en-GB"/>
        </w:rPr>
      </w:pPr>
      <w:r w:rsidRPr="00A229BC">
        <w:rPr>
          <w:rFonts w:eastAsia="Times New Roman"/>
          <w:lang w:val="en-GB"/>
        </w:rPr>
        <w:tab/>
      </w:r>
      <w:r w:rsidR="00775527" w:rsidRPr="00A229BC">
        <w:rPr>
          <w:rFonts w:eastAsia="Times New Roman"/>
          <w:lang w:val="en-GB"/>
        </w:rPr>
        <w:t>V.</w:t>
      </w:r>
      <w:r w:rsidRPr="00A229BC">
        <w:rPr>
          <w:rFonts w:eastAsia="Times New Roman"/>
          <w:lang w:val="en-GB"/>
        </w:rPr>
        <w:tab/>
        <w:t>Mainstreaming gender considerations</w:t>
      </w:r>
    </w:p>
    <w:p w14:paraId="3D097673" w14:textId="0CF0E334" w:rsidR="002D48DF" w:rsidRPr="00A229BC" w:rsidRDefault="002C52A3"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 xml:space="preserve">Gender equity was integrated into various activities of the secretariat. This included efforts to incorporate gender perspectives into relevant policies, plans, and actions concerning chemicals and waste management. An initial gender action plan has been drafted and shared for consultation, laying the groundwork for a more </w:t>
      </w:r>
      <w:r w:rsidR="001C1E29" w:rsidRPr="00A229BC">
        <w:rPr>
          <w:lang w:val="en-GB"/>
        </w:rPr>
        <w:t>gender responsive</w:t>
      </w:r>
      <w:r w:rsidRPr="00A229BC">
        <w:rPr>
          <w:lang w:val="en-GB"/>
        </w:rPr>
        <w:t xml:space="preserve"> implementation approach. </w:t>
      </w:r>
    </w:p>
    <w:p w14:paraId="75BC9A54" w14:textId="10490A33" w:rsidR="007E1074" w:rsidRPr="00A229BC" w:rsidRDefault="002C52A3" w:rsidP="00A229BC">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8789"/>
        </w:tabs>
        <w:snapToGrid w:val="0"/>
        <w:rPr>
          <w:rFonts w:eastAsia="Times New Roman"/>
          <w:lang w:val="en-GB"/>
        </w:rPr>
      </w:pPr>
      <w:r w:rsidRPr="00A229BC">
        <w:rPr>
          <w:rFonts w:eastAsia="Times New Roman"/>
          <w:lang w:val="en-GB"/>
        </w:rPr>
        <w:tab/>
        <w:t>VI.</w:t>
      </w:r>
      <w:r w:rsidRPr="00A229BC">
        <w:rPr>
          <w:rFonts w:eastAsia="Times New Roman"/>
          <w:lang w:val="en-GB"/>
        </w:rPr>
        <w:tab/>
        <w:t>Establishment of the Global Framework on Chemicals Fund</w:t>
      </w:r>
    </w:p>
    <w:p w14:paraId="66EB5BEA" w14:textId="77777777" w:rsidR="009B1C84" w:rsidRPr="00A229BC" w:rsidRDefault="009B1C84"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ICCM5 also established the GFC Fund to support implementation in developing countries, least developed countries, Small Island Developing States, and countries with economies in transition. The Fund aims to finance projects that deliver transformative change to prevent, or where not feasible, minimize harm from chemicals and waste—particularly for vulnerable groups and workers.</w:t>
      </w:r>
    </w:p>
    <w:p w14:paraId="6E31FC2B" w14:textId="77777777" w:rsidR="009B1C84" w:rsidRPr="00A229BC" w:rsidRDefault="009B1C84"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The Fund is governed by an Executive Board composed of representatives from regions, donor countries, and other contributors. It operates with a transparent application and selection process, guided by a set of eligibility and assessment criteria. Funding is allocated to projects that demonstrate strong potential for sustainability, replication, and contribution to the objectives of the GFC.</w:t>
      </w:r>
    </w:p>
    <w:p w14:paraId="190BD111" w14:textId="77777777" w:rsidR="00E8599D" w:rsidRPr="00A229BC" w:rsidRDefault="00BE7730"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F66B97">
        <w:rPr>
          <w:lang w:val="en-GB"/>
        </w:rPr>
        <w:t>The secretariat of the Global Framework on Chemicals has provided administrative services and other support to the Fund, including facilitating meetings of the Executive Board, launching the first round of applications, screening applications for eligibility and completeness and conducting a high-level review of each application. </w:t>
      </w:r>
    </w:p>
    <w:p w14:paraId="6DEAA5D4" w14:textId="73AA18BD" w:rsidR="007E1074" w:rsidRPr="00A229BC" w:rsidRDefault="00AD3512"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The Fund’s first call for applications was launched on 1 October 2024</w:t>
      </w:r>
      <w:r w:rsidR="001200EE" w:rsidRPr="00A229BC">
        <w:rPr>
          <w:lang w:val="en-GB"/>
        </w:rPr>
        <w:t xml:space="preserve">, with a closing date on </w:t>
      </w:r>
      <w:r w:rsidRPr="00A229BC">
        <w:rPr>
          <w:lang w:val="en-GB"/>
        </w:rPr>
        <w:t xml:space="preserve">31 January 2025. </w:t>
      </w:r>
      <w:r w:rsidR="009D0EF4" w:rsidRPr="00A229BC">
        <w:rPr>
          <w:lang w:val="en-GB"/>
        </w:rPr>
        <w:t xml:space="preserve">A total of 105 applications were received from 77 countries, covering government and non-government applicants across all regions. The Executive Board approved 4 </w:t>
      </w:r>
      <w:r w:rsidR="00283522" w:rsidRPr="00A229BC">
        <w:rPr>
          <w:lang w:val="en-GB"/>
        </w:rPr>
        <w:t xml:space="preserve">regional </w:t>
      </w:r>
      <w:r w:rsidR="009D0EF4" w:rsidRPr="00A229BC">
        <w:rPr>
          <w:lang w:val="en-GB"/>
        </w:rPr>
        <w:t>projects</w:t>
      </w:r>
      <w:r w:rsidR="00F23569" w:rsidRPr="00A229BC">
        <w:rPr>
          <w:lang w:val="en-GB"/>
        </w:rPr>
        <w:t>, providing support</w:t>
      </w:r>
      <w:r w:rsidR="009D0EF4" w:rsidRPr="00A229BC">
        <w:rPr>
          <w:lang w:val="en-GB"/>
        </w:rPr>
        <w:t xml:space="preserve"> </w:t>
      </w:r>
      <w:r w:rsidR="00F23569" w:rsidRPr="00A229BC">
        <w:rPr>
          <w:lang w:val="en-GB"/>
        </w:rPr>
        <w:t>to</w:t>
      </w:r>
      <w:r w:rsidR="009D0EF4" w:rsidRPr="00A229BC">
        <w:rPr>
          <w:lang w:val="en-GB"/>
        </w:rPr>
        <w:t xml:space="preserve"> 11 countries, </w:t>
      </w:r>
      <w:r w:rsidR="00F23569" w:rsidRPr="00A229BC">
        <w:rPr>
          <w:lang w:val="en-GB"/>
        </w:rPr>
        <w:t xml:space="preserve">and </w:t>
      </w:r>
      <w:r w:rsidR="009D0EF4" w:rsidRPr="00A229BC">
        <w:rPr>
          <w:lang w:val="en-GB"/>
        </w:rPr>
        <w:t>marking a major milestone in operationalizing financial support for national and regional implementation efforts</w:t>
      </w:r>
      <w:r w:rsidR="0017588D" w:rsidRPr="00A229BC">
        <w:rPr>
          <w:lang w:val="en-GB"/>
        </w:rPr>
        <w:t>.</w:t>
      </w:r>
      <w:r w:rsidR="009D0EF4" w:rsidRPr="00A229BC">
        <w:rPr>
          <w:lang w:val="en-GB"/>
        </w:rPr>
        <w:t xml:space="preserve"> </w:t>
      </w:r>
      <w:r w:rsidRPr="00A229BC">
        <w:rPr>
          <w:lang w:val="en-GB"/>
        </w:rPr>
        <w:t xml:space="preserve">Further information on these activities is provided in </w:t>
      </w:r>
      <w:r w:rsidR="00C13D91" w:rsidRPr="00A229BC">
        <w:rPr>
          <w:lang w:val="en-GB"/>
        </w:rPr>
        <w:t xml:space="preserve">a separate information document submitted to the </w:t>
      </w:r>
      <w:r w:rsidR="00F66B97" w:rsidRPr="00BA5CCD">
        <w:rPr>
          <w:lang w:val="en-GB"/>
        </w:rPr>
        <w:t xml:space="preserve">Conference of the Parties to the </w:t>
      </w:r>
      <w:r w:rsidR="00C13D91" w:rsidRPr="00A229BC">
        <w:rPr>
          <w:lang w:val="en-GB"/>
        </w:rPr>
        <w:t xml:space="preserve">Minamata </w:t>
      </w:r>
      <w:r w:rsidR="00F66B97" w:rsidRPr="00BA5CCD">
        <w:rPr>
          <w:lang w:val="en-GB"/>
        </w:rPr>
        <w:t xml:space="preserve">Convention </w:t>
      </w:r>
      <w:r w:rsidR="00E667A4" w:rsidRPr="006C0014">
        <w:rPr>
          <w:lang w:val="en-GB"/>
        </w:rPr>
        <w:t>at</w:t>
      </w:r>
      <w:r w:rsidR="00C04085" w:rsidRPr="00BA5CCD">
        <w:rPr>
          <w:lang w:val="en-GB"/>
        </w:rPr>
        <w:t xml:space="preserve"> </w:t>
      </w:r>
      <w:r w:rsidR="00E667A4" w:rsidRPr="006C0014">
        <w:rPr>
          <w:lang w:val="en-GB"/>
        </w:rPr>
        <w:t>its</w:t>
      </w:r>
      <w:r w:rsidR="00C04085" w:rsidRPr="00BA5CCD">
        <w:rPr>
          <w:lang w:val="en-GB"/>
        </w:rPr>
        <w:t xml:space="preserve"> sixth meeting </w:t>
      </w:r>
      <w:r w:rsidR="00F66B97" w:rsidRPr="00BA5CCD">
        <w:rPr>
          <w:lang w:val="en-GB"/>
        </w:rPr>
        <w:t xml:space="preserve">(UNEP/MC/COP.6/INF/17) </w:t>
      </w:r>
      <w:r w:rsidR="00C13D91" w:rsidRPr="00A229BC">
        <w:rPr>
          <w:lang w:val="en-GB"/>
        </w:rPr>
        <w:t xml:space="preserve">as well as in </w:t>
      </w:r>
      <w:r w:rsidRPr="00A229BC">
        <w:rPr>
          <w:lang w:val="en-GB"/>
        </w:rPr>
        <w:t>documents UNEP/GFC/OEWG.1/3 and UNEP/GFC/OEWG.1/INF/4.</w:t>
      </w:r>
      <w:r w:rsidR="006F27E2" w:rsidRPr="00A229BC">
        <w:rPr>
          <w:rStyle w:val="FootnoteReference"/>
          <w:lang w:val="en-GB"/>
        </w:rPr>
        <w:footnoteReference w:id="4"/>
      </w:r>
    </w:p>
    <w:p w14:paraId="436136FD" w14:textId="5F83F056" w:rsidR="007E1074" w:rsidRPr="00A229BC" w:rsidRDefault="00AD3512" w:rsidP="00A229BC">
      <w:pPr>
        <w:pStyle w:val="CH1"/>
        <w:tabs>
          <w:tab w:val="clear" w:pos="1814"/>
          <w:tab w:val="clear" w:pos="2381"/>
          <w:tab w:val="clear" w:pos="2948"/>
          <w:tab w:val="clear" w:pos="3515"/>
          <w:tab w:val="clear" w:pos="4082"/>
          <w:tab w:val="left" w:pos="1871"/>
          <w:tab w:val="left" w:pos="2495"/>
          <w:tab w:val="left" w:pos="3119"/>
          <w:tab w:val="left" w:pos="3742"/>
          <w:tab w:val="left" w:pos="4366"/>
          <w:tab w:val="left" w:pos="8789"/>
        </w:tabs>
        <w:snapToGrid w:val="0"/>
        <w:rPr>
          <w:rFonts w:eastAsia="Times New Roman"/>
          <w:lang w:val="en-GB"/>
        </w:rPr>
      </w:pPr>
      <w:r w:rsidRPr="00A229BC">
        <w:rPr>
          <w:rFonts w:eastAsia="Times New Roman"/>
          <w:lang w:val="en-GB"/>
        </w:rPr>
        <w:tab/>
        <w:t>VII.</w:t>
      </w:r>
      <w:r w:rsidRPr="00A229BC">
        <w:rPr>
          <w:rFonts w:eastAsia="Times New Roman"/>
          <w:lang w:val="en-GB"/>
        </w:rPr>
        <w:tab/>
        <w:t xml:space="preserve">Next Steps </w:t>
      </w:r>
    </w:p>
    <w:p w14:paraId="15F28F2D" w14:textId="3C77D660" w:rsidR="00A46685" w:rsidRPr="00A229BC" w:rsidRDefault="00A46685"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 xml:space="preserve">To support the effective governance and implementation of the Framework, the secretariat will coordinate key strategic activities and meetings. This includes organizing seven Bureau meetings, regional consultations (resource-dependent), and intersessional meetings of the open-ended ad hoc group on </w:t>
      </w:r>
      <w:r w:rsidR="2F462FD7" w:rsidRPr="00A229BC">
        <w:rPr>
          <w:lang w:val="en-GB"/>
        </w:rPr>
        <w:t xml:space="preserve">measurability and </w:t>
      </w:r>
      <w:r w:rsidRPr="00A229BC">
        <w:rPr>
          <w:lang w:val="en-GB"/>
        </w:rPr>
        <w:t>indicators</w:t>
      </w:r>
      <w:r w:rsidR="742C4E54" w:rsidRPr="00A229BC">
        <w:rPr>
          <w:lang w:val="en-GB"/>
        </w:rPr>
        <w:t xml:space="preserve"> where </w:t>
      </w:r>
      <w:r w:rsidR="3484A1DF" w:rsidRPr="00A229BC">
        <w:rPr>
          <w:lang w:val="en-GB"/>
        </w:rPr>
        <w:t>t</w:t>
      </w:r>
      <w:r w:rsidRPr="00A229BC">
        <w:rPr>
          <w:lang w:val="en-GB"/>
        </w:rPr>
        <w:t>he secretariat will</w:t>
      </w:r>
      <w:r w:rsidR="6148097E" w:rsidRPr="00A229BC">
        <w:rPr>
          <w:lang w:val="en-GB"/>
        </w:rPr>
        <w:t xml:space="preserve"> </w:t>
      </w:r>
      <w:r w:rsidR="19A76BC5" w:rsidRPr="00A229BC">
        <w:rPr>
          <w:lang w:val="en-GB"/>
        </w:rPr>
        <w:t xml:space="preserve">lead the development </w:t>
      </w:r>
      <w:r w:rsidR="00736CD3" w:rsidRPr="00A229BC">
        <w:rPr>
          <w:lang w:val="en-GB"/>
        </w:rPr>
        <w:t>of thematic</w:t>
      </w:r>
      <w:r w:rsidRPr="00A229BC">
        <w:rPr>
          <w:lang w:val="en-GB"/>
        </w:rPr>
        <w:t xml:space="preserve"> and sector-specific indicators</w:t>
      </w:r>
      <w:r w:rsidR="5499C62E" w:rsidRPr="00A229BC">
        <w:rPr>
          <w:lang w:val="en-GB"/>
        </w:rPr>
        <w:t xml:space="preserve">. </w:t>
      </w:r>
      <w:r w:rsidRPr="00A229BC">
        <w:rPr>
          <w:lang w:val="en-GB"/>
        </w:rPr>
        <w:t xml:space="preserve"> </w:t>
      </w:r>
      <w:r w:rsidR="495DD3E1" w:rsidRPr="00A229BC">
        <w:rPr>
          <w:lang w:val="en-GB"/>
        </w:rPr>
        <w:t xml:space="preserve">The secretariat will </w:t>
      </w:r>
      <w:r w:rsidRPr="00A229BC">
        <w:rPr>
          <w:lang w:val="en-GB"/>
        </w:rPr>
        <w:t xml:space="preserve">oversee the planning of the next International Conference in 2026. In parallel, a resource mobilization plan is underway to </w:t>
      </w:r>
      <w:r w:rsidR="7D09A25B" w:rsidRPr="00A229BC">
        <w:rPr>
          <w:lang w:val="en-GB"/>
        </w:rPr>
        <w:t xml:space="preserve">seek innovative routes for funding, </w:t>
      </w:r>
      <w:r w:rsidRPr="00A229BC">
        <w:rPr>
          <w:lang w:val="en-GB"/>
        </w:rPr>
        <w:t>broaden the donor base, maintain budget oversight, and support related initiatives. Progress reports on new activities will be presented at the next session, while</w:t>
      </w:r>
      <w:r w:rsidR="70351F52" w:rsidRPr="00A229BC">
        <w:rPr>
          <w:lang w:val="en-GB"/>
        </w:rPr>
        <w:t xml:space="preserve"> </w:t>
      </w:r>
      <w:r w:rsidR="4C0A9742" w:rsidRPr="00A229BC">
        <w:rPr>
          <w:lang w:val="en-GB"/>
        </w:rPr>
        <w:t>targeted</w:t>
      </w:r>
      <w:r w:rsidRPr="00A229BC">
        <w:rPr>
          <w:lang w:val="en-GB"/>
        </w:rPr>
        <w:t xml:space="preserve"> communication</w:t>
      </w:r>
      <w:r w:rsidR="754F8722" w:rsidRPr="00A229BC">
        <w:rPr>
          <w:lang w:val="en-GB"/>
        </w:rPr>
        <w:t xml:space="preserve"> with sectors</w:t>
      </w:r>
      <w:r w:rsidRPr="00A229BC">
        <w:rPr>
          <w:lang w:val="en-GB"/>
        </w:rPr>
        <w:t xml:space="preserve"> and awareness campaigns aim to </w:t>
      </w:r>
      <w:r w:rsidR="009B0DAB" w:rsidRPr="00A229BC">
        <w:rPr>
          <w:lang w:val="en-GB"/>
        </w:rPr>
        <w:t xml:space="preserve">raise awareness and increase </w:t>
      </w:r>
      <w:r w:rsidRPr="00A229BC">
        <w:rPr>
          <w:lang w:val="en-GB"/>
        </w:rPr>
        <w:t>stakeholder engagement.</w:t>
      </w:r>
    </w:p>
    <w:p w14:paraId="156B7CE1" w14:textId="5A697B32" w:rsidR="00A46685" w:rsidRPr="00A229BC" w:rsidRDefault="3640B082" w:rsidP="00A229BC">
      <w:pPr>
        <w:pStyle w:val="Normalnumber"/>
        <w:numPr>
          <w:ilvl w:val="0"/>
          <w:numId w:val="46"/>
        </w:numPr>
        <w:tabs>
          <w:tab w:val="clear" w:pos="1247"/>
          <w:tab w:val="clear" w:pos="1814"/>
          <w:tab w:val="clear" w:pos="2381"/>
          <w:tab w:val="clear" w:pos="2948"/>
          <w:tab w:val="clear" w:pos="3515"/>
          <w:tab w:val="clear" w:pos="4082"/>
          <w:tab w:val="num" w:pos="624"/>
        </w:tabs>
        <w:ind w:left="1247" w:firstLine="0"/>
        <w:rPr>
          <w:lang w:val="en-GB"/>
        </w:rPr>
      </w:pPr>
      <w:r w:rsidRPr="00A229BC">
        <w:rPr>
          <w:lang w:val="en-GB"/>
        </w:rPr>
        <w:t>Further, the secretariat will strengthen collaboration with international organizations</w:t>
      </w:r>
      <w:r w:rsidR="15C2E656" w:rsidRPr="00A229BC">
        <w:rPr>
          <w:lang w:val="en-GB"/>
        </w:rPr>
        <w:t>, including participating organizations of</w:t>
      </w:r>
      <w:r w:rsidRPr="00A229BC">
        <w:rPr>
          <w:lang w:val="en-GB"/>
        </w:rPr>
        <w:t xml:space="preserve"> the IOMC align efforts with global platforms like the UN Environment Assembly and Basel, Rotterdam, and Stockholm conventions. Partnerships will also be developed with the Kunming-Montreal Biodiversity Framework and the new global alliance on highly hazardous pesticides. </w:t>
      </w:r>
      <w:r w:rsidR="4B742665" w:rsidRPr="00A229BC">
        <w:rPr>
          <w:lang w:val="en-GB"/>
        </w:rPr>
        <w:t>At the national level</w:t>
      </w:r>
      <w:r w:rsidRPr="00A229BC">
        <w:rPr>
          <w:lang w:val="en-GB"/>
        </w:rPr>
        <w:t>, the secretariat will promote early implementation of national focal point guidelines, encouraging diverse representation from sectors like health, labour, and business. A gender action plan will be finalized for adoption</w:t>
      </w:r>
      <w:r w:rsidR="2DADB5E0" w:rsidRPr="00A229BC">
        <w:rPr>
          <w:lang w:val="en-GB"/>
        </w:rPr>
        <w:t xml:space="preserve"> at the</w:t>
      </w:r>
      <w:r w:rsidR="0095416B" w:rsidRPr="00A229BC">
        <w:rPr>
          <w:lang w:val="en-GB"/>
        </w:rPr>
        <w:t xml:space="preserve"> first session of the</w:t>
      </w:r>
      <w:r w:rsidR="2DADB5E0" w:rsidRPr="00A229BC">
        <w:rPr>
          <w:lang w:val="en-GB"/>
        </w:rPr>
        <w:t xml:space="preserve"> International </w:t>
      </w:r>
      <w:r w:rsidR="00736CD3" w:rsidRPr="00A229BC">
        <w:rPr>
          <w:lang w:val="en-GB"/>
        </w:rPr>
        <w:t>C</w:t>
      </w:r>
      <w:r w:rsidR="2DADB5E0" w:rsidRPr="00A229BC">
        <w:rPr>
          <w:lang w:val="en-GB"/>
        </w:rPr>
        <w:t>onference</w:t>
      </w:r>
      <w:r w:rsidRPr="00A229BC">
        <w:rPr>
          <w:lang w:val="en-GB"/>
        </w:rPr>
        <w:t xml:space="preserve">, </w:t>
      </w:r>
      <w:r w:rsidRPr="00A229BC">
        <w:rPr>
          <w:lang w:val="en-GB"/>
        </w:rPr>
        <w:lastRenderedPageBreak/>
        <w:t xml:space="preserve">and financial </w:t>
      </w:r>
      <w:r w:rsidR="6A3B22A4" w:rsidRPr="00A229BC">
        <w:rPr>
          <w:lang w:val="en-GB"/>
        </w:rPr>
        <w:t xml:space="preserve">assessments including the cost of inaction </w:t>
      </w:r>
      <w:r w:rsidRPr="00A229BC">
        <w:rPr>
          <w:lang w:val="en-GB"/>
        </w:rPr>
        <w:t xml:space="preserve">will continue with IOMC </w:t>
      </w:r>
      <w:r w:rsidR="08B6EC51" w:rsidRPr="00A229BC">
        <w:rPr>
          <w:lang w:val="en-GB"/>
        </w:rPr>
        <w:t>participating organizations</w:t>
      </w:r>
      <w:r w:rsidRPr="00A229BC">
        <w:rPr>
          <w:lang w:val="en-GB"/>
        </w:rPr>
        <w:t>. Finally, the secretariat will manage the Framework Fund’s governance, launch a second call for proposals, and support applicants in aligning with strategic funding priorities.</w:t>
      </w:r>
    </w:p>
    <w:p w14:paraId="329CF327" w14:textId="77777777" w:rsidR="00A46685" w:rsidRPr="00F66B97" w:rsidRDefault="00A46685" w:rsidP="006D1C7C">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rsidRPr="00F66B97" w14:paraId="2E924820" w14:textId="77777777" w:rsidTr="0015442E">
        <w:tc>
          <w:tcPr>
            <w:tcW w:w="1897" w:type="dxa"/>
          </w:tcPr>
          <w:p w14:paraId="16F5C414" w14:textId="77777777" w:rsidR="0015442E" w:rsidRPr="00A229BC" w:rsidRDefault="0015442E" w:rsidP="0015442E">
            <w:pPr>
              <w:pStyle w:val="Normal-pool"/>
              <w:rPr>
                <w:lang w:val="en-GB"/>
              </w:rPr>
            </w:pPr>
          </w:p>
        </w:tc>
        <w:tc>
          <w:tcPr>
            <w:tcW w:w="1897" w:type="dxa"/>
          </w:tcPr>
          <w:p w14:paraId="6D6FF786" w14:textId="77777777" w:rsidR="0015442E" w:rsidRPr="00A229BC" w:rsidRDefault="0015442E" w:rsidP="0015442E">
            <w:pPr>
              <w:pStyle w:val="Normal-pool"/>
              <w:rPr>
                <w:lang w:val="en-GB"/>
              </w:rPr>
            </w:pPr>
          </w:p>
        </w:tc>
        <w:tc>
          <w:tcPr>
            <w:tcW w:w="1897" w:type="dxa"/>
            <w:tcBorders>
              <w:bottom w:val="single" w:sz="4" w:space="0" w:color="auto"/>
            </w:tcBorders>
          </w:tcPr>
          <w:p w14:paraId="7B77BBB9" w14:textId="77777777" w:rsidR="0015442E" w:rsidRPr="00A229BC" w:rsidRDefault="0015442E" w:rsidP="0015442E">
            <w:pPr>
              <w:pStyle w:val="Normal-pool"/>
              <w:spacing w:before="480"/>
              <w:rPr>
                <w:lang w:val="en-GB"/>
              </w:rPr>
            </w:pPr>
          </w:p>
        </w:tc>
        <w:tc>
          <w:tcPr>
            <w:tcW w:w="1897" w:type="dxa"/>
          </w:tcPr>
          <w:p w14:paraId="3B69A5B6" w14:textId="77777777" w:rsidR="0015442E" w:rsidRPr="00A229BC" w:rsidRDefault="0015442E" w:rsidP="0015442E">
            <w:pPr>
              <w:pStyle w:val="Normal-pool"/>
              <w:rPr>
                <w:lang w:val="en-GB"/>
              </w:rPr>
            </w:pPr>
          </w:p>
        </w:tc>
        <w:tc>
          <w:tcPr>
            <w:tcW w:w="1898" w:type="dxa"/>
          </w:tcPr>
          <w:p w14:paraId="5F071A8C" w14:textId="77777777" w:rsidR="0015442E" w:rsidRPr="00A229BC" w:rsidRDefault="0015442E" w:rsidP="0015442E">
            <w:pPr>
              <w:pStyle w:val="Normal-pool"/>
              <w:rPr>
                <w:lang w:val="en-GB"/>
              </w:rPr>
            </w:pPr>
          </w:p>
        </w:tc>
      </w:tr>
    </w:tbl>
    <w:p w14:paraId="3CE5B03E" w14:textId="77777777" w:rsidR="0015442E" w:rsidRPr="00A229BC" w:rsidRDefault="0015442E" w:rsidP="0015442E">
      <w:pPr>
        <w:pStyle w:val="Normal-pool"/>
        <w:rPr>
          <w:lang w:val="en-GB"/>
        </w:rPr>
      </w:pPr>
    </w:p>
    <w:sectPr w:rsidR="0015442E" w:rsidRPr="00A229BC" w:rsidSect="0015442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FDB1" w14:textId="77777777" w:rsidR="009767CB" w:rsidRDefault="009767CB">
      <w:r>
        <w:separator/>
      </w:r>
    </w:p>
  </w:endnote>
  <w:endnote w:type="continuationSeparator" w:id="0">
    <w:p w14:paraId="28F0A0BD" w14:textId="77777777" w:rsidR="009767CB" w:rsidRDefault="009767CB">
      <w:r>
        <w:continuationSeparator/>
      </w:r>
    </w:p>
  </w:endnote>
  <w:endnote w:type="continuationNotice" w:id="1">
    <w:p w14:paraId="3F012F50" w14:textId="77777777" w:rsidR="009767CB" w:rsidRDefault="00976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BAB" w14:textId="1F11340F" w:rsidR="0015442E" w:rsidRDefault="00F9706D" w:rsidP="0015442E">
    <w:pPr>
      <w:pStyle w:val="Normal-pool"/>
    </w:pPr>
    <w:r>
      <w:tab/>
      <w:t>280825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6CBE" w14:textId="77777777" w:rsidR="009767CB" w:rsidRPr="0072353B" w:rsidRDefault="009767CB" w:rsidP="0072353B">
      <w:pPr>
        <w:tabs>
          <w:tab w:val="left" w:pos="624"/>
        </w:tabs>
        <w:spacing w:before="60"/>
        <w:ind w:left="624"/>
        <w:rPr>
          <w:sz w:val="18"/>
          <w:szCs w:val="18"/>
        </w:rPr>
      </w:pPr>
      <w:r w:rsidRPr="0072353B">
        <w:rPr>
          <w:sz w:val="18"/>
          <w:szCs w:val="18"/>
        </w:rPr>
        <w:separator/>
      </w:r>
    </w:p>
  </w:footnote>
  <w:footnote w:type="continuationSeparator" w:id="0">
    <w:p w14:paraId="0EDE27A4" w14:textId="77777777" w:rsidR="009767CB" w:rsidRDefault="009767CB">
      <w:r>
        <w:continuationSeparator/>
      </w:r>
    </w:p>
  </w:footnote>
  <w:footnote w:type="continuationNotice" w:id="1">
    <w:p w14:paraId="4A919B48" w14:textId="77777777" w:rsidR="009767CB" w:rsidRDefault="009767CB"/>
  </w:footnote>
  <w:footnote w:id="2">
    <w:p w14:paraId="7BD0C3DA" w14:textId="4416DE60" w:rsidR="00880CCB" w:rsidRPr="00A229BC" w:rsidRDefault="00880CCB" w:rsidP="002319DB">
      <w:pPr>
        <w:pStyle w:val="FootnoteText"/>
        <w:rPr>
          <w:szCs w:val="18"/>
          <w:lang w:val="en-US"/>
        </w:rPr>
      </w:pPr>
      <w:r w:rsidRPr="00A229BC">
        <w:rPr>
          <w:rStyle w:val="FootnoteReference"/>
          <w:sz w:val="18"/>
          <w:vertAlign w:val="baseline"/>
          <w:lang w:val="en-US"/>
        </w:rPr>
        <w:t>*</w:t>
      </w:r>
      <w:r w:rsidRPr="00A229BC">
        <w:rPr>
          <w:szCs w:val="18"/>
          <w:lang w:val="en-US"/>
        </w:rPr>
        <w:t xml:space="preserve"> </w:t>
      </w:r>
      <w:r w:rsidR="00AC7FD3" w:rsidRPr="00A229BC">
        <w:rPr>
          <w:szCs w:val="18"/>
          <w:lang w:val="en-US"/>
        </w:rPr>
        <w:t>UNEP/MC/COP.6/1</w:t>
      </w:r>
      <w:r w:rsidR="002319DB">
        <w:rPr>
          <w:szCs w:val="18"/>
          <w:lang w:val="en-US"/>
        </w:rPr>
        <w:t>/Rev.1</w:t>
      </w:r>
      <w:r w:rsidR="00AC7FD3" w:rsidRPr="00A229BC">
        <w:rPr>
          <w:szCs w:val="18"/>
          <w:lang w:val="en-US"/>
        </w:rPr>
        <w:t>.</w:t>
      </w:r>
    </w:p>
  </w:footnote>
  <w:footnote w:id="3">
    <w:p w14:paraId="54879F38" w14:textId="77777777" w:rsidR="00F9706D" w:rsidRPr="00E27849" w:rsidRDefault="00F9706D" w:rsidP="00F9706D">
      <w:pPr>
        <w:pStyle w:val="Footnote-Text"/>
        <w:tabs>
          <w:tab w:val="clear" w:pos="1247"/>
          <w:tab w:val="clear" w:pos="1871"/>
          <w:tab w:val="clear" w:pos="2495"/>
          <w:tab w:val="clear" w:pos="3119"/>
          <w:tab w:val="clear" w:pos="3742"/>
          <w:tab w:val="clear" w:pos="4366"/>
        </w:tabs>
        <w:rPr>
          <w:szCs w:val="18"/>
        </w:rPr>
      </w:pPr>
      <w:r w:rsidRPr="00A229BC">
        <w:rPr>
          <w:rStyle w:val="FootnoteReference"/>
          <w:sz w:val="18"/>
          <w:vertAlign w:val="baseline"/>
        </w:rPr>
        <w:t>**</w:t>
      </w:r>
      <w:r w:rsidRPr="00F9706D">
        <w:rPr>
          <w:szCs w:val="18"/>
        </w:rPr>
        <w:t xml:space="preserve"> This document has not been formally edited.</w:t>
      </w:r>
    </w:p>
  </w:footnote>
  <w:footnote w:id="4">
    <w:p w14:paraId="2ADD1E7F" w14:textId="1DF6DBE8" w:rsidR="006F27E2" w:rsidRPr="00884D4D" w:rsidRDefault="006F27E2">
      <w:pPr>
        <w:pStyle w:val="FootnoteText"/>
        <w:rPr>
          <w:lang w:val="en-US"/>
        </w:rPr>
      </w:pPr>
      <w:r w:rsidRPr="00A229BC">
        <w:rPr>
          <w:rStyle w:val="FootnoteReference"/>
          <w:sz w:val="18"/>
        </w:rPr>
        <w:footnoteRef/>
      </w:r>
      <w:r w:rsidRPr="00A229BC">
        <w:rPr>
          <w:szCs w:val="18"/>
          <w:lang w:val="en-US"/>
        </w:rPr>
        <w:t xml:space="preserve"> Documents are available at: </w:t>
      </w:r>
      <w:hyperlink r:id="rId1" w:history="1">
        <w:r w:rsidRPr="00A229BC">
          <w:rPr>
            <w:rStyle w:val="Hyperlink"/>
            <w:sz w:val="18"/>
            <w:szCs w:val="18"/>
          </w:rPr>
          <w:t>https://documents.un.org/doc/undoc/gen/k25/005/56/pdf/k2500556.pdf</w:t>
        </w:r>
      </w:hyperlink>
      <w:r w:rsidRPr="00A229BC">
        <w:rPr>
          <w:szCs w:val="18"/>
          <w:lang w:val="en-US"/>
        </w:rPr>
        <w:t xml:space="preserve"> and https://wedocs.unep.org/bitstream/handle/20.500.11822/47693/UNEP_GFC_OEWG.1_INF_5_GFC_Fund.pdf?sequence=1&amp;isAllowed=y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1866AC86"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E2040F">
      <w:t>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5AAF198D" w:rsidR="00123699" w:rsidRPr="00392F9C" w:rsidRDefault="00F96910" w:rsidP="00F96910">
    <w:pPr>
      <w:pStyle w:val="Header-pool"/>
      <w:jc w:val="right"/>
      <w:rPr>
        <w:szCs w:val="18"/>
      </w:rPr>
    </w:pPr>
    <w:r w:rsidRPr="00F96910">
      <w:t>UNEP/MC</w:t>
    </w:r>
    <w:r w:rsidR="00EA2CF9">
      <w:t>/</w:t>
    </w:r>
    <w:r w:rsidRPr="00F96910">
      <w:t>COP.</w:t>
    </w:r>
    <w:r w:rsidR="00E2040F">
      <w:t>6</w:t>
    </w:r>
    <w:r w:rsidRPr="00F96910">
      <w:t>/</w:t>
    </w:r>
    <w:r w:rsidR="00E2040F">
      <w:t>INF/34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037848C0"/>
    <w:multiLevelType w:val="hybridMultilevel"/>
    <w:tmpl w:val="F8186692"/>
    <w:lvl w:ilvl="0" w:tplc="F1BAF8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3" w15:restartNumberingAfterBreak="0">
    <w:nsid w:val="0EBF581F"/>
    <w:multiLevelType w:val="hybridMultilevel"/>
    <w:tmpl w:val="B81A3326"/>
    <w:lvl w:ilvl="0" w:tplc="EA1CBB0E">
      <w:start w:val="1"/>
      <w:numFmt w:val="upp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4"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 w15:restartNumberingAfterBreak="0">
    <w:nsid w:val="518C3520"/>
    <w:multiLevelType w:val="hybridMultilevel"/>
    <w:tmpl w:val="B986EE94"/>
    <w:lvl w:ilvl="0" w:tplc="2C7E59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9" w15:restartNumberingAfterBreak="0">
    <w:nsid w:val="5F34278E"/>
    <w:multiLevelType w:val="hybridMultilevel"/>
    <w:tmpl w:val="BCF6A50E"/>
    <w:lvl w:ilvl="0" w:tplc="FFFFFFFF">
      <w:start w:val="1"/>
      <w:numFmt w:val="decimal"/>
      <w:lvlText w:val="%1."/>
      <w:lvlJc w:val="left"/>
      <w:pPr>
        <w:ind w:left="3621" w:hanging="360"/>
      </w:pPr>
      <w:rPr>
        <w:rFonts w:hint="default"/>
      </w:r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0" w15:restartNumberingAfterBreak="0">
    <w:nsid w:val="6B0A3978"/>
    <w:multiLevelType w:val="hybridMultilevel"/>
    <w:tmpl w:val="A0067BEA"/>
    <w:lvl w:ilvl="0" w:tplc="086EB6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565261">
    <w:abstractNumId w:val="8"/>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16cid:durableId="1016267553">
    <w:abstractNumId w:val="4"/>
  </w:num>
  <w:num w:numId="3" w16cid:durableId="282033796">
    <w:abstractNumId w:val="5"/>
  </w:num>
  <w:num w:numId="4" w16cid:durableId="1494448980">
    <w:abstractNumId w:val="8"/>
  </w:num>
  <w:num w:numId="5" w16cid:durableId="1135946353">
    <w:abstractNumId w:val="6"/>
  </w:num>
  <w:num w:numId="6" w16cid:durableId="1100219994">
    <w:abstractNumId w:val="2"/>
  </w:num>
  <w:num w:numId="7" w16cid:durableId="837236890">
    <w:abstractNumId w:val="8"/>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 w16cid:durableId="1235167672">
    <w:abstractNumId w:val="8"/>
  </w:num>
  <w:num w:numId="9" w16cid:durableId="1672561967">
    <w:abstractNumId w:val="8"/>
  </w:num>
  <w:num w:numId="10" w16cid:durableId="1437212726">
    <w:abstractNumId w:val="8"/>
  </w:num>
  <w:num w:numId="11" w16cid:durableId="2016877031">
    <w:abstractNumId w:val="8"/>
  </w:num>
  <w:num w:numId="12" w16cid:durableId="1771202158">
    <w:abstractNumId w:val="8"/>
  </w:num>
  <w:num w:numId="13" w16cid:durableId="860124871">
    <w:abstractNumId w:val="8"/>
  </w:num>
  <w:num w:numId="14" w16cid:durableId="1326588141">
    <w:abstractNumId w:val="8"/>
  </w:num>
  <w:num w:numId="15" w16cid:durableId="645666334">
    <w:abstractNumId w:val="8"/>
  </w:num>
  <w:num w:numId="16" w16cid:durableId="1863744742">
    <w:abstractNumId w:val="8"/>
  </w:num>
  <w:num w:numId="17" w16cid:durableId="1171330947">
    <w:abstractNumId w:val="8"/>
  </w:num>
  <w:num w:numId="18" w16cid:durableId="1935552929">
    <w:abstractNumId w:val="8"/>
  </w:num>
  <w:num w:numId="19" w16cid:durableId="1174610815">
    <w:abstractNumId w:val="8"/>
  </w:num>
  <w:num w:numId="20" w16cid:durableId="960376072">
    <w:abstractNumId w:val="8"/>
  </w:num>
  <w:num w:numId="21" w16cid:durableId="1267301723">
    <w:abstractNumId w:val="8"/>
  </w:num>
  <w:num w:numId="22" w16cid:durableId="711611048">
    <w:abstractNumId w:val="8"/>
  </w:num>
  <w:num w:numId="23" w16cid:durableId="1040713280">
    <w:abstractNumId w:val="8"/>
  </w:num>
  <w:num w:numId="24" w16cid:durableId="327173741">
    <w:abstractNumId w:val="8"/>
  </w:num>
  <w:num w:numId="25" w16cid:durableId="795369156">
    <w:abstractNumId w:val="8"/>
  </w:num>
  <w:num w:numId="26" w16cid:durableId="133528854">
    <w:abstractNumId w:val="8"/>
  </w:num>
  <w:num w:numId="27" w16cid:durableId="986323153">
    <w:abstractNumId w:val="8"/>
  </w:num>
  <w:num w:numId="28" w16cid:durableId="433213590">
    <w:abstractNumId w:val="8"/>
  </w:num>
  <w:num w:numId="29" w16cid:durableId="265043740">
    <w:abstractNumId w:val="8"/>
  </w:num>
  <w:num w:numId="30" w16cid:durableId="1791820401">
    <w:abstractNumId w:val="8"/>
  </w:num>
  <w:num w:numId="31" w16cid:durableId="1300576112">
    <w:abstractNumId w:val="8"/>
  </w:num>
  <w:num w:numId="32" w16cid:durableId="201483325">
    <w:abstractNumId w:val="8"/>
  </w:num>
  <w:num w:numId="33" w16cid:durableId="685595495">
    <w:abstractNumId w:val="8"/>
  </w:num>
  <w:num w:numId="34" w16cid:durableId="747459989">
    <w:abstractNumId w:val="8"/>
  </w:num>
  <w:num w:numId="35" w16cid:durableId="1902908779">
    <w:abstractNumId w:val="8"/>
  </w:num>
  <w:num w:numId="36" w16cid:durableId="431437778">
    <w:abstractNumId w:val="8"/>
  </w:num>
  <w:num w:numId="37" w16cid:durableId="1020814842">
    <w:abstractNumId w:val="8"/>
  </w:num>
  <w:num w:numId="38" w16cid:durableId="147790694">
    <w:abstractNumId w:val="8"/>
  </w:num>
  <w:num w:numId="39" w16cid:durableId="1005400598">
    <w:abstractNumId w:val="8"/>
  </w:num>
  <w:num w:numId="40" w16cid:durableId="1527334094">
    <w:abstractNumId w:val="8"/>
  </w:num>
  <w:num w:numId="41" w16cid:durableId="1255939666">
    <w:abstractNumId w:val="3"/>
  </w:num>
  <w:num w:numId="42" w16cid:durableId="1800299503">
    <w:abstractNumId w:val="10"/>
  </w:num>
  <w:num w:numId="43" w16cid:durableId="1423144864">
    <w:abstractNumId w:val="7"/>
  </w:num>
  <w:num w:numId="44" w16cid:durableId="1302687383">
    <w:abstractNumId w:val="1"/>
  </w:num>
  <w:num w:numId="45" w16cid:durableId="1764568846">
    <w:abstractNumId w:val="0"/>
  </w:num>
  <w:num w:numId="46" w16cid:durableId="645429366">
    <w:abstractNumId w:val="9"/>
  </w:num>
  <w:num w:numId="47" w16cid:durableId="46878905">
    <w:abstractNumId w:val="8"/>
    <w:lvlOverride w:ilvl="0">
      <w:startOverride w:val="1"/>
      <w:lvl w:ilvl="0">
        <w:start w:val="1"/>
        <w:numFmt w:val="decimal"/>
        <w:lvlText w:val="%1."/>
        <w:lvlJc w:val="left"/>
        <w:pPr>
          <w:tabs>
            <w:tab w:val="num" w:pos="624"/>
          </w:tabs>
          <w:ind w:left="1248" w:firstLine="0"/>
        </w:pPr>
        <w:rPr>
          <w:rFonts w:hint="default"/>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11FDE"/>
    <w:rsid w:val="000149E6"/>
    <w:rsid w:val="00020203"/>
    <w:rsid w:val="000247B0"/>
    <w:rsid w:val="00026997"/>
    <w:rsid w:val="00027DE5"/>
    <w:rsid w:val="000329E4"/>
    <w:rsid w:val="00033E0B"/>
    <w:rsid w:val="00035EDE"/>
    <w:rsid w:val="000370B8"/>
    <w:rsid w:val="000417C3"/>
    <w:rsid w:val="00044340"/>
    <w:rsid w:val="00047694"/>
    <w:rsid w:val="000509B4"/>
    <w:rsid w:val="0006035B"/>
    <w:rsid w:val="00062C08"/>
    <w:rsid w:val="00071886"/>
    <w:rsid w:val="000742BC"/>
    <w:rsid w:val="00076C75"/>
    <w:rsid w:val="00082765"/>
    <w:rsid w:val="00082A0C"/>
    <w:rsid w:val="00083504"/>
    <w:rsid w:val="000941E5"/>
    <w:rsid w:val="0009640C"/>
    <w:rsid w:val="00097FC4"/>
    <w:rsid w:val="000A0830"/>
    <w:rsid w:val="000B0F77"/>
    <w:rsid w:val="000B22A2"/>
    <w:rsid w:val="000B5BC8"/>
    <w:rsid w:val="000C0F46"/>
    <w:rsid w:val="000C2A52"/>
    <w:rsid w:val="000C43F1"/>
    <w:rsid w:val="000D0733"/>
    <w:rsid w:val="000D33C0"/>
    <w:rsid w:val="000D6941"/>
    <w:rsid w:val="000E19DC"/>
    <w:rsid w:val="000E390C"/>
    <w:rsid w:val="00103655"/>
    <w:rsid w:val="00117EA5"/>
    <w:rsid w:val="001200EE"/>
    <w:rsid w:val="001202E3"/>
    <w:rsid w:val="00123699"/>
    <w:rsid w:val="0012644F"/>
    <w:rsid w:val="00127DDB"/>
    <w:rsid w:val="0013059D"/>
    <w:rsid w:val="0013699B"/>
    <w:rsid w:val="00141A55"/>
    <w:rsid w:val="001446A3"/>
    <w:rsid w:val="00145960"/>
    <w:rsid w:val="0015442E"/>
    <w:rsid w:val="00155395"/>
    <w:rsid w:val="00160D74"/>
    <w:rsid w:val="00167D02"/>
    <w:rsid w:val="00171B33"/>
    <w:rsid w:val="0017588D"/>
    <w:rsid w:val="001813DD"/>
    <w:rsid w:val="00181EC8"/>
    <w:rsid w:val="00184349"/>
    <w:rsid w:val="00193DC9"/>
    <w:rsid w:val="00195E9F"/>
    <w:rsid w:val="00195F33"/>
    <w:rsid w:val="001A28CF"/>
    <w:rsid w:val="001A502A"/>
    <w:rsid w:val="001B1617"/>
    <w:rsid w:val="001B2D71"/>
    <w:rsid w:val="001B504B"/>
    <w:rsid w:val="001B7D42"/>
    <w:rsid w:val="001C1E29"/>
    <w:rsid w:val="001C415D"/>
    <w:rsid w:val="001D2720"/>
    <w:rsid w:val="001D3874"/>
    <w:rsid w:val="001D7E75"/>
    <w:rsid w:val="001E56D2"/>
    <w:rsid w:val="001E7D56"/>
    <w:rsid w:val="001F75DE"/>
    <w:rsid w:val="00200D58"/>
    <w:rsid w:val="002011F7"/>
    <w:rsid w:val="002013BE"/>
    <w:rsid w:val="002063A4"/>
    <w:rsid w:val="0021145B"/>
    <w:rsid w:val="00225852"/>
    <w:rsid w:val="002319DB"/>
    <w:rsid w:val="00234B59"/>
    <w:rsid w:val="0024034C"/>
    <w:rsid w:val="00243D36"/>
    <w:rsid w:val="00247707"/>
    <w:rsid w:val="00250B6D"/>
    <w:rsid w:val="002525C0"/>
    <w:rsid w:val="00253B12"/>
    <w:rsid w:val="0026018E"/>
    <w:rsid w:val="00260799"/>
    <w:rsid w:val="0026715B"/>
    <w:rsid w:val="00272B63"/>
    <w:rsid w:val="00275DA1"/>
    <w:rsid w:val="002768BA"/>
    <w:rsid w:val="00283522"/>
    <w:rsid w:val="00286740"/>
    <w:rsid w:val="002929D8"/>
    <w:rsid w:val="002944E1"/>
    <w:rsid w:val="002A1C1C"/>
    <w:rsid w:val="002A237D"/>
    <w:rsid w:val="002A4C53"/>
    <w:rsid w:val="002A5BA8"/>
    <w:rsid w:val="002B0672"/>
    <w:rsid w:val="002B247F"/>
    <w:rsid w:val="002B4F63"/>
    <w:rsid w:val="002C0F35"/>
    <w:rsid w:val="002C145D"/>
    <w:rsid w:val="002C257C"/>
    <w:rsid w:val="002C2C3E"/>
    <w:rsid w:val="002C52A3"/>
    <w:rsid w:val="002C533E"/>
    <w:rsid w:val="002C79E4"/>
    <w:rsid w:val="002C7A45"/>
    <w:rsid w:val="002D027F"/>
    <w:rsid w:val="002D48DF"/>
    <w:rsid w:val="002D7A85"/>
    <w:rsid w:val="002D7B60"/>
    <w:rsid w:val="002E775B"/>
    <w:rsid w:val="002F4761"/>
    <w:rsid w:val="002F5C79"/>
    <w:rsid w:val="002F7939"/>
    <w:rsid w:val="003019BA"/>
    <w:rsid w:val="003019E2"/>
    <w:rsid w:val="00311CB2"/>
    <w:rsid w:val="003140A7"/>
    <w:rsid w:val="0031413F"/>
    <w:rsid w:val="003148BB"/>
    <w:rsid w:val="00317976"/>
    <w:rsid w:val="00321111"/>
    <w:rsid w:val="0032144E"/>
    <w:rsid w:val="00324514"/>
    <w:rsid w:val="00324B1A"/>
    <w:rsid w:val="00325A36"/>
    <w:rsid w:val="00334775"/>
    <w:rsid w:val="00355EA9"/>
    <w:rsid w:val="003578DE"/>
    <w:rsid w:val="00362047"/>
    <w:rsid w:val="00362877"/>
    <w:rsid w:val="00365E65"/>
    <w:rsid w:val="0036669D"/>
    <w:rsid w:val="003705E1"/>
    <w:rsid w:val="00372781"/>
    <w:rsid w:val="00376737"/>
    <w:rsid w:val="0037776E"/>
    <w:rsid w:val="00386AB0"/>
    <w:rsid w:val="0039169B"/>
    <w:rsid w:val="00392F9C"/>
    <w:rsid w:val="00394AAD"/>
    <w:rsid w:val="00396257"/>
    <w:rsid w:val="003963DF"/>
    <w:rsid w:val="00397EB8"/>
    <w:rsid w:val="003A1C5B"/>
    <w:rsid w:val="003A4FD0"/>
    <w:rsid w:val="003A69D1"/>
    <w:rsid w:val="003A7705"/>
    <w:rsid w:val="003A77F1"/>
    <w:rsid w:val="003B1545"/>
    <w:rsid w:val="003B27C8"/>
    <w:rsid w:val="003B3A93"/>
    <w:rsid w:val="003B3D35"/>
    <w:rsid w:val="003B5FFF"/>
    <w:rsid w:val="003C2115"/>
    <w:rsid w:val="003C27B5"/>
    <w:rsid w:val="003C409D"/>
    <w:rsid w:val="003C5BA6"/>
    <w:rsid w:val="003D104A"/>
    <w:rsid w:val="003E6F41"/>
    <w:rsid w:val="003E7DE3"/>
    <w:rsid w:val="003F06BB"/>
    <w:rsid w:val="003F0E85"/>
    <w:rsid w:val="003F4774"/>
    <w:rsid w:val="00402A06"/>
    <w:rsid w:val="00406F8E"/>
    <w:rsid w:val="00410C55"/>
    <w:rsid w:val="00416854"/>
    <w:rsid w:val="00417725"/>
    <w:rsid w:val="00435FD9"/>
    <w:rsid w:val="00437F26"/>
    <w:rsid w:val="00441512"/>
    <w:rsid w:val="00442D1D"/>
    <w:rsid w:val="00444097"/>
    <w:rsid w:val="00445487"/>
    <w:rsid w:val="00454769"/>
    <w:rsid w:val="00466991"/>
    <w:rsid w:val="0047013C"/>
    <w:rsid w:val="0047064C"/>
    <w:rsid w:val="00473640"/>
    <w:rsid w:val="00493977"/>
    <w:rsid w:val="00494164"/>
    <w:rsid w:val="004A42E1"/>
    <w:rsid w:val="004B162C"/>
    <w:rsid w:val="004B4606"/>
    <w:rsid w:val="004B5394"/>
    <w:rsid w:val="004B614E"/>
    <w:rsid w:val="004C3DBE"/>
    <w:rsid w:val="004C5C96"/>
    <w:rsid w:val="004D06A4"/>
    <w:rsid w:val="004D6A7F"/>
    <w:rsid w:val="004D6C25"/>
    <w:rsid w:val="004D7070"/>
    <w:rsid w:val="004F1893"/>
    <w:rsid w:val="004F1A81"/>
    <w:rsid w:val="004F21D4"/>
    <w:rsid w:val="0050052E"/>
    <w:rsid w:val="00505ABB"/>
    <w:rsid w:val="0051141D"/>
    <w:rsid w:val="0051686C"/>
    <w:rsid w:val="005218D9"/>
    <w:rsid w:val="00531FCC"/>
    <w:rsid w:val="00536186"/>
    <w:rsid w:val="005369CB"/>
    <w:rsid w:val="00537579"/>
    <w:rsid w:val="005420A1"/>
    <w:rsid w:val="00544CBB"/>
    <w:rsid w:val="00545860"/>
    <w:rsid w:val="00545953"/>
    <w:rsid w:val="00551104"/>
    <w:rsid w:val="00557917"/>
    <w:rsid w:val="00561676"/>
    <w:rsid w:val="00562867"/>
    <w:rsid w:val="00566B59"/>
    <w:rsid w:val="00570873"/>
    <w:rsid w:val="0057315F"/>
    <w:rsid w:val="00576104"/>
    <w:rsid w:val="0058341A"/>
    <w:rsid w:val="00586965"/>
    <w:rsid w:val="0058703C"/>
    <w:rsid w:val="00587F77"/>
    <w:rsid w:val="005A673F"/>
    <w:rsid w:val="005B42A6"/>
    <w:rsid w:val="005B581E"/>
    <w:rsid w:val="005C1DEB"/>
    <w:rsid w:val="005C67C8"/>
    <w:rsid w:val="005D0249"/>
    <w:rsid w:val="005D1DA1"/>
    <w:rsid w:val="005D3540"/>
    <w:rsid w:val="005D67C0"/>
    <w:rsid w:val="005D6E8C"/>
    <w:rsid w:val="005D7EBB"/>
    <w:rsid w:val="005E4928"/>
    <w:rsid w:val="005F100C"/>
    <w:rsid w:val="005F68DA"/>
    <w:rsid w:val="00600CDE"/>
    <w:rsid w:val="0060773B"/>
    <w:rsid w:val="006156FD"/>
    <w:rsid w:val="006157B5"/>
    <w:rsid w:val="00622D02"/>
    <w:rsid w:val="00626FC6"/>
    <w:rsid w:val="006303B4"/>
    <w:rsid w:val="00633D3D"/>
    <w:rsid w:val="00641703"/>
    <w:rsid w:val="006431A6"/>
    <w:rsid w:val="006447E9"/>
    <w:rsid w:val="006459F6"/>
    <w:rsid w:val="006501AD"/>
    <w:rsid w:val="00651BFA"/>
    <w:rsid w:val="006520E8"/>
    <w:rsid w:val="00654475"/>
    <w:rsid w:val="006562BF"/>
    <w:rsid w:val="00665A4B"/>
    <w:rsid w:val="006715E9"/>
    <w:rsid w:val="006717E6"/>
    <w:rsid w:val="00673665"/>
    <w:rsid w:val="00680611"/>
    <w:rsid w:val="006926B6"/>
    <w:rsid w:val="00692C86"/>
    <w:rsid w:val="00692E2A"/>
    <w:rsid w:val="006A0155"/>
    <w:rsid w:val="006A76F2"/>
    <w:rsid w:val="006C0014"/>
    <w:rsid w:val="006C2E69"/>
    <w:rsid w:val="006C55C3"/>
    <w:rsid w:val="006D1C7C"/>
    <w:rsid w:val="006D38D4"/>
    <w:rsid w:val="006D43D0"/>
    <w:rsid w:val="006D4F04"/>
    <w:rsid w:val="006D71E6"/>
    <w:rsid w:val="006D7EFB"/>
    <w:rsid w:val="006E6672"/>
    <w:rsid w:val="006E6722"/>
    <w:rsid w:val="006F17A2"/>
    <w:rsid w:val="006F27E2"/>
    <w:rsid w:val="006F3EC0"/>
    <w:rsid w:val="006F5276"/>
    <w:rsid w:val="007027B9"/>
    <w:rsid w:val="00715E88"/>
    <w:rsid w:val="0072353B"/>
    <w:rsid w:val="00734CAA"/>
    <w:rsid w:val="00736CD3"/>
    <w:rsid w:val="00741B20"/>
    <w:rsid w:val="007427E4"/>
    <w:rsid w:val="00750E4E"/>
    <w:rsid w:val="00751150"/>
    <w:rsid w:val="0075533C"/>
    <w:rsid w:val="00757581"/>
    <w:rsid w:val="00760AAD"/>
    <w:rsid w:val="00760D78"/>
    <w:rsid w:val="00760F59"/>
    <w:rsid w:val="007611A0"/>
    <w:rsid w:val="0076147A"/>
    <w:rsid w:val="00764B14"/>
    <w:rsid w:val="00775527"/>
    <w:rsid w:val="007776C6"/>
    <w:rsid w:val="007828A5"/>
    <w:rsid w:val="007841CA"/>
    <w:rsid w:val="007841F5"/>
    <w:rsid w:val="0079019B"/>
    <w:rsid w:val="00791672"/>
    <w:rsid w:val="00793F47"/>
    <w:rsid w:val="00796D3F"/>
    <w:rsid w:val="007A1683"/>
    <w:rsid w:val="007A2ED1"/>
    <w:rsid w:val="007A5C12"/>
    <w:rsid w:val="007A7CB0"/>
    <w:rsid w:val="007B14C3"/>
    <w:rsid w:val="007B1E6A"/>
    <w:rsid w:val="007B24F8"/>
    <w:rsid w:val="007B68A3"/>
    <w:rsid w:val="007C2541"/>
    <w:rsid w:val="007C521D"/>
    <w:rsid w:val="007D5E92"/>
    <w:rsid w:val="007D66A8"/>
    <w:rsid w:val="007D7E91"/>
    <w:rsid w:val="007E003F"/>
    <w:rsid w:val="007E064C"/>
    <w:rsid w:val="007E1074"/>
    <w:rsid w:val="007F1F1A"/>
    <w:rsid w:val="007F5651"/>
    <w:rsid w:val="00801268"/>
    <w:rsid w:val="00810510"/>
    <w:rsid w:val="00810B93"/>
    <w:rsid w:val="008164F2"/>
    <w:rsid w:val="008201A2"/>
    <w:rsid w:val="00821395"/>
    <w:rsid w:val="00824FC7"/>
    <w:rsid w:val="00830E26"/>
    <w:rsid w:val="0084113F"/>
    <w:rsid w:val="0084212F"/>
    <w:rsid w:val="00843576"/>
    <w:rsid w:val="00843B64"/>
    <w:rsid w:val="008478FC"/>
    <w:rsid w:val="00864E7E"/>
    <w:rsid w:val="0086518B"/>
    <w:rsid w:val="00867BFF"/>
    <w:rsid w:val="00880CCB"/>
    <w:rsid w:val="0088480A"/>
    <w:rsid w:val="00884D4D"/>
    <w:rsid w:val="008862AF"/>
    <w:rsid w:val="0088757A"/>
    <w:rsid w:val="008957DD"/>
    <w:rsid w:val="00897D98"/>
    <w:rsid w:val="008A3441"/>
    <w:rsid w:val="008A6DF2"/>
    <w:rsid w:val="008A7807"/>
    <w:rsid w:val="008B4456"/>
    <w:rsid w:val="008B4CC9"/>
    <w:rsid w:val="008C64CB"/>
    <w:rsid w:val="008D0106"/>
    <w:rsid w:val="008D24D7"/>
    <w:rsid w:val="008D7C99"/>
    <w:rsid w:val="008E0FCB"/>
    <w:rsid w:val="008F201B"/>
    <w:rsid w:val="008F33D4"/>
    <w:rsid w:val="008F5D00"/>
    <w:rsid w:val="00907DF6"/>
    <w:rsid w:val="00917F57"/>
    <w:rsid w:val="0092178C"/>
    <w:rsid w:val="0092184C"/>
    <w:rsid w:val="00930B88"/>
    <w:rsid w:val="00930E68"/>
    <w:rsid w:val="00932394"/>
    <w:rsid w:val="0094095A"/>
    <w:rsid w:val="00940DCC"/>
    <w:rsid w:val="0094179A"/>
    <w:rsid w:val="0094459E"/>
    <w:rsid w:val="00944DBC"/>
    <w:rsid w:val="009473C6"/>
    <w:rsid w:val="00950977"/>
    <w:rsid w:val="00951A7B"/>
    <w:rsid w:val="0095416B"/>
    <w:rsid w:val="009564A6"/>
    <w:rsid w:val="00962471"/>
    <w:rsid w:val="00966B8B"/>
    <w:rsid w:val="00967621"/>
    <w:rsid w:val="00967E6A"/>
    <w:rsid w:val="009767CB"/>
    <w:rsid w:val="00984069"/>
    <w:rsid w:val="00984BB1"/>
    <w:rsid w:val="009909E2"/>
    <w:rsid w:val="00992DE3"/>
    <w:rsid w:val="009965D2"/>
    <w:rsid w:val="009A1637"/>
    <w:rsid w:val="009B0DAB"/>
    <w:rsid w:val="009B1C84"/>
    <w:rsid w:val="009B4A0F"/>
    <w:rsid w:val="009B75AA"/>
    <w:rsid w:val="009C11D2"/>
    <w:rsid w:val="009C306A"/>
    <w:rsid w:val="009C6C70"/>
    <w:rsid w:val="009D026B"/>
    <w:rsid w:val="009D0B63"/>
    <w:rsid w:val="009D0EF4"/>
    <w:rsid w:val="009D5663"/>
    <w:rsid w:val="009D7B82"/>
    <w:rsid w:val="009E0642"/>
    <w:rsid w:val="009E1D7C"/>
    <w:rsid w:val="009E1DC7"/>
    <w:rsid w:val="009E24BE"/>
    <w:rsid w:val="009E2F3F"/>
    <w:rsid w:val="009E307E"/>
    <w:rsid w:val="00A001C6"/>
    <w:rsid w:val="00A03B6E"/>
    <w:rsid w:val="00A07870"/>
    <w:rsid w:val="00A07F19"/>
    <w:rsid w:val="00A10195"/>
    <w:rsid w:val="00A11B9F"/>
    <w:rsid w:val="00A1348D"/>
    <w:rsid w:val="00A135B4"/>
    <w:rsid w:val="00A142E9"/>
    <w:rsid w:val="00A21389"/>
    <w:rsid w:val="00A229BC"/>
    <w:rsid w:val="00A232EE"/>
    <w:rsid w:val="00A32F74"/>
    <w:rsid w:val="00A3546E"/>
    <w:rsid w:val="00A35EA7"/>
    <w:rsid w:val="00A4175F"/>
    <w:rsid w:val="00A44411"/>
    <w:rsid w:val="00A46685"/>
    <w:rsid w:val="00A469FA"/>
    <w:rsid w:val="00A52804"/>
    <w:rsid w:val="00A55B01"/>
    <w:rsid w:val="00A56B5B"/>
    <w:rsid w:val="00A603FF"/>
    <w:rsid w:val="00A60E86"/>
    <w:rsid w:val="00A657DD"/>
    <w:rsid w:val="00A666A6"/>
    <w:rsid w:val="00A675FD"/>
    <w:rsid w:val="00A706CF"/>
    <w:rsid w:val="00A71EFB"/>
    <w:rsid w:val="00A72437"/>
    <w:rsid w:val="00A7565E"/>
    <w:rsid w:val="00A80611"/>
    <w:rsid w:val="00A9173A"/>
    <w:rsid w:val="00A94604"/>
    <w:rsid w:val="00AB5340"/>
    <w:rsid w:val="00AB65BD"/>
    <w:rsid w:val="00AB6FCA"/>
    <w:rsid w:val="00AC0A89"/>
    <w:rsid w:val="00AC5CBF"/>
    <w:rsid w:val="00AC7C96"/>
    <w:rsid w:val="00AC7FD3"/>
    <w:rsid w:val="00AD1F94"/>
    <w:rsid w:val="00AD3512"/>
    <w:rsid w:val="00AE237D"/>
    <w:rsid w:val="00AE2EFF"/>
    <w:rsid w:val="00AE502A"/>
    <w:rsid w:val="00AE6AB6"/>
    <w:rsid w:val="00AE7239"/>
    <w:rsid w:val="00AF17F7"/>
    <w:rsid w:val="00AF7C07"/>
    <w:rsid w:val="00B00C95"/>
    <w:rsid w:val="00B11663"/>
    <w:rsid w:val="00B12B35"/>
    <w:rsid w:val="00B14421"/>
    <w:rsid w:val="00B22C93"/>
    <w:rsid w:val="00B27589"/>
    <w:rsid w:val="00B27EC5"/>
    <w:rsid w:val="00B405B7"/>
    <w:rsid w:val="00B40CD8"/>
    <w:rsid w:val="00B4162D"/>
    <w:rsid w:val="00B52222"/>
    <w:rsid w:val="00B52657"/>
    <w:rsid w:val="00B53728"/>
    <w:rsid w:val="00B5428A"/>
    <w:rsid w:val="00B54847"/>
    <w:rsid w:val="00B54FE7"/>
    <w:rsid w:val="00B56DE5"/>
    <w:rsid w:val="00B66901"/>
    <w:rsid w:val="00B71E6D"/>
    <w:rsid w:val="00B72070"/>
    <w:rsid w:val="00B737E9"/>
    <w:rsid w:val="00B75A37"/>
    <w:rsid w:val="00B76203"/>
    <w:rsid w:val="00B779E1"/>
    <w:rsid w:val="00B849E3"/>
    <w:rsid w:val="00B84D51"/>
    <w:rsid w:val="00B91EE1"/>
    <w:rsid w:val="00B925AB"/>
    <w:rsid w:val="00B95E88"/>
    <w:rsid w:val="00BA0090"/>
    <w:rsid w:val="00BA1A67"/>
    <w:rsid w:val="00BA5CCD"/>
    <w:rsid w:val="00BA7128"/>
    <w:rsid w:val="00BB2496"/>
    <w:rsid w:val="00BB2933"/>
    <w:rsid w:val="00BB32A0"/>
    <w:rsid w:val="00BC0052"/>
    <w:rsid w:val="00BC0196"/>
    <w:rsid w:val="00BC7AB1"/>
    <w:rsid w:val="00BE5B5F"/>
    <w:rsid w:val="00BE7730"/>
    <w:rsid w:val="00BF17E5"/>
    <w:rsid w:val="00BF61DE"/>
    <w:rsid w:val="00C03238"/>
    <w:rsid w:val="00C04085"/>
    <w:rsid w:val="00C04B6F"/>
    <w:rsid w:val="00C059F0"/>
    <w:rsid w:val="00C0722E"/>
    <w:rsid w:val="00C0725D"/>
    <w:rsid w:val="00C10ABA"/>
    <w:rsid w:val="00C13D91"/>
    <w:rsid w:val="00C14626"/>
    <w:rsid w:val="00C155A1"/>
    <w:rsid w:val="00C228DB"/>
    <w:rsid w:val="00C26F55"/>
    <w:rsid w:val="00C30C63"/>
    <w:rsid w:val="00C36B8B"/>
    <w:rsid w:val="00C415C1"/>
    <w:rsid w:val="00C47DBF"/>
    <w:rsid w:val="00C52AC2"/>
    <w:rsid w:val="00C552FF"/>
    <w:rsid w:val="00C558DA"/>
    <w:rsid w:val="00C55AF3"/>
    <w:rsid w:val="00C678CD"/>
    <w:rsid w:val="00C70AE5"/>
    <w:rsid w:val="00C7481F"/>
    <w:rsid w:val="00C84759"/>
    <w:rsid w:val="00C86D73"/>
    <w:rsid w:val="00C93696"/>
    <w:rsid w:val="00C97CF8"/>
    <w:rsid w:val="00CA48E2"/>
    <w:rsid w:val="00CA495A"/>
    <w:rsid w:val="00CA6C7F"/>
    <w:rsid w:val="00CA7BA4"/>
    <w:rsid w:val="00CB12B9"/>
    <w:rsid w:val="00CC10A6"/>
    <w:rsid w:val="00CC2FDC"/>
    <w:rsid w:val="00CC3D0B"/>
    <w:rsid w:val="00CC7F63"/>
    <w:rsid w:val="00CD5EB8"/>
    <w:rsid w:val="00CD7044"/>
    <w:rsid w:val="00CE08B9"/>
    <w:rsid w:val="00CE3103"/>
    <w:rsid w:val="00CE524C"/>
    <w:rsid w:val="00CF141F"/>
    <w:rsid w:val="00CF4639"/>
    <w:rsid w:val="00CF4777"/>
    <w:rsid w:val="00D067BB"/>
    <w:rsid w:val="00D07EDB"/>
    <w:rsid w:val="00D1352A"/>
    <w:rsid w:val="00D13873"/>
    <w:rsid w:val="00D169AF"/>
    <w:rsid w:val="00D25249"/>
    <w:rsid w:val="00D25ED8"/>
    <w:rsid w:val="00D33365"/>
    <w:rsid w:val="00D334C7"/>
    <w:rsid w:val="00D33B8F"/>
    <w:rsid w:val="00D34DE9"/>
    <w:rsid w:val="00D35F94"/>
    <w:rsid w:val="00D41FB8"/>
    <w:rsid w:val="00D44172"/>
    <w:rsid w:val="00D61FBB"/>
    <w:rsid w:val="00D63B8C"/>
    <w:rsid w:val="00D63D88"/>
    <w:rsid w:val="00D65163"/>
    <w:rsid w:val="00D739CC"/>
    <w:rsid w:val="00D747DC"/>
    <w:rsid w:val="00D76E06"/>
    <w:rsid w:val="00D8093D"/>
    <w:rsid w:val="00D8108C"/>
    <w:rsid w:val="00D842AE"/>
    <w:rsid w:val="00D8451A"/>
    <w:rsid w:val="00D9211C"/>
    <w:rsid w:val="00D922FD"/>
    <w:rsid w:val="00D92DE0"/>
    <w:rsid w:val="00D92FEF"/>
    <w:rsid w:val="00D93A0F"/>
    <w:rsid w:val="00DA0077"/>
    <w:rsid w:val="00DA1BCA"/>
    <w:rsid w:val="00DA606E"/>
    <w:rsid w:val="00DA7F70"/>
    <w:rsid w:val="00DC46FF"/>
    <w:rsid w:val="00DC5254"/>
    <w:rsid w:val="00DC5F95"/>
    <w:rsid w:val="00DD1A4F"/>
    <w:rsid w:val="00DD3107"/>
    <w:rsid w:val="00DD5C1B"/>
    <w:rsid w:val="00DD7C2C"/>
    <w:rsid w:val="00DE260E"/>
    <w:rsid w:val="00DF70BF"/>
    <w:rsid w:val="00E03B75"/>
    <w:rsid w:val="00E04FF0"/>
    <w:rsid w:val="00E06797"/>
    <w:rsid w:val="00E072CC"/>
    <w:rsid w:val="00E1265B"/>
    <w:rsid w:val="00E13B48"/>
    <w:rsid w:val="00E1404F"/>
    <w:rsid w:val="00E14E71"/>
    <w:rsid w:val="00E2040F"/>
    <w:rsid w:val="00E21C83"/>
    <w:rsid w:val="00E21F8B"/>
    <w:rsid w:val="00E24063"/>
    <w:rsid w:val="00E24ADA"/>
    <w:rsid w:val="00E276A4"/>
    <w:rsid w:val="00E3111F"/>
    <w:rsid w:val="00E32F59"/>
    <w:rsid w:val="00E3329D"/>
    <w:rsid w:val="00E3591B"/>
    <w:rsid w:val="00E364DD"/>
    <w:rsid w:val="00E44B5F"/>
    <w:rsid w:val="00E46D9A"/>
    <w:rsid w:val="00E51DEC"/>
    <w:rsid w:val="00E565FF"/>
    <w:rsid w:val="00E65388"/>
    <w:rsid w:val="00E656BA"/>
    <w:rsid w:val="00E660FA"/>
    <w:rsid w:val="00E667A4"/>
    <w:rsid w:val="00E70ED9"/>
    <w:rsid w:val="00E726A7"/>
    <w:rsid w:val="00E76395"/>
    <w:rsid w:val="00E77F75"/>
    <w:rsid w:val="00E8599D"/>
    <w:rsid w:val="00E85B7D"/>
    <w:rsid w:val="00E8750C"/>
    <w:rsid w:val="00E9121B"/>
    <w:rsid w:val="00E9168B"/>
    <w:rsid w:val="00E91D53"/>
    <w:rsid w:val="00E942CC"/>
    <w:rsid w:val="00E96DA8"/>
    <w:rsid w:val="00EA0454"/>
    <w:rsid w:val="00EA0AE2"/>
    <w:rsid w:val="00EA2CF9"/>
    <w:rsid w:val="00EA39E5"/>
    <w:rsid w:val="00EB12DE"/>
    <w:rsid w:val="00EB3728"/>
    <w:rsid w:val="00EC5A46"/>
    <w:rsid w:val="00EC63E2"/>
    <w:rsid w:val="00ED155C"/>
    <w:rsid w:val="00ED2C57"/>
    <w:rsid w:val="00EE0374"/>
    <w:rsid w:val="00EF22B3"/>
    <w:rsid w:val="00F03B69"/>
    <w:rsid w:val="00F05C85"/>
    <w:rsid w:val="00F07A50"/>
    <w:rsid w:val="00F113DA"/>
    <w:rsid w:val="00F116A8"/>
    <w:rsid w:val="00F11AC1"/>
    <w:rsid w:val="00F12716"/>
    <w:rsid w:val="00F15117"/>
    <w:rsid w:val="00F23569"/>
    <w:rsid w:val="00F264CA"/>
    <w:rsid w:val="00F300E0"/>
    <w:rsid w:val="00F32AD6"/>
    <w:rsid w:val="00F34719"/>
    <w:rsid w:val="00F37838"/>
    <w:rsid w:val="00F37DC8"/>
    <w:rsid w:val="00F402F3"/>
    <w:rsid w:val="00F4169B"/>
    <w:rsid w:val="00F439B3"/>
    <w:rsid w:val="00F650C3"/>
    <w:rsid w:val="00F65D85"/>
    <w:rsid w:val="00F66B97"/>
    <w:rsid w:val="00F7542C"/>
    <w:rsid w:val="00F8091E"/>
    <w:rsid w:val="00F839A2"/>
    <w:rsid w:val="00F8615C"/>
    <w:rsid w:val="00F873F8"/>
    <w:rsid w:val="00F92E48"/>
    <w:rsid w:val="00F96910"/>
    <w:rsid w:val="00F969E5"/>
    <w:rsid w:val="00F9706D"/>
    <w:rsid w:val="00FA20D2"/>
    <w:rsid w:val="00FA6BB0"/>
    <w:rsid w:val="00FB0B47"/>
    <w:rsid w:val="00FB0BB9"/>
    <w:rsid w:val="00FB49C6"/>
    <w:rsid w:val="00FB7073"/>
    <w:rsid w:val="00FB7DD2"/>
    <w:rsid w:val="00FD5860"/>
    <w:rsid w:val="00FE352D"/>
    <w:rsid w:val="00FE40EB"/>
    <w:rsid w:val="00FE4D02"/>
    <w:rsid w:val="00FE5792"/>
    <w:rsid w:val="00FE608A"/>
    <w:rsid w:val="00FE71AB"/>
    <w:rsid w:val="00FE7D62"/>
    <w:rsid w:val="00FF3819"/>
    <w:rsid w:val="00FF5C9E"/>
    <w:rsid w:val="00FF71C0"/>
    <w:rsid w:val="03FA9801"/>
    <w:rsid w:val="08B6EC51"/>
    <w:rsid w:val="09102D58"/>
    <w:rsid w:val="09FB2A07"/>
    <w:rsid w:val="0DA6F653"/>
    <w:rsid w:val="15C2E656"/>
    <w:rsid w:val="17FA6C31"/>
    <w:rsid w:val="19A76BC5"/>
    <w:rsid w:val="2059E68D"/>
    <w:rsid w:val="29840F91"/>
    <w:rsid w:val="29F8B7AF"/>
    <w:rsid w:val="2DADB5E0"/>
    <w:rsid w:val="2F462FD7"/>
    <w:rsid w:val="32F56184"/>
    <w:rsid w:val="3484A1DF"/>
    <w:rsid w:val="34CCDEB2"/>
    <w:rsid w:val="3640B082"/>
    <w:rsid w:val="37A0C6BA"/>
    <w:rsid w:val="396C7CBF"/>
    <w:rsid w:val="3DD0C704"/>
    <w:rsid w:val="495DD3E1"/>
    <w:rsid w:val="4B742665"/>
    <w:rsid w:val="4C0A9742"/>
    <w:rsid w:val="4C9BC509"/>
    <w:rsid w:val="4F0532ED"/>
    <w:rsid w:val="504472F7"/>
    <w:rsid w:val="52657890"/>
    <w:rsid w:val="52699012"/>
    <w:rsid w:val="53D6CA6B"/>
    <w:rsid w:val="5499C62E"/>
    <w:rsid w:val="56A0E712"/>
    <w:rsid w:val="594A90A8"/>
    <w:rsid w:val="5EA6B708"/>
    <w:rsid w:val="60967ABD"/>
    <w:rsid w:val="60A8F2D9"/>
    <w:rsid w:val="6113200C"/>
    <w:rsid w:val="6148097E"/>
    <w:rsid w:val="657F331A"/>
    <w:rsid w:val="6A3B22A4"/>
    <w:rsid w:val="6CDB52B7"/>
    <w:rsid w:val="70351F52"/>
    <w:rsid w:val="705D8393"/>
    <w:rsid w:val="7427A2D3"/>
    <w:rsid w:val="742C4E54"/>
    <w:rsid w:val="754F8722"/>
    <w:rsid w:val="75E6F6CE"/>
    <w:rsid w:val="793B574A"/>
    <w:rsid w:val="7D09A25B"/>
    <w:rsid w:val="7E544F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4"/>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link w:val="FootnoteText"/>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16 Point,Superscript 6 Point,ftref,(Ref. de nota al pie),number,SUPERS,Footnote Reference Superscript,stylish,Footnote symbol,BVI fnr,-E Fußnotenzeichen,Source Reference,Footnote reference number,note TESI,Times 10 Point,Ref,cal,註腳內容"/>
    <w:link w:val="SUPERSCharCharCharCha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qFormat/>
    <w:rsid w:val="00D922FD"/>
    <w:rPr>
      <w:lang w:val="fr-CA" w:eastAsia="en-US"/>
    </w:rPr>
  </w:style>
  <w:style w:type="paragraph" w:customStyle="1" w:styleId="Default">
    <w:name w:val="Default"/>
    <w:rsid w:val="002C52A3"/>
    <w:pPr>
      <w:autoSpaceDE w:val="0"/>
      <w:autoSpaceDN w:val="0"/>
      <w:adjustRightInd w:val="0"/>
    </w:pPr>
    <w:rPr>
      <w:color w:val="000000"/>
      <w:sz w:val="24"/>
      <w:szCs w:val="24"/>
      <w:lang w:val="fr-CH"/>
    </w:rPr>
  </w:style>
  <w:style w:type="paragraph" w:styleId="Revision">
    <w:name w:val="Revision"/>
    <w:hidden/>
    <w:uiPriority w:val="99"/>
    <w:semiHidden/>
    <w:rsid w:val="00545953"/>
    <w:rPr>
      <w:rFonts w:eastAsia="SimSun"/>
      <w:lang w:eastAsia="zh-CN"/>
    </w:rPr>
  </w:style>
  <w:style w:type="character" w:styleId="UnresolvedMention">
    <w:name w:val="Unresolved Mention"/>
    <w:basedOn w:val="DefaultParagraphFont"/>
    <w:uiPriority w:val="99"/>
    <w:semiHidden/>
    <w:unhideWhenUsed/>
    <w:rsid w:val="006F27E2"/>
    <w:rPr>
      <w:color w:val="605E5C"/>
      <w:shd w:val="clear" w:color="auto" w:fill="E1DFDD"/>
    </w:rPr>
  </w:style>
  <w:style w:type="character" w:styleId="Mention">
    <w:name w:val="Mention"/>
    <w:basedOn w:val="DefaultParagraphFont"/>
    <w:uiPriority w:val="99"/>
    <w:unhideWhenUsed/>
    <w:rsid w:val="00531FCC"/>
    <w:rPr>
      <w:color w:val="2B579A"/>
      <w:shd w:val="clear" w:color="auto" w:fill="E1DFDD"/>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F9706D"/>
    <w:pPr>
      <w:spacing w:after="160" w:line="240" w:lineRule="exact"/>
    </w:pPr>
    <w:rPr>
      <w:rFonts w:eastAsia="Times New Roman"/>
      <w:szCs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21437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un.org/doc/undoc/gen/k25/005/56/pdf/k250055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3.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4.xml><?xml version="1.0" encoding="utf-8"?>
<ds:datastoreItem xmlns:ds="http://schemas.openxmlformats.org/officeDocument/2006/customXml" ds:itemID="{B934A27C-BACB-4E00-8837-FFD1663C1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0</TotalTime>
  <Pages>4</Pages>
  <Words>1329</Words>
  <Characters>8187</Characters>
  <Application>Microsoft Office Word</Application>
  <DocSecurity>0</DocSecurity>
  <Lines>68</Lines>
  <Paragraphs>18</Paragraphs>
  <ScaleCrop>false</ScaleCrop>
  <Company/>
  <LinksUpToDate>false</LinksUpToDate>
  <CharactersWithSpaces>9498</CharactersWithSpaces>
  <SharedDoc>false</SharedDoc>
  <HLinks>
    <vt:vector size="6" baseType="variant">
      <vt:variant>
        <vt:i4>3342374</vt:i4>
      </vt:variant>
      <vt:variant>
        <vt:i4>0</vt:i4>
      </vt:variant>
      <vt:variant>
        <vt:i4>0</vt:i4>
      </vt:variant>
      <vt:variant>
        <vt:i4>5</vt:i4>
      </vt:variant>
      <vt:variant>
        <vt:lpwstr>https://documents.un.org/doc/undoc/gen/k25/005/56/pdf/k2500556.pdf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2025-08-16T13:13:00Z</dcterms:created>
  <dcterms:modified xsi:type="dcterms:W3CDTF">2025-08-29T09:51:00Z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1aa345f5233833bf8aa3408a6e0af90074b5fe99df0c30d1bbd9e61a2eb4330c</vt:lpwstr>
  </property>
  <property fmtid="{D5CDD505-2E9C-101B-9397-08002B2CF9AE}" pid="3" name="MediaServiceImageTags">
    <vt:lpwstr/>
  </property>
  <property fmtid="{D5CDD505-2E9C-101B-9397-08002B2CF9AE}" pid="4" name="ContentTypeId">
    <vt:lpwstr>0x010100D4A186B34AAF4047A570F9DFA6808567</vt:lpwstr>
  </property>
</Properties>
</file>