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C7854" w:rsidRPr="00CC7854" w14:paraId="3B5252C8" w14:textId="77777777" w:rsidTr="00CC7854">
        <w:trPr>
          <w:trHeight w:val="850"/>
        </w:trPr>
        <w:tc>
          <w:tcPr>
            <w:tcW w:w="1559" w:type="dxa"/>
            <w:shd w:val="clear" w:color="auto" w:fill="auto"/>
          </w:tcPr>
          <w:p w14:paraId="6E5242BC" w14:textId="77777777" w:rsidR="00CC7854" w:rsidRPr="00CC7854" w:rsidRDefault="00CC7854" w:rsidP="00CC7854">
            <w:pPr>
              <w:pStyle w:val="AUnitedNations"/>
            </w:pPr>
            <w:r w:rsidRPr="00CC7854">
              <w:t xml:space="preserve">UNITED </w:t>
            </w:r>
            <w:r w:rsidRPr="00CC7854">
              <w:br/>
              <w:t>NATIONS</w:t>
            </w:r>
          </w:p>
        </w:tc>
        <w:tc>
          <w:tcPr>
            <w:tcW w:w="6520" w:type="dxa"/>
            <w:shd w:val="clear" w:color="auto" w:fill="auto"/>
          </w:tcPr>
          <w:p w14:paraId="64D71D22" w14:textId="77777777" w:rsidR="00CC7854" w:rsidRPr="00CC7854" w:rsidRDefault="00CC7854" w:rsidP="00CC7854">
            <w:pPr>
              <w:pStyle w:val="Normal-pool"/>
            </w:pPr>
            <w:r w:rsidRPr="00CC7854">
              <w:rPr>
                <w:noProof/>
              </w:rPr>
              <w:drawing>
                <wp:anchor distT="0" distB="0" distL="114300" distR="114300" simplePos="0" relativeHeight="251658240" behindDoc="0" locked="0" layoutInCell="1" allowOverlap="1" wp14:anchorId="2678BA15" wp14:editId="008787CF">
                  <wp:simplePos x="0" y="0"/>
                  <wp:positionH relativeFrom="column">
                    <wp:posOffset>-1149</wp:posOffset>
                  </wp:positionH>
                  <wp:positionV relativeFrom="paragraph">
                    <wp:posOffset>1866</wp:posOffset>
                  </wp:positionV>
                  <wp:extent cx="1269153" cy="573559"/>
                  <wp:effectExtent l="0" t="0" r="7620" b="0"/>
                  <wp:wrapNone/>
                  <wp:docPr id="863628729" name="Picture 86362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2872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2B857E7D" w14:textId="77777777" w:rsidR="00CC7854" w:rsidRPr="00CC7854" w:rsidRDefault="00CC7854" w:rsidP="00CC7854">
            <w:pPr>
              <w:pStyle w:val="Normal-pool"/>
            </w:pPr>
          </w:p>
        </w:tc>
      </w:tr>
    </w:tbl>
    <w:p w14:paraId="603EA689" w14:textId="77777777" w:rsidR="00DE6E55" w:rsidRPr="00CC7854" w:rsidRDefault="00DE6E55" w:rsidP="00CC7854">
      <w:pPr>
        <w:pStyle w:val="ASpacer"/>
      </w:pPr>
    </w:p>
    <w:tbl>
      <w:tblPr>
        <w:tblW w:w="9496" w:type="dxa"/>
        <w:tblLook w:val="0000" w:firstRow="0" w:lastRow="0" w:firstColumn="0" w:lastColumn="0" w:noHBand="0" w:noVBand="0"/>
      </w:tblPr>
      <w:tblGrid>
        <w:gridCol w:w="6378"/>
        <w:gridCol w:w="3118"/>
      </w:tblGrid>
      <w:tr w:rsidR="00CC7854" w:rsidRPr="00CC7854" w14:paraId="4C487D40" w14:textId="77777777" w:rsidTr="00CC7854">
        <w:trPr>
          <w:trHeight w:val="340"/>
        </w:trPr>
        <w:tc>
          <w:tcPr>
            <w:tcW w:w="3358" w:type="pct"/>
            <w:shd w:val="clear" w:color="auto" w:fill="auto"/>
            <w:vAlign w:val="bottom"/>
          </w:tcPr>
          <w:p w14:paraId="5E87B47A" w14:textId="77777777" w:rsidR="00CC7854" w:rsidRPr="00CC7854" w:rsidRDefault="00CC7854" w:rsidP="00CC7854">
            <w:pPr>
              <w:pStyle w:val="Normal-pool"/>
            </w:pPr>
          </w:p>
        </w:tc>
        <w:tc>
          <w:tcPr>
            <w:tcW w:w="1642" w:type="pct"/>
            <w:shd w:val="clear" w:color="auto" w:fill="auto"/>
            <w:noWrap/>
            <w:vAlign w:val="bottom"/>
          </w:tcPr>
          <w:p w14:paraId="17239CF1" w14:textId="3BDD6DFF" w:rsidR="00CC7854" w:rsidRPr="00CC7854" w:rsidRDefault="00CC7854" w:rsidP="00CC7854">
            <w:pPr>
              <w:pStyle w:val="ASymbol"/>
            </w:pPr>
            <w:r w:rsidRPr="00CC7854">
              <w:rPr>
                <w:b/>
                <w:sz w:val="28"/>
              </w:rPr>
              <w:t>UNEP</w:t>
            </w:r>
            <w:r w:rsidRPr="00CC7854">
              <w:t>/MC/COP.</w:t>
            </w:r>
            <w:bookmarkStart w:id="0" w:name="Symbol1B"/>
            <w:r w:rsidR="00D975A6">
              <w:t>6</w:t>
            </w:r>
            <w:r w:rsidR="000D1443">
              <w:t>/INF</w:t>
            </w:r>
            <w:bookmarkStart w:id="1" w:name="Symbol1C"/>
            <w:bookmarkEnd w:id="0"/>
            <w:r w:rsidR="000D1443">
              <w:t>/</w:t>
            </w:r>
            <w:bookmarkEnd w:id="1"/>
            <w:r w:rsidR="00D975A6">
              <w:t>3</w:t>
            </w:r>
            <w:r w:rsidR="00CF5B6A">
              <w:t>2</w:t>
            </w:r>
          </w:p>
        </w:tc>
      </w:tr>
    </w:tbl>
    <w:p w14:paraId="13F9E6D4" w14:textId="77777777" w:rsidR="00CC7854" w:rsidRPr="00CC7854" w:rsidRDefault="00CC7854" w:rsidP="00CC7854">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C7854" w:rsidRPr="00CC7854" w14:paraId="0DD2AA86" w14:textId="77777777" w:rsidTr="00CC7854">
        <w:trPr>
          <w:trHeight w:val="2098"/>
        </w:trPr>
        <w:tc>
          <w:tcPr>
            <w:tcW w:w="3685" w:type="dxa"/>
            <w:shd w:val="clear" w:color="auto" w:fill="auto"/>
          </w:tcPr>
          <w:p w14:paraId="7519200A" w14:textId="77777777" w:rsidR="00CC7854" w:rsidRPr="00CC7854" w:rsidRDefault="00CC7854" w:rsidP="00CC7854">
            <w:pPr>
              <w:pStyle w:val="ALogo"/>
            </w:pPr>
            <w:r w:rsidRPr="00CC7854">
              <w:rPr>
                <w:noProof/>
              </w:rPr>
              <w:drawing>
                <wp:inline distT="0" distB="0" distL="0" distR="0" wp14:anchorId="6A71B895" wp14:editId="27C328AA">
                  <wp:extent cx="2202815" cy="1028700"/>
                  <wp:effectExtent l="0" t="0" r="6985" b="0"/>
                  <wp:docPr id="1630197578" name="Picture 1630197578"/>
                  <wp:cNvGraphicFramePr/>
                  <a:graphic xmlns:a="http://schemas.openxmlformats.org/drawingml/2006/main">
                    <a:graphicData uri="http://schemas.openxmlformats.org/drawingml/2006/picture">
                      <pic:pic xmlns:pic="http://schemas.openxmlformats.org/drawingml/2006/picture">
                        <pic:nvPicPr>
                          <pic:cNvPr id="163019757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CC7854">
              <w:t xml:space="preserve"> </w:t>
            </w:r>
          </w:p>
          <w:p w14:paraId="5FEF1558" w14:textId="77777777" w:rsidR="00CC7854" w:rsidRPr="00CC7854" w:rsidRDefault="00CC7854" w:rsidP="00CC7854">
            <w:pPr>
              <w:pStyle w:val="ALogo"/>
            </w:pPr>
          </w:p>
        </w:tc>
        <w:tc>
          <w:tcPr>
            <w:tcW w:w="2693" w:type="dxa"/>
            <w:shd w:val="clear" w:color="auto" w:fill="auto"/>
          </w:tcPr>
          <w:p w14:paraId="7212B898" w14:textId="77777777" w:rsidR="00CC7854" w:rsidRPr="00CC7854" w:rsidRDefault="00CC7854" w:rsidP="00CC7854">
            <w:pPr>
              <w:pStyle w:val="Normal-pool"/>
            </w:pPr>
          </w:p>
        </w:tc>
        <w:tc>
          <w:tcPr>
            <w:tcW w:w="3118" w:type="dxa"/>
            <w:shd w:val="clear" w:color="auto" w:fill="auto"/>
          </w:tcPr>
          <w:p w14:paraId="53408113" w14:textId="60022687" w:rsidR="00CC7854" w:rsidRPr="00CC7854" w:rsidRDefault="00CC7854" w:rsidP="00CC7854">
            <w:pPr>
              <w:pStyle w:val="AText"/>
            </w:pPr>
            <w:r w:rsidRPr="00CC7854">
              <w:t xml:space="preserve">Distr.: </w:t>
            </w:r>
            <w:bookmarkStart w:id="2" w:name="Distribution"/>
            <w:r w:rsidR="000D1443">
              <w:t>General</w:t>
            </w:r>
            <w:bookmarkEnd w:id="2"/>
            <w:r w:rsidRPr="00CC7854">
              <w:t xml:space="preserve"> </w:t>
            </w:r>
          </w:p>
          <w:p w14:paraId="6CA4986E" w14:textId="45637A06" w:rsidR="00CC7854" w:rsidRPr="00CC7854" w:rsidRDefault="00AF2D24" w:rsidP="00CC7854">
            <w:pPr>
              <w:pStyle w:val="AText0"/>
            </w:pPr>
            <w:r>
              <w:t>4 September</w:t>
            </w:r>
            <w:r w:rsidR="00D975A6">
              <w:t xml:space="preserve"> 2025</w:t>
            </w:r>
          </w:p>
          <w:p w14:paraId="0178AEB3" w14:textId="02066B53" w:rsidR="00CC7854" w:rsidRPr="00CC7854" w:rsidRDefault="00CC7854" w:rsidP="00CC7854">
            <w:pPr>
              <w:pStyle w:val="AText"/>
            </w:pPr>
            <w:bookmarkStart w:id="3" w:name="DistributionLang"/>
            <w:r w:rsidRPr="00CC7854">
              <w:t>Englis</w:t>
            </w:r>
            <w:r w:rsidR="00A73DB7">
              <w:t>h only</w:t>
            </w:r>
            <w:bookmarkEnd w:id="3"/>
          </w:p>
        </w:tc>
      </w:tr>
    </w:tbl>
    <w:p w14:paraId="65E49193" w14:textId="77777777" w:rsidR="00CC7854" w:rsidRPr="00CC7854" w:rsidRDefault="00CC7854" w:rsidP="00CC7854">
      <w:pPr>
        <w:pStyle w:val="ASpace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CC7854" w:rsidRPr="00CC7854" w14:paraId="3086133D" w14:textId="77777777" w:rsidTr="00CC7854">
        <w:trPr>
          <w:trHeight w:val="57"/>
        </w:trPr>
        <w:tc>
          <w:tcPr>
            <w:tcW w:w="4734" w:type="dxa"/>
            <w:shd w:val="clear" w:color="auto" w:fill="auto"/>
          </w:tcPr>
          <w:p w14:paraId="0CB190E8" w14:textId="77777777" w:rsidR="00CC7854" w:rsidRPr="00CC7854" w:rsidRDefault="00CC7854" w:rsidP="00CC7854">
            <w:pPr>
              <w:pStyle w:val="AATitle"/>
            </w:pPr>
            <w:bookmarkStart w:id="4" w:name="CorNot1Text"/>
            <w:r w:rsidRPr="00CC7854">
              <w:t xml:space="preserve">Conference of the Parties to the </w:t>
            </w:r>
            <w:r w:rsidRPr="00CC7854">
              <w:br/>
              <w:t xml:space="preserve">Minamata Convention on Mercury </w:t>
            </w:r>
          </w:p>
          <w:p w14:paraId="1310BDA5" w14:textId="53182CCF" w:rsidR="00CC7854" w:rsidRPr="00CC7854" w:rsidRDefault="00D975A6" w:rsidP="00CC7854">
            <w:pPr>
              <w:pStyle w:val="AATitle"/>
            </w:pPr>
            <w:r>
              <w:t>Sixth</w:t>
            </w:r>
            <w:r w:rsidR="00CC7854" w:rsidRPr="00CC7854">
              <w:t xml:space="preserve"> meeting</w:t>
            </w:r>
            <w:bookmarkEnd w:id="4"/>
            <w:r w:rsidR="00CC7854" w:rsidRPr="00CC7854">
              <w:t xml:space="preserve"> </w:t>
            </w:r>
          </w:p>
          <w:p w14:paraId="0448209D" w14:textId="44E2478C" w:rsidR="00CC7854" w:rsidRPr="00CC7854" w:rsidRDefault="00CC7854" w:rsidP="00CC7854">
            <w:pPr>
              <w:pStyle w:val="AATitle1"/>
            </w:pPr>
            <w:bookmarkStart w:id="5" w:name="CorNot1VenueDate"/>
            <w:r w:rsidRPr="00CC7854">
              <w:t>Geneva, 3</w:t>
            </w:r>
            <w:r w:rsidR="00D975A6" w:rsidRPr="00CC7854">
              <w:t>–</w:t>
            </w:r>
            <w:r w:rsidR="00D975A6">
              <w:t>7</w:t>
            </w:r>
            <w:r w:rsidRPr="00CC7854">
              <w:t xml:space="preserve"> November 202</w:t>
            </w:r>
            <w:bookmarkEnd w:id="5"/>
            <w:r w:rsidR="00D975A6">
              <w:t>5</w:t>
            </w:r>
            <w:r w:rsidRPr="00CC7854">
              <w:t xml:space="preserve"> </w:t>
            </w:r>
          </w:p>
          <w:p w14:paraId="5E17C6F4" w14:textId="6767C385" w:rsidR="00CC7854" w:rsidRPr="00CC7854" w:rsidRDefault="000D1443" w:rsidP="00CC7854">
            <w:pPr>
              <w:pStyle w:val="AATitle1"/>
            </w:pPr>
            <w:bookmarkStart w:id="6" w:name="CorNot1AgItem"/>
            <w:r>
              <w:t>Item 5 of the provisional agenda</w:t>
            </w:r>
            <w:bookmarkEnd w:id="6"/>
            <w:r w:rsidRPr="003A2A37">
              <w:footnoteReference w:customMarkFollows="1" w:id="2"/>
              <w:t>*</w:t>
            </w:r>
            <w:r w:rsidR="00CC7854" w:rsidRPr="00CC7854">
              <w:t xml:space="preserve"> </w:t>
            </w:r>
          </w:p>
          <w:p w14:paraId="51386704" w14:textId="4642EFD2" w:rsidR="00CC7854" w:rsidRPr="00CC7854" w:rsidRDefault="000D1443" w:rsidP="00CC7854">
            <w:pPr>
              <w:pStyle w:val="AATitle2"/>
            </w:pPr>
            <w:bookmarkStart w:id="7" w:name="CorNot1AgTitle"/>
            <w:r>
              <w:t>International cooperation and coordination</w:t>
            </w:r>
            <w:bookmarkEnd w:id="7"/>
          </w:p>
        </w:tc>
        <w:tc>
          <w:tcPr>
            <w:tcW w:w="4762" w:type="dxa"/>
            <w:shd w:val="clear" w:color="auto" w:fill="auto"/>
          </w:tcPr>
          <w:p w14:paraId="7BD4DF43" w14:textId="77777777" w:rsidR="00CC7854" w:rsidRPr="00CC7854" w:rsidRDefault="00CC7854" w:rsidP="00CC7854">
            <w:pPr>
              <w:pStyle w:val="Normal-pool"/>
            </w:pPr>
          </w:p>
        </w:tc>
      </w:tr>
    </w:tbl>
    <w:p w14:paraId="5561497C" w14:textId="2E978824" w:rsidR="000D1443" w:rsidRPr="00B03EBA" w:rsidRDefault="000D1443" w:rsidP="00B03EBA">
      <w:pPr>
        <w:pStyle w:val="BBTitle"/>
      </w:pPr>
      <w:r w:rsidRPr="00B03EBA">
        <w:t xml:space="preserve">Report on the </w:t>
      </w:r>
      <w:r w:rsidR="001C5532">
        <w:t xml:space="preserve">mercury-related </w:t>
      </w:r>
      <w:r w:rsidRPr="00B03EBA">
        <w:t>activities of relevant</w:t>
      </w:r>
      <w:r w:rsidR="001C5532">
        <w:t xml:space="preserve"> </w:t>
      </w:r>
      <w:r w:rsidRPr="00B03EBA">
        <w:t>international bodies</w:t>
      </w:r>
      <w:r w:rsidR="006F0246" w:rsidRPr="006F0246">
        <w:rPr>
          <w:rStyle w:val="FootnoteReference"/>
          <w:sz w:val="28"/>
          <w:szCs w:val="28"/>
          <w:vertAlign w:val="baseline"/>
        </w:rPr>
        <w:footnoteReference w:customMarkFollows="1" w:id="3"/>
        <w:t>**</w:t>
      </w:r>
    </w:p>
    <w:p w14:paraId="104D025A" w14:textId="77777777" w:rsidR="000D1443" w:rsidRPr="00B03EBA" w:rsidRDefault="000D1443" w:rsidP="00B03EBA">
      <w:pPr>
        <w:pStyle w:val="CH2"/>
      </w:pPr>
      <w:r w:rsidRPr="00B03EBA">
        <w:tab/>
      </w:r>
      <w:r w:rsidRPr="00B03EBA">
        <w:tab/>
        <w:t>Note by the secretariat</w:t>
      </w:r>
    </w:p>
    <w:p w14:paraId="755FE42D" w14:textId="070DEA8C" w:rsidR="000D1443" w:rsidRPr="00B03EBA" w:rsidRDefault="000D1443" w:rsidP="00184B89">
      <w:pPr>
        <w:pStyle w:val="Normalnumber"/>
        <w:numPr>
          <w:ilvl w:val="0"/>
          <w:numId w:val="35"/>
        </w:numPr>
        <w:tabs>
          <w:tab w:val="num" w:pos="624"/>
        </w:tabs>
        <w:ind w:left="1247" w:firstLine="0"/>
      </w:pPr>
      <w:r w:rsidRPr="00B03EBA">
        <w:t xml:space="preserve">In </w:t>
      </w:r>
      <w:r w:rsidRPr="00A068F8">
        <w:rPr>
          <w:lang w:val="en-GB"/>
        </w:rPr>
        <w:t>paragraph</w:t>
      </w:r>
      <w:r w:rsidRPr="00B03EBA">
        <w:t xml:space="preserve"> 2 (c) of article 24</w:t>
      </w:r>
      <w:r w:rsidR="00C071D1">
        <w:t xml:space="preserve"> of</w:t>
      </w:r>
      <w:r w:rsidRPr="00B03EBA">
        <w:t xml:space="preserve"> the Minamata Convention on Mercury</w:t>
      </w:r>
      <w:r w:rsidR="00C071D1">
        <w:t>, the Convention</w:t>
      </w:r>
      <w:r w:rsidRPr="00B03EBA">
        <w:t xml:space="preserve"> includes among the functions of </w:t>
      </w:r>
      <w:r w:rsidR="00C071D1">
        <w:t>its</w:t>
      </w:r>
      <w:r w:rsidRPr="00B03EBA">
        <w:t xml:space="preserve"> secretariat the function of </w:t>
      </w:r>
      <w:r w:rsidRPr="0029361E">
        <w:rPr>
          <w:lang w:val="en-GB"/>
        </w:rPr>
        <w:t>coordination</w:t>
      </w:r>
      <w:r w:rsidRPr="00B03EBA">
        <w:t xml:space="preserve">, as appropriate, with the secretariats of relevant international bodies, particularly other chemicals and waste conventions. </w:t>
      </w:r>
    </w:p>
    <w:p w14:paraId="7AC17600" w14:textId="4B1D9504" w:rsidR="000D1443" w:rsidRPr="00DD5BA0" w:rsidRDefault="000D1443" w:rsidP="00184B89">
      <w:pPr>
        <w:pStyle w:val="Normalnumber"/>
        <w:numPr>
          <w:ilvl w:val="0"/>
          <w:numId w:val="35"/>
        </w:numPr>
        <w:tabs>
          <w:tab w:val="num" w:pos="624"/>
        </w:tabs>
        <w:ind w:left="1247" w:firstLine="0"/>
      </w:pPr>
      <w:r>
        <w:t>Since the entry into force of the Convention on 16 August 2017, numerous international entities have engaged in mercury-</w:t>
      </w:r>
      <w:r w:rsidRPr="00184B89">
        <w:rPr>
          <w:lang w:val="en-GB"/>
        </w:rPr>
        <w:t>related</w:t>
      </w:r>
      <w:r>
        <w:t xml:space="preserve"> activities. </w:t>
      </w:r>
      <w:proofErr w:type="gramStart"/>
      <w:r>
        <w:t>In order to</w:t>
      </w:r>
      <w:proofErr w:type="gramEnd"/>
      <w:r>
        <w:t xml:space="preserve"> bring those efforts to the attention of the Conference of the </w:t>
      </w:r>
      <w:r w:rsidRPr="00DD5BA0">
        <w:t xml:space="preserve">Parties, the secretariat invited those entities to submit reports on their activities for consideration by the Conference of the Parties. The reports are set out in the annexes to the present note, as follows: </w:t>
      </w:r>
      <w:commentRangeStart w:id="8"/>
      <w:commentRangeStart w:id="9"/>
      <w:r w:rsidR="004828E8" w:rsidRPr="00DD5BA0">
        <w:t xml:space="preserve">the report of the United Nation Development Programme </w:t>
      </w:r>
      <w:r w:rsidR="008B2FDA">
        <w:t xml:space="preserve">(UNDP) </w:t>
      </w:r>
      <w:r w:rsidR="00255548" w:rsidRPr="00DD5BA0">
        <w:t xml:space="preserve">(annex I), </w:t>
      </w:r>
      <w:r w:rsidRPr="00DD5BA0">
        <w:t xml:space="preserve">the </w:t>
      </w:r>
      <w:r w:rsidR="00792270" w:rsidRPr="00DD5BA0">
        <w:t xml:space="preserve">report of the </w:t>
      </w:r>
      <w:r w:rsidRPr="00DD5BA0">
        <w:t xml:space="preserve">secretariat of the </w:t>
      </w:r>
      <w:r w:rsidR="00B93984" w:rsidRPr="00DD5BA0">
        <w:t xml:space="preserve">Aarhus Convention, its Protocol on Pollutant Release and Transfer Registers (PRTRs) </w:t>
      </w:r>
      <w:r w:rsidRPr="00DD5BA0">
        <w:t xml:space="preserve">(annex II), the </w:t>
      </w:r>
      <w:r w:rsidR="00CB2902" w:rsidRPr="00DD5BA0">
        <w:t xml:space="preserve">report of the </w:t>
      </w:r>
      <w:r w:rsidRPr="00DD5BA0">
        <w:t xml:space="preserve">Secretariat of the </w:t>
      </w:r>
      <w:r w:rsidR="00DD5BA0" w:rsidRPr="00DD5BA0">
        <w:t>UNECE Convention on Long-range Transboundary Air Pollution (CLRTAP or the Air Convention</w:t>
      </w:r>
      <w:r w:rsidR="008B2FDA">
        <w:t>)</w:t>
      </w:r>
      <w:r w:rsidR="00DD5BA0" w:rsidRPr="00DD5BA0">
        <w:t xml:space="preserve"> </w:t>
      </w:r>
      <w:r w:rsidRPr="00DD5BA0">
        <w:t>(annex I</w:t>
      </w:r>
      <w:r w:rsidR="00DD5BA0" w:rsidRPr="00DD5BA0">
        <w:t>II</w:t>
      </w:r>
      <w:r w:rsidRPr="00DD5BA0">
        <w:t>),</w:t>
      </w:r>
      <w:r w:rsidR="00DD5BA0" w:rsidRPr="00DD5BA0">
        <w:t xml:space="preserve"> </w:t>
      </w:r>
      <w:r w:rsidR="00DD5BA0" w:rsidRPr="00DD5BA0">
        <w:t>the report of the</w:t>
      </w:r>
      <w:r w:rsidRPr="00DD5BA0">
        <w:t xml:space="preserve"> </w:t>
      </w:r>
      <w:r w:rsidR="00DD5BA0" w:rsidRPr="00DD5BA0">
        <w:t>United Nations Children's Fund (UNICEF)</w:t>
      </w:r>
      <w:r w:rsidR="00DD5BA0" w:rsidRPr="00DD5BA0">
        <w:t xml:space="preserve"> (annex IV), </w:t>
      </w:r>
      <w:r w:rsidRPr="00DD5BA0">
        <w:t xml:space="preserve">and the </w:t>
      </w:r>
      <w:r w:rsidR="00CB2902" w:rsidRPr="00DD5BA0">
        <w:t xml:space="preserve">report of the </w:t>
      </w:r>
      <w:r w:rsidR="00DD5BA0" w:rsidRPr="00DD5BA0">
        <w:t>Inuit Circumpolar Council (ICC)</w:t>
      </w:r>
      <w:r w:rsidR="00DD5BA0" w:rsidRPr="00DD5BA0">
        <w:t xml:space="preserve"> </w:t>
      </w:r>
      <w:r w:rsidRPr="00DD5BA0">
        <w:t>(annex V).</w:t>
      </w:r>
      <w:commentRangeEnd w:id="8"/>
      <w:r w:rsidR="006F0246" w:rsidRPr="00DD5BA0">
        <w:rPr>
          <w:rStyle w:val="CommentReference"/>
        </w:rPr>
        <w:commentReference w:id="8"/>
      </w:r>
      <w:commentRangeEnd w:id="9"/>
      <w:r w:rsidRPr="00DD5BA0">
        <w:rPr>
          <w:rStyle w:val="CommentReference"/>
        </w:rPr>
        <w:commentReference w:id="9"/>
      </w:r>
      <w:r w:rsidRPr="00DD5BA0">
        <w:t xml:space="preserve"> The reports are presented as received, without formal editing.</w:t>
      </w:r>
    </w:p>
    <w:p w14:paraId="6AD8CE51" w14:textId="67E61804" w:rsidR="000D1443" w:rsidRDefault="000D1443" w:rsidP="00184B89">
      <w:pPr>
        <w:pStyle w:val="Normalnumber"/>
        <w:numPr>
          <w:ilvl w:val="0"/>
          <w:numId w:val="35"/>
        </w:numPr>
        <w:tabs>
          <w:tab w:val="num" w:pos="624"/>
        </w:tabs>
        <w:ind w:left="1247" w:firstLine="0"/>
      </w:pPr>
      <w:r w:rsidRPr="00DD5BA0">
        <w:t xml:space="preserve">The reports set out in the annexes to the present note should be read alongside a number of other reports, including the report of the </w:t>
      </w:r>
      <w:r w:rsidRPr="00DD5BA0">
        <w:rPr>
          <w:lang w:val="en-GB"/>
        </w:rPr>
        <w:t>Executive</w:t>
      </w:r>
      <w:r w:rsidRPr="00DD5BA0">
        <w:t xml:space="preserve"> Director of the United</w:t>
      </w:r>
      <w:r>
        <w:t xml:space="preserve"> Nations Environment Programme </w:t>
      </w:r>
      <w:r w:rsidR="005644DF">
        <w:t>to the Conference of the Parties</w:t>
      </w:r>
      <w:r w:rsidR="00F429B3">
        <w:t xml:space="preserve"> to the Minamata Convention on Mercury</w:t>
      </w:r>
      <w:r w:rsidR="005644DF">
        <w:t xml:space="preserve"> </w:t>
      </w:r>
      <w:r w:rsidR="00B50D83">
        <w:t xml:space="preserve">at its </w:t>
      </w:r>
      <w:r w:rsidR="00D975A6">
        <w:t>sixth</w:t>
      </w:r>
      <w:r w:rsidR="00B50D83">
        <w:t xml:space="preserve"> meeting </w:t>
      </w:r>
      <w:r>
        <w:t>(UNEP/MC/COP.</w:t>
      </w:r>
      <w:r w:rsidR="00D975A6">
        <w:t>6</w:t>
      </w:r>
      <w:r>
        <w:t>/INF/</w:t>
      </w:r>
      <w:r w:rsidR="00D975A6">
        <w:t>30</w:t>
      </w:r>
      <w:r>
        <w:t>), the report of the Council of the Global Environment Facility</w:t>
      </w:r>
      <w:r w:rsidR="00B50D83">
        <w:t xml:space="preserve"> to the Conference of the Parties to the Minamata Convention on Mercury at its</w:t>
      </w:r>
      <w:r w:rsidR="00D975A6">
        <w:t xml:space="preserve"> sixth </w:t>
      </w:r>
      <w:r w:rsidR="00B50D83">
        <w:t>meeting</w:t>
      </w:r>
      <w:r>
        <w:t xml:space="preserve"> (UNEP/MC/COP.</w:t>
      </w:r>
      <w:r w:rsidR="00D975A6">
        <w:t>6</w:t>
      </w:r>
      <w:r>
        <w:t>/INF/1</w:t>
      </w:r>
      <w:r w:rsidR="00D975A6">
        <w:t>3</w:t>
      </w:r>
      <w:r>
        <w:t xml:space="preserve">), the report </w:t>
      </w:r>
      <w:r w:rsidR="00F429B3">
        <w:t>on activities undertaken with</w:t>
      </w:r>
      <w:r w:rsidR="00126572">
        <w:t>in</w:t>
      </w:r>
      <w:r>
        <w:t xml:space="preserve"> the Global Mercury Partnership </w:t>
      </w:r>
      <w:r w:rsidR="00F429B3">
        <w:t xml:space="preserve">of the United Nations Environment Programme </w:t>
      </w:r>
      <w:r>
        <w:t>(UNEP/MC/COP.</w:t>
      </w:r>
      <w:r w:rsidR="00D975A6">
        <w:t>6</w:t>
      </w:r>
      <w:r>
        <w:t>/INF/</w:t>
      </w:r>
      <w:r w:rsidR="00D975A6">
        <w:t>33</w:t>
      </w:r>
      <w:r>
        <w:t>), the joint report on cooperation and coordination between the secretariats of the Minamata Convention on Mercury and of the Basel, Rotterdam and Stockholm conventions (UNEP/MC/COP.</w:t>
      </w:r>
      <w:r w:rsidR="00D975A6">
        <w:t>6</w:t>
      </w:r>
      <w:r>
        <w:t>/INF/</w:t>
      </w:r>
      <w:r w:rsidR="00D975A6">
        <w:t>29</w:t>
      </w:r>
      <w:r>
        <w:t xml:space="preserve">); the report of the World Health Organization and the International </w:t>
      </w:r>
      <w:proofErr w:type="spellStart"/>
      <w:r>
        <w:t>Labour</w:t>
      </w:r>
      <w:proofErr w:type="spellEnd"/>
      <w:r>
        <w:t xml:space="preserve"> Organization (UNEP/MC/COP.</w:t>
      </w:r>
      <w:r w:rsidR="00D975A6">
        <w:t>6</w:t>
      </w:r>
      <w:r>
        <w:t>/INF/</w:t>
      </w:r>
      <w:r w:rsidR="00D975A6">
        <w:t>31</w:t>
      </w:r>
      <w:r>
        <w:t xml:space="preserve">), the </w:t>
      </w:r>
      <w:r w:rsidR="00EF3521">
        <w:t xml:space="preserve">report on activities undertaken within the </w:t>
      </w:r>
      <w:r w:rsidR="006F0246" w:rsidRPr="006F0246">
        <w:t>Global Framework on Chemicals – for a Planet Free of Harm from Chemicals and Waste</w:t>
      </w:r>
      <w:r>
        <w:t xml:space="preserve"> (UNEP/MC/COP.</w:t>
      </w:r>
      <w:r w:rsidR="00D975A6">
        <w:t>6</w:t>
      </w:r>
      <w:r>
        <w:t>/INF/3</w:t>
      </w:r>
      <w:r w:rsidR="00D975A6">
        <w:t>4</w:t>
      </w:r>
      <w:r>
        <w:t>)</w:t>
      </w:r>
      <w:r w:rsidR="00D975A6">
        <w:t xml:space="preserve">, and </w:t>
      </w:r>
      <w:r w:rsidR="001F752F">
        <w:t>the u</w:t>
      </w:r>
      <w:r w:rsidR="001F752F" w:rsidRPr="001F752F">
        <w:t xml:space="preserve">pdate on the Intergovernmental Science-Policy Panel on Chemicals, Waste and Pollution </w:t>
      </w:r>
      <w:r w:rsidR="00D975A6">
        <w:t>(UNEP/MC/COP.6/INF/35)</w:t>
      </w:r>
      <w:r>
        <w:t>.</w:t>
      </w:r>
    </w:p>
    <w:p w14:paraId="1A6FDE0F" w14:textId="77777777" w:rsidR="000D1443" w:rsidRDefault="000D1443" w:rsidP="00E550CD">
      <w:pPr>
        <w:pStyle w:val="Normal-pool"/>
        <w:rPr>
          <w:sz w:val="18"/>
          <w:szCs w:val="18"/>
          <w:lang w:val="en-GB"/>
        </w:rPr>
      </w:pPr>
      <w:r>
        <w:br w:type="page"/>
      </w:r>
    </w:p>
    <w:p w14:paraId="2652732A" w14:textId="17C3B3AD" w:rsidR="00C904B1" w:rsidRPr="002464BA" w:rsidRDefault="00470EFE" w:rsidP="00470EFE">
      <w:pPr>
        <w:pStyle w:val="CH1"/>
        <w:rPr>
          <w:lang w:val="en-GB"/>
        </w:rPr>
      </w:pPr>
      <w:r w:rsidRPr="00424E6F">
        <w:rPr>
          <w:lang w:val="en-GB"/>
        </w:rPr>
        <w:lastRenderedPageBreak/>
        <w:tab/>
      </w:r>
      <w:r w:rsidR="00C904B1" w:rsidRPr="002464BA">
        <w:rPr>
          <w:lang w:val="en-GB"/>
        </w:rPr>
        <w:t>Annexes</w:t>
      </w:r>
    </w:p>
    <w:p w14:paraId="4CDCBFE2" w14:textId="77777777" w:rsidR="005141EA" w:rsidRPr="00650007" w:rsidRDefault="00C904B1" w:rsidP="00B93984">
      <w:pPr>
        <w:pStyle w:val="TOC1"/>
        <w:ind w:left="1191"/>
        <w:rPr>
          <w:rStyle w:val="Hyperlink"/>
          <w:b/>
          <w:bCs w:val="0"/>
          <w:noProof/>
          <w:color w:val="auto"/>
        </w:rPr>
      </w:pPr>
      <w:r w:rsidRPr="002405D9">
        <w:rPr>
          <w:b/>
          <w:bCs w:val="0"/>
          <w:lang w:val="fr-CH"/>
        </w:rPr>
        <w:fldChar w:fldCharType="begin"/>
      </w:r>
      <w:r w:rsidRPr="002405D9">
        <w:rPr>
          <w:b/>
          <w:bCs w:val="0"/>
          <w:lang w:val="en-GB"/>
        </w:rPr>
        <w:instrText xml:space="preserve"> TOC \h \z \t "ZZ_Anx_header,1,ZZ_Anx_title,2" </w:instrText>
      </w:r>
      <w:r w:rsidRPr="002405D9">
        <w:rPr>
          <w:b/>
          <w:bCs w:val="0"/>
          <w:lang w:val="fr-CH"/>
        </w:rPr>
        <w:fldChar w:fldCharType="separate"/>
      </w:r>
      <w:hyperlink w:anchor="_Toc207891621" w:history="1">
        <w:r w:rsidR="00305C70" w:rsidRPr="00650007">
          <w:rPr>
            <w:rStyle w:val="Hyperlink"/>
            <w:b/>
            <w:bCs w:val="0"/>
            <w:noProof/>
            <w:color w:val="auto"/>
          </w:rPr>
          <w:t>Annex I</w:t>
        </w:r>
      </w:hyperlink>
      <w:r w:rsidR="009248E6" w:rsidRPr="00650007">
        <w:rPr>
          <w:rStyle w:val="Hyperlink"/>
          <w:b/>
          <w:bCs w:val="0"/>
          <w:noProof/>
          <w:color w:val="auto"/>
        </w:rPr>
        <w:t>:</w:t>
      </w:r>
      <w:r w:rsidR="00710538" w:rsidRPr="00650007">
        <w:rPr>
          <w:rStyle w:val="Hyperlink"/>
          <w:b/>
          <w:bCs w:val="0"/>
          <w:noProof/>
          <w:color w:val="auto"/>
        </w:rPr>
        <w:t xml:space="preserve"> Submission </w:t>
      </w:r>
      <w:r w:rsidR="006B5106" w:rsidRPr="00650007">
        <w:rPr>
          <w:rStyle w:val="Hyperlink"/>
          <w:b/>
          <w:bCs w:val="0"/>
          <w:noProof/>
          <w:color w:val="auto"/>
        </w:rPr>
        <w:t>by the</w:t>
      </w:r>
      <w:r w:rsidR="00710538" w:rsidRPr="00650007">
        <w:rPr>
          <w:rStyle w:val="Hyperlink"/>
          <w:b/>
          <w:bCs w:val="0"/>
          <w:noProof/>
          <w:color w:val="auto"/>
        </w:rPr>
        <w:t xml:space="preserve"> </w:t>
      </w:r>
      <w:hyperlink w:anchor="_Toc207891622" w:history="1">
        <w:r w:rsidR="00305C70" w:rsidRPr="00650007">
          <w:rPr>
            <w:rStyle w:val="Hyperlink"/>
            <w:b/>
            <w:bCs w:val="0"/>
            <w:noProof/>
            <w:color w:val="auto"/>
          </w:rPr>
          <w:t>United Nations Development Programm</w:t>
        </w:r>
        <w:r w:rsidR="00710538" w:rsidRPr="00650007">
          <w:rPr>
            <w:rStyle w:val="Hyperlink"/>
            <w:b/>
            <w:bCs w:val="0"/>
            <w:noProof/>
            <w:color w:val="auto"/>
          </w:rPr>
          <w:t>e</w:t>
        </w:r>
        <w:r w:rsidR="00710538" w:rsidRPr="00650007">
          <w:rPr>
            <w:rStyle w:val="Hyperlink"/>
            <w:b/>
            <w:bCs w:val="0"/>
            <w:noProof/>
            <w:color w:val="auto"/>
          </w:rPr>
          <w:tab/>
        </w:r>
        <w:r w:rsidR="00305C70" w:rsidRPr="00650007">
          <w:rPr>
            <w:b/>
            <w:bCs w:val="0"/>
            <w:noProof/>
            <w:webHidden/>
          </w:rPr>
          <w:fldChar w:fldCharType="begin"/>
        </w:r>
        <w:r w:rsidR="00305C70" w:rsidRPr="00650007">
          <w:rPr>
            <w:b/>
            <w:bCs w:val="0"/>
            <w:noProof/>
            <w:webHidden/>
          </w:rPr>
          <w:instrText xml:space="preserve"> PAGEREF _Toc207891622 \h </w:instrText>
        </w:r>
        <w:r w:rsidR="00305C70" w:rsidRPr="00650007">
          <w:rPr>
            <w:b/>
            <w:bCs w:val="0"/>
            <w:noProof/>
            <w:webHidden/>
          </w:rPr>
        </w:r>
        <w:r w:rsidR="00305C70" w:rsidRPr="00650007">
          <w:rPr>
            <w:b/>
            <w:bCs w:val="0"/>
            <w:noProof/>
            <w:webHidden/>
          </w:rPr>
          <w:fldChar w:fldCharType="separate"/>
        </w:r>
        <w:r w:rsidR="00305C70" w:rsidRPr="00650007">
          <w:rPr>
            <w:b/>
            <w:bCs w:val="0"/>
            <w:noProof/>
            <w:webHidden/>
          </w:rPr>
          <w:t>3</w:t>
        </w:r>
        <w:r w:rsidR="00305C70" w:rsidRPr="00650007">
          <w:rPr>
            <w:b/>
            <w:bCs w:val="0"/>
            <w:noProof/>
            <w:webHidden/>
          </w:rPr>
          <w:fldChar w:fldCharType="end"/>
        </w:r>
      </w:hyperlink>
    </w:p>
    <w:p w14:paraId="3A3655A4" w14:textId="345201F3" w:rsidR="00305C70" w:rsidRPr="00650007" w:rsidRDefault="00305C70" w:rsidP="00B93984">
      <w:pPr>
        <w:pStyle w:val="TOC1"/>
        <w:ind w:left="1191"/>
        <w:rPr>
          <w:rFonts w:asciiTheme="minorHAnsi" w:eastAsiaTheme="minorEastAsia" w:hAnsiTheme="minorHAnsi" w:cstheme="minorBidi"/>
          <w:b/>
          <w:bCs w:val="0"/>
          <w:noProof/>
          <w:kern w:val="2"/>
          <w:sz w:val="24"/>
          <w:szCs w:val="24"/>
          <w:lang w:val="en-GB" w:eastAsia="zh-CN"/>
          <w14:ligatures w14:val="standardContextual"/>
        </w:rPr>
      </w:pPr>
      <w:hyperlink w:anchor="_Toc207891623" w:history="1">
        <w:r w:rsidRPr="00650007">
          <w:rPr>
            <w:rStyle w:val="Hyperlink"/>
            <w:b/>
            <w:bCs w:val="0"/>
            <w:noProof/>
            <w:color w:val="auto"/>
          </w:rPr>
          <w:t>Annex II</w:t>
        </w:r>
        <w:r w:rsidR="002405D9" w:rsidRPr="00650007">
          <w:rPr>
            <w:rStyle w:val="Hyperlink"/>
            <w:b/>
            <w:bCs w:val="0"/>
            <w:noProof/>
            <w:color w:val="auto"/>
          </w:rPr>
          <w:t xml:space="preserve">: </w:t>
        </w:r>
        <w:r w:rsidR="00710538" w:rsidRPr="00650007">
          <w:rPr>
            <w:rStyle w:val="Hyperlink"/>
            <w:b/>
            <w:bCs w:val="0"/>
            <w:noProof/>
            <w:color w:val="auto"/>
          </w:rPr>
          <w:t xml:space="preserve">Submisson </w:t>
        </w:r>
        <w:r w:rsidR="006B5106" w:rsidRPr="00650007">
          <w:rPr>
            <w:rStyle w:val="Hyperlink"/>
            <w:b/>
            <w:bCs w:val="0"/>
            <w:noProof/>
            <w:color w:val="auto"/>
          </w:rPr>
          <w:t>by</w:t>
        </w:r>
        <w:r w:rsidR="00710538" w:rsidRPr="00650007">
          <w:rPr>
            <w:rStyle w:val="Hyperlink"/>
            <w:b/>
            <w:bCs w:val="0"/>
            <w:noProof/>
            <w:color w:val="auto"/>
          </w:rPr>
          <w:t xml:space="preserve"> </w:t>
        </w:r>
        <w:r w:rsidR="002405D9" w:rsidRPr="00650007">
          <w:rPr>
            <w:rStyle w:val="Hyperlink"/>
            <w:b/>
            <w:bCs w:val="0"/>
            <w:noProof/>
            <w:color w:val="auto"/>
          </w:rPr>
          <w:t>the Aarhus Convention</w:t>
        </w:r>
        <w:r w:rsidRPr="00650007">
          <w:rPr>
            <w:b/>
            <w:bCs w:val="0"/>
            <w:noProof/>
            <w:webHidden/>
          </w:rPr>
          <w:tab/>
        </w:r>
        <w:r w:rsidRPr="00650007">
          <w:rPr>
            <w:b/>
            <w:bCs w:val="0"/>
            <w:noProof/>
            <w:webHidden/>
          </w:rPr>
          <w:fldChar w:fldCharType="begin"/>
        </w:r>
        <w:r w:rsidRPr="00650007">
          <w:rPr>
            <w:b/>
            <w:bCs w:val="0"/>
            <w:noProof/>
            <w:webHidden/>
          </w:rPr>
          <w:instrText xml:space="preserve"> PAGEREF _Toc207891623 \h </w:instrText>
        </w:r>
        <w:r w:rsidRPr="00650007">
          <w:rPr>
            <w:b/>
            <w:bCs w:val="0"/>
            <w:noProof/>
            <w:webHidden/>
          </w:rPr>
        </w:r>
        <w:r w:rsidRPr="00650007">
          <w:rPr>
            <w:b/>
            <w:bCs w:val="0"/>
            <w:noProof/>
            <w:webHidden/>
          </w:rPr>
          <w:fldChar w:fldCharType="separate"/>
        </w:r>
        <w:r w:rsidRPr="00650007">
          <w:rPr>
            <w:b/>
            <w:bCs w:val="0"/>
            <w:noProof/>
            <w:webHidden/>
          </w:rPr>
          <w:t>8</w:t>
        </w:r>
        <w:r w:rsidRPr="00650007">
          <w:rPr>
            <w:b/>
            <w:bCs w:val="0"/>
            <w:noProof/>
            <w:webHidden/>
          </w:rPr>
          <w:fldChar w:fldCharType="end"/>
        </w:r>
      </w:hyperlink>
    </w:p>
    <w:p w14:paraId="518042A7" w14:textId="194EAC42" w:rsidR="00305C70" w:rsidRPr="00650007" w:rsidRDefault="00305C70" w:rsidP="00B93984">
      <w:pPr>
        <w:pStyle w:val="TOC1"/>
        <w:ind w:left="1191"/>
        <w:rPr>
          <w:rFonts w:asciiTheme="minorHAnsi" w:eastAsiaTheme="minorEastAsia" w:hAnsiTheme="minorHAnsi" w:cstheme="minorBidi"/>
          <w:b/>
          <w:bCs w:val="0"/>
          <w:noProof/>
          <w:kern w:val="2"/>
          <w:sz w:val="24"/>
          <w:szCs w:val="24"/>
          <w:lang w:val="en-GB" w:eastAsia="zh-CN"/>
          <w14:ligatures w14:val="standardContextual"/>
        </w:rPr>
      </w:pPr>
      <w:hyperlink w:anchor="_Toc207891624" w:history="1">
        <w:r w:rsidRPr="00650007">
          <w:rPr>
            <w:rStyle w:val="Hyperlink"/>
            <w:b/>
            <w:bCs w:val="0"/>
            <w:noProof/>
            <w:color w:val="auto"/>
          </w:rPr>
          <w:t>Annex III</w:t>
        </w:r>
        <w:r w:rsidR="00240576" w:rsidRPr="00650007">
          <w:rPr>
            <w:rStyle w:val="Hyperlink"/>
            <w:b/>
            <w:bCs w:val="0"/>
            <w:noProof/>
            <w:color w:val="auto"/>
          </w:rPr>
          <w:t xml:space="preserve">: Submission </w:t>
        </w:r>
        <w:r w:rsidR="006B5106" w:rsidRPr="00650007">
          <w:rPr>
            <w:rStyle w:val="Hyperlink"/>
            <w:b/>
            <w:bCs w:val="0"/>
            <w:noProof/>
            <w:color w:val="auto"/>
          </w:rPr>
          <w:t>by</w:t>
        </w:r>
        <w:r w:rsidR="00240576" w:rsidRPr="00650007">
          <w:rPr>
            <w:rStyle w:val="Hyperlink"/>
            <w:b/>
            <w:bCs w:val="0"/>
            <w:noProof/>
            <w:color w:val="auto"/>
          </w:rPr>
          <w:t xml:space="preserve"> </w:t>
        </w:r>
        <w:r w:rsidR="001F0D7A" w:rsidRPr="00650007">
          <w:rPr>
            <w:rStyle w:val="Hyperlink"/>
            <w:b/>
            <w:bCs w:val="0"/>
            <w:noProof/>
            <w:color w:val="auto"/>
          </w:rPr>
          <w:t xml:space="preserve">the </w:t>
        </w:r>
        <w:r w:rsidR="001F0D7A" w:rsidRPr="00650007">
          <w:rPr>
            <w:b/>
            <w:bCs w:val="0"/>
          </w:rPr>
          <w:t>UNECE Convention on Long-range Transboundary Air Pollution</w:t>
        </w:r>
        <w:r w:rsidR="001F0D7A" w:rsidRPr="00650007">
          <w:rPr>
            <w:b/>
            <w:bCs w:val="0"/>
            <w:noProof/>
            <w:webHidden/>
          </w:rPr>
          <w:tab/>
        </w:r>
        <w:r w:rsidRPr="00650007">
          <w:rPr>
            <w:b/>
            <w:bCs w:val="0"/>
            <w:noProof/>
            <w:webHidden/>
          </w:rPr>
          <w:fldChar w:fldCharType="begin"/>
        </w:r>
        <w:r w:rsidRPr="00650007">
          <w:rPr>
            <w:b/>
            <w:bCs w:val="0"/>
            <w:noProof/>
            <w:webHidden/>
          </w:rPr>
          <w:instrText xml:space="preserve"> PAGEREF _Toc207891624 \h </w:instrText>
        </w:r>
        <w:r w:rsidRPr="00650007">
          <w:rPr>
            <w:b/>
            <w:bCs w:val="0"/>
            <w:noProof/>
            <w:webHidden/>
          </w:rPr>
        </w:r>
        <w:r w:rsidRPr="00650007">
          <w:rPr>
            <w:b/>
            <w:bCs w:val="0"/>
            <w:noProof/>
            <w:webHidden/>
          </w:rPr>
          <w:fldChar w:fldCharType="separate"/>
        </w:r>
        <w:r w:rsidRPr="00650007">
          <w:rPr>
            <w:b/>
            <w:bCs w:val="0"/>
            <w:noProof/>
            <w:webHidden/>
          </w:rPr>
          <w:t>11</w:t>
        </w:r>
        <w:r w:rsidRPr="00650007">
          <w:rPr>
            <w:b/>
            <w:bCs w:val="0"/>
            <w:noProof/>
            <w:webHidden/>
          </w:rPr>
          <w:fldChar w:fldCharType="end"/>
        </w:r>
      </w:hyperlink>
    </w:p>
    <w:p w14:paraId="4089E4D9" w14:textId="3FF5CB09" w:rsidR="00305C70" w:rsidRPr="00650007" w:rsidRDefault="00305C70" w:rsidP="00B93984">
      <w:pPr>
        <w:pStyle w:val="TOC1"/>
        <w:ind w:left="1191"/>
        <w:rPr>
          <w:rFonts w:asciiTheme="minorHAnsi" w:eastAsiaTheme="minorEastAsia" w:hAnsiTheme="minorHAnsi" w:cstheme="minorBidi"/>
          <w:b/>
          <w:bCs w:val="0"/>
          <w:noProof/>
          <w:kern w:val="2"/>
          <w:sz w:val="24"/>
          <w:szCs w:val="24"/>
          <w:lang w:val="en-GB" w:eastAsia="zh-CN"/>
          <w14:ligatures w14:val="standardContextual"/>
        </w:rPr>
      </w:pPr>
      <w:hyperlink w:anchor="_Toc207891625" w:history="1">
        <w:r w:rsidRPr="00650007">
          <w:rPr>
            <w:rStyle w:val="Hyperlink"/>
            <w:b/>
            <w:bCs w:val="0"/>
            <w:noProof/>
            <w:color w:val="auto"/>
          </w:rPr>
          <w:t>Annex IV</w:t>
        </w:r>
        <w:r w:rsidR="00240576" w:rsidRPr="00650007">
          <w:rPr>
            <w:rStyle w:val="Hyperlink"/>
            <w:b/>
            <w:bCs w:val="0"/>
            <w:noProof/>
            <w:color w:val="auto"/>
          </w:rPr>
          <w:t xml:space="preserve">: Submission </w:t>
        </w:r>
        <w:r w:rsidR="006B5106" w:rsidRPr="00650007">
          <w:rPr>
            <w:rStyle w:val="Hyperlink"/>
            <w:b/>
            <w:bCs w:val="0"/>
            <w:noProof/>
            <w:color w:val="auto"/>
          </w:rPr>
          <w:t>by</w:t>
        </w:r>
        <w:r w:rsidR="00240576" w:rsidRPr="00650007">
          <w:rPr>
            <w:rStyle w:val="Hyperlink"/>
            <w:b/>
            <w:bCs w:val="0"/>
            <w:noProof/>
            <w:color w:val="auto"/>
          </w:rPr>
          <w:t xml:space="preserve"> </w:t>
        </w:r>
        <w:r w:rsidR="001F0D7A" w:rsidRPr="00650007">
          <w:rPr>
            <w:rStyle w:val="Hyperlink"/>
            <w:b/>
            <w:bCs w:val="0"/>
            <w:noProof/>
            <w:color w:val="auto"/>
          </w:rPr>
          <w:t>the United Nations Children's Fund (UNICEF)</w:t>
        </w:r>
        <w:r w:rsidRPr="00650007">
          <w:rPr>
            <w:b/>
            <w:bCs w:val="0"/>
            <w:noProof/>
            <w:webHidden/>
          </w:rPr>
          <w:tab/>
        </w:r>
        <w:r w:rsidRPr="00650007">
          <w:rPr>
            <w:b/>
            <w:bCs w:val="0"/>
            <w:noProof/>
            <w:webHidden/>
          </w:rPr>
          <w:fldChar w:fldCharType="begin"/>
        </w:r>
        <w:r w:rsidRPr="00650007">
          <w:rPr>
            <w:b/>
            <w:bCs w:val="0"/>
            <w:noProof/>
            <w:webHidden/>
          </w:rPr>
          <w:instrText xml:space="preserve"> PAGEREF _Toc207891625 \h </w:instrText>
        </w:r>
        <w:r w:rsidRPr="00650007">
          <w:rPr>
            <w:b/>
            <w:bCs w:val="0"/>
            <w:noProof/>
            <w:webHidden/>
          </w:rPr>
        </w:r>
        <w:r w:rsidRPr="00650007">
          <w:rPr>
            <w:b/>
            <w:bCs w:val="0"/>
            <w:noProof/>
            <w:webHidden/>
          </w:rPr>
          <w:fldChar w:fldCharType="separate"/>
        </w:r>
        <w:r w:rsidRPr="00650007">
          <w:rPr>
            <w:b/>
            <w:bCs w:val="0"/>
            <w:noProof/>
            <w:webHidden/>
          </w:rPr>
          <w:t>12</w:t>
        </w:r>
        <w:r w:rsidRPr="00650007">
          <w:rPr>
            <w:b/>
            <w:bCs w:val="0"/>
            <w:noProof/>
            <w:webHidden/>
          </w:rPr>
          <w:fldChar w:fldCharType="end"/>
        </w:r>
      </w:hyperlink>
    </w:p>
    <w:p w14:paraId="051D2D0E" w14:textId="41666ED5" w:rsidR="00305C70" w:rsidRPr="002405D9" w:rsidRDefault="00305C70" w:rsidP="00B93984">
      <w:pPr>
        <w:pStyle w:val="TOC1"/>
        <w:ind w:left="1191"/>
        <w:rPr>
          <w:rFonts w:asciiTheme="minorHAnsi" w:eastAsiaTheme="minorEastAsia" w:hAnsiTheme="minorHAnsi" w:cstheme="minorBidi"/>
          <w:b/>
          <w:bCs w:val="0"/>
          <w:noProof/>
          <w:kern w:val="2"/>
          <w:sz w:val="24"/>
          <w:szCs w:val="24"/>
          <w:lang w:val="en-GB" w:eastAsia="zh-CN"/>
          <w14:ligatures w14:val="standardContextual"/>
        </w:rPr>
      </w:pPr>
      <w:hyperlink w:anchor="_Toc207891626" w:history="1">
        <w:r w:rsidRPr="00650007">
          <w:rPr>
            <w:rStyle w:val="Hyperlink"/>
            <w:b/>
            <w:bCs w:val="0"/>
            <w:noProof/>
            <w:color w:val="auto"/>
          </w:rPr>
          <w:t>Annex V</w:t>
        </w:r>
        <w:r w:rsidR="00240576" w:rsidRPr="00650007">
          <w:rPr>
            <w:rStyle w:val="Hyperlink"/>
            <w:b/>
            <w:bCs w:val="0"/>
            <w:noProof/>
            <w:color w:val="auto"/>
          </w:rPr>
          <w:t xml:space="preserve">: </w:t>
        </w:r>
        <w:r w:rsidR="006B5106" w:rsidRPr="00650007">
          <w:rPr>
            <w:rStyle w:val="Hyperlink"/>
            <w:b/>
            <w:bCs w:val="0"/>
            <w:noProof/>
            <w:color w:val="auto"/>
          </w:rPr>
          <w:t>Submission by the Inuit Circumpolar Council (ICC)</w:t>
        </w:r>
        <w:r w:rsidRPr="00650007">
          <w:rPr>
            <w:b/>
            <w:bCs w:val="0"/>
            <w:noProof/>
            <w:webHidden/>
          </w:rPr>
          <w:tab/>
        </w:r>
        <w:r w:rsidRPr="00650007">
          <w:rPr>
            <w:b/>
            <w:bCs w:val="0"/>
            <w:noProof/>
            <w:webHidden/>
          </w:rPr>
          <w:fldChar w:fldCharType="begin"/>
        </w:r>
        <w:r w:rsidRPr="00650007">
          <w:rPr>
            <w:b/>
            <w:bCs w:val="0"/>
            <w:noProof/>
            <w:webHidden/>
          </w:rPr>
          <w:instrText xml:space="preserve"> PAGEREF _Toc207891626 \h </w:instrText>
        </w:r>
        <w:r w:rsidRPr="00650007">
          <w:rPr>
            <w:b/>
            <w:bCs w:val="0"/>
            <w:noProof/>
            <w:webHidden/>
          </w:rPr>
        </w:r>
        <w:r w:rsidRPr="00650007">
          <w:rPr>
            <w:b/>
            <w:bCs w:val="0"/>
            <w:noProof/>
            <w:webHidden/>
          </w:rPr>
          <w:fldChar w:fldCharType="separate"/>
        </w:r>
        <w:r w:rsidRPr="00650007">
          <w:rPr>
            <w:b/>
            <w:bCs w:val="0"/>
            <w:noProof/>
            <w:webHidden/>
          </w:rPr>
          <w:t>14</w:t>
        </w:r>
        <w:r w:rsidRPr="00650007">
          <w:rPr>
            <w:b/>
            <w:bCs w:val="0"/>
            <w:noProof/>
            <w:webHidden/>
          </w:rPr>
          <w:fldChar w:fldCharType="end"/>
        </w:r>
      </w:hyperlink>
    </w:p>
    <w:p w14:paraId="0B63AE28" w14:textId="4B562BDB" w:rsidR="009F3530" w:rsidRPr="007E185D" w:rsidRDefault="00C904B1" w:rsidP="009F3530">
      <w:pPr>
        <w:pStyle w:val="Normal-pool"/>
        <w:tabs>
          <w:tab w:val="right" w:leader="dot" w:pos="9497"/>
        </w:tabs>
        <w:rPr>
          <w:lang w:val="fr-CH"/>
        </w:rPr>
      </w:pPr>
      <w:r w:rsidRPr="002405D9">
        <w:rPr>
          <w:b/>
          <w:lang w:val="fr-CH"/>
        </w:rPr>
        <w:fldChar w:fldCharType="end"/>
      </w:r>
      <w:r w:rsidR="009F3530" w:rsidRPr="007E185D">
        <w:rPr>
          <w:lang w:val="fr-CH"/>
        </w:rPr>
        <w:br w:type="page"/>
      </w:r>
    </w:p>
    <w:p w14:paraId="17285B17" w14:textId="7449F9CC" w:rsidR="000D1443" w:rsidRPr="00B03EBA" w:rsidRDefault="000D1443" w:rsidP="00F8100A">
      <w:pPr>
        <w:pStyle w:val="ZZAnxheader"/>
      </w:pPr>
      <w:bookmarkStart w:id="10" w:name="_Toc144133034"/>
      <w:bookmarkStart w:id="11" w:name="_Toc144293204"/>
      <w:bookmarkStart w:id="12" w:name="_Toc147247968"/>
      <w:bookmarkStart w:id="13" w:name="_Toc207891621"/>
      <w:r w:rsidRPr="00B03EBA">
        <w:lastRenderedPageBreak/>
        <w:t>Annex I</w:t>
      </w:r>
      <w:bookmarkEnd w:id="10"/>
      <w:bookmarkEnd w:id="11"/>
      <w:bookmarkEnd w:id="12"/>
      <w:bookmarkEnd w:id="13"/>
    </w:p>
    <w:p w14:paraId="023B3F07" w14:textId="676606D1" w:rsidR="000D1443" w:rsidRPr="00484F4B" w:rsidRDefault="009D4F97" w:rsidP="00B03EBA">
      <w:pPr>
        <w:pStyle w:val="ZZAnxtitle"/>
      </w:pPr>
      <w:bookmarkStart w:id="14" w:name="_Toc207891622"/>
      <w:bookmarkStart w:id="15" w:name="IWC"/>
      <w:r w:rsidRPr="009D4F97">
        <w:t>U</w:t>
      </w:r>
      <w:r w:rsidR="006C6387">
        <w:t>nited Nations Development Programme</w:t>
      </w:r>
      <w:r w:rsidRPr="009D4F97">
        <w:t xml:space="preserve"> and the Minamata Convention on Mercury</w:t>
      </w:r>
      <w:bookmarkEnd w:id="14"/>
    </w:p>
    <w:bookmarkEnd w:id="15"/>
    <w:p w14:paraId="5B6046B6" w14:textId="37EE76D9" w:rsidR="002E7F62" w:rsidRDefault="002E7F62" w:rsidP="002E7F62">
      <w:pPr>
        <w:pStyle w:val="NormalNonumber"/>
        <w:numPr>
          <w:ilvl w:val="0"/>
          <w:numId w:val="22"/>
        </w:numPr>
        <w:ind w:left="1247" w:firstLine="0"/>
      </w:pPr>
      <w:r>
        <w:t xml:space="preserve">UNDP has been active </w:t>
      </w:r>
      <w:proofErr w:type="gramStart"/>
      <w:r>
        <w:t>in the area of</w:t>
      </w:r>
      <w:proofErr w:type="gramEnd"/>
      <w:r>
        <w:t xml:space="preserve"> supporting countries’ mercury reduction efforts since the 1970s, when it administered the UN Revolving Fund for Natural Resources Exploration (UNRFNRE) from 1975 to 1995 and implemented a number of artisanal and small-scale gold mining (ASGM) projects financed by the revolving fund.</w:t>
      </w:r>
    </w:p>
    <w:p w14:paraId="1785AAE2" w14:textId="77777777" w:rsidR="002E7F62" w:rsidRDefault="002E7F62" w:rsidP="002E7F62">
      <w:pPr>
        <w:pStyle w:val="NormalNonumber"/>
        <w:numPr>
          <w:ilvl w:val="0"/>
          <w:numId w:val="22"/>
        </w:numPr>
        <w:ind w:left="1247" w:firstLine="0"/>
      </w:pPr>
      <w:r>
        <w:t xml:space="preserve">UNDP has continued assisting developing countries and countries with economies in transition in their efforts to reduce the use and release of mercury with the financial support of the Global Environment Facility (GEF). Such efforts have mainly focused on the extractives sector, by supporting the phase-out of mercury used in mining to extract gold, and on the health sector, where UNDP supports the phase-out of mercury-containing medical devices and the reduction of mercury emissions. </w:t>
      </w:r>
    </w:p>
    <w:p w14:paraId="7DF94FC1" w14:textId="77777777" w:rsidR="002E7F62" w:rsidRDefault="002E7F62" w:rsidP="002E7F62">
      <w:pPr>
        <w:pStyle w:val="NormalNonumber"/>
        <w:numPr>
          <w:ilvl w:val="0"/>
          <w:numId w:val="22"/>
        </w:numPr>
        <w:ind w:left="1247" w:firstLine="0"/>
      </w:pPr>
      <w:r>
        <w:t xml:space="preserve">To assist </w:t>
      </w:r>
      <w:proofErr w:type="gramStart"/>
      <w:r>
        <w:t>countries</w:t>
      </w:r>
      <w:proofErr w:type="gramEnd"/>
      <w:r>
        <w:t xml:space="preserve"> meet their commitments under the Minamata Convention and reduce releases of mercury from various sectors and release sources, UNDP supports countries in: </w:t>
      </w:r>
    </w:p>
    <w:p w14:paraId="60758D08" w14:textId="77777777" w:rsidR="002E7F62" w:rsidRDefault="002E7F62" w:rsidP="00A7547E">
      <w:pPr>
        <w:pStyle w:val="Normalnumber"/>
        <w:numPr>
          <w:ilvl w:val="1"/>
          <w:numId w:val="22"/>
        </w:numPr>
        <w:tabs>
          <w:tab w:val="num" w:pos="624"/>
        </w:tabs>
        <w:ind w:left="1247" w:firstLine="624"/>
      </w:pPr>
      <w:r w:rsidRPr="00A7547E">
        <w:rPr>
          <w:lang w:val="en-GB"/>
        </w:rPr>
        <w:t>Conducting</w:t>
      </w:r>
      <w:r>
        <w:t xml:space="preserve"> Minamata Initial Assessment (MIA) activities and ASGM National Action Plans (NAPs). </w:t>
      </w:r>
    </w:p>
    <w:p w14:paraId="18B057BB" w14:textId="77777777" w:rsidR="002E7F62" w:rsidRDefault="002E7F62" w:rsidP="00EA2431">
      <w:pPr>
        <w:pStyle w:val="Normalnumber"/>
        <w:numPr>
          <w:ilvl w:val="1"/>
          <w:numId w:val="22"/>
        </w:numPr>
        <w:tabs>
          <w:tab w:val="num" w:pos="624"/>
        </w:tabs>
        <w:ind w:left="1247" w:firstLine="624"/>
      </w:pPr>
      <w:r>
        <w:t xml:space="preserve">Reducing emissions of mercury and mercury compounds to the atmosphere from point sources (e.g. coal-fired industrial boilers, incinerators, smelting and roasting processes used in the production/recycling of non-ferrous metals). </w:t>
      </w:r>
    </w:p>
    <w:p w14:paraId="40226305" w14:textId="77777777" w:rsidR="002E7F62" w:rsidRDefault="002E7F62" w:rsidP="00EA2431">
      <w:pPr>
        <w:pStyle w:val="Normalnumber"/>
        <w:numPr>
          <w:ilvl w:val="1"/>
          <w:numId w:val="22"/>
        </w:numPr>
        <w:tabs>
          <w:tab w:val="num" w:pos="624"/>
        </w:tabs>
        <w:ind w:left="1247" w:firstLine="624"/>
      </w:pPr>
      <w:r>
        <w:t>Phasing out mercury-containing products in the healthcare sector (e.g. thermometers, blood pressure meters, dental amalgam, etc.).</w:t>
      </w:r>
    </w:p>
    <w:p w14:paraId="023D989A" w14:textId="77777777" w:rsidR="002E7F62" w:rsidRDefault="002E7F62" w:rsidP="00EA2431">
      <w:pPr>
        <w:pStyle w:val="Normalnumber"/>
        <w:numPr>
          <w:ilvl w:val="1"/>
          <w:numId w:val="22"/>
        </w:numPr>
        <w:tabs>
          <w:tab w:val="num" w:pos="624"/>
        </w:tabs>
        <w:ind w:left="1247" w:firstLine="624"/>
      </w:pPr>
      <w:r>
        <w:t>Lifecycle management (LCM) of mercury, mercury-containing products and wastes (including treatment and storage).</w:t>
      </w:r>
    </w:p>
    <w:p w14:paraId="101400FF" w14:textId="77777777" w:rsidR="002E7F62" w:rsidRDefault="002E7F62" w:rsidP="00EA2431">
      <w:pPr>
        <w:pStyle w:val="Normalnumber"/>
        <w:numPr>
          <w:ilvl w:val="1"/>
          <w:numId w:val="22"/>
        </w:numPr>
        <w:tabs>
          <w:tab w:val="num" w:pos="624"/>
        </w:tabs>
        <w:ind w:left="1247" w:firstLine="624"/>
      </w:pPr>
      <w:r>
        <w:t xml:space="preserve">Reducing and eliminating the use of mercury in </w:t>
      </w:r>
      <w:proofErr w:type="gramStart"/>
      <w:r>
        <w:t>ASGM, and</w:t>
      </w:r>
      <w:proofErr w:type="gramEnd"/>
      <w:r>
        <w:t xml:space="preserve"> minimizing mercury releases to the environment from mining and processing. </w:t>
      </w:r>
    </w:p>
    <w:p w14:paraId="6A770131" w14:textId="1BC93628" w:rsidR="002E7F62" w:rsidRDefault="002E7F62" w:rsidP="002E7F62">
      <w:pPr>
        <w:pStyle w:val="NormalNonumber"/>
        <w:numPr>
          <w:ilvl w:val="0"/>
          <w:numId w:val="22"/>
        </w:numPr>
        <w:ind w:left="1247" w:firstLine="0"/>
      </w:pPr>
      <w:r>
        <w:t xml:space="preserve">UNDP has provided, or is providing support, to a total of 42 countries to implement mercury-related projects through national, regional and global projects. UNDP’s activities are underpinned by a social and environmental safeguards framework, which includes an assessment of their impact on the human rights of the communities they serve. UNDP’s total mercury portfolio amounts to US$ 178 million in GEF grants (see Table 1 and Table 2). </w:t>
      </w:r>
    </w:p>
    <w:p w14:paraId="72759B60" w14:textId="77777777" w:rsidR="002E7F62" w:rsidRDefault="002E7F62" w:rsidP="002E7F62">
      <w:pPr>
        <w:pStyle w:val="NormalNonumber"/>
        <w:numPr>
          <w:ilvl w:val="0"/>
          <w:numId w:val="22"/>
        </w:numPr>
        <w:ind w:left="1247" w:firstLine="0"/>
      </w:pPr>
      <w:r w:rsidRPr="0262FCC2">
        <w:t xml:space="preserve">UNDP, with GEF grants and often in partnership with WHO and the international NGO, Healthcare Without Harm (HCWH), has </w:t>
      </w:r>
      <w:r>
        <w:t xml:space="preserve">either supported or has </w:t>
      </w:r>
      <w:r w:rsidRPr="0262FCC2">
        <w:t>been supporting 27 countries</w:t>
      </w:r>
      <w:r>
        <w:t>,</w:t>
      </w:r>
      <w:r w:rsidRPr="0262FCC2">
        <w:t xml:space="preserve"> in phasing-out mercury-containing medical devices, introducing cost-effective alternatives, improving the management of mercury-containing wastes, preparing awareness raising materials on the dangers of mercury, preparing guidance materials, and conducting training on the use of alternatives and on mercury spill management. This has helped protect the health of thousands who work in the healthcare sector (the majority of whom are women) as well as the protection of the environment from toxic mercury releases.</w:t>
      </w:r>
    </w:p>
    <w:p w14:paraId="24D6A544" w14:textId="0FD80D21" w:rsidR="002E7F62" w:rsidRDefault="002E7F62" w:rsidP="002E7F62">
      <w:pPr>
        <w:pStyle w:val="NormalNonumber"/>
        <w:numPr>
          <w:ilvl w:val="0"/>
          <w:numId w:val="22"/>
        </w:numPr>
        <w:ind w:left="1247" w:firstLine="0"/>
      </w:pPr>
      <w:r>
        <w:t>UNDP is also participating in the “</w:t>
      </w:r>
      <w:proofErr w:type="spellStart"/>
      <w:r>
        <w:t>PlanetGOLD</w:t>
      </w:r>
      <w:proofErr w:type="spellEnd"/>
      <w:r>
        <w:t xml:space="preserve"> Programme”, which is a programmatic approach led by the UN Environment Programme (UNEP) to tackle the use of mercury in the ASGM sector. As the lead implementing agency for eight countries (Colombia, Ecuador, Ghana, Honduras, Indonesia, Kenya, Peru, and Suriname), UNDP aims to develop and connect responsible ASGM producers to international markets through transparent supply chains. Another key objective is to increase the access of small-scale miners and their communities to investment and finance for social and </w:t>
      </w:r>
      <w:proofErr w:type="gramStart"/>
      <w:r>
        <w:t>environmentally-friendly</w:t>
      </w:r>
      <w:proofErr w:type="gramEnd"/>
      <w:r>
        <w:t xml:space="preserve"> practices. Direct funding from the GEF for these eight countries is US$38.4 million, with co-financing from governments, sustainable finance institutions and the private sector. The Indonesia project was the first UNDP </w:t>
      </w:r>
      <w:proofErr w:type="spellStart"/>
      <w:r>
        <w:t>planetGOLD</w:t>
      </w:r>
      <w:proofErr w:type="spellEnd"/>
      <w:r>
        <w:t xml:space="preserve"> project completed in 2023, and the project supported the production of 2.23 </w:t>
      </w:r>
      <w:proofErr w:type="spellStart"/>
      <w:r>
        <w:t>tonnes</w:t>
      </w:r>
      <w:proofErr w:type="spellEnd"/>
      <w:r>
        <w:t xml:space="preserve"> of mercury-free gold and the formalization of 17 miner groups and 2 miners’ cooperatives. The Peru project was completed in 2024 and achieved several of its goals, including the prevention of 17 tons of mercury from being released into the environment and the production of 1,609 kg of mercury-free gold. The Colombia Project operationalized t</w:t>
      </w:r>
      <w:r w:rsidRPr="00A441E6">
        <w:rPr>
          <w:lang w:val="en-GB"/>
        </w:rPr>
        <w:t>wo gender-focused financial mechanisms to support mercury-free mining, with USD 8.5 million available.</w:t>
      </w:r>
      <w:r>
        <w:rPr>
          <w:lang w:val="en-GB"/>
        </w:rPr>
        <w:t xml:space="preserve"> C</w:t>
      </w:r>
      <w:r w:rsidRPr="00A441E6">
        <w:rPr>
          <w:lang w:val="en-GB"/>
        </w:rPr>
        <w:t>ommunity-led funds benefited most women</w:t>
      </w:r>
      <w:r>
        <w:rPr>
          <w:lang w:val="en-GB"/>
        </w:rPr>
        <w:t>.</w:t>
      </w:r>
    </w:p>
    <w:p w14:paraId="598EF10D" w14:textId="77777777" w:rsidR="002E7F62" w:rsidRDefault="002E7F62" w:rsidP="002E7F62">
      <w:pPr>
        <w:pStyle w:val="NormalNonumber"/>
        <w:numPr>
          <w:ilvl w:val="0"/>
          <w:numId w:val="22"/>
        </w:numPr>
        <w:ind w:left="1247" w:firstLine="0"/>
      </w:pPr>
      <w:r>
        <w:lastRenderedPageBreak/>
        <w:t>An important recent GEF approval includes the</w:t>
      </w:r>
      <w:r w:rsidRPr="00B357ED">
        <w:t xml:space="preserve"> </w:t>
      </w:r>
      <w:r>
        <w:t>“</w:t>
      </w:r>
      <w:r w:rsidRPr="00B357ED">
        <w:t>Global Elimination of Mercury in Non-ferrous Metals Initiative (GEMINI)</w:t>
      </w:r>
      <w:r>
        <w:t>”</w:t>
      </w:r>
      <w:r w:rsidRPr="00B357ED">
        <w:t>,</w:t>
      </w:r>
      <w:r>
        <w:t xml:space="preserve"> where</w:t>
      </w:r>
      <w:r w:rsidRPr="00B357ED">
        <w:t xml:space="preserve"> UNDP will collaborate with the UN Environment Programme (UNEP) and UN Industrial Development Organization (UNIDO) to support six countries to eliminate mercury emissions from the non-ferrous metals industry reducing mercury emissions by 37.48 metric </w:t>
      </w:r>
      <w:proofErr w:type="spellStart"/>
      <w:r w:rsidRPr="00B357ED">
        <w:t>tonnes</w:t>
      </w:r>
      <w:proofErr w:type="spellEnd"/>
      <w:r w:rsidRPr="00B357ED">
        <w:t xml:space="preserve">. </w:t>
      </w:r>
      <w:r>
        <w:t xml:space="preserve">As the lead implementing agency, </w:t>
      </w:r>
      <w:r w:rsidRPr="00B357ED">
        <w:t xml:space="preserve">UNDP will support the governments of India and Mexico to reduce an expected 24 metric </w:t>
      </w:r>
      <w:proofErr w:type="spellStart"/>
      <w:r w:rsidRPr="00B357ED">
        <w:t>tonnes</w:t>
      </w:r>
      <w:proofErr w:type="spellEnd"/>
      <w:r w:rsidRPr="00B357ED">
        <w:t xml:space="preserve"> of mercury pollution across both countries.</w:t>
      </w:r>
    </w:p>
    <w:p w14:paraId="5BC26746" w14:textId="77777777" w:rsidR="002E7F62" w:rsidRDefault="002E7F62" w:rsidP="002E7F62">
      <w:pPr>
        <w:pStyle w:val="NormalNonumber"/>
        <w:numPr>
          <w:ilvl w:val="0"/>
          <w:numId w:val="22"/>
        </w:numPr>
        <w:ind w:left="1247" w:firstLine="0"/>
      </w:pPr>
      <w:r>
        <w:t>UNDP’s key approaches to assisting countries to advance the sound management of mercury include:</w:t>
      </w:r>
    </w:p>
    <w:p w14:paraId="4C00C351" w14:textId="501D7E63" w:rsidR="002E7F62" w:rsidRDefault="002E7F62" w:rsidP="00EA2431">
      <w:pPr>
        <w:pStyle w:val="Normalnumber"/>
        <w:numPr>
          <w:ilvl w:val="1"/>
          <w:numId w:val="22"/>
        </w:numPr>
        <w:tabs>
          <w:tab w:val="num" w:pos="624"/>
        </w:tabs>
        <w:ind w:left="1247" w:firstLine="624"/>
      </w:pPr>
      <w:r>
        <w:t xml:space="preserve">Advocacy and Awareness Raising </w:t>
      </w:r>
      <w:r w:rsidR="008476F8">
        <w:t>–</w:t>
      </w:r>
      <w:r>
        <w:t xml:space="preserve"> Campaigning</w:t>
      </w:r>
      <w:r w:rsidR="008476F8">
        <w:t xml:space="preserve"> </w:t>
      </w:r>
      <w:r>
        <w:t>among stakeholders, decision-makers and population groups at risk on the importance of mercury reduction, phase-out and its management.</w:t>
      </w:r>
    </w:p>
    <w:p w14:paraId="5451E0ED" w14:textId="77777777" w:rsidR="002E7F62" w:rsidRDefault="002E7F62" w:rsidP="00EA2431">
      <w:pPr>
        <w:pStyle w:val="Normalnumber"/>
        <w:numPr>
          <w:ilvl w:val="1"/>
          <w:numId w:val="22"/>
        </w:numPr>
        <w:tabs>
          <w:tab w:val="num" w:pos="624"/>
        </w:tabs>
        <w:ind w:left="1247" w:firstLine="624"/>
      </w:pPr>
      <w:r>
        <w:t>Capacity Building – Identification of innovative and successful practices; policy, regulatory and institutional enhancements to help countries put in place mercury management systems; identification of financing needs and options; application of lessons learned and experiences from other countries; and development and application of guidelines and tools to facilitate the management and monitoring of mercury.</w:t>
      </w:r>
    </w:p>
    <w:p w14:paraId="642ED084" w14:textId="77777777" w:rsidR="002E7F62" w:rsidRDefault="002E7F62" w:rsidP="00EA2431">
      <w:pPr>
        <w:pStyle w:val="Normalnumber"/>
        <w:numPr>
          <w:ilvl w:val="1"/>
          <w:numId w:val="22"/>
        </w:numPr>
        <w:tabs>
          <w:tab w:val="num" w:pos="624"/>
        </w:tabs>
        <w:ind w:left="1247" w:firstLine="624"/>
      </w:pPr>
      <w:r>
        <w:t>Technical Assistance – Supporting countries in identifying and introducing Best Environmental Practices (BEP) and Best Available Technologies (BAT), along with customized training for their use and application, which have proven successful elsewhere and will help address national challenges and constraints with regards to the sound management of mercury.</w:t>
      </w:r>
    </w:p>
    <w:p w14:paraId="6D67E8B8" w14:textId="1B4BFD6B" w:rsidR="002E7F62" w:rsidRDefault="002E7F62" w:rsidP="00EA2431">
      <w:pPr>
        <w:pStyle w:val="Normalnumber"/>
        <w:numPr>
          <w:ilvl w:val="1"/>
          <w:numId w:val="22"/>
        </w:numPr>
        <w:tabs>
          <w:tab w:val="num" w:pos="624"/>
        </w:tabs>
        <w:ind w:left="1247" w:firstLine="624"/>
      </w:pPr>
      <w:r>
        <w:t>Monitoring – Assisting countries to assess their situation relating to mercury and tracking their progress towards reducing its use and releases.</w:t>
      </w:r>
    </w:p>
    <w:p w14:paraId="4657C385" w14:textId="1EF2A3EF" w:rsidR="002E7F62" w:rsidRDefault="002E7F62" w:rsidP="002E7F62">
      <w:pPr>
        <w:sectPr w:rsidR="002E7F62" w:rsidSect="002E7F62">
          <w:headerReference w:type="even" r:id="rId17"/>
          <w:headerReference w:type="default" r:id="rId18"/>
          <w:footerReference w:type="even" r:id="rId19"/>
          <w:footerReference w:type="default" r:id="rId20"/>
          <w:footerReference w:type="first" r:id="rId21"/>
          <w:pgSz w:w="11906" w:h="16838" w:code="9"/>
          <w:pgMar w:top="907" w:right="992" w:bottom="1418" w:left="1418" w:header="539" w:footer="975" w:gutter="0"/>
          <w:cols w:space="539"/>
          <w:titlePg/>
          <w:docGrid w:linePitch="360"/>
        </w:sectPr>
      </w:pPr>
    </w:p>
    <w:p w14:paraId="2FF495B7" w14:textId="77777777" w:rsidR="002E7F62" w:rsidRPr="00BA45E5" w:rsidRDefault="002E7F62" w:rsidP="00A844C0">
      <w:pPr>
        <w:spacing w:before="240" w:after="120"/>
        <w:rPr>
          <w:b/>
          <w:bCs/>
        </w:rPr>
      </w:pPr>
      <w:r w:rsidRPr="00EA2431">
        <w:lastRenderedPageBreak/>
        <w:t>Table 1:</w:t>
      </w:r>
      <w:r>
        <w:rPr>
          <w:b/>
          <w:bCs/>
        </w:rPr>
        <w:t xml:space="preserve"> </w:t>
      </w:r>
      <w:r w:rsidRPr="00BA45E5">
        <w:rPr>
          <w:b/>
          <w:bCs/>
        </w:rPr>
        <w:t>UNDP’s Mercury Portfolio</w:t>
      </w:r>
    </w:p>
    <w:tbl>
      <w:tblPr>
        <w:tblW w:w="14317" w:type="dxa"/>
        <w:tblInd w:w="-5" w:type="dxa"/>
        <w:tblLook w:val="04A0" w:firstRow="1" w:lastRow="0" w:firstColumn="1" w:lastColumn="0" w:noHBand="0" w:noVBand="1"/>
      </w:tblPr>
      <w:tblGrid>
        <w:gridCol w:w="2410"/>
        <w:gridCol w:w="5245"/>
        <w:gridCol w:w="1417"/>
        <w:gridCol w:w="1701"/>
        <w:gridCol w:w="1276"/>
        <w:gridCol w:w="2268"/>
      </w:tblGrid>
      <w:tr w:rsidR="00A844C0" w:rsidRPr="00EA2431" w14:paraId="2C5B820E" w14:textId="77777777" w:rsidTr="009248E6">
        <w:trPr>
          <w:trHeight w:val="530"/>
          <w:tblHead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ED0E" w14:textId="77777777"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sz w:val="18"/>
                <w:szCs w:val="18"/>
              </w:rPr>
              <w:br w:type="page"/>
            </w:r>
            <w:r w:rsidRPr="00EA2431">
              <w:rPr>
                <w:rFonts w:asciiTheme="majorBidi" w:hAnsiTheme="majorBidi" w:cstheme="majorBidi"/>
                <w:b/>
                <w:bCs/>
                <w:color w:val="000000"/>
                <w:sz w:val="18"/>
                <w:szCs w:val="18"/>
              </w:rPr>
              <w:t>Country</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0B41DD5" w14:textId="77777777"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b/>
                <w:bCs/>
                <w:color w:val="000000"/>
                <w:sz w:val="18"/>
                <w:szCs w:val="18"/>
              </w:rPr>
              <w:t>Project Title</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E955DD" w14:textId="0A11802C"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b/>
                <w:bCs/>
                <w:color w:val="000000"/>
                <w:sz w:val="18"/>
                <w:szCs w:val="18"/>
              </w:rPr>
              <w:t xml:space="preserve">GEF Grant*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8FBED4" w14:textId="77777777"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b/>
                <w:bCs/>
                <w:color w:val="000000"/>
                <w:sz w:val="18"/>
                <w:szCs w:val="18"/>
              </w:rPr>
              <w:t>Status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987FB1" w14:textId="77777777"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b/>
                <w:bCs/>
                <w:color w:val="000000"/>
                <w:sz w:val="18"/>
                <w:szCs w:val="18"/>
              </w:rPr>
              <w:t>Expected Closing Date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677760" w14:textId="77777777" w:rsidR="002E7F62" w:rsidRPr="00EA2431" w:rsidRDefault="002E7F62" w:rsidP="004C5A0A">
            <w:pPr>
              <w:spacing w:after="60"/>
              <w:rPr>
                <w:rFonts w:asciiTheme="majorBidi" w:hAnsiTheme="majorBidi" w:cstheme="majorBidi"/>
                <w:b/>
                <w:bCs/>
                <w:color w:val="000000"/>
                <w:sz w:val="18"/>
                <w:szCs w:val="18"/>
              </w:rPr>
            </w:pPr>
            <w:r w:rsidRPr="00EA2431">
              <w:rPr>
                <w:rFonts w:asciiTheme="majorBidi" w:hAnsiTheme="majorBidi" w:cstheme="majorBidi"/>
                <w:b/>
                <w:bCs/>
                <w:color w:val="000000"/>
                <w:sz w:val="18"/>
                <w:szCs w:val="18"/>
              </w:rPr>
              <w:t>Mercury Targets (MT)</w:t>
            </w:r>
          </w:p>
        </w:tc>
      </w:tr>
      <w:tr w:rsidR="00A844C0" w:rsidRPr="00EA2431" w14:paraId="5855AFE1"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D99274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Argentina</w:t>
            </w:r>
          </w:p>
        </w:tc>
        <w:tc>
          <w:tcPr>
            <w:tcW w:w="5245" w:type="dxa"/>
            <w:tcBorders>
              <w:top w:val="nil"/>
              <w:left w:val="nil"/>
              <w:bottom w:val="single" w:sz="4" w:space="0" w:color="auto"/>
              <w:right w:val="single" w:sz="4" w:space="0" w:color="auto"/>
            </w:tcBorders>
            <w:shd w:val="clear" w:color="auto" w:fill="auto"/>
            <w:vAlign w:val="center"/>
            <w:hideMark/>
          </w:tcPr>
          <w:p w14:paraId="0785BB7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Environmentally Sound Management of POPs, Mercury and other Hazardous Chemicals in Argentina</w:t>
            </w:r>
          </w:p>
        </w:tc>
        <w:tc>
          <w:tcPr>
            <w:tcW w:w="1417" w:type="dxa"/>
            <w:tcBorders>
              <w:top w:val="nil"/>
              <w:left w:val="nil"/>
              <w:bottom w:val="single" w:sz="4" w:space="0" w:color="auto"/>
              <w:right w:val="single" w:sz="4" w:space="0" w:color="auto"/>
            </w:tcBorders>
            <w:shd w:val="clear" w:color="auto" w:fill="auto"/>
            <w:noWrap/>
            <w:vAlign w:val="center"/>
            <w:hideMark/>
          </w:tcPr>
          <w:p w14:paraId="3075C628" w14:textId="1B8A1DC2"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8,930,250 </w:t>
            </w:r>
          </w:p>
        </w:tc>
        <w:tc>
          <w:tcPr>
            <w:tcW w:w="1701" w:type="dxa"/>
            <w:tcBorders>
              <w:top w:val="nil"/>
              <w:left w:val="nil"/>
              <w:bottom w:val="single" w:sz="4" w:space="0" w:color="auto"/>
              <w:right w:val="single" w:sz="4" w:space="0" w:color="auto"/>
            </w:tcBorders>
            <w:shd w:val="clear" w:color="auto" w:fill="auto"/>
            <w:noWrap/>
            <w:vAlign w:val="center"/>
            <w:hideMark/>
          </w:tcPr>
          <w:p w14:paraId="313FC50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76763E82"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Aug-26</w:t>
            </w:r>
          </w:p>
        </w:tc>
        <w:tc>
          <w:tcPr>
            <w:tcW w:w="2268" w:type="dxa"/>
            <w:tcBorders>
              <w:top w:val="nil"/>
              <w:left w:val="nil"/>
              <w:bottom w:val="single" w:sz="4" w:space="0" w:color="auto"/>
              <w:right w:val="single" w:sz="4" w:space="0" w:color="auto"/>
            </w:tcBorders>
            <w:shd w:val="clear" w:color="auto" w:fill="auto"/>
            <w:noWrap/>
            <w:vAlign w:val="center"/>
            <w:hideMark/>
          </w:tcPr>
          <w:p w14:paraId="3148FE6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350 MT of mercury contaminated waste eliminated</w:t>
            </w:r>
          </w:p>
        </w:tc>
      </w:tr>
      <w:tr w:rsidR="00A844C0" w:rsidRPr="00EA2431" w14:paraId="4239A981" w14:textId="77777777" w:rsidTr="009248E6">
        <w:trPr>
          <w:trHeight w:val="5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A49367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China</w:t>
            </w:r>
          </w:p>
        </w:tc>
        <w:tc>
          <w:tcPr>
            <w:tcW w:w="5245" w:type="dxa"/>
            <w:tcBorders>
              <w:top w:val="nil"/>
              <w:left w:val="nil"/>
              <w:bottom w:val="single" w:sz="4" w:space="0" w:color="auto"/>
              <w:right w:val="single" w:sz="4" w:space="0" w:color="auto"/>
            </w:tcBorders>
            <w:shd w:val="clear" w:color="auto" w:fill="auto"/>
            <w:vAlign w:val="center"/>
            <w:hideMark/>
          </w:tcPr>
          <w:p w14:paraId="15BC148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Demonstration of production phase-out of mercury-containing medical thermometers and sphygmomanometers and promoting the application of mercury-free alternatives in medical facilities in China</w:t>
            </w:r>
          </w:p>
        </w:tc>
        <w:tc>
          <w:tcPr>
            <w:tcW w:w="1417" w:type="dxa"/>
            <w:tcBorders>
              <w:top w:val="nil"/>
              <w:left w:val="nil"/>
              <w:bottom w:val="single" w:sz="4" w:space="0" w:color="auto"/>
              <w:right w:val="single" w:sz="4" w:space="0" w:color="auto"/>
            </w:tcBorders>
            <w:shd w:val="clear" w:color="auto" w:fill="auto"/>
            <w:noWrap/>
            <w:vAlign w:val="center"/>
            <w:hideMark/>
          </w:tcPr>
          <w:p w14:paraId="6B6C64F1" w14:textId="7221E42D"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$ 16,000,000 </w:t>
            </w:r>
          </w:p>
        </w:tc>
        <w:tc>
          <w:tcPr>
            <w:tcW w:w="1701" w:type="dxa"/>
            <w:tcBorders>
              <w:top w:val="nil"/>
              <w:left w:val="nil"/>
              <w:bottom w:val="single" w:sz="4" w:space="0" w:color="auto"/>
              <w:right w:val="single" w:sz="4" w:space="0" w:color="auto"/>
            </w:tcBorders>
            <w:shd w:val="clear" w:color="auto" w:fill="auto"/>
            <w:noWrap/>
            <w:vAlign w:val="center"/>
            <w:hideMark/>
          </w:tcPr>
          <w:p w14:paraId="386972F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406BC8C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Aug-27</w:t>
            </w:r>
          </w:p>
        </w:tc>
        <w:tc>
          <w:tcPr>
            <w:tcW w:w="2268" w:type="dxa"/>
            <w:tcBorders>
              <w:top w:val="nil"/>
              <w:left w:val="nil"/>
              <w:bottom w:val="single" w:sz="4" w:space="0" w:color="auto"/>
              <w:right w:val="single" w:sz="4" w:space="0" w:color="auto"/>
            </w:tcBorders>
            <w:shd w:val="clear" w:color="auto" w:fill="auto"/>
            <w:noWrap/>
            <w:vAlign w:val="center"/>
            <w:hideMark/>
          </w:tcPr>
          <w:p w14:paraId="0202D88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75</w:t>
            </w:r>
          </w:p>
        </w:tc>
      </w:tr>
      <w:tr w:rsidR="00A844C0" w:rsidRPr="00EA2431" w14:paraId="0228BEDA"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9289A60"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Colombia</w:t>
            </w:r>
          </w:p>
        </w:tc>
        <w:tc>
          <w:tcPr>
            <w:tcW w:w="5245" w:type="dxa"/>
            <w:tcBorders>
              <w:top w:val="nil"/>
              <w:left w:val="nil"/>
              <w:bottom w:val="single" w:sz="4" w:space="0" w:color="auto"/>
              <w:right w:val="single" w:sz="4" w:space="0" w:color="auto"/>
            </w:tcBorders>
            <w:shd w:val="clear" w:color="auto" w:fill="auto"/>
            <w:vAlign w:val="center"/>
            <w:hideMark/>
          </w:tcPr>
          <w:p w14:paraId="65B71D8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Reducing UPOPs and mercury releases from healthcare waste management, e-waste treatment, scrap processing and biomass burning.</w:t>
            </w:r>
          </w:p>
        </w:tc>
        <w:tc>
          <w:tcPr>
            <w:tcW w:w="1417" w:type="dxa"/>
            <w:tcBorders>
              <w:top w:val="nil"/>
              <w:left w:val="nil"/>
              <w:bottom w:val="single" w:sz="4" w:space="0" w:color="auto"/>
              <w:right w:val="single" w:sz="4" w:space="0" w:color="auto"/>
            </w:tcBorders>
            <w:shd w:val="clear" w:color="auto" w:fill="auto"/>
            <w:noWrap/>
            <w:vAlign w:val="center"/>
            <w:hideMark/>
          </w:tcPr>
          <w:p w14:paraId="3CF5B1C5" w14:textId="7E563B45"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5,800,000 </w:t>
            </w:r>
          </w:p>
        </w:tc>
        <w:tc>
          <w:tcPr>
            <w:tcW w:w="1701" w:type="dxa"/>
            <w:tcBorders>
              <w:top w:val="nil"/>
              <w:left w:val="nil"/>
              <w:bottom w:val="single" w:sz="4" w:space="0" w:color="auto"/>
              <w:right w:val="single" w:sz="4" w:space="0" w:color="auto"/>
            </w:tcBorders>
            <w:shd w:val="clear" w:color="auto" w:fill="auto"/>
            <w:noWrap/>
            <w:vAlign w:val="center"/>
            <w:hideMark/>
          </w:tcPr>
          <w:p w14:paraId="38B19C9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Operational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10D15EB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4B2C6B9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0.3</w:t>
            </w:r>
          </w:p>
        </w:tc>
      </w:tr>
      <w:tr w:rsidR="00A844C0" w:rsidRPr="00EA2431" w14:paraId="1D79A37B"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02E64B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Ecuador</w:t>
            </w:r>
          </w:p>
        </w:tc>
        <w:tc>
          <w:tcPr>
            <w:tcW w:w="5245" w:type="dxa"/>
            <w:tcBorders>
              <w:top w:val="nil"/>
              <w:left w:val="nil"/>
              <w:bottom w:val="single" w:sz="4" w:space="0" w:color="auto"/>
              <w:right w:val="single" w:sz="4" w:space="0" w:color="auto"/>
            </w:tcBorders>
            <w:shd w:val="clear" w:color="auto" w:fill="auto"/>
            <w:vAlign w:val="center"/>
            <w:hideMark/>
          </w:tcPr>
          <w:p w14:paraId="3EDBCC0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National Programme for the environmental Sound Management and Life cycle management of Chemical substances</w:t>
            </w:r>
          </w:p>
        </w:tc>
        <w:tc>
          <w:tcPr>
            <w:tcW w:w="1417" w:type="dxa"/>
            <w:tcBorders>
              <w:top w:val="nil"/>
              <w:left w:val="nil"/>
              <w:bottom w:val="single" w:sz="4" w:space="0" w:color="auto"/>
              <w:right w:val="single" w:sz="4" w:space="0" w:color="auto"/>
            </w:tcBorders>
            <w:shd w:val="clear" w:color="auto" w:fill="auto"/>
            <w:noWrap/>
            <w:vAlign w:val="center"/>
            <w:hideMark/>
          </w:tcPr>
          <w:p w14:paraId="112F14D1" w14:textId="7A8A41D8"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8,490,000 </w:t>
            </w:r>
          </w:p>
        </w:tc>
        <w:tc>
          <w:tcPr>
            <w:tcW w:w="1701" w:type="dxa"/>
            <w:tcBorders>
              <w:top w:val="nil"/>
              <w:left w:val="nil"/>
              <w:bottom w:val="single" w:sz="4" w:space="0" w:color="auto"/>
              <w:right w:val="single" w:sz="4" w:space="0" w:color="auto"/>
            </w:tcBorders>
            <w:shd w:val="clear" w:color="auto" w:fill="auto"/>
            <w:noWrap/>
            <w:vAlign w:val="center"/>
            <w:hideMark/>
          </w:tcPr>
          <w:p w14:paraId="563E5B7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314786E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200FE96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2</w:t>
            </w:r>
          </w:p>
        </w:tc>
      </w:tr>
      <w:tr w:rsidR="00A844C0" w:rsidRPr="00EA2431" w14:paraId="795B0C90"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E816CB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Egypt</w:t>
            </w:r>
          </w:p>
        </w:tc>
        <w:tc>
          <w:tcPr>
            <w:tcW w:w="5245" w:type="dxa"/>
            <w:tcBorders>
              <w:top w:val="nil"/>
              <w:left w:val="nil"/>
              <w:bottom w:val="single" w:sz="4" w:space="0" w:color="auto"/>
              <w:right w:val="single" w:sz="4" w:space="0" w:color="auto"/>
            </w:tcBorders>
            <w:shd w:val="clear" w:color="auto" w:fill="auto"/>
            <w:vAlign w:val="center"/>
            <w:hideMark/>
          </w:tcPr>
          <w:p w14:paraId="263489D0"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Protect human health and the environment from unintentional releases of POPs originating from incineration and open burning of health care- and electronic-waste.</w:t>
            </w:r>
          </w:p>
        </w:tc>
        <w:tc>
          <w:tcPr>
            <w:tcW w:w="1417" w:type="dxa"/>
            <w:tcBorders>
              <w:top w:val="nil"/>
              <w:left w:val="nil"/>
              <w:bottom w:val="single" w:sz="4" w:space="0" w:color="auto"/>
              <w:right w:val="single" w:sz="4" w:space="0" w:color="auto"/>
            </w:tcBorders>
            <w:shd w:val="clear" w:color="auto" w:fill="auto"/>
            <w:noWrap/>
            <w:vAlign w:val="center"/>
            <w:hideMark/>
          </w:tcPr>
          <w:p w14:paraId="4897C887" w14:textId="51098439"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4,100,000 </w:t>
            </w:r>
          </w:p>
        </w:tc>
        <w:tc>
          <w:tcPr>
            <w:tcW w:w="1701" w:type="dxa"/>
            <w:tcBorders>
              <w:top w:val="nil"/>
              <w:left w:val="nil"/>
              <w:bottom w:val="single" w:sz="4" w:space="0" w:color="auto"/>
              <w:right w:val="single" w:sz="4" w:space="0" w:color="auto"/>
            </w:tcBorders>
            <w:shd w:val="clear" w:color="auto" w:fill="auto"/>
            <w:noWrap/>
            <w:vAlign w:val="center"/>
            <w:hideMark/>
          </w:tcPr>
          <w:p w14:paraId="01F4C65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26692B7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2BB5D28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NA</w:t>
            </w:r>
          </w:p>
        </w:tc>
      </w:tr>
      <w:tr w:rsidR="00A844C0" w:rsidRPr="00EA2431" w14:paraId="6AD7E197"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4FDE9F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Eswatini</w:t>
            </w:r>
          </w:p>
        </w:tc>
        <w:tc>
          <w:tcPr>
            <w:tcW w:w="5245" w:type="dxa"/>
            <w:tcBorders>
              <w:top w:val="nil"/>
              <w:left w:val="nil"/>
              <w:bottom w:val="single" w:sz="4" w:space="0" w:color="auto"/>
              <w:right w:val="single" w:sz="4" w:space="0" w:color="auto"/>
            </w:tcBorders>
            <w:shd w:val="clear" w:color="auto" w:fill="auto"/>
            <w:vAlign w:val="center"/>
            <w:hideMark/>
          </w:tcPr>
          <w:p w14:paraId="0C06B4E1"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Lifecycle approach in healthcare sector and other value chains</w:t>
            </w:r>
          </w:p>
        </w:tc>
        <w:tc>
          <w:tcPr>
            <w:tcW w:w="1417" w:type="dxa"/>
            <w:tcBorders>
              <w:top w:val="nil"/>
              <w:left w:val="nil"/>
              <w:bottom w:val="single" w:sz="4" w:space="0" w:color="auto"/>
              <w:right w:val="single" w:sz="4" w:space="0" w:color="auto"/>
            </w:tcBorders>
            <w:shd w:val="clear" w:color="auto" w:fill="auto"/>
            <w:noWrap/>
            <w:vAlign w:val="center"/>
            <w:hideMark/>
          </w:tcPr>
          <w:p w14:paraId="7855DC06" w14:textId="0E2039F6"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4,935,000 </w:t>
            </w:r>
          </w:p>
        </w:tc>
        <w:tc>
          <w:tcPr>
            <w:tcW w:w="1701" w:type="dxa"/>
            <w:tcBorders>
              <w:top w:val="nil"/>
              <w:left w:val="nil"/>
              <w:bottom w:val="single" w:sz="4" w:space="0" w:color="auto"/>
              <w:right w:val="single" w:sz="4" w:space="0" w:color="auto"/>
            </w:tcBorders>
            <w:shd w:val="clear" w:color="auto" w:fill="auto"/>
            <w:noWrap/>
            <w:vAlign w:val="center"/>
            <w:hideMark/>
          </w:tcPr>
          <w:p w14:paraId="10E6CC8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01419571"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Apr-30</w:t>
            </w:r>
          </w:p>
        </w:tc>
        <w:tc>
          <w:tcPr>
            <w:tcW w:w="2268" w:type="dxa"/>
            <w:tcBorders>
              <w:top w:val="nil"/>
              <w:left w:val="nil"/>
              <w:bottom w:val="single" w:sz="4" w:space="0" w:color="auto"/>
              <w:right w:val="single" w:sz="4" w:space="0" w:color="auto"/>
            </w:tcBorders>
            <w:shd w:val="clear" w:color="auto" w:fill="auto"/>
            <w:noWrap/>
            <w:vAlign w:val="center"/>
            <w:hideMark/>
          </w:tcPr>
          <w:p w14:paraId="4C0EB23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2</w:t>
            </w:r>
          </w:p>
        </w:tc>
      </w:tr>
      <w:tr w:rsidR="00A844C0" w:rsidRPr="00EA2431" w14:paraId="4A640EB7" w14:textId="77777777" w:rsidTr="009248E6">
        <w:trPr>
          <w:trHeight w:val="369"/>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6F63B9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Global (Argentina, India, Latvia, Lebanon, Philippines, Senegal, Viet Nam)</w:t>
            </w:r>
          </w:p>
        </w:tc>
        <w:tc>
          <w:tcPr>
            <w:tcW w:w="5245" w:type="dxa"/>
            <w:tcBorders>
              <w:top w:val="nil"/>
              <w:left w:val="nil"/>
              <w:bottom w:val="single" w:sz="4" w:space="0" w:color="auto"/>
              <w:right w:val="single" w:sz="4" w:space="0" w:color="auto"/>
            </w:tcBorders>
            <w:shd w:val="clear" w:color="auto" w:fill="auto"/>
            <w:vAlign w:val="center"/>
            <w:hideMark/>
          </w:tcPr>
          <w:p w14:paraId="5F58F2A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Demonstrating and Promoting Best Techniques and Practices for Reducing Health-Care Waste to Avoid Environmental Releases of Dioxins and Mercury</w:t>
            </w:r>
          </w:p>
        </w:tc>
        <w:tc>
          <w:tcPr>
            <w:tcW w:w="1417" w:type="dxa"/>
            <w:tcBorders>
              <w:top w:val="nil"/>
              <w:left w:val="nil"/>
              <w:bottom w:val="single" w:sz="4" w:space="0" w:color="auto"/>
              <w:right w:val="single" w:sz="4" w:space="0" w:color="auto"/>
            </w:tcBorders>
            <w:shd w:val="clear" w:color="auto" w:fill="auto"/>
            <w:noWrap/>
            <w:vAlign w:val="center"/>
            <w:hideMark/>
          </w:tcPr>
          <w:p w14:paraId="726313E4" w14:textId="458FC820"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$ 10,326,455 </w:t>
            </w:r>
          </w:p>
        </w:tc>
        <w:tc>
          <w:tcPr>
            <w:tcW w:w="1701" w:type="dxa"/>
            <w:tcBorders>
              <w:top w:val="nil"/>
              <w:left w:val="nil"/>
              <w:bottom w:val="single" w:sz="4" w:space="0" w:color="auto"/>
              <w:right w:val="single" w:sz="4" w:space="0" w:color="auto"/>
            </w:tcBorders>
            <w:shd w:val="clear" w:color="auto" w:fill="auto"/>
            <w:noWrap/>
            <w:vAlign w:val="center"/>
            <w:hideMark/>
          </w:tcPr>
          <w:p w14:paraId="5DFEF661"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193EDE7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1BE8BB3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NA</w:t>
            </w:r>
          </w:p>
        </w:tc>
      </w:tr>
      <w:tr w:rsidR="00A844C0" w:rsidRPr="00EA2431" w14:paraId="1F0140F4"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B95707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Colombia</w:t>
            </w:r>
          </w:p>
        </w:tc>
        <w:tc>
          <w:tcPr>
            <w:tcW w:w="5245" w:type="dxa"/>
            <w:tcBorders>
              <w:top w:val="nil"/>
              <w:left w:val="nil"/>
              <w:bottom w:val="single" w:sz="4" w:space="0" w:color="auto"/>
              <w:right w:val="single" w:sz="4" w:space="0" w:color="auto"/>
            </w:tcBorders>
            <w:shd w:val="clear" w:color="auto" w:fill="auto"/>
            <w:vAlign w:val="center"/>
            <w:hideMark/>
          </w:tcPr>
          <w:p w14:paraId="2F08C4AC"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E6DD7EB" w14:textId="4B814979"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6,000,000 </w:t>
            </w:r>
          </w:p>
        </w:tc>
        <w:tc>
          <w:tcPr>
            <w:tcW w:w="1701" w:type="dxa"/>
            <w:tcBorders>
              <w:top w:val="nil"/>
              <w:left w:val="nil"/>
              <w:bottom w:val="single" w:sz="4" w:space="0" w:color="auto"/>
              <w:right w:val="single" w:sz="4" w:space="0" w:color="auto"/>
            </w:tcBorders>
            <w:shd w:val="clear" w:color="auto" w:fill="auto"/>
            <w:noWrap/>
            <w:vAlign w:val="center"/>
            <w:hideMark/>
          </w:tcPr>
          <w:p w14:paraId="57013F9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Operational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65F263F1"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1EF102B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20</w:t>
            </w:r>
          </w:p>
        </w:tc>
      </w:tr>
      <w:tr w:rsidR="00A844C0" w:rsidRPr="00EA2431" w14:paraId="1DBA08A4"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E25A5C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Indonesia</w:t>
            </w:r>
          </w:p>
        </w:tc>
        <w:tc>
          <w:tcPr>
            <w:tcW w:w="5245" w:type="dxa"/>
            <w:tcBorders>
              <w:top w:val="nil"/>
              <w:left w:val="nil"/>
              <w:bottom w:val="single" w:sz="4" w:space="0" w:color="auto"/>
              <w:right w:val="single" w:sz="4" w:space="0" w:color="auto"/>
            </w:tcBorders>
            <w:shd w:val="clear" w:color="auto" w:fill="auto"/>
            <w:vAlign w:val="center"/>
            <w:hideMark/>
          </w:tcPr>
          <w:p w14:paraId="35B52756"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B2EB3B" w14:textId="595C6924"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6,720,000 </w:t>
            </w:r>
          </w:p>
        </w:tc>
        <w:tc>
          <w:tcPr>
            <w:tcW w:w="1701" w:type="dxa"/>
            <w:tcBorders>
              <w:top w:val="nil"/>
              <w:left w:val="nil"/>
              <w:bottom w:val="single" w:sz="4" w:space="0" w:color="auto"/>
              <w:right w:val="single" w:sz="4" w:space="0" w:color="auto"/>
            </w:tcBorders>
            <w:shd w:val="clear" w:color="auto" w:fill="auto"/>
            <w:noWrap/>
            <w:vAlign w:val="center"/>
            <w:hideMark/>
          </w:tcPr>
          <w:p w14:paraId="47F6F9D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68DCA5C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73D06B8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15</w:t>
            </w:r>
          </w:p>
        </w:tc>
      </w:tr>
      <w:tr w:rsidR="00A844C0" w:rsidRPr="00EA2431" w14:paraId="7823C550"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4EA32F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Kenya</w:t>
            </w:r>
          </w:p>
        </w:tc>
        <w:tc>
          <w:tcPr>
            <w:tcW w:w="5245" w:type="dxa"/>
            <w:tcBorders>
              <w:top w:val="nil"/>
              <w:left w:val="nil"/>
              <w:bottom w:val="single" w:sz="4" w:space="0" w:color="auto"/>
              <w:right w:val="single" w:sz="4" w:space="0" w:color="auto"/>
            </w:tcBorders>
            <w:shd w:val="clear" w:color="auto" w:fill="auto"/>
            <w:vAlign w:val="center"/>
            <w:hideMark/>
          </w:tcPr>
          <w:p w14:paraId="5E30572E"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F8D616A" w14:textId="34F57038"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4,200,000 </w:t>
            </w:r>
          </w:p>
        </w:tc>
        <w:tc>
          <w:tcPr>
            <w:tcW w:w="1701" w:type="dxa"/>
            <w:tcBorders>
              <w:top w:val="nil"/>
              <w:left w:val="nil"/>
              <w:bottom w:val="single" w:sz="4" w:space="0" w:color="auto"/>
              <w:right w:val="single" w:sz="4" w:space="0" w:color="auto"/>
            </w:tcBorders>
            <w:shd w:val="clear" w:color="auto" w:fill="auto"/>
            <w:noWrap/>
            <w:vAlign w:val="center"/>
            <w:hideMark/>
          </w:tcPr>
          <w:p w14:paraId="6DDF1A50"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2301642D"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Dec-25</w:t>
            </w:r>
          </w:p>
        </w:tc>
        <w:tc>
          <w:tcPr>
            <w:tcW w:w="2268" w:type="dxa"/>
            <w:tcBorders>
              <w:top w:val="nil"/>
              <w:left w:val="nil"/>
              <w:bottom w:val="single" w:sz="4" w:space="0" w:color="auto"/>
              <w:right w:val="single" w:sz="4" w:space="0" w:color="auto"/>
            </w:tcBorders>
            <w:shd w:val="clear" w:color="auto" w:fill="auto"/>
            <w:noWrap/>
            <w:vAlign w:val="center"/>
            <w:hideMark/>
          </w:tcPr>
          <w:p w14:paraId="076CE89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1.5</w:t>
            </w:r>
          </w:p>
        </w:tc>
      </w:tr>
      <w:tr w:rsidR="00A844C0" w:rsidRPr="00EA2431" w14:paraId="36789173"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F5593D0"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Peru</w:t>
            </w:r>
          </w:p>
        </w:tc>
        <w:tc>
          <w:tcPr>
            <w:tcW w:w="5245" w:type="dxa"/>
            <w:tcBorders>
              <w:top w:val="nil"/>
              <w:left w:val="nil"/>
              <w:bottom w:val="single" w:sz="4" w:space="0" w:color="auto"/>
              <w:right w:val="single" w:sz="4" w:space="0" w:color="auto"/>
            </w:tcBorders>
            <w:shd w:val="clear" w:color="auto" w:fill="auto"/>
            <w:vAlign w:val="center"/>
            <w:hideMark/>
          </w:tcPr>
          <w:p w14:paraId="6322F00B"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4E5FBBD3" w14:textId="0ADA8A39"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3,990,000 </w:t>
            </w:r>
          </w:p>
        </w:tc>
        <w:tc>
          <w:tcPr>
            <w:tcW w:w="1701" w:type="dxa"/>
            <w:tcBorders>
              <w:top w:val="nil"/>
              <w:left w:val="nil"/>
              <w:bottom w:val="single" w:sz="4" w:space="0" w:color="auto"/>
              <w:right w:val="single" w:sz="4" w:space="0" w:color="auto"/>
            </w:tcBorders>
            <w:shd w:val="clear" w:color="auto" w:fill="auto"/>
            <w:noWrap/>
            <w:vAlign w:val="center"/>
            <w:hideMark/>
          </w:tcPr>
          <w:p w14:paraId="49B561B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Operational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4E72C86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247EFB3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15</w:t>
            </w:r>
          </w:p>
        </w:tc>
      </w:tr>
      <w:tr w:rsidR="00A844C0" w:rsidRPr="00EA2431" w14:paraId="01E08D23"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A70B72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Ghana</w:t>
            </w:r>
          </w:p>
        </w:tc>
        <w:tc>
          <w:tcPr>
            <w:tcW w:w="5245" w:type="dxa"/>
            <w:tcBorders>
              <w:top w:val="nil"/>
              <w:left w:val="nil"/>
              <w:bottom w:val="single" w:sz="4" w:space="0" w:color="auto"/>
              <w:right w:val="single" w:sz="4" w:space="0" w:color="auto"/>
            </w:tcBorders>
            <w:shd w:val="clear" w:color="auto" w:fill="auto"/>
            <w:vAlign w:val="center"/>
            <w:hideMark/>
          </w:tcPr>
          <w:p w14:paraId="69D8B7A8"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A0A89AA" w14:textId="255BD2EC"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4,400,000 </w:t>
            </w:r>
          </w:p>
        </w:tc>
        <w:tc>
          <w:tcPr>
            <w:tcW w:w="1701" w:type="dxa"/>
            <w:tcBorders>
              <w:top w:val="nil"/>
              <w:left w:val="nil"/>
              <w:bottom w:val="single" w:sz="4" w:space="0" w:color="auto"/>
              <w:right w:val="single" w:sz="4" w:space="0" w:color="auto"/>
            </w:tcBorders>
            <w:shd w:val="clear" w:color="auto" w:fill="auto"/>
            <w:noWrap/>
            <w:vAlign w:val="center"/>
            <w:hideMark/>
          </w:tcPr>
          <w:p w14:paraId="41500C3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36F22C9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Sep-27</w:t>
            </w:r>
          </w:p>
        </w:tc>
        <w:tc>
          <w:tcPr>
            <w:tcW w:w="2268" w:type="dxa"/>
            <w:tcBorders>
              <w:top w:val="nil"/>
              <w:left w:val="nil"/>
              <w:bottom w:val="single" w:sz="4" w:space="0" w:color="auto"/>
              <w:right w:val="single" w:sz="4" w:space="0" w:color="auto"/>
            </w:tcBorders>
            <w:shd w:val="clear" w:color="auto" w:fill="auto"/>
            <w:noWrap/>
            <w:vAlign w:val="center"/>
            <w:hideMark/>
          </w:tcPr>
          <w:p w14:paraId="03A5920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9</w:t>
            </w:r>
          </w:p>
        </w:tc>
      </w:tr>
      <w:tr w:rsidR="00A844C0" w:rsidRPr="00EA2431" w14:paraId="6F265FCC"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E9322B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Honduras</w:t>
            </w:r>
          </w:p>
        </w:tc>
        <w:tc>
          <w:tcPr>
            <w:tcW w:w="5245" w:type="dxa"/>
            <w:tcBorders>
              <w:top w:val="nil"/>
              <w:left w:val="nil"/>
              <w:bottom w:val="single" w:sz="4" w:space="0" w:color="auto"/>
              <w:right w:val="single" w:sz="4" w:space="0" w:color="auto"/>
            </w:tcBorders>
            <w:shd w:val="clear" w:color="auto" w:fill="auto"/>
            <w:vAlign w:val="center"/>
            <w:hideMark/>
          </w:tcPr>
          <w:p w14:paraId="7FBEFCB3"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CF16CF1" w14:textId="45E960FA"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4,000,000 </w:t>
            </w:r>
          </w:p>
        </w:tc>
        <w:tc>
          <w:tcPr>
            <w:tcW w:w="1701" w:type="dxa"/>
            <w:tcBorders>
              <w:top w:val="nil"/>
              <w:left w:val="nil"/>
              <w:bottom w:val="single" w:sz="4" w:space="0" w:color="auto"/>
              <w:right w:val="single" w:sz="4" w:space="0" w:color="auto"/>
            </w:tcBorders>
            <w:shd w:val="clear" w:color="auto" w:fill="auto"/>
            <w:noWrap/>
            <w:vAlign w:val="center"/>
            <w:hideMark/>
          </w:tcPr>
          <w:p w14:paraId="34ED349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0B0752E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Nov-27</w:t>
            </w:r>
          </w:p>
        </w:tc>
        <w:tc>
          <w:tcPr>
            <w:tcW w:w="2268" w:type="dxa"/>
            <w:tcBorders>
              <w:top w:val="nil"/>
              <w:left w:val="nil"/>
              <w:bottom w:val="single" w:sz="4" w:space="0" w:color="auto"/>
              <w:right w:val="single" w:sz="4" w:space="0" w:color="auto"/>
            </w:tcBorders>
            <w:shd w:val="clear" w:color="auto" w:fill="auto"/>
            <w:noWrap/>
            <w:vAlign w:val="center"/>
            <w:hideMark/>
          </w:tcPr>
          <w:p w14:paraId="330558A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8</w:t>
            </w:r>
          </w:p>
        </w:tc>
      </w:tr>
      <w:tr w:rsidR="00A844C0" w:rsidRPr="00EA2431" w14:paraId="49D34209"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E35F53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Suriname</w:t>
            </w:r>
          </w:p>
        </w:tc>
        <w:tc>
          <w:tcPr>
            <w:tcW w:w="5245" w:type="dxa"/>
            <w:tcBorders>
              <w:top w:val="nil"/>
              <w:left w:val="nil"/>
              <w:bottom w:val="single" w:sz="4" w:space="0" w:color="auto"/>
              <w:right w:val="single" w:sz="4" w:space="0" w:color="auto"/>
            </w:tcBorders>
            <w:shd w:val="clear" w:color="auto" w:fill="auto"/>
            <w:vAlign w:val="center"/>
            <w:hideMark/>
          </w:tcPr>
          <w:p w14:paraId="25012F5B"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9827945" w14:textId="2479648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5,250,000 </w:t>
            </w:r>
          </w:p>
        </w:tc>
        <w:tc>
          <w:tcPr>
            <w:tcW w:w="1701" w:type="dxa"/>
            <w:tcBorders>
              <w:top w:val="nil"/>
              <w:left w:val="nil"/>
              <w:bottom w:val="single" w:sz="4" w:space="0" w:color="auto"/>
              <w:right w:val="single" w:sz="4" w:space="0" w:color="auto"/>
            </w:tcBorders>
            <w:shd w:val="clear" w:color="auto" w:fill="auto"/>
            <w:noWrap/>
            <w:vAlign w:val="center"/>
            <w:hideMark/>
          </w:tcPr>
          <w:p w14:paraId="5D73234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251D6B7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Nov-27</w:t>
            </w:r>
          </w:p>
        </w:tc>
        <w:tc>
          <w:tcPr>
            <w:tcW w:w="2268" w:type="dxa"/>
            <w:tcBorders>
              <w:top w:val="nil"/>
              <w:left w:val="nil"/>
              <w:bottom w:val="single" w:sz="4" w:space="0" w:color="auto"/>
              <w:right w:val="single" w:sz="4" w:space="0" w:color="auto"/>
            </w:tcBorders>
            <w:shd w:val="clear" w:color="auto" w:fill="auto"/>
            <w:noWrap/>
            <w:vAlign w:val="center"/>
            <w:hideMark/>
          </w:tcPr>
          <w:p w14:paraId="74B11DD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8</w:t>
            </w:r>
          </w:p>
        </w:tc>
      </w:tr>
      <w:tr w:rsidR="00A844C0" w:rsidRPr="00EA2431" w14:paraId="3EA5D4B3"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899274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Ecuador</w:t>
            </w:r>
          </w:p>
        </w:tc>
        <w:tc>
          <w:tcPr>
            <w:tcW w:w="5245" w:type="dxa"/>
            <w:tcBorders>
              <w:top w:val="nil"/>
              <w:left w:val="nil"/>
              <w:bottom w:val="single" w:sz="4" w:space="0" w:color="auto"/>
              <w:right w:val="single" w:sz="4" w:space="0" w:color="auto"/>
            </w:tcBorders>
            <w:shd w:val="clear" w:color="auto" w:fill="auto"/>
            <w:vAlign w:val="center"/>
            <w:hideMark/>
          </w:tcPr>
          <w:p w14:paraId="06D66064" w14:textId="77777777" w:rsidR="002E7F62" w:rsidRPr="00EA2431" w:rsidRDefault="002E7F62" w:rsidP="004C5A0A">
            <w:pPr>
              <w:spacing w:after="60"/>
              <w:rPr>
                <w:rFonts w:asciiTheme="majorBidi" w:hAnsiTheme="majorBidi" w:cstheme="majorBidi"/>
                <w:color w:val="000000"/>
                <w:sz w:val="18"/>
                <w:szCs w:val="18"/>
              </w:rPr>
            </w:pPr>
            <w:proofErr w:type="spellStart"/>
            <w:r w:rsidRPr="00EA2431">
              <w:rPr>
                <w:rFonts w:asciiTheme="majorBidi" w:hAnsiTheme="majorBidi" w:cstheme="majorBidi"/>
                <w:color w:val="000000"/>
                <w:sz w:val="18"/>
                <w:szCs w:val="18"/>
              </w:rPr>
              <w:t>PlanetGOLD</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93C8D54" w14:textId="4A2CA6E1"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4,000,000 </w:t>
            </w:r>
          </w:p>
        </w:tc>
        <w:tc>
          <w:tcPr>
            <w:tcW w:w="1701" w:type="dxa"/>
            <w:tcBorders>
              <w:top w:val="nil"/>
              <w:left w:val="nil"/>
              <w:bottom w:val="single" w:sz="4" w:space="0" w:color="auto"/>
              <w:right w:val="single" w:sz="4" w:space="0" w:color="auto"/>
            </w:tcBorders>
            <w:shd w:val="clear" w:color="auto" w:fill="auto"/>
            <w:noWrap/>
            <w:vAlign w:val="center"/>
            <w:hideMark/>
          </w:tcPr>
          <w:p w14:paraId="5306C7C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462AE53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Dec-28</w:t>
            </w:r>
          </w:p>
        </w:tc>
        <w:tc>
          <w:tcPr>
            <w:tcW w:w="2268" w:type="dxa"/>
            <w:tcBorders>
              <w:top w:val="nil"/>
              <w:left w:val="nil"/>
              <w:bottom w:val="single" w:sz="4" w:space="0" w:color="auto"/>
              <w:right w:val="single" w:sz="4" w:space="0" w:color="auto"/>
            </w:tcBorders>
            <w:shd w:val="clear" w:color="auto" w:fill="auto"/>
            <w:noWrap/>
            <w:vAlign w:val="center"/>
            <w:hideMark/>
          </w:tcPr>
          <w:p w14:paraId="76A8A3E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10</w:t>
            </w:r>
          </w:p>
        </w:tc>
      </w:tr>
      <w:tr w:rsidR="00A844C0" w:rsidRPr="00EA2431" w14:paraId="070279B4"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7ADDBEF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lastRenderedPageBreak/>
              <w:t>Honduras</w:t>
            </w:r>
          </w:p>
        </w:tc>
        <w:tc>
          <w:tcPr>
            <w:tcW w:w="5245" w:type="dxa"/>
            <w:tcBorders>
              <w:top w:val="nil"/>
              <w:left w:val="nil"/>
              <w:bottom w:val="single" w:sz="4" w:space="0" w:color="auto"/>
              <w:right w:val="single" w:sz="4" w:space="0" w:color="auto"/>
            </w:tcBorders>
            <w:shd w:val="clear" w:color="auto" w:fill="auto"/>
            <w:vAlign w:val="center"/>
            <w:hideMark/>
          </w:tcPr>
          <w:p w14:paraId="27F36E02"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Environmental Sound Management of Mercury and Mercury Containing Products and their wastes in Artisanal Small-scale Gold Mining and Healthcare.</w:t>
            </w:r>
          </w:p>
        </w:tc>
        <w:tc>
          <w:tcPr>
            <w:tcW w:w="1417" w:type="dxa"/>
            <w:tcBorders>
              <w:top w:val="nil"/>
              <w:left w:val="nil"/>
              <w:bottom w:val="single" w:sz="4" w:space="0" w:color="auto"/>
              <w:right w:val="single" w:sz="4" w:space="0" w:color="auto"/>
            </w:tcBorders>
            <w:shd w:val="clear" w:color="auto" w:fill="auto"/>
            <w:noWrap/>
            <w:vAlign w:val="center"/>
            <w:hideMark/>
          </w:tcPr>
          <w:p w14:paraId="40D014C6" w14:textId="62766BA6"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2,600,000 </w:t>
            </w:r>
          </w:p>
        </w:tc>
        <w:tc>
          <w:tcPr>
            <w:tcW w:w="1701" w:type="dxa"/>
            <w:tcBorders>
              <w:top w:val="nil"/>
              <w:left w:val="nil"/>
              <w:bottom w:val="single" w:sz="4" w:space="0" w:color="auto"/>
              <w:right w:val="single" w:sz="4" w:space="0" w:color="auto"/>
            </w:tcBorders>
            <w:shd w:val="clear" w:color="auto" w:fill="auto"/>
            <w:noWrap/>
            <w:vAlign w:val="center"/>
            <w:hideMark/>
          </w:tcPr>
          <w:p w14:paraId="09B9C5CD"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36E6031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31117D5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1</w:t>
            </w:r>
          </w:p>
        </w:tc>
      </w:tr>
      <w:tr w:rsidR="00A844C0" w:rsidRPr="00EA2431" w14:paraId="36B39E50"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503B4F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India</w:t>
            </w:r>
          </w:p>
        </w:tc>
        <w:tc>
          <w:tcPr>
            <w:tcW w:w="5245" w:type="dxa"/>
            <w:tcBorders>
              <w:top w:val="nil"/>
              <w:left w:val="nil"/>
              <w:bottom w:val="single" w:sz="4" w:space="0" w:color="auto"/>
              <w:right w:val="single" w:sz="4" w:space="0" w:color="auto"/>
            </w:tcBorders>
            <w:shd w:val="clear" w:color="auto" w:fill="auto"/>
            <w:vAlign w:val="center"/>
            <w:hideMark/>
          </w:tcPr>
          <w:p w14:paraId="7A42925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Global Elimination of Mercury in Non-ferrous metals initiative in India</w:t>
            </w:r>
          </w:p>
        </w:tc>
        <w:tc>
          <w:tcPr>
            <w:tcW w:w="1417" w:type="dxa"/>
            <w:tcBorders>
              <w:top w:val="nil"/>
              <w:left w:val="nil"/>
              <w:bottom w:val="single" w:sz="4" w:space="0" w:color="auto"/>
              <w:right w:val="single" w:sz="4" w:space="0" w:color="auto"/>
            </w:tcBorders>
            <w:shd w:val="clear" w:color="auto" w:fill="auto"/>
            <w:noWrap/>
            <w:vAlign w:val="center"/>
            <w:hideMark/>
          </w:tcPr>
          <w:p w14:paraId="66F5044C" w14:textId="3078DCF6"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$ 15,740,000 </w:t>
            </w:r>
          </w:p>
        </w:tc>
        <w:tc>
          <w:tcPr>
            <w:tcW w:w="1701" w:type="dxa"/>
            <w:tcBorders>
              <w:top w:val="nil"/>
              <w:left w:val="nil"/>
              <w:bottom w:val="single" w:sz="4" w:space="0" w:color="auto"/>
              <w:right w:val="single" w:sz="4" w:space="0" w:color="auto"/>
            </w:tcBorders>
            <w:shd w:val="clear" w:color="auto" w:fill="auto"/>
            <w:noWrap/>
            <w:vAlign w:val="center"/>
            <w:hideMark/>
          </w:tcPr>
          <w:p w14:paraId="60B2B8A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Hard Pipeline</w:t>
            </w:r>
          </w:p>
        </w:tc>
        <w:tc>
          <w:tcPr>
            <w:tcW w:w="1276" w:type="dxa"/>
            <w:tcBorders>
              <w:top w:val="nil"/>
              <w:left w:val="nil"/>
              <w:bottom w:val="single" w:sz="4" w:space="0" w:color="auto"/>
              <w:right w:val="single" w:sz="4" w:space="0" w:color="auto"/>
            </w:tcBorders>
            <w:shd w:val="clear" w:color="auto" w:fill="auto"/>
            <w:noWrap/>
            <w:vAlign w:val="center"/>
            <w:hideMark/>
          </w:tcPr>
          <w:p w14:paraId="43624E0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N/A</w:t>
            </w:r>
          </w:p>
        </w:tc>
        <w:tc>
          <w:tcPr>
            <w:tcW w:w="2268" w:type="dxa"/>
            <w:tcBorders>
              <w:top w:val="nil"/>
              <w:left w:val="nil"/>
              <w:bottom w:val="single" w:sz="4" w:space="0" w:color="auto"/>
              <w:right w:val="single" w:sz="4" w:space="0" w:color="auto"/>
            </w:tcBorders>
            <w:shd w:val="clear" w:color="auto" w:fill="auto"/>
            <w:noWrap/>
            <w:vAlign w:val="center"/>
            <w:hideMark/>
          </w:tcPr>
          <w:p w14:paraId="2D587CA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15.5</w:t>
            </w:r>
          </w:p>
        </w:tc>
      </w:tr>
      <w:tr w:rsidR="00A844C0" w:rsidRPr="00EA2431" w14:paraId="68E79C98"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3CD360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Indonesia</w:t>
            </w:r>
          </w:p>
        </w:tc>
        <w:tc>
          <w:tcPr>
            <w:tcW w:w="5245" w:type="dxa"/>
            <w:tcBorders>
              <w:top w:val="nil"/>
              <w:left w:val="nil"/>
              <w:bottom w:val="single" w:sz="4" w:space="0" w:color="auto"/>
              <w:right w:val="single" w:sz="4" w:space="0" w:color="auto"/>
            </w:tcBorders>
            <w:shd w:val="clear" w:color="auto" w:fill="auto"/>
            <w:vAlign w:val="center"/>
            <w:hideMark/>
          </w:tcPr>
          <w:p w14:paraId="129DC77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SIRENE - Reducing the Supply Chain of Mercury and </w:t>
            </w:r>
            <w:r w:rsidRPr="00EA2431">
              <w:rPr>
                <w:rFonts w:asciiTheme="majorBidi" w:hAnsiTheme="majorBidi" w:cstheme="majorBidi"/>
                <w:color w:val="000000"/>
                <w:sz w:val="18"/>
                <w:szCs w:val="18"/>
              </w:rPr>
              <w:br/>
              <w:t>Mercury-contained products in Indonesia</w:t>
            </w:r>
          </w:p>
        </w:tc>
        <w:tc>
          <w:tcPr>
            <w:tcW w:w="1417" w:type="dxa"/>
            <w:tcBorders>
              <w:top w:val="nil"/>
              <w:left w:val="nil"/>
              <w:bottom w:val="single" w:sz="4" w:space="0" w:color="auto"/>
              <w:right w:val="single" w:sz="4" w:space="0" w:color="auto"/>
            </w:tcBorders>
            <w:shd w:val="clear" w:color="auto" w:fill="auto"/>
            <w:noWrap/>
            <w:vAlign w:val="center"/>
            <w:hideMark/>
          </w:tcPr>
          <w:p w14:paraId="49FADB4E" w14:textId="581DF44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6,590,000 </w:t>
            </w:r>
          </w:p>
        </w:tc>
        <w:tc>
          <w:tcPr>
            <w:tcW w:w="1701" w:type="dxa"/>
            <w:tcBorders>
              <w:top w:val="nil"/>
              <w:left w:val="nil"/>
              <w:bottom w:val="single" w:sz="4" w:space="0" w:color="auto"/>
              <w:right w:val="single" w:sz="4" w:space="0" w:color="auto"/>
            </w:tcBorders>
            <w:shd w:val="clear" w:color="auto" w:fill="auto"/>
            <w:noWrap/>
            <w:vAlign w:val="center"/>
            <w:hideMark/>
          </w:tcPr>
          <w:p w14:paraId="37BC117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44F6925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Jun-30</w:t>
            </w:r>
          </w:p>
        </w:tc>
        <w:tc>
          <w:tcPr>
            <w:tcW w:w="2268" w:type="dxa"/>
            <w:tcBorders>
              <w:top w:val="nil"/>
              <w:left w:val="nil"/>
              <w:bottom w:val="single" w:sz="4" w:space="0" w:color="auto"/>
              <w:right w:val="single" w:sz="4" w:space="0" w:color="auto"/>
            </w:tcBorders>
            <w:shd w:val="clear" w:color="auto" w:fill="auto"/>
            <w:noWrap/>
            <w:vAlign w:val="center"/>
            <w:hideMark/>
          </w:tcPr>
          <w:p w14:paraId="4258EF7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20</w:t>
            </w:r>
          </w:p>
        </w:tc>
      </w:tr>
      <w:tr w:rsidR="00A844C0" w:rsidRPr="00EA2431" w14:paraId="04D3CEF0"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86F506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Kazakhstan</w:t>
            </w:r>
          </w:p>
        </w:tc>
        <w:tc>
          <w:tcPr>
            <w:tcW w:w="5245" w:type="dxa"/>
            <w:tcBorders>
              <w:top w:val="nil"/>
              <w:left w:val="nil"/>
              <w:bottom w:val="single" w:sz="4" w:space="0" w:color="auto"/>
              <w:right w:val="single" w:sz="4" w:space="0" w:color="auto"/>
            </w:tcBorders>
            <w:shd w:val="clear" w:color="auto" w:fill="auto"/>
            <w:vAlign w:val="center"/>
            <w:hideMark/>
          </w:tcPr>
          <w:p w14:paraId="016D644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NIP update, integration of POPs into National planning and promoting sound healthcare waste management in Kazakhstan</w:t>
            </w:r>
          </w:p>
        </w:tc>
        <w:tc>
          <w:tcPr>
            <w:tcW w:w="1417" w:type="dxa"/>
            <w:tcBorders>
              <w:top w:val="nil"/>
              <w:left w:val="nil"/>
              <w:bottom w:val="single" w:sz="4" w:space="0" w:color="auto"/>
              <w:right w:val="single" w:sz="4" w:space="0" w:color="auto"/>
            </w:tcBorders>
            <w:shd w:val="clear" w:color="auto" w:fill="auto"/>
            <w:noWrap/>
            <w:vAlign w:val="center"/>
            <w:hideMark/>
          </w:tcPr>
          <w:p w14:paraId="5CADBDBB" w14:textId="0CBFA5E4"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3,400,000 </w:t>
            </w:r>
          </w:p>
        </w:tc>
        <w:tc>
          <w:tcPr>
            <w:tcW w:w="1701" w:type="dxa"/>
            <w:tcBorders>
              <w:top w:val="nil"/>
              <w:left w:val="nil"/>
              <w:bottom w:val="single" w:sz="4" w:space="0" w:color="auto"/>
              <w:right w:val="single" w:sz="4" w:space="0" w:color="auto"/>
            </w:tcBorders>
            <w:shd w:val="clear" w:color="auto" w:fill="auto"/>
            <w:noWrap/>
            <w:vAlign w:val="center"/>
            <w:hideMark/>
          </w:tcPr>
          <w:p w14:paraId="10548E0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16D9280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23E0DEE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0.036  </w:t>
            </w:r>
          </w:p>
        </w:tc>
      </w:tr>
      <w:tr w:rsidR="00A844C0" w:rsidRPr="00EA2431" w14:paraId="3320A0F5"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CB6753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Kyrgyzstan</w:t>
            </w:r>
          </w:p>
        </w:tc>
        <w:tc>
          <w:tcPr>
            <w:tcW w:w="5245" w:type="dxa"/>
            <w:tcBorders>
              <w:top w:val="nil"/>
              <w:left w:val="nil"/>
              <w:bottom w:val="single" w:sz="4" w:space="0" w:color="auto"/>
              <w:right w:val="single" w:sz="4" w:space="0" w:color="auto"/>
            </w:tcBorders>
            <w:shd w:val="clear" w:color="auto" w:fill="auto"/>
            <w:vAlign w:val="center"/>
            <w:hideMark/>
          </w:tcPr>
          <w:p w14:paraId="0EBAFF38"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Protect Human Health and the Environment from Unintentional Releases of POPs and Mercury from the Unsound Disposal of Healthcare Wast</w:t>
            </w:r>
          </w:p>
        </w:tc>
        <w:tc>
          <w:tcPr>
            <w:tcW w:w="1417" w:type="dxa"/>
            <w:tcBorders>
              <w:top w:val="nil"/>
              <w:left w:val="nil"/>
              <w:bottom w:val="single" w:sz="4" w:space="0" w:color="auto"/>
              <w:right w:val="single" w:sz="4" w:space="0" w:color="auto"/>
            </w:tcBorders>
            <w:shd w:val="clear" w:color="auto" w:fill="auto"/>
            <w:noWrap/>
            <w:vAlign w:val="center"/>
            <w:hideMark/>
          </w:tcPr>
          <w:p w14:paraId="36DDCB14" w14:textId="04E01B14"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1,425,000 </w:t>
            </w:r>
          </w:p>
        </w:tc>
        <w:tc>
          <w:tcPr>
            <w:tcW w:w="1701" w:type="dxa"/>
            <w:tcBorders>
              <w:top w:val="nil"/>
              <w:left w:val="nil"/>
              <w:bottom w:val="single" w:sz="4" w:space="0" w:color="auto"/>
              <w:right w:val="single" w:sz="4" w:space="0" w:color="auto"/>
            </w:tcBorders>
            <w:shd w:val="clear" w:color="auto" w:fill="auto"/>
            <w:noWrap/>
            <w:vAlign w:val="center"/>
            <w:hideMark/>
          </w:tcPr>
          <w:p w14:paraId="75C49FE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1337080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413BEDD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0.16 per year</w:t>
            </w:r>
          </w:p>
        </w:tc>
      </w:tr>
      <w:tr w:rsidR="00A844C0" w:rsidRPr="00EA2431" w14:paraId="72D7FD3C"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5CBABE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Mexico</w:t>
            </w:r>
          </w:p>
        </w:tc>
        <w:tc>
          <w:tcPr>
            <w:tcW w:w="5245" w:type="dxa"/>
            <w:tcBorders>
              <w:top w:val="nil"/>
              <w:left w:val="nil"/>
              <w:bottom w:val="single" w:sz="4" w:space="0" w:color="auto"/>
              <w:right w:val="single" w:sz="4" w:space="0" w:color="auto"/>
            </w:tcBorders>
            <w:shd w:val="clear" w:color="auto" w:fill="auto"/>
            <w:vAlign w:val="center"/>
            <w:hideMark/>
          </w:tcPr>
          <w:p w14:paraId="718E68A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Global Elimination of Mercury in Non-ferrous metals initiative in Mexico</w:t>
            </w:r>
          </w:p>
        </w:tc>
        <w:tc>
          <w:tcPr>
            <w:tcW w:w="1417" w:type="dxa"/>
            <w:tcBorders>
              <w:top w:val="nil"/>
              <w:left w:val="nil"/>
              <w:bottom w:val="single" w:sz="4" w:space="0" w:color="auto"/>
              <w:right w:val="single" w:sz="4" w:space="0" w:color="auto"/>
            </w:tcBorders>
            <w:shd w:val="clear" w:color="auto" w:fill="auto"/>
            <w:noWrap/>
            <w:vAlign w:val="center"/>
            <w:hideMark/>
          </w:tcPr>
          <w:p w14:paraId="7F5291AE" w14:textId="796E9F14"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9,750,000 </w:t>
            </w:r>
          </w:p>
        </w:tc>
        <w:tc>
          <w:tcPr>
            <w:tcW w:w="1701" w:type="dxa"/>
            <w:tcBorders>
              <w:top w:val="nil"/>
              <w:left w:val="nil"/>
              <w:bottom w:val="single" w:sz="4" w:space="0" w:color="auto"/>
              <w:right w:val="single" w:sz="4" w:space="0" w:color="auto"/>
            </w:tcBorders>
            <w:shd w:val="clear" w:color="auto" w:fill="auto"/>
            <w:noWrap/>
            <w:vAlign w:val="center"/>
            <w:hideMark/>
          </w:tcPr>
          <w:p w14:paraId="1DABC28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Hard Pipeline</w:t>
            </w:r>
          </w:p>
        </w:tc>
        <w:tc>
          <w:tcPr>
            <w:tcW w:w="1276" w:type="dxa"/>
            <w:tcBorders>
              <w:top w:val="nil"/>
              <w:left w:val="nil"/>
              <w:bottom w:val="single" w:sz="4" w:space="0" w:color="auto"/>
              <w:right w:val="single" w:sz="4" w:space="0" w:color="auto"/>
            </w:tcBorders>
            <w:shd w:val="clear" w:color="auto" w:fill="auto"/>
            <w:noWrap/>
            <w:vAlign w:val="center"/>
            <w:hideMark/>
          </w:tcPr>
          <w:p w14:paraId="6151F0A2"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N/A</w:t>
            </w:r>
          </w:p>
        </w:tc>
        <w:tc>
          <w:tcPr>
            <w:tcW w:w="2268" w:type="dxa"/>
            <w:tcBorders>
              <w:top w:val="nil"/>
              <w:left w:val="nil"/>
              <w:bottom w:val="single" w:sz="4" w:space="0" w:color="auto"/>
              <w:right w:val="single" w:sz="4" w:space="0" w:color="auto"/>
            </w:tcBorders>
            <w:shd w:val="clear" w:color="auto" w:fill="auto"/>
            <w:noWrap/>
            <w:vAlign w:val="center"/>
            <w:hideMark/>
          </w:tcPr>
          <w:p w14:paraId="1F8956E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8.22</w:t>
            </w:r>
          </w:p>
        </w:tc>
      </w:tr>
      <w:tr w:rsidR="00A844C0" w:rsidRPr="00EA2431" w14:paraId="02235CF7"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31AE9C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Panama</w:t>
            </w:r>
          </w:p>
        </w:tc>
        <w:tc>
          <w:tcPr>
            <w:tcW w:w="5245" w:type="dxa"/>
            <w:tcBorders>
              <w:top w:val="nil"/>
              <w:left w:val="nil"/>
              <w:bottom w:val="single" w:sz="4" w:space="0" w:color="auto"/>
              <w:right w:val="single" w:sz="4" w:space="0" w:color="auto"/>
            </w:tcBorders>
            <w:shd w:val="clear" w:color="auto" w:fill="auto"/>
            <w:vAlign w:val="center"/>
            <w:hideMark/>
          </w:tcPr>
          <w:p w14:paraId="1A8717E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Environmentally sound management of hazardous wastes containing POPs and Mercury</w:t>
            </w:r>
          </w:p>
        </w:tc>
        <w:tc>
          <w:tcPr>
            <w:tcW w:w="1417" w:type="dxa"/>
            <w:tcBorders>
              <w:top w:val="nil"/>
              <w:left w:val="nil"/>
              <w:bottom w:val="single" w:sz="4" w:space="0" w:color="auto"/>
              <w:right w:val="single" w:sz="4" w:space="0" w:color="auto"/>
            </w:tcBorders>
            <w:shd w:val="clear" w:color="auto" w:fill="auto"/>
            <w:noWrap/>
            <w:vAlign w:val="center"/>
            <w:hideMark/>
          </w:tcPr>
          <w:p w14:paraId="4BAC39D4" w14:textId="72C0563E"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2,730,000 </w:t>
            </w:r>
          </w:p>
        </w:tc>
        <w:tc>
          <w:tcPr>
            <w:tcW w:w="1701" w:type="dxa"/>
            <w:tcBorders>
              <w:top w:val="nil"/>
              <w:left w:val="nil"/>
              <w:bottom w:val="single" w:sz="4" w:space="0" w:color="auto"/>
              <w:right w:val="single" w:sz="4" w:space="0" w:color="auto"/>
            </w:tcBorders>
            <w:shd w:val="clear" w:color="auto" w:fill="auto"/>
            <w:noWrap/>
            <w:vAlign w:val="center"/>
            <w:hideMark/>
          </w:tcPr>
          <w:p w14:paraId="2933561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317B065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Dec-27</w:t>
            </w:r>
          </w:p>
        </w:tc>
        <w:tc>
          <w:tcPr>
            <w:tcW w:w="2268" w:type="dxa"/>
            <w:tcBorders>
              <w:top w:val="nil"/>
              <w:left w:val="nil"/>
              <w:bottom w:val="single" w:sz="4" w:space="0" w:color="auto"/>
              <w:right w:val="single" w:sz="4" w:space="0" w:color="auto"/>
            </w:tcBorders>
            <w:shd w:val="clear" w:color="auto" w:fill="auto"/>
            <w:noWrap/>
            <w:vAlign w:val="center"/>
            <w:hideMark/>
          </w:tcPr>
          <w:p w14:paraId="57AF7B8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0.35</w:t>
            </w:r>
          </w:p>
        </w:tc>
      </w:tr>
      <w:tr w:rsidR="00A844C0" w:rsidRPr="00EA2431" w14:paraId="5D384533"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21B21E90"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Peru</w:t>
            </w:r>
          </w:p>
        </w:tc>
        <w:tc>
          <w:tcPr>
            <w:tcW w:w="5245" w:type="dxa"/>
            <w:tcBorders>
              <w:top w:val="nil"/>
              <w:left w:val="nil"/>
              <w:bottom w:val="single" w:sz="4" w:space="0" w:color="auto"/>
              <w:right w:val="single" w:sz="4" w:space="0" w:color="auto"/>
            </w:tcBorders>
            <w:shd w:val="clear" w:color="auto" w:fill="auto"/>
            <w:vAlign w:val="center"/>
            <w:hideMark/>
          </w:tcPr>
          <w:p w14:paraId="494B41F2"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Environmentally sound management of PCBs, Mercury and Toxic Chemicals in Peru</w:t>
            </w:r>
          </w:p>
        </w:tc>
        <w:tc>
          <w:tcPr>
            <w:tcW w:w="1417" w:type="dxa"/>
            <w:tcBorders>
              <w:top w:val="nil"/>
              <w:left w:val="nil"/>
              <w:bottom w:val="single" w:sz="4" w:space="0" w:color="auto"/>
              <w:right w:val="single" w:sz="4" w:space="0" w:color="auto"/>
            </w:tcBorders>
            <w:shd w:val="clear" w:color="auto" w:fill="auto"/>
            <w:noWrap/>
            <w:vAlign w:val="center"/>
            <w:hideMark/>
          </w:tcPr>
          <w:p w14:paraId="672DC444" w14:textId="4A1BD5B0"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4,725,000 </w:t>
            </w:r>
          </w:p>
        </w:tc>
        <w:tc>
          <w:tcPr>
            <w:tcW w:w="1701" w:type="dxa"/>
            <w:tcBorders>
              <w:top w:val="nil"/>
              <w:left w:val="nil"/>
              <w:bottom w:val="single" w:sz="4" w:space="0" w:color="auto"/>
              <w:right w:val="single" w:sz="4" w:space="0" w:color="auto"/>
            </w:tcBorders>
            <w:shd w:val="clear" w:color="auto" w:fill="auto"/>
            <w:noWrap/>
            <w:vAlign w:val="center"/>
            <w:hideMark/>
          </w:tcPr>
          <w:p w14:paraId="61CF5F5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6B8A338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Oct-28</w:t>
            </w:r>
          </w:p>
        </w:tc>
        <w:tc>
          <w:tcPr>
            <w:tcW w:w="2268" w:type="dxa"/>
            <w:tcBorders>
              <w:top w:val="nil"/>
              <w:left w:val="nil"/>
              <w:bottom w:val="single" w:sz="4" w:space="0" w:color="auto"/>
              <w:right w:val="single" w:sz="4" w:space="0" w:color="auto"/>
            </w:tcBorders>
            <w:shd w:val="clear" w:color="auto" w:fill="auto"/>
            <w:noWrap/>
            <w:vAlign w:val="center"/>
            <w:hideMark/>
          </w:tcPr>
          <w:p w14:paraId="2FE7731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3 MT of mercury waste</w:t>
            </w:r>
          </w:p>
        </w:tc>
      </w:tr>
      <w:tr w:rsidR="00A844C0" w:rsidRPr="00EA2431" w14:paraId="7DBA4259"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52C3A6A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Regional (Ghana, Madagascar, Tanzania, Zambia)</w:t>
            </w:r>
          </w:p>
        </w:tc>
        <w:tc>
          <w:tcPr>
            <w:tcW w:w="5245" w:type="dxa"/>
            <w:tcBorders>
              <w:top w:val="nil"/>
              <w:left w:val="nil"/>
              <w:bottom w:val="single" w:sz="4" w:space="0" w:color="auto"/>
              <w:right w:val="single" w:sz="4" w:space="0" w:color="auto"/>
            </w:tcBorders>
            <w:shd w:val="clear" w:color="auto" w:fill="auto"/>
            <w:vAlign w:val="center"/>
            <w:hideMark/>
          </w:tcPr>
          <w:p w14:paraId="36DDD29A"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Reducing UPOPs and Mercury Releases from the Health Sector in Africa</w:t>
            </w:r>
          </w:p>
        </w:tc>
        <w:tc>
          <w:tcPr>
            <w:tcW w:w="1417" w:type="dxa"/>
            <w:tcBorders>
              <w:top w:val="nil"/>
              <w:left w:val="nil"/>
              <w:bottom w:val="single" w:sz="4" w:space="0" w:color="auto"/>
              <w:right w:val="single" w:sz="4" w:space="0" w:color="auto"/>
            </w:tcBorders>
            <w:shd w:val="clear" w:color="auto" w:fill="auto"/>
            <w:noWrap/>
            <w:vAlign w:val="center"/>
            <w:hideMark/>
          </w:tcPr>
          <w:p w14:paraId="76E527AC" w14:textId="793C4735"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6,453,195 </w:t>
            </w:r>
          </w:p>
        </w:tc>
        <w:tc>
          <w:tcPr>
            <w:tcW w:w="1701" w:type="dxa"/>
            <w:tcBorders>
              <w:top w:val="nil"/>
              <w:left w:val="nil"/>
              <w:bottom w:val="single" w:sz="4" w:space="0" w:color="auto"/>
              <w:right w:val="single" w:sz="4" w:space="0" w:color="auto"/>
            </w:tcBorders>
            <w:shd w:val="clear" w:color="auto" w:fill="auto"/>
            <w:noWrap/>
            <w:vAlign w:val="center"/>
            <w:hideMark/>
          </w:tcPr>
          <w:p w14:paraId="502FE77F"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58D0D04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5DD2DECD"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NA</w:t>
            </w:r>
          </w:p>
        </w:tc>
      </w:tr>
      <w:tr w:rsidR="00A844C0" w:rsidRPr="00EA2431" w14:paraId="6A6CD708"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D90556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Regional (Mauritius, Seychelles, Comoros, Maldives)</w:t>
            </w:r>
          </w:p>
        </w:tc>
        <w:tc>
          <w:tcPr>
            <w:tcW w:w="5245" w:type="dxa"/>
            <w:tcBorders>
              <w:top w:val="nil"/>
              <w:left w:val="nil"/>
              <w:bottom w:val="single" w:sz="4" w:space="0" w:color="auto"/>
              <w:right w:val="single" w:sz="4" w:space="0" w:color="auto"/>
            </w:tcBorders>
            <w:shd w:val="clear" w:color="auto" w:fill="auto"/>
            <w:vAlign w:val="center"/>
            <w:hideMark/>
          </w:tcPr>
          <w:p w14:paraId="5529410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Implementing Sustainable Low and Non-Chemical Development in SIDS (ISLANDS): Indian Ocean component</w:t>
            </w:r>
          </w:p>
        </w:tc>
        <w:tc>
          <w:tcPr>
            <w:tcW w:w="1417" w:type="dxa"/>
            <w:tcBorders>
              <w:top w:val="nil"/>
              <w:left w:val="nil"/>
              <w:bottom w:val="single" w:sz="4" w:space="0" w:color="auto"/>
              <w:right w:val="single" w:sz="4" w:space="0" w:color="auto"/>
            </w:tcBorders>
            <w:shd w:val="clear" w:color="auto" w:fill="auto"/>
            <w:noWrap/>
            <w:vAlign w:val="center"/>
            <w:hideMark/>
          </w:tcPr>
          <w:p w14:paraId="2AB0D069" w14:textId="73F9FF88"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$ 13,000,000 </w:t>
            </w:r>
          </w:p>
        </w:tc>
        <w:tc>
          <w:tcPr>
            <w:tcW w:w="1701" w:type="dxa"/>
            <w:tcBorders>
              <w:top w:val="nil"/>
              <w:left w:val="nil"/>
              <w:bottom w:val="single" w:sz="4" w:space="0" w:color="auto"/>
              <w:right w:val="single" w:sz="4" w:space="0" w:color="auto"/>
            </w:tcBorders>
            <w:shd w:val="clear" w:color="auto" w:fill="auto"/>
            <w:noWrap/>
            <w:vAlign w:val="center"/>
            <w:hideMark/>
          </w:tcPr>
          <w:p w14:paraId="5C381353"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6E4A466B"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July-27</w:t>
            </w:r>
          </w:p>
        </w:tc>
        <w:tc>
          <w:tcPr>
            <w:tcW w:w="2268" w:type="dxa"/>
            <w:tcBorders>
              <w:top w:val="nil"/>
              <w:left w:val="nil"/>
              <w:bottom w:val="single" w:sz="4" w:space="0" w:color="auto"/>
              <w:right w:val="single" w:sz="4" w:space="0" w:color="auto"/>
            </w:tcBorders>
            <w:shd w:val="clear" w:color="auto" w:fill="auto"/>
            <w:noWrap/>
            <w:vAlign w:val="center"/>
            <w:hideMark/>
          </w:tcPr>
          <w:p w14:paraId="327C6CF6"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1.573      </w:t>
            </w:r>
          </w:p>
        </w:tc>
      </w:tr>
      <w:tr w:rsidR="00A844C0" w:rsidRPr="00EA2431" w14:paraId="1308580A" w14:textId="77777777" w:rsidTr="009248E6">
        <w:trPr>
          <w:trHeight w:val="29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6C823A8D"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Uruguay</w:t>
            </w:r>
          </w:p>
        </w:tc>
        <w:tc>
          <w:tcPr>
            <w:tcW w:w="5245" w:type="dxa"/>
            <w:tcBorders>
              <w:top w:val="nil"/>
              <w:left w:val="nil"/>
              <w:bottom w:val="single" w:sz="4" w:space="0" w:color="auto"/>
              <w:right w:val="single" w:sz="4" w:space="0" w:color="auto"/>
            </w:tcBorders>
            <w:shd w:val="clear" w:color="auto" w:fill="auto"/>
            <w:vAlign w:val="center"/>
            <w:hideMark/>
          </w:tcPr>
          <w:p w14:paraId="5B0D1B9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Environmental Sound Life-Cycle Management of Mercury Containing Products and their Wastes</w:t>
            </w:r>
          </w:p>
        </w:tc>
        <w:tc>
          <w:tcPr>
            <w:tcW w:w="1417" w:type="dxa"/>
            <w:tcBorders>
              <w:top w:val="nil"/>
              <w:left w:val="nil"/>
              <w:bottom w:val="single" w:sz="4" w:space="0" w:color="auto"/>
              <w:right w:val="single" w:sz="4" w:space="0" w:color="auto"/>
            </w:tcBorders>
            <w:shd w:val="clear" w:color="auto" w:fill="auto"/>
            <w:noWrap/>
            <w:vAlign w:val="center"/>
            <w:hideMark/>
          </w:tcPr>
          <w:p w14:paraId="20E89779" w14:textId="6ED618BB"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3,713,400 </w:t>
            </w:r>
          </w:p>
        </w:tc>
        <w:tc>
          <w:tcPr>
            <w:tcW w:w="1701" w:type="dxa"/>
            <w:tcBorders>
              <w:top w:val="nil"/>
              <w:left w:val="nil"/>
              <w:bottom w:val="single" w:sz="4" w:space="0" w:color="auto"/>
              <w:right w:val="single" w:sz="4" w:space="0" w:color="auto"/>
            </w:tcBorders>
            <w:shd w:val="clear" w:color="auto" w:fill="auto"/>
            <w:noWrap/>
            <w:vAlign w:val="center"/>
            <w:hideMark/>
          </w:tcPr>
          <w:p w14:paraId="1607BD19"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Financial Completion</w:t>
            </w:r>
          </w:p>
        </w:tc>
        <w:tc>
          <w:tcPr>
            <w:tcW w:w="1276" w:type="dxa"/>
            <w:tcBorders>
              <w:top w:val="nil"/>
              <w:left w:val="nil"/>
              <w:bottom w:val="single" w:sz="4" w:space="0" w:color="auto"/>
              <w:right w:val="single" w:sz="4" w:space="0" w:color="auto"/>
            </w:tcBorders>
            <w:shd w:val="clear" w:color="auto" w:fill="auto"/>
            <w:noWrap/>
            <w:vAlign w:val="center"/>
            <w:hideMark/>
          </w:tcPr>
          <w:p w14:paraId="41EE2E2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Completed</w:t>
            </w:r>
          </w:p>
        </w:tc>
        <w:tc>
          <w:tcPr>
            <w:tcW w:w="2268" w:type="dxa"/>
            <w:tcBorders>
              <w:top w:val="nil"/>
              <w:left w:val="nil"/>
              <w:bottom w:val="single" w:sz="4" w:space="0" w:color="auto"/>
              <w:right w:val="single" w:sz="4" w:space="0" w:color="auto"/>
            </w:tcBorders>
            <w:shd w:val="clear" w:color="auto" w:fill="auto"/>
            <w:noWrap/>
            <w:vAlign w:val="center"/>
            <w:hideMark/>
          </w:tcPr>
          <w:p w14:paraId="696CEE8C"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Disposal of 0.033 kg of mercury waste and </w:t>
            </w:r>
            <w:r w:rsidRPr="00EA2431">
              <w:rPr>
                <w:rFonts w:asciiTheme="majorBidi" w:hAnsiTheme="majorBidi" w:cstheme="majorBidi"/>
                <w:color w:val="000000"/>
                <w:sz w:val="18"/>
                <w:szCs w:val="18"/>
                <w:lang w:val="en"/>
              </w:rPr>
              <w:t>reduce mercury by 0.073 kg per year.</w:t>
            </w:r>
          </w:p>
        </w:tc>
      </w:tr>
      <w:tr w:rsidR="00A844C0" w:rsidRPr="00EA2431" w14:paraId="1C58314C" w14:textId="77777777" w:rsidTr="009248E6">
        <w:trPr>
          <w:trHeight w:val="53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2262FAE"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Viet Nam</w:t>
            </w:r>
          </w:p>
        </w:tc>
        <w:tc>
          <w:tcPr>
            <w:tcW w:w="5245" w:type="dxa"/>
            <w:tcBorders>
              <w:top w:val="nil"/>
              <w:left w:val="nil"/>
              <w:bottom w:val="single" w:sz="4" w:space="0" w:color="auto"/>
              <w:right w:val="single" w:sz="4" w:space="0" w:color="auto"/>
            </w:tcBorders>
            <w:shd w:val="clear" w:color="auto" w:fill="auto"/>
            <w:vAlign w:val="center"/>
            <w:hideMark/>
          </w:tcPr>
          <w:p w14:paraId="4DFFFAF4"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Reduce the impact and release of mercury and POPs in Vietnam through lifecycle approach and green labeling</w:t>
            </w:r>
          </w:p>
        </w:tc>
        <w:tc>
          <w:tcPr>
            <w:tcW w:w="1417" w:type="dxa"/>
            <w:tcBorders>
              <w:top w:val="nil"/>
              <w:left w:val="nil"/>
              <w:bottom w:val="single" w:sz="4" w:space="0" w:color="auto"/>
              <w:right w:val="single" w:sz="4" w:space="0" w:color="auto"/>
            </w:tcBorders>
            <w:shd w:val="clear" w:color="auto" w:fill="auto"/>
            <w:noWrap/>
            <w:vAlign w:val="center"/>
            <w:hideMark/>
          </w:tcPr>
          <w:p w14:paraId="704B4D30" w14:textId="2E5B91E1"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 xml:space="preserve">$   4,600,050 </w:t>
            </w:r>
          </w:p>
        </w:tc>
        <w:tc>
          <w:tcPr>
            <w:tcW w:w="1701" w:type="dxa"/>
            <w:tcBorders>
              <w:top w:val="nil"/>
              <w:left w:val="nil"/>
              <w:bottom w:val="single" w:sz="4" w:space="0" w:color="auto"/>
              <w:right w:val="single" w:sz="4" w:space="0" w:color="auto"/>
            </w:tcBorders>
            <w:shd w:val="clear" w:color="auto" w:fill="auto"/>
            <w:noWrap/>
            <w:vAlign w:val="center"/>
            <w:hideMark/>
          </w:tcPr>
          <w:p w14:paraId="13DD0F8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Under implementation</w:t>
            </w:r>
          </w:p>
        </w:tc>
        <w:tc>
          <w:tcPr>
            <w:tcW w:w="1276" w:type="dxa"/>
            <w:tcBorders>
              <w:top w:val="nil"/>
              <w:left w:val="nil"/>
              <w:bottom w:val="single" w:sz="4" w:space="0" w:color="auto"/>
              <w:right w:val="single" w:sz="4" w:space="0" w:color="auto"/>
            </w:tcBorders>
            <w:shd w:val="clear" w:color="auto" w:fill="auto"/>
            <w:noWrap/>
            <w:vAlign w:val="center"/>
            <w:hideMark/>
          </w:tcPr>
          <w:p w14:paraId="22A91625"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Sep-28</w:t>
            </w:r>
          </w:p>
        </w:tc>
        <w:tc>
          <w:tcPr>
            <w:tcW w:w="2268" w:type="dxa"/>
            <w:tcBorders>
              <w:top w:val="nil"/>
              <w:left w:val="nil"/>
              <w:bottom w:val="single" w:sz="4" w:space="0" w:color="auto"/>
              <w:right w:val="single" w:sz="4" w:space="0" w:color="auto"/>
            </w:tcBorders>
            <w:shd w:val="clear" w:color="auto" w:fill="auto"/>
            <w:noWrap/>
            <w:vAlign w:val="center"/>
            <w:hideMark/>
          </w:tcPr>
          <w:p w14:paraId="4BC33F17" w14:textId="77777777" w:rsidR="002E7F62" w:rsidRPr="00EA2431" w:rsidRDefault="002E7F62" w:rsidP="004C5A0A">
            <w:pPr>
              <w:spacing w:after="60"/>
              <w:rPr>
                <w:rFonts w:asciiTheme="majorBidi" w:hAnsiTheme="majorBidi" w:cstheme="majorBidi"/>
                <w:color w:val="000000"/>
                <w:sz w:val="18"/>
                <w:szCs w:val="18"/>
              </w:rPr>
            </w:pPr>
            <w:r w:rsidRPr="00EA2431">
              <w:rPr>
                <w:rFonts w:asciiTheme="majorBidi" w:hAnsiTheme="majorBidi" w:cstheme="majorBidi"/>
                <w:color w:val="000000"/>
                <w:sz w:val="18"/>
                <w:szCs w:val="18"/>
              </w:rPr>
              <w:t>0.658</w:t>
            </w:r>
          </w:p>
        </w:tc>
      </w:tr>
    </w:tbl>
    <w:p w14:paraId="2E59F1EF" w14:textId="77777777" w:rsidR="008476F8" w:rsidRDefault="008476F8">
      <w:r>
        <w:br w:type="page"/>
      </w:r>
    </w:p>
    <w:tbl>
      <w:tblPr>
        <w:tblW w:w="14699" w:type="dxa"/>
        <w:tblLook w:val="04A0" w:firstRow="1" w:lastRow="0" w:firstColumn="1" w:lastColumn="0" w:noHBand="0" w:noVBand="1"/>
      </w:tblPr>
      <w:tblGrid>
        <w:gridCol w:w="5729"/>
        <w:gridCol w:w="5971"/>
        <w:gridCol w:w="2999"/>
      </w:tblGrid>
      <w:tr w:rsidR="002E7F62" w:rsidRPr="00EA2431" w14:paraId="7D1CF96F" w14:textId="77777777" w:rsidTr="008476F8">
        <w:trPr>
          <w:trHeight w:val="260"/>
        </w:trPr>
        <w:tc>
          <w:tcPr>
            <w:tcW w:w="5729" w:type="dxa"/>
            <w:tcBorders>
              <w:top w:val="nil"/>
              <w:left w:val="nil"/>
              <w:bottom w:val="nil"/>
              <w:right w:val="nil"/>
            </w:tcBorders>
            <w:shd w:val="clear" w:color="auto" w:fill="auto"/>
            <w:noWrap/>
            <w:vAlign w:val="center"/>
            <w:hideMark/>
          </w:tcPr>
          <w:p w14:paraId="71EB1A11" w14:textId="09C6E55E" w:rsidR="002E7F62" w:rsidRPr="00EA2431" w:rsidRDefault="002E7F62" w:rsidP="004C5A0A">
            <w:pPr>
              <w:spacing w:before="240" w:after="60"/>
              <w:rPr>
                <w:b/>
                <w:bCs/>
                <w:color w:val="000000"/>
              </w:rPr>
            </w:pPr>
            <w:r w:rsidRPr="00EA2431">
              <w:lastRenderedPageBreak/>
              <w:t>Table 2:</w:t>
            </w:r>
            <w:r w:rsidRPr="00EA2431">
              <w:rPr>
                <w:b/>
                <w:bCs/>
              </w:rPr>
              <w:t xml:space="preserve"> </w:t>
            </w:r>
            <w:r w:rsidRPr="00EA2431">
              <w:rPr>
                <w:b/>
                <w:bCs/>
                <w:color w:val="000000"/>
              </w:rPr>
              <w:t>Enabling Activities (EAs)</w:t>
            </w:r>
          </w:p>
        </w:tc>
        <w:tc>
          <w:tcPr>
            <w:tcW w:w="5971" w:type="dxa"/>
            <w:tcBorders>
              <w:top w:val="nil"/>
              <w:left w:val="nil"/>
              <w:bottom w:val="nil"/>
              <w:right w:val="nil"/>
            </w:tcBorders>
            <w:shd w:val="clear" w:color="auto" w:fill="auto"/>
            <w:noWrap/>
            <w:vAlign w:val="center"/>
            <w:hideMark/>
          </w:tcPr>
          <w:p w14:paraId="6353FD54" w14:textId="77777777" w:rsidR="002E7F62" w:rsidRPr="00EA2431" w:rsidRDefault="002E7F62" w:rsidP="004C5A0A">
            <w:pPr>
              <w:spacing w:after="60"/>
              <w:rPr>
                <w:b/>
                <w:bCs/>
                <w:color w:val="000000"/>
              </w:rPr>
            </w:pPr>
          </w:p>
        </w:tc>
        <w:tc>
          <w:tcPr>
            <w:tcW w:w="2999" w:type="dxa"/>
            <w:tcBorders>
              <w:top w:val="nil"/>
              <w:left w:val="nil"/>
              <w:bottom w:val="nil"/>
              <w:right w:val="nil"/>
            </w:tcBorders>
            <w:shd w:val="clear" w:color="auto" w:fill="auto"/>
            <w:noWrap/>
            <w:vAlign w:val="center"/>
            <w:hideMark/>
          </w:tcPr>
          <w:p w14:paraId="282A62CC" w14:textId="77777777" w:rsidR="002E7F62" w:rsidRPr="00EA2431" w:rsidRDefault="002E7F62" w:rsidP="004C5A0A">
            <w:pPr>
              <w:spacing w:after="60"/>
              <w:rPr>
                <w:color w:val="000000"/>
              </w:rPr>
            </w:pPr>
            <w:r w:rsidRPr="00EA2431">
              <w:rPr>
                <w:color w:val="000000"/>
              </w:rPr>
              <w:t> </w:t>
            </w:r>
          </w:p>
        </w:tc>
      </w:tr>
      <w:tr w:rsidR="002E7F62" w:rsidRPr="00416763" w14:paraId="0DA4DA5B" w14:textId="77777777" w:rsidTr="008476F8">
        <w:trPr>
          <w:trHeight w:val="260"/>
        </w:trPr>
        <w:tc>
          <w:tcPr>
            <w:tcW w:w="57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A028C" w14:textId="77777777" w:rsidR="002E7F62" w:rsidRPr="008476F8" w:rsidRDefault="002E7F62" w:rsidP="004C5A0A">
            <w:pPr>
              <w:spacing w:after="60"/>
              <w:rPr>
                <w:rFonts w:asciiTheme="majorBidi" w:hAnsiTheme="majorBidi" w:cstheme="majorBidi"/>
                <w:b/>
                <w:bCs/>
                <w:color w:val="000000"/>
                <w:sz w:val="18"/>
                <w:szCs w:val="18"/>
              </w:rPr>
            </w:pPr>
            <w:r w:rsidRPr="008476F8">
              <w:rPr>
                <w:rFonts w:asciiTheme="majorBidi" w:hAnsiTheme="majorBidi" w:cstheme="majorBidi"/>
                <w:b/>
                <w:bCs/>
                <w:color w:val="000000"/>
                <w:sz w:val="18"/>
                <w:szCs w:val="18"/>
              </w:rPr>
              <w:t>Country</w:t>
            </w:r>
          </w:p>
        </w:tc>
        <w:tc>
          <w:tcPr>
            <w:tcW w:w="5971" w:type="dxa"/>
            <w:tcBorders>
              <w:top w:val="single" w:sz="4" w:space="0" w:color="auto"/>
              <w:left w:val="nil"/>
              <w:bottom w:val="single" w:sz="4" w:space="0" w:color="auto"/>
              <w:right w:val="single" w:sz="4" w:space="0" w:color="auto"/>
            </w:tcBorders>
            <w:shd w:val="clear" w:color="auto" w:fill="auto"/>
            <w:noWrap/>
            <w:vAlign w:val="center"/>
          </w:tcPr>
          <w:p w14:paraId="3E608C00" w14:textId="77777777" w:rsidR="002E7F62" w:rsidRPr="008476F8" w:rsidRDefault="002E7F62" w:rsidP="004C5A0A">
            <w:pPr>
              <w:spacing w:after="60"/>
              <w:rPr>
                <w:rFonts w:asciiTheme="majorBidi" w:hAnsiTheme="majorBidi" w:cstheme="majorBidi"/>
                <w:b/>
                <w:bCs/>
                <w:color w:val="000000"/>
                <w:sz w:val="18"/>
                <w:szCs w:val="18"/>
              </w:rPr>
            </w:pPr>
            <w:r w:rsidRPr="008476F8">
              <w:rPr>
                <w:rFonts w:asciiTheme="majorBidi" w:hAnsiTheme="majorBidi" w:cstheme="majorBidi"/>
                <w:b/>
                <w:bCs/>
                <w:color w:val="000000"/>
                <w:sz w:val="18"/>
                <w:szCs w:val="18"/>
              </w:rPr>
              <w:t>Title</w:t>
            </w:r>
          </w:p>
        </w:tc>
        <w:tc>
          <w:tcPr>
            <w:tcW w:w="2999" w:type="dxa"/>
            <w:tcBorders>
              <w:top w:val="single" w:sz="4" w:space="0" w:color="auto"/>
              <w:left w:val="nil"/>
              <w:bottom w:val="single" w:sz="4" w:space="0" w:color="auto"/>
              <w:right w:val="single" w:sz="4" w:space="0" w:color="auto"/>
            </w:tcBorders>
            <w:shd w:val="clear" w:color="auto" w:fill="auto"/>
            <w:noWrap/>
            <w:vAlign w:val="center"/>
          </w:tcPr>
          <w:p w14:paraId="18E7BF5C" w14:textId="77777777" w:rsidR="002E7F62" w:rsidRPr="008476F8" w:rsidRDefault="002E7F62" w:rsidP="004C5A0A">
            <w:pPr>
              <w:spacing w:after="60"/>
              <w:rPr>
                <w:rFonts w:asciiTheme="majorBidi" w:hAnsiTheme="majorBidi" w:cstheme="majorBidi"/>
                <w:b/>
                <w:bCs/>
                <w:color w:val="000000"/>
                <w:sz w:val="18"/>
                <w:szCs w:val="18"/>
              </w:rPr>
            </w:pPr>
            <w:r w:rsidRPr="008476F8">
              <w:rPr>
                <w:rFonts w:asciiTheme="majorBidi" w:hAnsiTheme="majorBidi" w:cstheme="majorBidi"/>
                <w:b/>
                <w:bCs/>
                <w:color w:val="000000"/>
                <w:sz w:val="18"/>
                <w:szCs w:val="18"/>
              </w:rPr>
              <w:t>GEF Grant</w:t>
            </w:r>
          </w:p>
        </w:tc>
      </w:tr>
      <w:tr w:rsidR="002E7F62" w:rsidRPr="00416763" w14:paraId="2F466251" w14:textId="77777777" w:rsidTr="008476F8">
        <w:trPr>
          <w:trHeight w:val="260"/>
        </w:trPr>
        <w:tc>
          <w:tcPr>
            <w:tcW w:w="5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995C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Georgia</w:t>
            </w:r>
          </w:p>
        </w:tc>
        <w:tc>
          <w:tcPr>
            <w:tcW w:w="5971" w:type="dxa"/>
            <w:tcBorders>
              <w:top w:val="single" w:sz="4" w:space="0" w:color="auto"/>
              <w:left w:val="nil"/>
              <w:bottom w:val="single" w:sz="4" w:space="0" w:color="auto"/>
              <w:right w:val="single" w:sz="4" w:space="0" w:color="auto"/>
            </w:tcBorders>
            <w:shd w:val="clear" w:color="auto" w:fill="auto"/>
            <w:noWrap/>
            <w:vAlign w:val="center"/>
            <w:hideMark/>
          </w:tcPr>
          <w:p w14:paraId="6FD48A8C"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single" w:sz="4" w:space="0" w:color="auto"/>
              <w:left w:val="nil"/>
              <w:bottom w:val="single" w:sz="4" w:space="0" w:color="auto"/>
              <w:right w:val="single" w:sz="4" w:space="0" w:color="auto"/>
            </w:tcBorders>
            <w:shd w:val="clear" w:color="auto" w:fill="auto"/>
            <w:noWrap/>
            <w:vAlign w:val="center"/>
            <w:hideMark/>
          </w:tcPr>
          <w:p w14:paraId="47D41C16"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5302E5C5"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3A368D9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Global (Bangladesh, Guinea Bissau, Mauritania, Mozambique, Samoa)</w:t>
            </w:r>
          </w:p>
        </w:tc>
        <w:tc>
          <w:tcPr>
            <w:tcW w:w="5971" w:type="dxa"/>
            <w:tcBorders>
              <w:top w:val="nil"/>
              <w:left w:val="nil"/>
              <w:bottom w:val="single" w:sz="4" w:space="0" w:color="auto"/>
              <w:right w:val="single" w:sz="4" w:space="0" w:color="auto"/>
            </w:tcBorders>
            <w:shd w:val="clear" w:color="auto" w:fill="auto"/>
            <w:noWrap/>
            <w:vAlign w:val="center"/>
            <w:hideMark/>
          </w:tcPr>
          <w:p w14:paraId="59E30E0F"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769F295E"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1,000,000 </w:t>
            </w:r>
          </w:p>
        </w:tc>
      </w:tr>
      <w:tr w:rsidR="002E7F62" w:rsidRPr="00416763" w14:paraId="2F7EBF2F"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3135A2B0"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Guyana</w:t>
            </w:r>
          </w:p>
        </w:tc>
        <w:tc>
          <w:tcPr>
            <w:tcW w:w="5971" w:type="dxa"/>
            <w:tcBorders>
              <w:top w:val="nil"/>
              <w:left w:val="nil"/>
              <w:bottom w:val="single" w:sz="4" w:space="0" w:color="auto"/>
              <w:right w:val="single" w:sz="4" w:space="0" w:color="auto"/>
            </w:tcBorders>
            <w:shd w:val="clear" w:color="auto" w:fill="auto"/>
            <w:noWrap/>
            <w:vAlign w:val="center"/>
            <w:hideMark/>
          </w:tcPr>
          <w:p w14:paraId="71AF17E5"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6534A3D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5876C68B"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2C793183"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Seychelles</w:t>
            </w:r>
          </w:p>
        </w:tc>
        <w:tc>
          <w:tcPr>
            <w:tcW w:w="5971" w:type="dxa"/>
            <w:tcBorders>
              <w:top w:val="nil"/>
              <w:left w:val="nil"/>
              <w:bottom w:val="single" w:sz="4" w:space="0" w:color="auto"/>
              <w:right w:val="single" w:sz="4" w:space="0" w:color="auto"/>
            </w:tcBorders>
            <w:shd w:val="clear" w:color="auto" w:fill="auto"/>
            <w:noWrap/>
            <w:vAlign w:val="center"/>
            <w:hideMark/>
          </w:tcPr>
          <w:p w14:paraId="406D3459"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387E184B"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199,100 </w:t>
            </w:r>
          </w:p>
        </w:tc>
      </w:tr>
      <w:tr w:rsidR="002E7F62" w:rsidRPr="00416763" w14:paraId="30C55198"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5FAB9F68"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Panama</w:t>
            </w:r>
          </w:p>
        </w:tc>
        <w:tc>
          <w:tcPr>
            <w:tcW w:w="5971" w:type="dxa"/>
            <w:tcBorders>
              <w:top w:val="nil"/>
              <w:left w:val="nil"/>
              <w:bottom w:val="single" w:sz="4" w:space="0" w:color="auto"/>
              <w:right w:val="single" w:sz="4" w:space="0" w:color="auto"/>
            </w:tcBorders>
            <w:shd w:val="clear" w:color="auto" w:fill="auto"/>
            <w:noWrap/>
            <w:vAlign w:val="center"/>
            <w:hideMark/>
          </w:tcPr>
          <w:p w14:paraId="560F3B9C"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216EBFEB"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400,000 </w:t>
            </w:r>
          </w:p>
        </w:tc>
      </w:tr>
      <w:tr w:rsidR="002E7F62" w:rsidRPr="00416763" w14:paraId="1EC53C4F"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1CD8090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Serbia</w:t>
            </w:r>
          </w:p>
        </w:tc>
        <w:tc>
          <w:tcPr>
            <w:tcW w:w="5971" w:type="dxa"/>
            <w:tcBorders>
              <w:top w:val="nil"/>
              <w:left w:val="nil"/>
              <w:bottom w:val="single" w:sz="4" w:space="0" w:color="auto"/>
              <w:right w:val="single" w:sz="4" w:space="0" w:color="auto"/>
            </w:tcBorders>
            <w:shd w:val="clear" w:color="auto" w:fill="auto"/>
            <w:noWrap/>
            <w:vAlign w:val="center"/>
            <w:hideMark/>
          </w:tcPr>
          <w:p w14:paraId="26DF8FC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699BF2F9"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2D65B3CA"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0FA77439"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Malaysia</w:t>
            </w:r>
          </w:p>
        </w:tc>
        <w:tc>
          <w:tcPr>
            <w:tcW w:w="5971" w:type="dxa"/>
            <w:tcBorders>
              <w:top w:val="nil"/>
              <w:left w:val="nil"/>
              <w:bottom w:val="single" w:sz="4" w:space="0" w:color="auto"/>
              <w:right w:val="single" w:sz="4" w:space="0" w:color="auto"/>
            </w:tcBorders>
            <w:shd w:val="clear" w:color="auto" w:fill="auto"/>
            <w:noWrap/>
            <w:vAlign w:val="center"/>
            <w:hideMark/>
          </w:tcPr>
          <w:p w14:paraId="26227A29"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13B54D5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250,000 </w:t>
            </w:r>
          </w:p>
        </w:tc>
      </w:tr>
      <w:tr w:rsidR="002E7F62" w:rsidRPr="00416763" w14:paraId="25500043"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31AF1F68"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Montenegro</w:t>
            </w:r>
          </w:p>
        </w:tc>
        <w:tc>
          <w:tcPr>
            <w:tcW w:w="5971" w:type="dxa"/>
            <w:tcBorders>
              <w:top w:val="nil"/>
              <w:left w:val="nil"/>
              <w:bottom w:val="single" w:sz="4" w:space="0" w:color="auto"/>
              <w:right w:val="single" w:sz="4" w:space="0" w:color="auto"/>
            </w:tcBorders>
            <w:shd w:val="clear" w:color="auto" w:fill="auto"/>
            <w:noWrap/>
            <w:vAlign w:val="center"/>
            <w:hideMark/>
          </w:tcPr>
          <w:p w14:paraId="26549626"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16110095"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09076F15"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0926E3A8"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Bosnia &amp; Herzegovina</w:t>
            </w:r>
          </w:p>
        </w:tc>
        <w:tc>
          <w:tcPr>
            <w:tcW w:w="5971" w:type="dxa"/>
            <w:tcBorders>
              <w:top w:val="nil"/>
              <w:left w:val="nil"/>
              <w:bottom w:val="single" w:sz="4" w:space="0" w:color="auto"/>
              <w:right w:val="single" w:sz="4" w:space="0" w:color="auto"/>
            </w:tcBorders>
            <w:shd w:val="clear" w:color="auto" w:fill="auto"/>
            <w:noWrap/>
            <w:vAlign w:val="center"/>
            <w:hideMark/>
          </w:tcPr>
          <w:p w14:paraId="33F86B4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5C38C5C1"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02203C98"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7D3D36AB"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Jordan</w:t>
            </w:r>
          </w:p>
        </w:tc>
        <w:tc>
          <w:tcPr>
            <w:tcW w:w="5971" w:type="dxa"/>
            <w:tcBorders>
              <w:top w:val="nil"/>
              <w:left w:val="nil"/>
              <w:bottom w:val="single" w:sz="4" w:space="0" w:color="auto"/>
              <w:right w:val="single" w:sz="4" w:space="0" w:color="auto"/>
            </w:tcBorders>
            <w:shd w:val="clear" w:color="auto" w:fill="auto"/>
            <w:noWrap/>
            <w:vAlign w:val="center"/>
            <w:hideMark/>
          </w:tcPr>
          <w:p w14:paraId="3067273F"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00596FBC"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24AE2342"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29C136A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Azerbaijan</w:t>
            </w:r>
          </w:p>
        </w:tc>
        <w:tc>
          <w:tcPr>
            <w:tcW w:w="5971" w:type="dxa"/>
            <w:tcBorders>
              <w:top w:val="nil"/>
              <w:left w:val="nil"/>
              <w:bottom w:val="single" w:sz="4" w:space="0" w:color="auto"/>
              <w:right w:val="single" w:sz="4" w:space="0" w:color="auto"/>
            </w:tcBorders>
            <w:shd w:val="clear" w:color="auto" w:fill="auto"/>
            <w:noWrap/>
            <w:vAlign w:val="center"/>
            <w:hideMark/>
          </w:tcPr>
          <w:p w14:paraId="745AD662"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5BDF6838"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680AAF3D"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478B5891"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Ghana</w:t>
            </w:r>
          </w:p>
        </w:tc>
        <w:tc>
          <w:tcPr>
            <w:tcW w:w="5971" w:type="dxa"/>
            <w:tcBorders>
              <w:top w:val="nil"/>
              <w:left w:val="nil"/>
              <w:bottom w:val="single" w:sz="4" w:space="0" w:color="auto"/>
              <w:right w:val="single" w:sz="4" w:space="0" w:color="auto"/>
            </w:tcBorders>
            <w:shd w:val="clear" w:color="auto" w:fill="auto"/>
            <w:noWrap/>
            <w:vAlign w:val="center"/>
            <w:hideMark/>
          </w:tcPr>
          <w:p w14:paraId="47D1985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4ECEA131"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18DA796A"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7CF19A36"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Kazakhstan</w:t>
            </w:r>
          </w:p>
        </w:tc>
        <w:tc>
          <w:tcPr>
            <w:tcW w:w="5971" w:type="dxa"/>
            <w:tcBorders>
              <w:top w:val="nil"/>
              <w:left w:val="nil"/>
              <w:bottom w:val="single" w:sz="4" w:space="0" w:color="auto"/>
              <w:right w:val="single" w:sz="4" w:space="0" w:color="auto"/>
            </w:tcBorders>
            <w:shd w:val="clear" w:color="auto" w:fill="auto"/>
            <w:noWrap/>
            <w:vAlign w:val="center"/>
            <w:hideMark/>
          </w:tcPr>
          <w:p w14:paraId="5BB60EC3"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7261467F"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400,000 </w:t>
            </w:r>
          </w:p>
        </w:tc>
      </w:tr>
      <w:tr w:rsidR="002E7F62" w:rsidRPr="00416763" w14:paraId="7E6E6ADA"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107093FA"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Albania</w:t>
            </w:r>
          </w:p>
        </w:tc>
        <w:tc>
          <w:tcPr>
            <w:tcW w:w="5971" w:type="dxa"/>
            <w:tcBorders>
              <w:top w:val="nil"/>
              <w:left w:val="nil"/>
              <w:bottom w:val="single" w:sz="4" w:space="0" w:color="auto"/>
              <w:right w:val="single" w:sz="4" w:space="0" w:color="auto"/>
            </w:tcBorders>
            <w:shd w:val="clear" w:color="auto" w:fill="auto"/>
            <w:noWrap/>
            <w:vAlign w:val="center"/>
            <w:hideMark/>
          </w:tcPr>
          <w:p w14:paraId="49E9A7B3"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23D35B9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65B1B09C"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6D061EB6"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India</w:t>
            </w:r>
          </w:p>
        </w:tc>
        <w:tc>
          <w:tcPr>
            <w:tcW w:w="5971" w:type="dxa"/>
            <w:tcBorders>
              <w:top w:val="nil"/>
              <w:left w:val="nil"/>
              <w:bottom w:val="single" w:sz="4" w:space="0" w:color="auto"/>
              <w:right w:val="single" w:sz="4" w:space="0" w:color="auto"/>
            </w:tcBorders>
            <w:shd w:val="clear" w:color="auto" w:fill="auto"/>
            <w:noWrap/>
            <w:vAlign w:val="center"/>
            <w:hideMark/>
          </w:tcPr>
          <w:p w14:paraId="1ED50D27"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6E664D55"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1,000,000 </w:t>
            </w:r>
          </w:p>
        </w:tc>
      </w:tr>
      <w:tr w:rsidR="002E7F62" w:rsidRPr="00416763" w14:paraId="0E8D5F0E"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6CD13EE4"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Argentina</w:t>
            </w:r>
          </w:p>
        </w:tc>
        <w:tc>
          <w:tcPr>
            <w:tcW w:w="5971" w:type="dxa"/>
            <w:tcBorders>
              <w:top w:val="nil"/>
              <w:left w:val="nil"/>
              <w:bottom w:val="single" w:sz="4" w:space="0" w:color="auto"/>
              <w:right w:val="single" w:sz="4" w:space="0" w:color="auto"/>
            </w:tcBorders>
            <w:shd w:val="clear" w:color="auto" w:fill="auto"/>
            <w:noWrap/>
            <w:vAlign w:val="center"/>
            <w:hideMark/>
          </w:tcPr>
          <w:p w14:paraId="32669216"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23FF2724"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400,000 </w:t>
            </w:r>
          </w:p>
        </w:tc>
      </w:tr>
      <w:tr w:rsidR="002E7F62" w:rsidRPr="00416763" w14:paraId="612B580C"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608460CB"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Suriname</w:t>
            </w:r>
          </w:p>
        </w:tc>
        <w:tc>
          <w:tcPr>
            <w:tcW w:w="5971" w:type="dxa"/>
            <w:tcBorders>
              <w:top w:val="nil"/>
              <w:left w:val="nil"/>
              <w:bottom w:val="single" w:sz="4" w:space="0" w:color="auto"/>
              <w:right w:val="single" w:sz="4" w:space="0" w:color="auto"/>
            </w:tcBorders>
            <w:shd w:val="clear" w:color="auto" w:fill="auto"/>
            <w:noWrap/>
            <w:vAlign w:val="center"/>
            <w:hideMark/>
          </w:tcPr>
          <w:p w14:paraId="51823B3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Artisanal and Small-Scale Gold Mining (ASGM) National Action Plan (NAP)</w:t>
            </w:r>
          </w:p>
        </w:tc>
        <w:tc>
          <w:tcPr>
            <w:tcW w:w="2999" w:type="dxa"/>
            <w:tcBorders>
              <w:top w:val="nil"/>
              <w:left w:val="nil"/>
              <w:bottom w:val="single" w:sz="4" w:space="0" w:color="auto"/>
              <w:right w:val="single" w:sz="4" w:space="0" w:color="auto"/>
            </w:tcBorders>
            <w:shd w:val="clear" w:color="auto" w:fill="auto"/>
            <w:noWrap/>
            <w:vAlign w:val="center"/>
            <w:hideMark/>
          </w:tcPr>
          <w:p w14:paraId="0C2777CB"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500,000 </w:t>
            </w:r>
          </w:p>
        </w:tc>
      </w:tr>
      <w:tr w:rsidR="002E7F62" w:rsidRPr="00416763" w14:paraId="616D8088"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56DDB221"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Morocco</w:t>
            </w:r>
          </w:p>
        </w:tc>
        <w:tc>
          <w:tcPr>
            <w:tcW w:w="5971" w:type="dxa"/>
            <w:tcBorders>
              <w:top w:val="nil"/>
              <w:left w:val="nil"/>
              <w:bottom w:val="single" w:sz="4" w:space="0" w:color="auto"/>
              <w:right w:val="single" w:sz="4" w:space="0" w:color="auto"/>
            </w:tcBorders>
            <w:shd w:val="clear" w:color="auto" w:fill="auto"/>
            <w:noWrap/>
            <w:vAlign w:val="center"/>
            <w:hideMark/>
          </w:tcPr>
          <w:p w14:paraId="120779C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43D870D5"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r w:rsidR="002E7F62" w:rsidRPr="00416763" w14:paraId="20B99223" w14:textId="77777777" w:rsidTr="008476F8">
        <w:trPr>
          <w:trHeight w:val="260"/>
        </w:trPr>
        <w:tc>
          <w:tcPr>
            <w:tcW w:w="5729" w:type="dxa"/>
            <w:tcBorders>
              <w:top w:val="nil"/>
              <w:left w:val="single" w:sz="4" w:space="0" w:color="auto"/>
              <w:bottom w:val="single" w:sz="4" w:space="0" w:color="auto"/>
              <w:right w:val="single" w:sz="4" w:space="0" w:color="auto"/>
            </w:tcBorders>
            <w:shd w:val="clear" w:color="auto" w:fill="auto"/>
            <w:noWrap/>
            <w:vAlign w:val="center"/>
            <w:hideMark/>
          </w:tcPr>
          <w:p w14:paraId="40E8C37D"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Suriname</w:t>
            </w:r>
          </w:p>
        </w:tc>
        <w:tc>
          <w:tcPr>
            <w:tcW w:w="5971" w:type="dxa"/>
            <w:tcBorders>
              <w:top w:val="nil"/>
              <w:left w:val="nil"/>
              <w:bottom w:val="single" w:sz="4" w:space="0" w:color="auto"/>
              <w:right w:val="single" w:sz="4" w:space="0" w:color="auto"/>
            </w:tcBorders>
            <w:shd w:val="clear" w:color="auto" w:fill="auto"/>
            <w:noWrap/>
            <w:vAlign w:val="center"/>
            <w:hideMark/>
          </w:tcPr>
          <w:p w14:paraId="3CA06355"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Minamata Initial Assessment</w:t>
            </w:r>
          </w:p>
        </w:tc>
        <w:tc>
          <w:tcPr>
            <w:tcW w:w="2999" w:type="dxa"/>
            <w:tcBorders>
              <w:top w:val="nil"/>
              <w:left w:val="nil"/>
              <w:bottom w:val="single" w:sz="4" w:space="0" w:color="auto"/>
              <w:right w:val="single" w:sz="4" w:space="0" w:color="auto"/>
            </w:tcBorders>
            <w:shd w:val="clear" w:color="auto" w:fill="auto"/>
            <w:noWrap/>
            <w:vAlign w:val="center"/>
            <w:hideMark/>
          </w:tcPr>
          <w:p w14:paraId="700F944F" w14:textId="77777777" w:rsidR="002E7F62" w:rsidRPr="008476F8" w:rsidRDefault="002E7F62" w:rsidP="004C5A0A">
            <w:pPr>
              <w:spacing w:after="60"/>
              <w:rPr>
                <w:rFonts w:asciiTheme="majorBidi" w:hAnsiTheme="majorBidi" w:cstheme="majorBidi"/>
                <w:color w:val="000000"/>
                <w:sz w:val="18"/>
                <w:szCs w:val="18"/>
              </w:rPr>
            </w:pPr>
            <w:r w:rsidRPr="008476F8">
              <w:rPr>
                <w:rFonts w:asciiTheme="majorBidi" w:hAnsiTheme="majorBidi" w:cstheme="majorBidi"/>
                <w:color w:val="000000"/>
                <w:sz w:val="18"/>
                <w:szCs w:val="18"/>
              </w:rPr>
              <w:t xml:space="preserve"> $            200,000 </w:t>
            </w:r>
          </w:p>
        </w:tc>
      </w:tr>
    </w:tbl>
    <w:p w14:paraId="0A2810E0" w14:textId="77777777" w:rsidR="002E7F62" w:rsidRPr="008476F8" w:rsidRDefault="002E7F62" w:rsidP="002E7F62">
      <w:pPr>
        <w:pStyle w:val="Normal-pool"/>
        <w:rPr>
          <w:sz w:val="18"/>
          <w:szCs w:val="18"/>
        </w:rPr>
      </w:pPr>
    </w:p>
    <w:p w14:paraId="3E1C11C7" w14:textId="77777777" w:rsidR="002E7F62" w:rsidRPr="008476F8" w:rsidRDefault="002E7F62" w:rsidP="002E7F62">
      <w:pPr>
        <w:pStyle w:val="Normal-pool"/>
        <w:rPr>
          <w:sz w:val="18"/>
          <w:szCs w:val="18"/>
        </w:rPr>
      </w:pPr>
      <w:r w:rsidRPr="008476F8">
        <w:rPr>
          <w:sz w:val="18"/>
          <w:szCs w:val="18"/>
        </w:rPr>
        <w:t>* Indicates total GEF project grants, which includes amount allocated for mercury reduction among other chemicals activities.</w:t>
      </w:r>
    </w:p>
    <w:p w14:paraId="794C6EC5" w14:textId="55E2E62B" w:rsidR="003A15AC" w:rsidRDefault="003A15AC" w:rsidP="003A15AC">
      <w:pPr>
        <w:pStyle w:val="CH1"/>
        <w:rPr>
          <w:sz w:val="24"/>
          <w:szCs w:val="24"/>
        </w:rPr>
      </w:pPr>
    </w:p>
    <w:p w14:paraId="74373B76" w14:textId="77777777" w:rsidR="002E7F62" w:rsidRDefault="002E7F62">
      <w:pPr>
        <w:tabs>
          <w:tab w:val="clear" w:pos="1247"/>
          <w:tab w:val="clear" w:pos="1814"/>
          <w:tab w:val="clear" w:pos="2381"/>
          <w:tab w:val="clear" w:pos="2948"/>
          <w:tab w:val="clear" w:pos="3515"/>
        </w:tabs>
        <w:rPr>
          <w:sz w:val="24"/>
          <w:szCs w:val="24"/>
        </w:rPr>
        <w:sectPr w:rsidR="002E7F62" w:rsidSect="002E7F62">
          <w:headerReference w:type="even" r:id="rId22"/>
          <w:headerReference w:type="default" r:id="rId23"/>
          <w:footerReference w:type="even" r:id="rId24"/>
          <w:footerReference w:type="default" r:id="rId25"/>
          <w:headerReference w:type="first" r:id="rId26"/>
          <w:footerReference w:type="first" r:id="rId27"/>
          <w:pgSz w:w="16839" w:h="11907" w:orient="landscape" w:code="9"/>
          <w:pgMar w:top="907" w:right="992" w:bottom="1418" w:left="1418" w:header="539" w:footer="975" w:gutter="0"/>
          <w:cols w:space="539"/>
          <w:titlePg/>
          <w:docGrid w:linePitch="360"/>
        </w:sectPr>
      </w:pPr>
    </w:p>
    <w:p w14:paraId="65644A26" w14:textId="72A3F33E" w:rsidR="00E721E8" w:rsidRDefault="00255548" w:rsidP="00E721E8">
      <w:pPr>
        <w:pStyle w:val="ZZAnxheader"/>
        <w:rPr>
          <w:szCs w:val="28"/>
        </w:rPr>
      </w:pPr>
      <w:bookmarkStart w:id="16" w:name="_Toc207891623"/>
      <w:bookmarkStart w:id="17" w:name="_Toc144133040"/>
      <w:bookmarkStart w:id="18" w:name="_Toc1673971820"/>
      <w:bookmarkStart w:id="19" w:name="_Toc147247974"/>
      <w:r>
        <w:lastRenderedPageBreak/>
        <w:t>Annex II</w:t>
      </w:r>
      <w:bookmarkStart w:id="20" w:name="_Toc440288336"/>
      <w:bookmarkEnd w:id="16"/>
    </w:p>
    <w:bookmarkEnd w:id="20"/>
    <w:p w14:paraId="125592E8" w14:textId="77D68C80" w:rsidR="00CC270C" w:rsidRPr="005E0B5E" w:rsidRDefault="00CC270C" w:rsidP="00CC270C">
      <w:pPr>
        <w:pStyle w:val="Normalnumber"/>
        <w:snapToGrid w:val="0"/>
        <w:spacing w:before="360"/>
        <w:ind w:left="1247"/>
        <w:rPr>
          <w:b/>
          <w:bCs/>
          <w:sz w:val="28"/>
          <w:szCs w:val="28"/>
          <w:lang w:val="en-GB"/>
        </w:rPr>
      </w:pPr>
      <w:r>
        <w:rPr>
          <w:b/>
          <w:bCs/>
          <w:sz w:val="28"/>
          <w:szCs w:val="28"/>
          <w:lang w:val="en-GB"/>
        </w:rPr>
        <w:t>Effective public</w:t>
      </w:r>
      <w:r w:rsidRPr="00F05A5F">
        <w:rPr>
          <w:b/>
          <w:bCs/>
          <w:sz w:val="28"/>
          <w:szCs w:val="28"/>
          <w:lang w:val="en-GB"/>
        </w:rPr>
        <w:t xml:space="preserve"> access to information, public participation in decision-making and access to justice in environmental matters through implementing the Aarhus Convention, its Protocol on </w:t>
      </w:r>
      <w:r w:rsidR="002405D9" w:rsidRPr="002405D9">
        <w:rPr>
          <w:b/>
          <w:bCs/>
          <w:sz w:val="28"/>
          <w:szCs w:val="28"/>
          <w:lang w:val="en-GB"/>
        </w:rPr>
        <w:t xml:space="preserve">Pollutant Release and Transfer Registers </w:t>
      </w:r>
      <w:r w:rsidR="002405D9">
        <w:rPr>
          <w:b/>
          <w:bCs/>
          <w:sz w:val="28"/>
          <w:szCs w:val="28"/>
          <w:lang w:val="en-GB"/>
        </w:rPr>
        <w:t>(</w:t>
      </w:r>
      <w:r w:rsidRPr="00F05A5F">
        <w:rPr>
          <w:b/>
          <w:bCs/>
          <w:sz w:val="28"/>
          <w:szCs w:val="28"/>
          <w:lang w:val="en-GB"/>
        </w:rPr>
        <w:t>PRTRs</w:t>
      </w:r>
      <w:r w:rsidR="002405D9">
        <w:rPr>
          <w:b/>
          <w:bCs/>
          <w:sz w:val="28"/>
          <w:szCs w:val="28"/>
          <w:lang w:val="en-GB"/>
        </w:rPr>
        <w:t>)</w:t>
      </w:r>
      <w:r w:rsidRPr="00F05A5F">
        <w:rPr>
          <w:b/>
          <w:bCs/>
          <w:sz w:val="28"/>
          <w:szCs w:val="28"/>
          <w:lang w:val="en-GB"/>
        </w:rPr>
        <w:t xml:space="preserve"> and the Minamata Convention in synergy</w:t>
      </w:r>
    </w:p>
    <w:p w14:paraId="77F19563" w14:textId="77777777" w:rsidR="00CC270C" w:rsidRDefault="00CC270C" w:rsidP="00CC270C">
      <w:pPr>
        <w:pStyle w:val="NormalNonumber"/>
        <w:jc w:val="both"/>
        <w:rPr>
          <w:lang w:val="en-GB"/>
        </w:rPr>
      </w:pPr>
      <w:r>
        <w:rPr>
          <w:lang w:val="en-GB"/>
        </w:rPr>
        <w:t>1.</w:t>
      </w:r>
      <w:r>
        <w:rPr>
          <w:lang w:val="en-GB"/>
        </w:rPr>
        <w:tab/>
        <w:t>Effective public</w:t>
      </w:r>
      <w:r w:rsidRPr="00040CA6">
        <w:rPr>
          <w:lang w:val="en-GB"/>
        </w:rPr>
        <w:t xml:space="preserve"> access to information, </w:t>
      </w:r>
      <w:r w:rsidRPr="00C07BF6">
        <w:rPr>
          <w:lang w:val="en-GB"/>
        </w:rPr>
        <w:t>public</w:t>
      </w:r>
      <w:r w:rsidRPr="00040CA6">
        <w:rPr>
          <w:lang w:val="en-GB"/>
        </w:rPr>
        <w:t xml:space="preserve"> participation</w:t>
      </w:r>
      <w:r>
        <w:rPr>
          <w:lang w:val="en-GB"/>
        </w:rPr>
        <w:t xml:space="preserve"> in decision-making and</w:t>
      </w:r>
      <w:r w:rsidRPr="00040CA6">
        <w:rPr>
          <w:lang w:val="en-GB"/>
        </w:rPr>
        <w:t xml:space="preserve"> access to justice </w:t>
      </w:r>
      <w:r>
        <w:rPr>
          <w:lang w:val="en-GB"/>
        </w:rPr>
        <w:t>together with</w:t>
      </w:r>
      <w:r w:rsidRPr="00040CA6">
        <w:rPr>
          <w:lang w:val="en-GB"/>
        </w:rPr>
        <w:t xml:space="preserve"> information</w:t>
      </w:r>
      <w:r>
        <w:rPr>
          <w:lang w:val="en-GB"/>
        </w:rPr>
        <w:t xml:space="preserve"> systems</w:t>
      </w:r>
      <w:r w:rsidRPr="00040CA6">
        <w:rPr>
          <w:lang w:val="en-GB"/>
        </w:rPr>
        <w:t xml:space="preserve"> </w:t>
      </w:r>
      <w:r>
        <w:rPr>
          <w:lang w:val="en-GB"/>
        </w:rPr>
        <w:t>specifying</w:t>
      </w:r>
      <w:r w:rsidRPr="00040CA6">
        <w:rPr>
          <w:lang w:val="en-GB"/>
        </w:rPr>
        <w:t xml:space="preserve"> sources</w:t>
      </w:r>
      <w:r>
        <w:rPr>
          <w:lang w:val="en-GB"/>
        </w:rPr>
        <w:t xml:space="preserve"> and quantities of emissions and releases</w:t>
      </w:r>
      <w:r w:rsidRPr="00040CA6">
        <w:rPr>
          <w:lang w:val="en-GB"/>
        </w:rPr>
        <w:t xml:space="preserve"> of pollution, </w:t>
      </w:r>
      <w:r>
        <w:rPr>
          <w:lang w:val="en-GB"/>
        </w:rPr>
        <w:t>are</w:t>
      </w:r>
      <w:r w:rsidRPr="00040CA6">
        <w:rPr>
          <w:lang w:val="en-GB"/>
        </w:rPr>
        <w:t xml:space="preserve"> </w:t>
      </w:r>
      <w:r>
        <w:rPr>
          <w:lang w:val="en-GB"/>
        </w:rPr>
        <w:t>among the supporting elements that</w:t>
      </w:r>
      <w:r w:rsidRPr="00040CA6">
        <w:rPr>
          <w:lang w:val="en-GB"/>
        </w:rPr>
        <w:t xml:space="preserve"> facilitate </w:t>
      </w:r>
      <w:r>
        <w:rPr>
          <w:lang w:val="en-GB"/>
        </w:rPr>
        <w:t>effective</w:t>
      </w:r>
      <w:r w:rsidRPr="00040CA6">
        <w:rPr>
          <w:lang w:val="en-GB"/>
        </w:rPr>
        <w:t xml:space="preserve"> governance models and transparency</w:t>
      </w:r>
      <w:r>
        <w:rPr>
          <w:lang w:val="en-GB"/>
        </w:rPr>
        <w:t xml:space="preserve"> in the context of implementing multilateral environmental agreements and related frameworks and initiatives</w:t>
      </w:r>
      <w:r w:rsidRPr="00040CA6">
        <w:rPr>
          <w:lang w:val="en-GB"/>
        </w:rPr>
        <w:t xml:space="preserve">. </w:t>
      </w:r>
      <w:r>
        <w:rPr>
          <w:lang w:val="en-GB"/>
        </w:rPr>
        <w:t>Integrating these elements in related activities</w:t>
      </w:r>
      <w:r w:rsidRPr="00040CA6">
        <w:rPr>
          <w:lang w:val="en-GB"/>
        </w:rPr>
        <w:t xml:space="preserve"> </w:t>
      </w:r>
      <w:r>
        <w:rPr>
          <w:lang w:val="en-GB"/>
        </w:rPr>
        <w:t>can help for instance</w:t>
      </w:r>
      <w:r w:rsidRPr="00040CA6">
        <w:rPr>
          <w:lang w:val="en-GB"/>
        </w:rPr>
        <w:t xml:space="preserve"> </w:t>
      </w:r>
      <w:r>
        <w:rPr>
          <w:lang w:val="en-GB"/>
        </w:rPr>
        <w:t xml:space="preserve">making </w:t>
      </w:r>
      <w:r w:rsidRPr="00040CA6">
        <w:rPr>
          <w:lang w:val="en-GB"/>
        </w:rPr>
        <w:t>polic</w:t>
      </w:r>
      <w:r>
        <w:rPr>
          <w:lang w:val="en-GB"/>
        </w:rPr>
        <w:t>ies evidence-based and more effective</w:t>
      </w:r>
      <w:r w:rsidRPr="00040CA6">
        <w:rPr>
          <w:lang w:val="en-GB"/>
        </w:rPr>
        <w:t xml:space="preserve"> and</w:t>
      </w:r>
      <w:r>
        <w:rPr>
          <w:lang w:val="en-GB"/>
        </w:rPr>
        <w:t xml:space="preserve"> enable</w:t>
      </w:r>
      <w:r w:rsidRPr="00040CA6">
        <w:rPr>
          <w:lang w:val="en-GB"/>
        </w:rPr>
        <w:t xml:space="preserve"> decision-making that drive</w:t>
      </w:r>
      <w:r>
        <w:rPr>
          <w:lang w:val="en-GB"/>
        </w:rPr>
        <w:t>s</w:t>
      </w:r>
      <w:r w:rsidRPr="00040CA6">
        <w:rPr>
          <w:lang w:val="en-GB"/>
        </w:rPr>
        <w:t xml:space="preserve"> change and improve</w:t>
      </w:r>
      <w:r>
        <w:rPr>
          <w:lang w:val="en-GB"/>
        </w:rPr>
        <w:t>s</w:t>
      </w:r>
      <w:r w:rsidRPr="00040CA6">
        <w:rPr>
          <w:lang w:val="en-GB"/>
        </w:rPr>
        <w:t xml:space="preserve"> </w:t>
      </w:r>
      <w:r>
        <w:rPr>
          <w:lang w:val="en-GB"/>
        </w:rPr>
        <w:t>for example the quality of air and water</w:t>
      </w:r>
      <w:r w:rsidRPr="00040CA6">
        <w:rPr>
          <w:lang w:val="en-GB"/>
        </w:rPr>
        <w:t xml:space="preserve"> – supporting</w:t>
      </w:r>
      <w:r>
        <w:rPr>
          <w:lang w:val="en-GB"/>
        </w:rPr>
        <w:t xml:space="preserve"> also</w:t>
      </w:r>
      <w:r w:rsidRPr="00040CA6">
        <w:rPr>
          <w:lang w:val="en-GB"/>
        </w:rPr>
        <w:t xml:space="preserve"> the respective human rights. </w:t>
      </w:r>
    </w:p>
    <w:p w14:paraId="09FCDF45" w14:textId="536E8F62" w:rsidR="00CC270C" w:rsidRDefault="00CC270C" w:rsidP="00CC270C">
      <w:pPr>
        <w:pStyle w:val="NormalNonumber"/>
        <w:jc w:val="both"/>
        <w:rPr>
          <w:lang w:val="en-GB"/>
        </w:rPr>
      </w:pPr>
      <w:r>
        <w:rPr>
          <w:lang w:val="en-GB"/>
        </w:rPr>
        <w:t>2.</w:t>
      </w:r>
      <w:r>
        <w:rPr>
          <w:lang w:val="en-GB"/>
        </w:rPr>
        <w:tab/>
      </w:r>
      <w:r w:rsidRPr="004033F7">
        <w:rPr>
          <w:lang w:val="en-GB"/>
        </w:rPr>
        <w:t>The</w:t>
      </w:r>
      <w:r>
        <w:rPr>
          <w:lang w:val="en-GB"/>
        </w:rPr>
        <w:t xml:space="preserve"> </w:t>
      </w:r>
      <w:hyperlink r:id="rId28" w:history="1">
        <w:r w:rsidRPr="004033F7">
          <w:rPr>
            <w:rStyle w:val="Hyperlink"/>
            <w:lang w:val="en-GB"/>
          </w:rPr>
          <w:t>Convention on Access to Information, Public Participation in Decision-making and Access to Justice in Environmental Matters</w:t>
        </w:r>
      </w:hyperlink>
      <w:r>
        <w:rPr>
          <w:lang w:val="en-GB"/>
        </w:rPr>
        <w:t xml:space="preserve"> </w:t>
      </w:r>
      <w:r w:rsidRPr="004033F7">
        <w:rPr>
          <w:lang w:val="en-GB"/>
        </w:rPr>
        <w:t>(Aarhus Convention) and the Protocol on Pollutant Release and Transfer Registers (Protocol on PRTRs)</w:t>
      </w:r>
      <w:r>
        <w:rPr>
          <w:rStyle w:val="FootnoteReference"/>
          <w:lang w:val="en-GB"/>
        </w:rPr>
        <w:footnoteReference w:id="4"/>
      </w:r>
      <w:r w:rsidRPr="00820EE8">
        <w:rPr>
          <w:lang w:val="en-GB"/>
        </w:rPr>
        <w:t xml:space="preserve"> </w:t>
      </w:r>
      <w:r w:rsidRPr="004033F7">
        <w:rPr>
          <w:lang w:val="en-GB"/>
        </w:rPr>
        <w:t xml:space="preserve">are well-recognised and established tools that support environmental management and decision making across sectors. </w:t>
      </w:r>
      <w:r w:rsidRPr="005E5917">
        <w:rPr>
          <w:lang w:val="en-GB"/>
        </w:rPr>
        <w:t>They provide a solid framework for governments to engage the public</w:t>
      </w:r>
      <w:r>
        <w:rPr>
          <w:lang w:val="en-GB"/>
        </w:rPr>
        <w:t xml:space="preserve"> and other stakeholders</w:t>
      </w:r>
      <w:r w:rsidRPr="005E5917">
        <w:rPr>
          <w:lang w:val="en-GB"/>
        </w:rPr>
        <w:t xml:space="preserve"> effectively</w:t>
      </w:r>
      <w:r>
        <w:rPr>
          <w:lang w:val="en-GB"/>
        </w:rPr>
        <w:t xml:space="preserve">. </w:t>
      </w:r>
      <w:r w:rsidRPr="006B59B2">
        <w:rPr>
          <w:lang w:val="en-GB"/>
        </w:rPr>
        <w:t>Both treaties are open for accession by any U</w:t>
      </w:r>
      <w:r>
        <w:rPr>
          <w:lang w:val="en-GB"/>
        </w:rPr>
        <w:t xml:space="preserve">nited </w:t>
      </w:r>
      <w:r w:rsidRPr="006B59B2">
        <w:rPr>
          <w:lang w:val="en-GB"/>
        </w:rPr>
        <w:t>N</w:t>
      </w:r>
      <w:r>
        <w:rPr>
          <w:lang w:val="en-GB"/>
        </w:rPr>
        <w:t>ations</w:t>
      </w:r>
      <w:r w:rsidRPr="006B59B2">
        <w:rPr>
          <w:lang w:val="en-GB"/>
        </w:rPr>
        <w:t xml:space="preserve"> Member State.</w:t>
      </w:r>
    </w:p>
    <w:p w14:paraId="450E078C" w14:textId="0DF356EF" w:rsidR="00CC270C" w:rsidRPr="006F6102" w:rsidRDefault="00CC270C" w:rsidP="006F6102">
      <w:pPr>
        <w:pStyle w:val="NormalNonumber"/>
        <w:jc w:val="both"/>
        <w:rPr>
          <w:b/>
          <w:bCs/>
          <w:lang w:val="en-GB"/>
        </w:rPr>
      </w:pPr>
      <w:r w:rsidRPr="006F6102">
        <w:rPr>
          <w:b/>
          <w:bCs/>
          <w:lang w:val="en-GB"/>
        </w:rPr>
        <w:t>User-friendly access to information and digitalization</w:t>
      </w:r>
    </w:p>
    <w:p w14:paraId="46446984" w14:textId="72B4F2F6" w:rsidR="00CC270C" w:rsidRPr="00472B03" w:rsidRDefault="00CC270C" w:rsidP="00CC270C">
      <w:pPr>
        <w:pStyle w:val="NormalNonumber"/>
        <w:ind w:left="1276"/>
        <w:jc w:val="both"/>
      </w:pPr>
      <w:r>
        <w:t>3.</w:t>
      </w:r>
      <w:r>
        <w:tab/>
        <w:t>Importantly</w:t>
      </w:r>
      <w:r w:rsidRPr="00472B03">
        <w:t xml:space="preserve">, </w:t>
      </w:r>
      <w:r>
        <w:t>implementing the Aarhus Convention and its Protocol on PRTRs</w:t>
      </w:r>
      <w:r w:rsidRPr="00472B03">
        <w:t xml:space="preserve">, </w:t>
      </w:r>
      <w:r>
        <w:t xml:space="preserve">supports countries </w:t>
      </w:r>
      <w:r w:rsidRPr="00472B03">
        <w:t xml:space="preserve">with the development of </w:t>
      </w:r>
      <w:r>
        <w:t xml:space="preserve">modern digital environmental information system and the </w:t>
      </w:r>
      <w:r w:rsidRPr="00472B03">
        <w:t>digital public infrastructure</w:t>
      </w:r>
      <w:r>
        <w:t xml:space="preserve"> through guidance material, exchange on experience on the topic and harmonized approaches regarding design and structure for disseminating environmental information.</w:t>
      </w:r>
      <w:r>
        <w:rPr>
          <w:rStyle w:val="FootnoteReference"/>
        </w:rPr>
        <w:footnoteReference w:id="5"/>
      </w:r>
      <w:r>
        <w:t xml:space="preserve"> Digital infrastructure, such as promoted through these instruments is</w:t>
      </w:r>
      <w:r w:rsidRPr="00472B03">
        <w:t xml:space="preserve"> a key element to effectively solve some of the challenges we are facing</w:t>
      </w:r>
      <w:r>
        <w:t xml:space="preserve"> for example in i</w:t>
      </w:r>
      <w:r w:rsidRPr="00472B03">
        <w:t>mplementing</w:t>
      </w:r>
      <w:r>
        <w:t xml:space="preserve"> </w:t>
      </w:r>
      <w:r w:rsidRPr="00472B03">
        <w:t>the whole of government and whole of society approach</w:t>
      </w:r>
      <w:r>
        <w:t xml:space="preserve">. Advancing modern digital infrastructure has multiple benefits and can </w:t>
      </w:r>
      <w:r w:rsidRPr="00472B03">
        <w:t>also help</w:t>
      </w:r>
      <w:r>
        <w:t xml:space="preserve"> </w:t>
      </w:r>
      <w:r w:rsidRPr="00472B03">
        <w:t xml:space="preserve">to better conserve the institutional memory in the relevant </w:t>
      </w:r>
      <w:r>
        <w:t xml:space="preserve">authorities and other </w:t>
      </w:r>
      <w:r w:rsidRPr="00472B03">
        <w:t>organizations</w:t>
      </w:r>
      <w:r>
        <w:t>, supporting capacity building activities and knowledge transfer</w:t>
      </w:r>
      <w:r w:rsidRPr="00472B03">
        <w:t>.</w:t>
      </w:r>
      <w:r>
        <w:t xml:space="preserve"> </w:t>
      </w:r>
    </w:p>
    <w:p w14:paraId="4990B6C2" w14:textId="77777777" w:rsidR="00CC270C" w:rsidRPr="00F05A5F" w:rsidRDefault="00CC270C" w:rsidP="00CC270C">
      <w:pPr>
        <w:pStyle w:val="NormalNonumber"/>
        <w:jc w:val="both"/>
        <w:rPr>
          <w:b/>
          <w:bCs/>
          <w:lang w:val="en-GB"/>
        </w:rPr>
      </w:pPr>
      <w:r w:rsidRPr="00F05A5F">
        <w:rPr>
          <w:b/>
          <w:bCs/>
          <w:lang w:val="en-GB"/>
        </w:rPr>
        <w:t>Linkages with the Minamata Convention</w:t>
      </w:r>
    </w:p>
    <w:p w14:paraId="4FC00718" w14:textId="77777777" w:rsidR="00CC270C" w:rsidRDefault="00CC270C" w:rsidP="00CC270C">
      <w:pPr>
        <w:pStyle w:val="NormalNonumber"/>
        <w:jc w:val="both"/>
        <w:rPr>
          <w:lang w:val="en-GB"/>
        </w:rPr>
      </w:pPr>
      <w:r>
        <w:rPr>
          <w:lang w:val="en-GB"/>
        </w:rPr>
        <w:t>4.</w:t>
      </w:r>
      <w:r>
        <w:rPr>
          <w:lang w:val="en-GB"/>
        </w:rPr>
        <w:tab/>
        <w:t>Activities related to implementing the Aarhus Convention and the Protocol on PRTRs directly relate to the implementation of the Minamata Convention, including concerning articles 5 (m</w:t>
      </w:r>
      <w:r w:rsidRPr="00611B0B">
        <w:rPr>
          <w:lang w:val="en-GB"/>
        </w:rPr>
        <w:t>anufacturing processes in which mercury or mercury compounds are used</w:t>
      </w:r>
      <w:r>
        <w:rPr>
          <w:lang w:val="en-GB"/>
        </w:rPr>
        <w:t xml:space="preserve">), 7 (artisanal and small-scale gold mining), 8 (emissions), 9 (releases), 12 (contaminated sites), 18 (public information, awareness and education) and 19 (research, development and monitoring). In the same way, progress in implementing related activities under the Minamata Convention also further the implementation of the Aarhus Convention and the Protocol on PRTRs respective objectives, including to contribute to the protection of the right of every person of present and future generations to live in an environment adequate to his or her health and well-being, and to contribute to the prevention and reduction of pollution of the environment. </w:t>
      </w:r>
    </w:p>
    <w:p w14:paraId="14DCFCA9" w14:textId="77777777" w:rsidR="00CC270C" w:rsidRDefault="00CC270C" w:rsidP="00CC270C">
      <w:pPr>
        <w:snapToGrid w:val="0"/>
        <w:spacing w:line="276" w:lineRule="auto"/>
        <w:ind w:left="1276"/>
        <w:jc w:val="both"/>
      </w:pPr>
      <w:r>
        <w:t>5.</w:t>
      </w:r>
      <w:r>
        <w:tab/>
      </w:r>
      <w:r w:rsidRPr="00E05447">
        <w:t>The</w:t>
      </w:r>
      <w:r>
        <w:t xml:space="preserve"> Aarhus</w:t>
      </w:r>
      <w:r w:rsidRPr="00E05447">
        <w:t xml:space="preserve"> Convention establishes Parties’ obligations to guarantee</w:t>
      </w:r>
      <w:r>
        <w:t>:</w:t>
      </w:r>
    </w:p>
    <w:p w14:paraId="7CD5AA2B" w14:textId="6EF70896" w:rsidR="00CC270C" w:rsidRPr="0050367F" w:rsidRDefault="00CC270C" w:rsidP="0050367F">
      <w:pPr>
        <w:pStyle w:val="Normalnumber"/>
        <w:numPr>
          <w:ilvl w:val="0"/>
          <w:numId w:val="36"/>
        </w:numPr>
        <w:ind w:left="1247" w:firstLine="624"/>
      </w:pPr>
      <w:r w:rsidRPr="0050367F">
        <w:t>Public access to information by ensuring that public authorities collect, provide access to upon request (</w:t>
      </w:r>
      <w:hyperlink r:id="rId29" w:history="1">
        <w:r w:rsidRPr="0050367F">
          <w:rPr>
            <w:rStyle w:val="Hyperlink"/>
          </w:rPr>
          <w:t>article 4</w:t>
        </w:r>
      </w:hyperlink>
      <w:r w:rsidRPr="0050367F">
        <w:t>) and disseminate environmental information (</w:t>
      </w:r>
      <w:hyperlink r:id="rId30" w:history="1">
        <w:r w:rsidRPr="0050367F">
          <w:rPr>
            <w:rStyle w:val="Hyperlink"/>
          </w:rPr>
          <w:t>article 5</w:t>
        </w:r>
      </w:hyperlink>
      <w:r w:rsidRPr="0050367F">
        <w:t xml:space="preserve">) to the public routinely and in case of threats to human health and the environment. This information includes, inter alia, any information on the state of the environment, including air and atmosphere, and factors affecting or likely to affect the environment such as emissions and releases of mercury and mercury </w:t>
      </w:r>
      <w:proofErr w:type="gramStart"/>
      <w:r w:rsidRPr="0050367F">
        <w:t>compounds;</w:t>
      </w:r>
      <w:proofErr w:type="gramEnd"/>
    </w:p>
    <w:p w14:paraId="2BEE3E77" w14:textId="3077342E" w:rsidR="00CC270C" w:rsidRPr="0050367F" w:rsidRDefault="00CC270C" w:rsidP="0050367F">
      <w:pPr>
        <w:pStyle w:val="Normalnumber"/>
        <w:numPr>
          <w:ilvl w:val="0"/>
          <w:numId w:val="36"/>
        </w:numPr>
        <w:ind w:left="1247" w:firstLine="624"/>
      </w:pPr>
      <w:r w:rsidRPr="0050367F">
        <w:t>Public participation in decision-making on activities that may have significant effect on the environment (</w:t>
      </w:r>
      <w:hyperlink r:id="rId31" w:history="1">
        <w:r w:rsidRPr="0050367F">
          <w:rPr>
            <w:rStyle w:val="Hyperlink"/>
          </w:rPr>
          <w:t>article 6 and Annex I</w:t>
        </w:r>
      </w:hyperlink>
      <w:r w:rsidRPr="0050367F">
        <w:t xml:space="preserve">, including within environmental impact assessment and </w:t>
      </w:r>
      <w:r w:rsidRPr="0050367F">
        <w:lastRenderedPageBreak/>
        <w:t xml:space="preserve">permitting procedures) and during the preparation of plans, </w:t>
      </w:r>
      <w:proofErr w:type="spellStart"/>
      <w:r w:rsidRPr="0050367F">
        <w:t>programmes</w:t>
      </w:r>
      <w:proofErr w:type="spellEnd"/>
      <w:r w:rsidRPr="0050367F">
        <w:t>, policies (</w:t>
      </w:r>
      <w:hyperlink r:id="rId32" w:history="1">
        <w:r w:rsidRPr="0050367F">
          <w:rPr>
            <w:rStyle w:val="Hyperlink"/>
          </w:rPr>
          <w:t>article 7</w:t>
        </w:r>
      </w:hyperlink>
      <w:r w:rsidRPr="0050367F">
        <w:t>) and legislation (</w:t>
      </w:r>
      <w:hyperlink r:id="rId33" w:history="1">
        <w:r w:rsidRPr="0050367F">
          <w:rPr>
            <w:rStyle w:val="Hyperlink"/>
          </w:rPr>
          <w:t>article 8</w:t>
        </w:r>
      </w:hyperlink>
      <w:r w:rsidRPr="0050367F">
        <w:t>) relating to the environment</w:t>
      </w:r>
      <w:bookmarkStart w:id="21" w:name="_Hlk197680586"/>
      <w:r w:rsidRPr="0050367F">
        <w:t xml:space="preserve">, in particular with regard to mining, relevant manufacturing processes, waste management and pollution </w:t>
      </w:r>
      <w:bookmarkEnd w:id="21"/>
      <w:r w:rsidRPr="0050367F">
        <w:t>matters;</w:t>
      </w:r>
    </w:p>
    <w:p w14:paraId="6DDF2508" w14:textId="24B0DE17" w:rsidR="00CC270C" w:rsidRPr="0050367F" w:rsidRDefault="00CC270C" w:rsidP="0050367F">
      <w:pPr>
        <w:pStyle w:val="Normalnumber"/>
        <w:numPr>
          <w:ilvl w:val="0"/>
          <w:numId w:val="36"/>
        </w:numPr>
        <w:ind w:left="1247" w:firstLine="624"/>
      </w:pPr>
      <w:r w:rsidRPr="0050367F">
        <w:t>public access to review procedures (</w:t>
      </w:r>
      <w:hyperlink r:id="rId34" w:history="1">
        <w:r w:rsidRPr="0050367F">
          <w:rPr>
            <w:rStyle w:val="Hyperlink"/>
          </w:rPr>
          <w:t>article 9</w:t>
        </w:r>
      </w:hyperlink>
      <w:r w:rsidRPr="0050367F">
        <w:t>) relating to information requests, decisions, acts and omissions subject to public participation procedures or contravening national law relating to the environment, including with regard to mercury and waste management and pollution matters;</w:t>
      </w:r>
    </w:p>
    <w:p w14:paraId="27D4FD68" w14:textId="71B997DD" w:rsidR="00CC270C" w:rsidRPr="0050367F" w:rsidRDefault="00CC270C" w:rsidP="0050367F">
      <w:pPr>
        <w:pStyle w:val="Normalnumber"/>
        <w:numPr>
          <w:ilvl w:val="0"/>
          <w:numId w:val="36"/>
        </w:numPr>
        <w:ind w:left="1247" w:firstLine="624"/>
      </w:pPr>
      <w:r w:rsidRPr="0050367F">
        <w:t>protection of members of the public exercising their rights in conformity with the Convention against penalization, persecuted or harassed in any way for their involvement (</w:t>
      </w:r>
      <w:hyperlink r:id="rId35" w:history="1">
        <w:r w:rsidRPr="0050367F">
          <w:rPr>
            <w:rStyle w:val="Hyperlink"/>
          </w:rPr>
          <w:t>article 3 (8)</w:t>
        </w:r>
      </w:hyperlink>
      <w:r w:rsidRPr="0050367F">
        <w:t>).</w:t>
      </w:r>
    </w:p>
    <w:p w14:paraId="310A4990" w14:textId="77777777" w:rsidR="00CC270C" w:rsidRPr="00A04E7B" w:rsidRDefault="00CC270C" w:rsidP="00CC270C">
      <w:pPr>
        <w:pStyle w:val="NormalNonumber"/>
        <w:jc w:val="both"/>
      </w:pPr>
      <w:r>
        <w:rPr>
          <w:lang w:val="en-GB"/>
        </w:rPr>
        <w:t>6.</w:t>
      </w:r>
      <w:r>
        <w:rPr>
          <w:lang w:val="en-GB"/>
        </w:rPr>
        <w:tab/>
        <w:t>T</w:t>
      </w:r>
      <w:r w:rsidRPr="00A04E7B">
        <w:t>he Protocol on PRTRs may contribute to the prevention and reduction of emissions and releases of mercury through the establishment of coherent and integrated PRTR systems (</w:t>
      </w:r>
      <w:r w:rsidRPr="0078569E">
        <w:t>article</w:t>
      </w:r>
      <w:r w:rsidRPr="00A04E7B">
        <w:t xml:space="preserve"> 1). Mercury is listed in the Protocol’s annex II, with the obligation for owners and operators of facilities to report and disseminate data on related releases and transfers (</w:t>
      </w:r>
      <w:r w:rsidRPr="0078569E">
        <w:t>article</w:t>
      </w:r>
      <w:r w:rsidRPr="00A04E7B">
        <w:t xml:space="preserve"> 7 (1)</w:t>
      </w:r>
      <w:proofErr w:type="gramStart"/>
      <w:r w:rsidRPr="00A04E7B">
        <w:t>–(</w:t>
      </w:r>
      <w:proofErr w:type="gramEnd"/>
      <w:r w:rsidRPr="00A04E7B">
        <w:t>2) and (5)), including disposal and recovery operations. In addition, any other significant emissions and releases of mercury can be covered as releases from diffuse/small point sources in PRTRs (</w:t>
      </w:r>
      <w:r w:rsidRPr="0078569E">
        <w:t>article</w:t>
      </w:r>
      <w:r w:rsidRPr="00A04E7B">
        <w:t xml:space="preserve"> 4 and 7 (4) and (7)</w:t>
      </w:r>
      <w:proofErr w:type="gramStart"/>
      <w:r w:rsidRPr="00A04E7B">
        <w:t>–(</w:t>
      </w:r>
      <w:proofErr w:type="gramEnd"/>
      <w:r w:rsidRPr="00A04E7B">
        <w:t xml:space="preserve">8)). </w:t>
      </w:r>
      <w:r>
        <w:t>D</w:t>
      </w:r>
      <w:r w:rsidRPr="0042087D">
        <w:t xml:space="preserve">ata related to </w:t>
      </w:r>
      <w:r>
        <w:t>mercury</w:t>
      </w:r>
      <w:r w:rsidRPr="0042087D">
        <w:t xml:space="preserve"> pollution are collected and disseminated through different PRTR systems.</w:t>
      </w:r>
    </w:p>
    <w:p w14:paraId="72B4D76D" w14:textId="77777777" w:rsidR="00CC270C" w:rsidRPr="005A50A7" w:rsidRDefault="00CC270C" w:rsidP="00CC270C">
      <w:pPr>
        <w:pStyle w:val="NormalNonumber"/>
        <w:jc w:val="both"/>
        <w:rPr>
          <w:b/>
          <w:bCs/>
          <w:lang w:val="en-GB"/>
        </w:rPr>
      </w:pPr>
      <w:r w:rsidRPr="005A50A7">
        <w:rPr>
          <w:b/>
          <w:bCs/>
          <w:lang w:val="en-GB"/>
        </w:rPr>
        <w:t>Meetings</w:t>
      </w:r>
    </w:p>
    <w:p w14:paraId="1EB960B1" w14:textId="77777777" w:rsidR="00CC270C" w:rsidRDefault="00CC270C" w:rsidP="00CC270C">
      <w:pPr>
        <w:pStyle w:val="NormalNonumber"/>
        <w:jc w:val="both"/>
        <w:rPr>
          <w:lang w:val="en-GB"/>
        </w:rPr>
      </w:pPr>
      <w:r>
        <w:rPr>
          <w:lang w:val="en-GB"/>
        </w:rPr>
        <w:t>7.</w:t>
      </w:r>
      <w:r>
        <w:rPr>
          <w:lang w:val="en-GB"/>
        </w:rPr>
        <w:tab/>
        <w:t>National focal points to the Aarhus Convention and the Protocol on PRTRs and other stakeholders discuss topics that are relevant for the Minamata Convention on Mercury. This includes for example the fourth Global Round Table on PRTRs (Geneva, 20-21 November 2024)</w:t>
      </w:r>
      <w:r>
        <w:rPr>
          <w:rStyle w:val="FootnoteReference"/>
          <w:lang w:val="en-GB"/>
        </w:rPr>
        <w:footnoteReference w:id="6"/>
      </w:r>
      <w:r>
        <w:rPr>
          <w:lang w:val="en-GB"/>
        </w:rPr>
        <w:t xml:space="preserve"> where linkages between the two instruments were presented.</w:t>
      </w:r>
      <w:r>
        <w:rPr>
          <w:rStyle w:val="FootnoteReference"/>
          <w:lang w:val="en-GB"/>
        </w:rPr>
        <w:footnoteReference w:id="7"/>
      </w:r>
      <w:r>
        <w:rPr>
          <w:lang w:val="en-GB"/>
        </w:rPr>
        <w:t xml:space="preserve">  In addition, issues related to using the PRTR systems for reporting to different international agreements, including the Minamata Convention, are also discussed regularly during the meetings of the Working Group of the Parties to the Protocol.</w:t>
      </w:r>
      <w:r>
        <w:rPr>
          <w:rStyle w:val="FootnoteReference"/>
          <w:lang w:val="en-GB"/>
        </w:rPr>
        <w:footnoteReference w:id="8"/>
      </w:r>
      <w:r>
        <w:rPr>
          <w:lang w:val="en-GB"/>
        </w:rPr>
        <w:t xml:space="preserve"> </w:t>
      </w:r>
    </w:p>
    <w:p w14:paraId="48BF35F3" w14:textId="77777777" w:rsidR="00CC270C" w:rsidRDefault="00CC270C" w:rsidP="00CC270C">
      <w:pPr>
        <w:pStyle w:val="NormalNonumber"/>
        <w:jc w:val="both"/>
        <w:rPr>
          <w:lang w:val="en-GB"/>
        </w:rPr>
      </w:pPr>
      <w:r>
        <w:rPr>
          <w:lang w:val="en-GB"/>
        </w:rPr>
        <w:t>8.</w:t>
      </w:r>
      <w:r>
        <w:rPr>
          <w:lang w:val="en-GB"/>
        </w:rPr>
        <w:tab/>
        <w:t xml:space="preserve">The Task Force on Access to Information at </w:t>
      </w:r>
      <w:r w:rsidRPr="00995486">
        <w:rPr>
          <w:lang w:val="en-GB"/>
        </w:rPr>
        <w:t xml:space="preserve">its </w:t>
      </w:r>
      <w:r>
        <w:rPr>
          <w:lang w:val="en-GB"/>
        </w:rPr>
        <w:t>fifth and sixth meetings (Geneva, 9-10 November 2023 and 5-6 November 2024)</w:t>
      </w:r>
      <w:r>
        <w:rPr>
          <w:rStyle w:val="FootnoteReference"/>
          <w:lang w:val="en-GB"/>
        </w:rPr>
        <w:footnoteReference w:id="9"/>
      </w:r>
      <w:r>
        <w:rPr>
          <w:lang w:val="en-GB"/>
        </w:rPr>
        <w:t xml:space="preserve"> discussed s</w:t>
      </w:r>
      <w:r w:rsidRPr="00593CBA">
        <w:rPr>
          <w:lang w:val="en-GB"/>
        </w:rPr>
        <w:t>everal legislative and practical measures to tackle greenwashing, the lack of reliable data on environmental footprints and the use of chemicals, minerals and metals and other challenges hindering the public’s ability to make informed environmental choices and consume sustainably</w:t>
      </w:r>
      <w:r>
        <w:rPr>
          <w:lang w:val="en-GB"/>
        </w:rPr>
        <w:t xml:space="preserve">. The participants shared the </w:t>
      </w:r>
      <w:r w:rsidRPr="00C74E85">
        <w:rPr>
          <w:lang w:val="en-GB"/>
        </w:rPr>
        <w:t>shared experiences in promoting access to product information, sustainable chemistry, product eco-design, digital product passports and green claims verification</w:t>
      </w:r>
      <w:r>
        <w:rPr>
          <w:lang w:val="en-GB"/>
        </w:rPr>
        <w:t>.</w:t>
      </w:r>
    </w:p>
    <w:p w14:paraId="6A858856" w14:textId="77777777" w:rsidR="00CC270C" w:rsidRPr="005A50A7" w:rsidRDefault="00CC270C" w:rsidP="00CC270C">
      <w:pPr>
        <w:pStyle w:val="NormalNonumber"/>
        <w:jc w:val="both"/>
        <w:rPr>
          <w:lang w:val="en-GB"/>
        </w:rPr>
      </w:pPr>
      <w:r>
        <w:rPr>
          <w:lang w:val="en-GB"/>
        </w:rPr>
        <w:t>9.</w:t>
      </w:r>
      <w:r>
        <w:rPr>
          <w:lang w:val="en-GB"/>
        </w:rPr>
        <w:tab/>
        <w:t xml:space="preserve">Furthermore, </w:t>
      </w:r>
      <w:r w:rsidRPr="005A50A7">
        <w:rPr>
          <w:lang w:val="en-GB"/>
        </w:rPr>
        <w:t xml:space="preserve">the Task Force on Access to Justice under the Aarhus Convention </w:t>
      </w:r>
      <w:r>
        <w:rPr>
          <w:lang w:val="en-GB"/>
        </w:rPr>
        <w:t>a</w:t>
      </w:r>
      <w:r w:rsidRPr="00325C92">
        <w:rPr>
          <w:lang w:val="en-GB"/>
        </w:rPr>
        <w:t xml:space="preserve">t its sixteenth meeting (Geneva, 18–19 February 2025) </w:t>
      </w:r>
      <w:r w:rsidRPr="005A50A7">
        <w:rPr>
          <w:lang w:val="en-GB"/>
        </w:rPr>
        <w:t>gathered representatives of Governments, supreme courts, other independent review bodies, international organizations, international financial institutions, non-governmental organizations, academia and other stakeholders</w:t>
      </w:r>
      <w:r>
        <w:rPr>
          <w:lang w:val="en-GB"/>
        </w:rPr>
        <w:t xml:space="preserve">, to discuss </w:t>
      </w:r>
      <w:r w:rsidRPr="005A50A7">
        <w:rPr>
          <w:lang w:val="en-GB"/>
        </w:rPr>
        <w:t xml:space="preserve">access to justice in cases related to chemicals and wastes, </w:t>
      </w:r>
      <w:r>
        <w:rPr>
          <w:lang w:val="en-GB"/>
        </w:rPr>
        <w:t>including mercury and among other topics</w:t>
      </w:r>
      <w:r w:rsidRPr="005A50A7">
        <w:rPr>
          <w:lang w:val="en-GB"/>
        </w:rPr>
        <w:t xml:space="preserve">. Various challenges were identified in these areas </w:t>
      </w:r>
      <w:proofErr w:type="gramStart"/>
      <w:r w:rsidRPr="005A50A7">
        <w:rPr>
          <w:lang w:val="en-GB"/>
        </w:rPr>
        <w:t>with regard to</w:t>
      </w:r>
      <w:proofErr w:type="gramEnd"/>
      <w:r w:rsidRPr="005A50A7">
        <w:rPr>
          <w:lang w:val="en-GB"/>
        </w:rPr>
        <w:t xml:space="preserve"> standing, jurisdiction, limitation periods, timeliness and fairness of existing procedures, costs, burden of proof, access to relevant expertise, use of scientific knowledge and adequate and effective remedies, including injunctive relief. </w:t>
      </w:r>
    </w:p>
    <w:p w14:paraId="1FCC3C03" w14:textId="77777777" w:rsidR="00CC270C" w:rsidRDefault="00CC270C" w:rsidP="00CC270C">
      <w:pPr>
        <w:pStyle w:val="NormalNonumber"/>
        <w:jc w:val="both"/>
        <w:rPr>
          <w:lang w:val="en-GB"/>
        </w:rPr>
      </w:pPr>
      <w:r>
        <w:rPr>
          <w:lang w:val="en-GB"/>
        </w:rPr>
        <w:t>10.</w:t>
      </w:r>
      <w:r>
        <w:rPr>
          <w:lang w:val="en-GB"/>
        </w:rPr>
        <w:tab/>
      </w:r>
      <w:r w:rsidRPr="005A50A7">
        <w:rPr>
          <w:lang w:val="en-GB"/>
        </w:rPr>
        <w:t xml:space="preserve">The Task Force also explored tools to promote effective access to justice such as: (a) multi-stakeholder dialogues to remove existing barriers; (b) dissemination of information on access to review procedures, collection of relevant data and statistics and access to relevant case law using e-justice initiatives, modern digital technologies and other tools; (c) capacity-building and specialization of judiciary and other legal professionals; and (d) alternative dispute resolutions methods. The Task Force encouraged Parties, in cooperation with stakeholders and partner organizations, to extend e-justice initiatives to environmental cases, and to promote public participation in the design, testing and implementation of such initiatives. The experience of multidisciplinary specialized teams and joint </w:t>
      </w:r>
      <w:r w:rsidRPr="005A50A7">
        <w:rPr>
          <w:lang w:val="en-GB"/>
        </w:rPr>
        <w:lastRenderedPageBreak/>
        <w:t xml:space="preserve">investigation teams for environmental cases, </w:t>
      </w:r>
      <w:proofErr w:type="gramStart"/>
      <w:r>
        <w:rPr>
          <w:lang w:val="en-GB"/>
        </w:rPr>
        <w:t>in particular regarding</w:t>
      </w:r>
      <w:proofErr w:type="gramEnd"/>
      <w:r>
        <w:rPr>
          <w:lang w:val="en-GB"/>
        </w:rPr>
        <w:t xml:space="preserve"> illegal a</w:t>
      </w:r>
      <w:r w:rsidRPr="0016129A">
        <w:rPr>
          <w:lang w:val="en-GB"/>
        </w:rPr>
        <w:t>rtisanal and small-scale gold mining</w:t>
      </w:r>
      <w:r w:rsidRPr="005A50A7">
        <w:rPr>
          <w:lang w:val="en-GB"/>
        </w:rPr>
        <w:t>, was also explored</w:t>
      </w:r>
      <w:r>
        <w:rPr>
          <w:lang w:val="en-GB"/>
        </w:rPr>
        <w:t>.</w:t>
      </w:r>
      <w:r>
        <w:rPr>
          <w:rStyle w:val="FootnoteReference"/>
          <w:lang w:val="en-GB"/>
        </w:rPr>
        <w:footnoteReference w:id="10"/>
      </w:r>
      <w:r w:rsidRPr="005A50A7">
        <w:rPr>
          <w:lang w:val="en-GB"/>
        </w:rPr>
        <w:t> </w:t>
      </w:r>
    </w:p>
    <w:p w14:paraId="792700B9" w14:textId="77777777" w:rsidR="00CC270C" w:rsidRPr="00EE29ED" w:rsidRDefault="00CC270C" w:rsidP="00CC270C">
      <w:pPr>
        <w:pStyle w:val="NormalNonumber"/>
        <w:jc w:val="both"/>
        <w:rPr>
          <w:b/>
          <w:bCs/>
        </w:rPr>
      </w:pPr>
      <w:r w:rsidRPr="00EE29ED">
        <w:rPr>
          <w:b/>
          <w:bCs/>
        </w:rPr>
        <w:t>Up-coming events</w:t>
      </w:r>
    </w:p>
    <w:p w14:paraId="6853BDE7" w14:textId="0B32342E" w:rsidR="00CC270C" w:rsidRPr="00EE29ED" w:rsidRDefault="00CC270C" w:rsidP="00CC270C">
      <w:pPr>
        <w:pStyle w:val="NormalNonumber"/>
        <w:jc w:val="both"/>
      </w:pPr>
      <w:r>
        <w:t>11</w:t>
      </w:r>
      <w:r>
        <w:tab/>
      </w:r>
      <w:r w:rsidRPr="00EE29ED">
        <w:t>The</w:t>
      </w:r>
      <w:r w:rsidR="00407C39">
        <w:t xml:space="preserve"> </w:t>
      </w:r>
      <w:hyperlink r:id="rId36" w:history="1">
        <w:r w:rsidRPr="00EE29ED">
          <w:rPr>
            <w:rStyle w:val="Hyperlink"/>
          </w:rPr>
          <w:t>eighth session</w:t>
        </w:r>
      </w:hyperlink>
      <w:r w:rsidR="00407C39">
        <w:t xml:space="preserve"> </w:t>
      </w:r>
      <w:r w:rsidRPr="00EE29ED">
        <w:t>of the Meeting of the Parties to the Aarhus Convention, the </w:t>
      </w:r>
      <w:hyperlink r:id="rId37" w:history="1">
        <w:r w:rsidRPr="00EE29ED">
          <w:rPr>
            <w:rStyle w:val="Hyperlink"/>
          </w:rPr>
          <w:t>fifth session</w:t>
        </w:r>
      </w:hyperlink>
      <w:r w:rsidRPr="00EE29ED">
        <w:t> of the Meeting of the Parties to the Protocol on PRTRs, their </w:t>
      </w:r>
      <w:hyperlink r:id="rId38" w:history="1">
        <w:r w:rsidRPr="00EE29ED">
          <w:rPr>
            <w:rStyle w:val="Hyperlink"/>
          </w:rPr>
          <w:t>joint High-level Segment</w:t>
        </w:r>
      </w:hyperlink>
      <w:r w:rsidRPr="00EE29ED">
        <w:t> and associated meetings will take place in the Assembly Hall, Palais des Nations, Geneva from 17 to 21 November 2025</w:t>
      </w:r>
      <w:r>
        <w:t>.</w:t>
      </w:r>
    </w:p>
    <w:p w14:paraId="6FA93B21" w14:textId="77777777" w:rsidR="00CC270C" w:rsidRPr="00EE29ED" w:rsidRDefault="00CC270C" w:rsidP="00CC270C">
      <w:pPr>
        <w:pStyle w:val="NormalNonumber"/>
        <w:jc w:val="both"/>
      </w:pPr>
      <w:r>
        <w:t>12.</w:t>
      </w:r>
      <w:r>
        <w:tab/>
      </w:r>
      <w:r w:rsidRPr="00EE29ED">
        <w:t>The events will provide a platform for Parties, Signatories, international organizations, civil society and other stakeholders to discuss achievements and challenges in effectively engaging the public in promoting environmental democracy, digital transformation, circular economy and sustainable development.</w:t>
      </w:r>
    </w:p>
    <w:p w14:paraId="6E82CBF8" w14:textId="77777777" w:rsidR="00CC270C" w:rsidRDefault="00CC270C">
      <w:pPr>
        <w:tabs>
          <w:tab w:val="clear" w:pos="1247"/>
          <w:tab w:val="clear" w:pos="1814"/>
          <w:tab w:val="clear" w:pos="2381"/>
          <w:tab w:val="clear" w:pos="2948"/>
          <w:tab w:val="clear" w:pos="3515"/>
        </w:tabs>
        <w:rPr>
          <w:b/>
          <w:bCs/>
          <w:sz w:val="28"/>
          <w:szCs w:val="22"/>
        </w:rPr>
      </w:pPr>
      <w:bookmarkStart w:id="22" w:name="_Toc673857810"/>
      <w:bookmarkStart w:id="23" w:name="_Toc147247976"/>
      <w:bookmarkStart w:id="24" w:name="SPREP"/>
      <w:bookmarkEnd w:id="17"/>
      <w:bookmarkEnd w:id="18"/>
      <w:bookmarkEnd w:id="19"/>
      <w:r>
        <w:br w:type="page"/>
      </w:r>
    </w:p>
    <w:p w14:paraId="755060B9" w14:textId="6D36E883" w:rsidR="000D1443" w:rsidRPr="00A175D2" w:rsidRDefault="000D1443" w:rsidP="00A175D2">
      <w:pPr>
        <w:pStyle w:val="ZZAnxheader"/>
      </w:pPr>
      <w:bookmarkStart w:id="25" w:name="_Toc207891624"/>
      <w:r w:rsidRPr="00A175D2">
        <w:lastRenderedPageBreak/>
        <w:t>Annex I</w:t>
      </w:r>
      <w:bookmarkEnd w:id="22"/>
      <w:bookmarkEnd w:id="23"/>
      <w:r w:rsidR="003A15AC">
        <w:t>II</w:t>
      </w:r>
      <w:bookmarkEnd w:id="25"/>
    </w:p>
    <w:bookmarkEnd w:id="24"/>
    <w:p w14:paraId="4CE88250" w14:textId="77777777" w:rsidR="00BB2A27" w:rsidRDefault="00BB2A27" w:rsidP="00BB2A27">
      <w:pPr>
        <w:pStyle w:val="BBTitle"/>
      </w:pPr>
      <w:r w:rsidRPr="00170AD6">
        <w:t>Contribution of CLRTAP Bodies – TF HTAP and MSC-E – to the Effectiveness Evaluation of the Minamata Convention</w:t>
      </w:r>
    </w:p>
    <w:p w14:paraId="0EDC170D" w14:textId="77777777" w:rsidR="00BB2A27" w:rsidRPr="000C04FB" w:rsidRDefault="00BB2A27" w:rsidP="00BB2A27">
      <w:pPr>
        <w:pStyle w:val="NormalNonumber"/>
        <w:numPr>
          <w:ilvl w:val="0"/>
          <w:numId w:val="26"/>
        </w:numPr>
        <w:ind w:left="1247" w:firstLine="0"/>
        <w:rPr>
          <w:rStyle w:val="Hyperlink"/>
        </w:rPr>
      </w:pPr>
      <w:r w:rsidRPr="000C04FB">
        <w:t xml:space="preserve">The UNECE Convention on Long-range Transboundary Air Pollution (CLRTAP or the Air Convention, </w:t>
      </w:r>
      <w:hyperlink r:id="rId39" w:tgtFrame="_new" w:history="1">
        <w:r w:rsidRPr="000C04FB">
          <w:t>unece.org/environmental-policy-1/air</w:t>
        </w:r>
      </w:hyperlink>
      <w:r w:rsidRPr="000C04FB">
        <w:t xml:space="preserve">) is an international treaty aimed at protecting human health and the environment from air pollution, </w:t>
      </w:r>
      <w:r w:rsidRPr="00497E1F">
        <w:t>including long-range transboundary pollution caused by multiple contaminants across the pan-European region</w:t>
      </w:r>
      <w:r w:rsidRPr="000C04FB">
        <w:rPr>
          <w:rStyle w:val="Hyperlink"/>
        </w:rPr>
        <w:t>.</w:t>
      </w:r>
      <w:r>
        <w:rPr>
          <w:rStyle w:val="Hyperlink"/>
        </w:rPr>
        <w:t xml:space="preserve"> </w:t>
      </w:r>
      <w:r w:rsidRPr="000C04FB">
        <w:rPr>
          <w:rStyle w:val="Hyperlink"/>
        </w:rPr>
        <w:t xml:space="preserve">Among its eight protocols, the Protocol on Heavy Metals specifically targets the adverse effects of toxic metals, including mercury. Practical work related to the assessment of mercury pollution under the Air Convention is carried out within the European Monitoring and Evaluation Programme (EMEP). This work is implemented by the EMEP scientific </w:t>
      </w:r>
      <w:proofErr w:type="spellStart"/>
      <w:r w:rsidRPr="000C04FB">
        <w:rPr>
          <w:rStyle w:val="Hyperlink"/>
        </w:rPr>
        <w:t>centres</w:t>
      </w:r>
      <w:proofErr w:type="spellEnd"/>
      <w:r w:rsidRPr="000C04FB">
        <w:rPr>
          <w:rStyle w:val="Hyperlink"/>
        </w:rPr>
        <w:t xml:space="preserve"> </w:t>
      </w:r>
      <w:r>
        <w:rPr>
          <w:rStyle w:val="Hyperlink"/>
        </w:rPr>
        <w:t>–</w:t>
      </w:r>
      <w:r w:rsidRPr="000C04FB">
        <w:rPr>
          <w:rStyle w:val="Hyperlink"/>
        </w:rPr>
        <w:t xml:space="preserve"> the</w:t>
      </w:r>
      <w:r>
        <w:rPr>
          <w:rStyle w:val="Hyperlink"/>
        </w:rPr>
        <w:t xml:space="preserve"> </w:t>
      </w:r>
      <w:r w:rsidRPr="000C04FB">
        <w:rPr>
          <w:rStyle w:val="Hyperlink"/>
        </w:rPr>
        <w:t xml:space="preserve">Chemical Coordinating Centre (CCC), responsible for monitoring, and the Meteorological Synthesizing Centre – East (MSC-E), responsible for modelling </w:t>
      </w:r>
      <w:r>
        <w:rPr>
          <w:rStyle w:val="Hyperlink"/>
        </w:rPr>
        <w:t>–</w:t>
      </w:r>
      <w:r w:rsidRPr="000C04FB">
        <w:rPr>
          <w:rStyle w:val="Hyperlink"/>
        </w:rPr>
        <w:t xml:space="preserve"> as</w:t>
      </w:r>
      <w:r>
        <w:rPr>
          <w:rStyle w:val="Hyperlink"/>
        </w:rPr>
        <w:t xml:space="preserve"> </w:t>
      </w:r>
      <w:r w:rsidRPr="000C04FB">
        <w:rPr>
          <w:rStyle w:val="Hyperlink"/>
        </w:rPr>
        <w:t>well as through the Task Force on Hemispheric Transport of Air Pollution (TF HTAP).</w:t>
      </w:r>
    </w:p>
    <w:p w14:paraId="2C6CF4FD" w14:textId="77777777" w:rsidR="00BB2A27" w:rsidRDefault="00BB2A27" w:rsidP="00BB2A27">
      <w:pPr>
        <w:pStyle w:val="NormalNonumber"/>
        <w:numPr>
          <w:ilvl w:val="0"/>
          <w:numId w:val="26"/>
        </w:numPr>
        <w:ind w:left="1247" w:firstLine="0"/>
      </w:pPr>
      <w:r w:rsidRPr="000056C5">
        <w:t>TF HTAP is an international scientific cooperative initiative under the Air Convention, aimed at improving the understanding of intercontinental air pollution transport across the Northern Hemisphere and globally. TF HTAP fosters scientific collaboration in areas such as emission inventories and projections, analysis of ambient monitoring and remote sensing data, global and regional modelling, and impact assessment.</w:t>
      </w:r>
      <w:r>
        <w:t xml:space="preserve"> One of the main streams of the research activities under TF HTAP is focused on assessment of mercury pollution on a global scale. </w:t>
      </w:r>
    </w:p>
    <w:p w14:paraId="6AFF4847" w14:textId="77777777" w:rsidR="00BB2A27" w:rsidRDefault="00BB2A27" w:rsidP="00BB2A27">
      <w:pPr>
        <w:pStyle w:val="NormalNonumber"/>
        <w:numPr>
          <w:ilvl w:val="0"/>
          <w:numId w:val="26"/>
        </w:numPr>
        <w:ind w:left="1247" w:firstLine="0"/>
      </w:pPr>
      <w:r>
        <w:t>To strengthen cooperation between the Air Convention and the Minamata Convention on Mercury, a new research initiative – the Multi-Compartment Mercury Modelling and Analysis Project (</w:t>
      </w:r>
      <w:proofErr w:type="spellStart"/>
      <w:r>
        <w:t>MCHgMAP</w:t>
      </w:r>
      <w:proofErr w:type="spellEnd"/>
      <w:r>
        <w:t xml:space="preserve">) – was recently launched under TF HTAP. This initiative brings together experts and tools to improve understanding of the links between mercury emissions, environmental </w:t>
      </w:r>
      <w:proofErr w:type="spellStart"/>
      <w:r>
        <w:t>behaviour</w:t>
      </w:r>
      <w:proofErr w:type="spellEnd"/>
      <w:r>
        <w:t xml:space="preserve">, and exposure risks to humans and ecosystems. </w:t>
      </w:r>
      <w:proofErr w:type="spellStart"/>
      <w:r>
        <w:t>MCHgMAP</w:t>
      </w:r>
      <w:proofErr w:type="spellEnd"/>
      <w:r>
        <w:t xml:space="preserve"> integrates models of the atmosphere, oceans, land, and global mercury budgets, while promoting collaboration among emissions reporting, monitoring, and modelling communities. The aim is to enhance data quality and support informed global policy decisions. Currently, </w:t>
      </w:r>
      <w:proofErr w:type="spellStart"/>
      <w:r>
        <w:t>MCHgMAP</w:t>
      </w:r>
      <w:proofErr w:type="spellEnd"/>
      <w:r>
        <w:t xml:space="preserve"> operates as part of the Integrated Analysis Subgroup of the Open-Ended Scientific Group (OESG) under the Minamata Convention’s Effectiveness Evaluation framework. </w:t>
      </w:r>
    </w:p>
    <w:p w14:paraId="5E84B8BD" w14:textId="77777777" w:rsidR="00BB2A27" w:rsidRDefault="00BB2A27" w:rsidP="00BB2A27">
      <w:pPr>
        <w:pStyle w:val="NormalNonumber"/>
        <w:numPr>
          <w:ilvl w:val="0"/>
          <w:numId w:val="26"/>
        </w:numPr>
        <w:ind w:left="1247" w:firstLine="0"/>
      </w:pPr>
      <w:r w:rsidRPr="004C024F">
        <w:t xml:space="preserve">A key challenge </w:t>
      </w:r>
      <w:r w:rsidRPr="00FD2DAC">
        <w:t xml:space="preserve">in evaluating the effectiveness of the Minamata Convention is assessing how successful global efforts have been in reducing mercury pollution from human activities </w:t>
      </w:r>
      <w:r>
        <w:t>–</w:t>
      </w:r>
      <w:r w:rsidRPr="00FD2DAC">
        <w:t xml:space="preserve"> both</w:t>
      </w:r>
      <w:r>
        <w:t xml:space="preserve"> </w:t>
      </w:r>
      <w:r w:rsidRPr="00FD2DAC">
        <w:t xml:space="preserve">atmospheric emissions and releases to land and water. Due to the limited and uneven geographical coverage of existing monitoring networks, which are mostly concentrated in continental regions, environmental modelling plays a vital role. </w:t>
      </w:r>
      <w:r w:rsidRPr="00435C13">
        <w:t>It helps identify the main drivers of mercury levels and trends in the environment and can project future pollution under different policy scenarios.</w:t>
      </w:r>
    </w:p>
    <w:p w14:paraId="24B008B2" w14:textId="77777777" w:rsidR="00BB2A27" w:rsidRDefault="00BB2A27" w:rsidP="00BB2A27">
      <w:pPr>
        <w:pStyle w:val="NormalNonumber"/>
        <w:numPr>
          <w:ilvl w:val="0"/>
          <w:numId w:val="26"/>
        </w:numPr>
        <w:ind w:left="1247" w:firstLine="0"/>
      </w:pPr>
      <w:r>
        <w:t xml:space="preserve">The Meteorological Synthesizing Centre – East (MSC-E) participates in the </w:t>
      </w:r>
      <w:proofErr w:type="spellStart"/>
      <w:r>
        <w:t>MCHgMAP</w:t>
      </w:r>
      <w:proofErr w:type="spellEnd"/>
      <w:r>
        <w:t xml:space="preserve"> project, contributing to the development of the assessment </w:t>
      </w:r>
      <w:proofErr w:type="spellStart"/>
      <w:r>
        <w:t>programme</w:t>
      </w:r>
      <w:proofErr w:type="spellEnd"/>
      <w:r>
        <w:t xml:space="preserve"> and coordination of the atmospheric modelling activities at all stages of the project. Specifically, MSC-E has been involved in designing the overall model simulation and analysis framework, formulating the multi-model experiments, and specifying the output requirements, which were recently published in a white paper: </w:t>
      </w:r>
      <w:hyperlink r:id="rId40" w:tgtFrame="_new" w:history="1">
        <w:r>
          <w:rPr>
            <w:rStyle w:val="Hyperlink"/>
          </w:rPr>
          <w:t>https://gmd.copernicus.org/articles/18/2747/2025/gmd-18-2747-2025.html</w:t>
        </w:r>
      </w:hyperlink>
      <w:r>
        <w:t xml:space="preserve">. </w:t>
      </w:r>
      <w:r w:rsidRPr="004C024F">
        <w:t xml:space="preserve">In addition, MSC-E developed a </w:t>
      </w:r>
      <w:proofErr w:type="spellStart"/>
      <w:r w:rsidRPr="004C024F">
        <w:t>harmonised</w:t>
      </w:r>
      <w:proofErr w:type="spellEnd"/>
      <w:r w:rsidRPr="004C024F">
        <w:t xml:space="preserve"> approach for estimating mercury exchange between the atmosphere and the ocean, ensuring consistent application across the project. It also contributes to the analysis and reporting of the model assessment results</w:t>
      </w:r>
      <w:r>
        <w:t>.</w:t>
      </w:r>
    </w:p>
    <w:p w14:paraId="483BEDD8" w14:textId="067E9AB8" w:rsidR="000D1443" w:rsidRDefault="000D1443" w:rsidP="00306B0D">
      <w:pPr>
        <w:pStyle w:val="NormalNonumber"/>
        <w:ind w:left="0"/>
      </w:pPr>
      <w:r>
        <w:rPr>
          <w:b/>
          <w:bCs/>
          <w:sz w:val="28"/>
          <w:szCs w:val="22"/>
          <w:lang w:val="en-GB"/>
        </w:rPr>
        <w:br w:type="page"/>
      </w:r>
    </w:p>
    <w:p w14:paraId="161A8D34" w14:textId="3FF2A72F" w:rsidR="003A15AC" w:rsidRDefault="003A15AC" w:rsidP="003A15AC">
      <w:pPr>
        <w:pStyle w:val="ZZAnxheader"/>
      </w:pPr>
      <w:bookmarkStart w:id="26" w:name="_Toc207891625"/>
      <w:r w:rsidRPr="00A175D2">
        <w:lastRenderedPageBreak/>
        <w:t>Annex I</w:t>
      </w:r>
      <w:r>
        <w:t>V</w:t>
      </w:r>
      <w:bookmarkEnd w:id="26"/>
    </w:p>
    <w:p w14:paraId="28BC1170" w14:textId="4C713726" w:rsidR="00D356A9" w:rsidRPr="00D356A9" w:rsidRDefault="00D356A9" w:rsidP="00D356A9">
      <w:pPr>
        <w:pStyle w:val="BBTitle"/>
      </w:pPr>
      <w:r w:rsidRPr="00D356A9">
        <w:t xml:space="preserve">Upcoming UNICEF and Minamata Convention Secretariat Mercury and Children report </w:t>
      </w:r>
    </w:p>
    <w:p w14:paraId="51F5B693" w14:textId="40D8422E" w:rsidR="00D356A9" w:rsidRPr="00D356A9" w:rsidRDefault="00D356A9" w:rsidP="008905F1">
      <w:pPr>
        <w:pStyle w:val="NormalNonumber"/>
        <w:numPr>
          <w:ilvl w:val="0"/>
          <w:numId w:val="30"/>
        </w:numPr>
        <w:ind w:left="1247" w:firstLine="0"/>
        <w:rPr>
          <w:color w:val="000000" w:themeColor="text1"/>
        </w:rPr>
      </w:pPr>
      <w:r w:rsidRPr="008905F1">
        <w:t>UNICEF</w:t>
      </w:r>
      <w:r w:rsidRPr="00D356A9">
        <w:rPr>
          <w:color w:val="000000" w:themeColor="text1"/>
        </w:rPr>
        <w:t xml:space="preserve"> and the Secretariat of the Minamata Convention on Mercury are developing a report on ‘Mercury and Children’ that will be available in 2026. The report will </w:t>
      </w:r>
      <w:proofErr w:type="gramStart"/>
      <w:r w:rsidRPr="00D356A9">
        <w:rPr>
          <w:color w:val="000000" w:themeColor="text1"/>
        </w:rPr>
        <w:t>provide an introduction to</w:t>
      </w:r>
      <w:proofErr w:type="gramEnd"/>
      <w:r w:rsidRPr="00D356A9">
        <w:rPr>
          <w:color w:val="000000" w:themeColor="text1"/>
        </w:rPr>
        <w:t xml:space="preserve"> mercury and children, sources and routes of exposure, health impacts including burden of disease, mercury in the human body and the environment, reference values, and key exposure sources (e.g., fish/seafood, ASGM, dental amalgam, skin lightening creams). The report also provides recommendations to policymakers and caregivers. The report highlights the following:</w:t>
      </w:r>
    </w:p>
    <w:p w14:paraId="312C6B48" w14:textId="77777777" w:rsidR="00D356A9" w:rsidRPr="00C445EE" w:rsidRDefault="00D356A9" w:rsidP="00D356A9">
      <w:pPr>
        <w:shd w:val="clear" w:color="auto" w:fill="FFFFFF"/>
        <w:spacing w:after="120"/>
        <w:ind w:left="1247"/>
        <w:rPr>
          <w:b/>
          <w:bCs/>
          <w:color w:val="000000" w:themeColor="text1"/>
        </w:rPr>
      </w:pPr>
      <w:r>
        <w:rPr>
          <w:b/>
          <w:bCs/>
          <w:color w:val="000000" w:themeColor="text1"/>
        </w:rPr>
        <w:t>Children in the Minamata Convention</w:t>
      </w:r>
    </w:p>
    <w:p w14:paraId="101C6DB8" w14:textId="1A7C19C7" w:rsidR="00D356A9" w:rsidRPr="00C445EE" w:rsidRDefault="00D356A9" w:rsidP="008905F1">
      <w:pPr>
        <w:pStyle w:val="NormalNonumber"/>
        <w:numPr>
          <w:ilvl w:val="0"/>
          <w:numId w:val="30"/>
        </w:numPr>
        <w:ind w:left="1247" w:firstLine="0"/>
        <w:rPr>
          <w:i/>
          <w:iCs/>
          <w:color w:val="000000" w:themeColor="text1"/>
        </w:rPr>
      </w:pPr>
      <w:r>
        <w:rPr>
          <w:color w:val="000000" w:themeColor="text1"/>
        </w:rPr>
        <w:t>Children are particularly vulnerable to mercury pollution though a global, comprehensive assessment of their situation has yet to be performed. Such is needed given that c</w:t>
      </w:r>
      <w:r w:rsidRPr="00C445EE">
        <w:rPr>
          <w:color w:val="000000" w:themeColor="text1"/>
        </w:rPr>
        <w:t xml:space="preserve">hildren </w:t>
      </w:r>
      <w:r>
        <w:rPr>
          <w:color w:val="000000" w:themeColor="text1"/>
        </w:rPr>
        <w:t xml:space="preserve">are </w:t>
      </w:r>
      <w:r w:rsidRPr="00C445EE">
        <w:rPr>
          <w:color w:val="000000" w:themeColor="text1"/>
        </w:rPr>
        <w:t>recognized in the Introduction of the Minamata Convention</w:t>
      </w:r>
      <w:r>
        <w:rPr>
          <w:color w:val="000000" w:themeColor="text1"/>
        </w:rPr>
        <w:t xml:space="preserve"> booklet</w:t>
      </w:r>
      <w:r w:rsidRPr="00C445EE">
        <w:rPr>
          <w:color w:val="000000" w:themeColor="text1"/>
        </w:rPr>
        <w:t xml:space="preserve">: </w:t>
      </w:r>
      <w:r w:rsidRPr="00C445EE">
        <w:rPr>
          <w:rFonts w:eastAsiaTheme="minorEastAsia"/>
          <w:color w:val="000000" w:themeColor="text1"/>
          <w14:ligatures w14:val="standardContextual"/>
        </w:rPr>
        <w:t>“Mercury is recognized as a substance producing significant neurological and other effects, with concerns expressed particularly about the effects on unborn children and infants.”</w:t>
      </w:r>
      <w:r>
        <w:rPr>
          <w:rFonts w:eastAsiaTheme="minorEastAsia"/>
          <w:color w:val="000000" w:themeColor="text1"/>
          <w14:ligatures w14:val="standardContextual"/>
        </w:rPr>
        <w:t xml:space="preserve">. Also, the </w:t>
      </w:r>
      <w:r w:rsidRPr="00C445EE">
        <w:rPr>
          <w:color w:val="000000" w:themeColor="text1"/>
        </w:rPr>
        <w:t xml:space="preserve">Convention text Preamble mentions: </w:t>
      </w:r>
      <w:r w:rsidRPr="00C445EE">
        <w:rPr>
          <w:i/>
          <w:iCs/>
          <w:color w:val="000000" w:themeColor="text1"/>
        </w:rPr>
        <w:t>Aware of the health concerns, especially in developing countries, resulting from exposure to mercury of vulnerable populations, especially women, children, and, through them, future generations</w:t>
      </w:r>
      <w:r>
        <w:rPr>
          <w:i/>
          <w:iCs/>
          <w:color w:val="000000" w:themeColor="text1"/>
        </w:rPr>
        <w:t>.</w:t>
      </w:r>
    </w:p>
    <w:p w14:paraId="6A113123" w14:textId="77777777" w:rsidR="00D356A9" w:rsidRPr="00973E07" w:rsidRDefault="00D356A9" w:rsidP="00D356A9">
      <w:pPr>
        <w:spacing w:after="120"/>
        <w:ind w:left="1247"/>
        <w:rPr>
          <w:b/>
          <w:bCs/>
          <w:color w:val="000000" w:themeColor="text1"/>
        </w:rPr>
      </w:pPr>
      <w:r w:rsidRPr="00973E07">
        <w:rPr>
          <w:b/>
          <w:bCs/>
          <w:color w:val="000000" w:themeColor="text1"/>
        </w:rPr>
        <w:t>Mercury’s impacts on Children</w:t>
      </w:r>
      <w:r>
        <w:rPr>
          <w:b/>
          <w:bCs/>
          <w:color w:val="000000" w:themeColor="text1"/>
        </w:rPr>
        <w:t xml:space="preserve"> – What we Know.</w:t>
      </w:r>
    </w:p>
    <w:p w14:paraId="309708FF" w14:textId="39D4BD51" w:rsidR="00D356A9" w:rsidRPr="00DD49D4" w:rsidRDefault="00D356A9" w:rsidP="008905F1">
      <w:pPr>
        <w:pStyle w:val="NormalNonumber"/>
        <w:numPr>
          <w:ilvl w:val="0"/>
          <w:numId w:val="30"/>
        </w:numPr>
        <w:ind w:left="1247" w:firstLine="0"/>
      </w:pPr>
      <w:r w:rsidRPr="008905F1">
        <w:rPr>
          <w:color w:val="000000" w:themeColor="text1"/>
        </w:rPr>
        <w:t>Scientific</w:t>
      </w:r>
      <w:r w:rsidRPr="00DD49D4">
        <w:t xml:space="preserve"> evidence from historical events and modern research has firmly established that mercury poses both acute and chronic health risks to children. </w:t>
      </w:r>
      <w:r>
        <w:t>There is strong consensus that</w:t>
      </w:r>
      <w:r w:rsidRPr="00DD49D4">
        <w:t>:</w:t>
      </w:r>
    </w:p>
    <w:p w14:paraId="2D40ED17" w14:textId="77777777" w:rsidR="00D356A9" w:rsidRPr="00DD49D4"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DD49D4">
        <w:t>Acute exposure to high levels of any mercury compound can be fatal</w:t>
      </w:r>
      <w:r>
        <w:t xml:space="preserve"> to children</w:t>
      </w:r>
      <w:r w:rsidRPr="00DD49D4">
        <w:t>.</w:t>
      </w:r>
    </w:p>
    <w:p w14:paraId="2ED445A7" w14:textId="77777777" w:rsidR="00D356A9" w:rsidRPr="00DD49D4"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DD49D4">
        <w:t xml:space="preserve">Chronic </w:t>
      </w:r>
      <w:r>
        <w:t xml:space="preserve">fetal </w:t>
      </w:r>
      <w:r w:rsidRPr="00DD49D4">
        <w:t>exposure to methylmercury</w:t>
      </w:r>
      <w:r>
        <w:t xml:space="preserve"> </w:t>
      </w:r>
      <w:r w:rsidRPr="00DD49D4">
        <w:t>is linked to adverse neurodevelopmental outcomes.</w:t>
      </w:r>
    </w:p>
    <w:p w14:paraId="2080D749" w14:textId="77777777" w:rsidR="00D356A9"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DD49D4">
        <w:t>Fish</w:t>
      </w:r>
      <w:r>
        <w:t xml:space="preserve"> and</w:t>
      </w:r>
      <w:r w:rsidRPr="00DD49D4">
        <w:t xml:space="preserve"> seafood</w:t>
      </w:r>
      <w:r>
        <w:t xml:space="preserve"> (along with contaminated rice and certain</w:t>
      </w:r>
      <w:r w:rsidRPr="00DD49D4">
        <w:t xml:space="preserve"> marine mammal</w:t>
      </w:r>
      <w:r>
        <w:t xml:space="preserve"> tissues)</w:t>
      </w:r>
      <w:r w:rsidRPr="00DD49D4">
        <w:t xml:space="preserve"> are major dietary sources of methylmercury. While these foods </w:t>
      </w:r>
      <w:r>
        <w:t xml:space="preserve">may </w:t>
      </w:r>
      <w:r w:rsidRPr="00DD49D4">
        <w:t xml:space="preserve">offer </w:t>
      </w:r>
      <w:r>
        <w:t xml:space="preserve">important </w:t>
      </w:r>
      <w:r w:rsidRPr="00DD49D4">
        <w:t>nutritional and cultural benefits</w:t>
      </w:r>
      <w:r>
        <w:t xml:space="preserve"> to children</w:t>
      </w:r>
      <w:r w:rsidRPr="00DD49D4">
        <w:t>, they complicate risk management.</w:t>
      </w:r>
    </w:p>
    <w:p w14:paraId="09CFC72B" w14:textId="77777777" w:rsidR="00D356A9" w:rsidRPr="00DD49D4"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t>Children living and working in ASGM communities are at risk of mercury intoxication, including neurological impairment.</w:t>
      </w:r>
    </w:p>
    <w:p w14:paraId="03186037" w14:textId="77777777" w:rsidR="00D356A9" w:rsidRPr="00DD49D4"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DD49D4">
        <w:t xml:space="preserve">Vulnerable </w:t>
      </w:r>
      <w:r>
        <w:t xml:space="preserve">and sensitive </w:t>
      </w:r>
      <w:r w:rsidRPr="00DD49D4">
        <w:t>populations—such as Indigenous Peoples, pregnant women, and newborns—face heightened risks due to specific exposure pathways</w:t>
      </w:r>
      <w:r>
        <w:t xml:space="preserve"> as well as </w:t>
      </w:r>
      <w:proofErr w:type="spellStart"/>
      <w:r>
        <w:t>behavioural</w:t>
      </w:r>
      <w:proofErr w:type="spellEnd"/>
      <w:r>
        <w:t>/physiological factors</w:t>
      </w:r>
      <w:r w:rsidRPr="00DD49D4">
        <w:t>.</w:t>
      </w:r>
    </w:p>
    <w:p w14:paraId="1C1E54B0" w14:textId="4E5B864A" w:rsidR="00D356A9" w:rsidRDefault="00D356A9" w:rsidP="008905F1">
      <w:pPr>
        <w:pStyle w:val="NormalNonumber"/>
        <w:numPr>
          <w:ilvl w:val="0"/>
          <w:numId w:val="30"/>
        </w:numPr>
        <w:ind w:left="1247" w:firstLine="0"/>
      </w:pPr>
      <w:r>
        <w:t xml:space="preserve">The current </w:t>
      </w:r>
      <w:r w:rsidRPr="0016380E">
        <w:t>body of evidence</w:t>
      </w:r>
      <w:r>
        <w:t xml:space="preserve"> concerning mercury’s impacts on children worldwide</w:t>
      </w:r>
      <w:r w:rsidRPr="0016380E">
        <w:t xml:space="preserve"> is robust and justifie</w:t>
      </w:r>
      <w:r>
        <w:t xml:space="preserve">s </w:t>
      </w:r>
      <w:r w:rsidRPr="008905F1">
        <w:rPr>
          <w:color w:val="000000" w:themeColor="text1"/>
        </w:rPr>
        <w:t>global</w:t>
      </w:r>
      <w:r>
        <w:t xml:space="preserve"> action to combat mercury pollution, such as through the </w:t>
      </w:r>
      <w:r w:rsidRPr="0016380E">
        <w:t>Minamata Convention. However, with continued research our scientific understandings</w:t>
      </w:r>
      <w:r>
        <w:t xml:space="preserve"> </w:t>
      </w:r>
      <w:proofErr w:type="gramStart"/>
      <w:r>
        <w:t>evolve</w:t>
      </w:r>
      <w:proofErr w:type="gramEnd"/>
      <w:r w:rsidRPr="0016380E">
        <w:t xml:space="preserve"> and public health concerns </w:t>
      </w:r>
      <w:r>
        <w:t>continue to grow:</w:t>
      </w:r>
    </w:p>
    <w:p w14:paraId="52A3A01B" w14:textId="3D03C611" w:rsidR="00D356A9"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16380E">
        <w:t>Today, nearly all children</w:t>
      </w:r>
      <w:r>
        <w:t xml:space="preserve"> worldwide</w:t>
      </w:r>
      <w:r w:rsidRPr="0016380E">
        <w:t xml:space="preserve">—from the prenatal stage through adolescence—are exposed to some level of mercury. Once in the body, </w:t>
      </w:r>
      <w:r>
        <w:t xml:space="preserve">the smallest amount of </w:t>
      </w:r>
      <w:r w:rsidRPr="0016380E">
        <w:t xml:space="preserve">mercury can interact with biomolecules and </w:t>
      </w:r>
      <w:r>
        <w:t>impede vital cellular functions. There is likely no safe level of mercury in our bodies.</w:t>
      </w:r>
    </w:p>
    <w:p w14:paraId="6A42002D" w14:textId="5BA0CEDE" w:rsidR="00D356A9"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t>Beyond neurodevelopment, there are growing studies demonstrating that mercury can affect a child’s cardiovascular, immune, metabolic, and other physiological systems. As such, the impacts of mercury on a child’s overall health are likely much greater than we can currently estimate.</w:t>
      </w:r>
    </w:p>
    <w:p w14:paraId="010DAC6C" w14:textId="57F6EED1" w:rsidR="00D356A9"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rsidRPr="007B1037">
        <w:t xml:space="preserve">Mercury </w:t>
      </w:r>
      <w:r w:rsidRPr="0016380E">
        <w:t xml:space="preserve">exposure occurs in combination with other toxic substances as well as non-chemical stressors (e.g., nutrition) and factors (e.g., genetics), and the cumulative effects </w:t>
      </w:r>
      <w:r>
        <w:t xml:space="preserve">in the real-world </w:t>
      </w:r>
      <w:r w:rsidRPr="0016380E">
        <w:t>are poorly resolved.</w:t>
      </w:r>
      <w:r w:rsidR="008905F1">
        <w:t xml:space="preserve"> </w:t>
      </w:r>
      <w:r>
        <w:t>Further, there can be long latencies between exposure to mercury and adverse health outcomes.</w:t>
      </w:r>
    </w:p>
    <w:p w14:paraId="049C5832" w14:textId="0938CE85" w:rsidR="00D356A9" w:rsidRDefault="00D356A9" w:rsidP="007B1037">
      <w:pPr>
        <w:pStyle w:val="ListParagraph"/>
        <w:numPr>
          <w:ilvl w:val="0"/>
          <w:numId w:val="27"/>
        </w:numPr>
        <w:tabs>
          <w:tab w:val="clear" w:pos="1247"/>
          <w:tab w:val="clear" w:pos="1814"/>
          <w:tab w:val="clear" w:pos="2381"/>
          <w:tab w:val="clear" w:pos="2948"/>
          <w:tab w:val="clear" w:pos="3515"/>
        </w:tabs>
        <w:spacing w:after="120"/>
        <w:ind w:left="1871" w:hanging="624"/>
      </w:pPr>
      <w:r>
        <w:t xml:space="preserve">The issue of mercury pollution is not slowing down as emissions continue to rise in many areas. Further, </w:t>
      </w:r>
      <w:r w:rsidRPr="0016380E">
        <w:t>mercury risks to populations are now being influenced by climate change.</w:t>
      </w:r>
    </w:p>
    <w:p w14:paraId="246356C9" w14:textId="77777777" w:rsidR="00D356A9" w:rsidRDefault="00D356A9" w:rsidP="008905F1">
      <w:pPr>
        <w:pStyle w:val="NormalNonumber"/>
        <w:numPr>
          <w:ilvl w:val="0"/>
          <w:numId w:val="30"/>
        </w:numPr>
        <w:ind w:left="1247" w:firstLine="0"/>
        <w:rPr>
          <w:color w:val="000000" w:themeColor="text1"/>
        </w:rPr>
      </w:pPr>
      <w:r>
        <w:t>Continued research and public health efforts are essential to protect children from mercury pollution, especially in a world that is complex, varied, and ever-changing.</w:t>
      </w:r>
    </w:p>
    <w:p w14:paraId="6784A7BD" w14:textId="77777777" w:rsidR="00D356A9" w:rsidRPr="003F48D2" w:rsidRDefault="00D356A9" w:rsidP="00D356A9">
      <w:pPr>
        <w:spacing w:after="120"/>
        <w:ind w:left="1247"/>
        <w:rPr>
          <w:b/>
          <w:bCs/>
          <w:color w:val="000000" w:themeColor="text1"/>
        </w:rPr>
      </w:pPr>
      <w:r w:rsidRPr="003F48D2">
        <w:rPr>
          <w:b/>
          <w:bCs/>
          <w:color w:val="000000" w:themeColor="text1"/>
        </w:rPr>
        <w:t>Why are Children Vulnerable?</w:t>
      </w:r>
    </w:p>
    <w:p w14:paraId="6723E1D6" w14:textId="77777777" w:rsidR="00D356A9" w:rsidRPr="00B416BD" w:rsidRDefault="00D356A9" w:rsidP="008905F1">
      <w:pPr>
        <w:pStyle w:val="NormalNonumber"/>
        <w:numPr>
          <w:ilvl w:val="0"/>
          <w:numId w:val="30"/>
        </w:numPr>
        <w:ind w:left="1247" w:firstLine="0"/>
      </w:pPr>
      <w:r w:rsidRPr="00B416BD">
        <w:t>Children are especially vulnerable to mercury pollution due to their unique physiological, developmental, and behavioral characteristics. During pregnancy, mercury</w:t>
      </w:r>
      <w:r>
        <w:t xml:space="preserve">, </w:t>
      </w:r>
      <w:r w:rsidRPr="00B416BD">
        <w:t xml:space="preserve">particularly in its </w:t>
      </w:r>
      <w:r w:rsidRPr="00B416BD">
        <w:lastRenderedPageBreak/>
        <w:t>methylmercury form</w:t>
      </w:r>
      <w:r>
        <w:t xml:space="preserve">, </w:t>
      </w:r>
      <w:r w:rsidRPr="00B416BD">
        <w:t>can cross the placenta and interfere with fetal development. This is a critical period marked by rapid organogenesis and neurodevelopment, including processes like neural cell migration, synaptogenesis, and myelination. Mercury disrupts these processes by binding to sulfhydryl groups in proteins, generating oxidative stress, and interfering with ion channels, potentially leading to long-term cognitive</w:t>
      </w:r>
      <w:r>
        <w:t xml:space="preserve"> and</w:t>
      </w:r>
      <w:r w:rsidRPr="00B416BD">
        <w:t xml:space="preserve"> motor</w:t>
      </w:r>
      <w:r>
        <w:t xml:space="preserve"> </w:t>
      </w:r>
      <w:r w:rsidRPr="00B416BD">
        <w:t>impairments.</w:t>
      </w:r>
    </w:p>
    <w:p w14:paraId="0187554A" w14:textId="77777777" w:rsidR="00D356A9" w:rsidRDefault="00D356A9" w:rsidP="008905F1">
      <w:pPr>
        <w:pStyle w:val="NormalNonumber"/>
        <w:numPr>
          <w:ilvl w:val="0"/>
          <w:numId w:val="30"/>
        </w:numPr>
        <w:ind w:left="1247" w:firstLine="0"/>
      </w:pPr>
      <w:r w:rsidRPr="00B416BD">
        <w:t>In early childhood, vulnerability is heightened by immature metabolic and immune systems, which limit the body’s ability to detoxify and eliminate mercury. Children also consume more air, water, and food per unit body weight than adults, increasing their internal exposure. Their natural behaviors</w:t>
      </w:r>
      <w:r>
        <w:t xml:space="preserve">, </w:t>
      </w:r>
      <w:r w:rsidRPr="00B416BD">
        <w:t>such as playing on contaminated ground or mouthing objects</w:t>
      </w:r>
      <w:r>
        <w:t xml:space="preserve">, </w:t>
      </w:r>
      <w:r w:rsidRPr="00B416BD">
        <w:t>further elevate risk, especially in environments like artisanal and small-scale gold mining (ASGM) sites.</w:t>
      </w:r>
    </w:p>
    <w:p w14:paraId="02FFD720" w14:textId="77777777" w:rsidR="00D356A9" w:rsidRPr="00B416BD" w:rsidRDefault="00D356A9" w:rsidP="008905F1">
      <w:pPr>
        <w:pStyle w:val="NormalNonumber"/>
        <w:numPr>
          <w:ilvl w:val="0"/>
          <w:numId w:val="30"/>
        </w:numPr>
        <w:ind w:left="1247" w:firstLine="0"/>
      </w:pPr>
      <w:r w:rsidRPr="00B416BD">
        <w:t>Adolescents remain at risk due to ongoing brain development, hormonal changes, and increased risk-taking behaviors. Additional risks include use of mercury-containing products (e.g., skin-lightening creams), and occupational exposure through child labor. Caregivers also influence exposure through dietary choices and household contamination, underscoring the multifaceted nature of mercury vulnerability in children.</w:t>
      </w:r>
    </w:p>
    <w:p w14:paraId="2DD27547" w14:textId="77777777" w:rsidR="00D356A9" w:rsidRPr="00C445EE" w:rsidRDefault="00D356A9" w:rsidP="00D356A9">
      <w:pPr>
        <w:spacing w:after="120"/>
        <w:ind w:left="1247"/>
        <w:rPr>
          <w:b/>
          <w:bCs/>
          <w:color w:val="000000" w:themeColor="text1"/>
        </w:rPr>
      </w:pPr>
      <w:r w:rsidRPr="3239BF28">
        <w:rPr>
          <w:b/>
          <w:bCs/>
          <w:color w:val="000000" w:themeColor="text1"/>
        </w:rPr>
        <w:t>Key Report Findings</w:t>
      </w:r>
    </w:p>
    <w:p w14:paraId="7DE9F291" w14:textId="097E11BF" w:rsidR="00D356A9" w:rsidRDefault="00D356A9" w:rsidP="008905F1">
      <w:pPr>
        <w:pStyle w:val="NormalNonumber"/>
        <w:numPr>
          <w:ilvl w:val="0"/>
          <w:numId w:val="30"/>
        </w:numPr>
        <w:ind w:left="1247" w:firstLine="0"/>
        <w:rPr>
          <w:color w:val="000000" w:themeColor="text1"/>
        </w:rPr>
      </w:pPr>
      <w:r>
        <w:rPr>
          <w:color w:val="000000" w:themeColor="text1"/>
        </w:rPr>
        <w:t xml:space="preserve">Mercury pollution poses a serious and widespread threat to children’s health and development. Children worldwide are exposed to mercury every day, from contaminated food sources such as fish and seafood to unsafe living/work environments like artisanal and small-scale gold mining (ASGM) communities. Many are exposed in the womb at levels that may lead to lifelong neurological harm. Damages go beyond the brain, and exposure of children to the chemical is associated with damage to the cardiovascular and immune systems. Damages also go beyond childhood years, with effects persisting into adulthood and even impacting future generations. Mercury pollution is linked to poverty, inequality, and child </w:t>
      </w:r>
      <w:proofErr w:type="spellStart"/>
      <w:r>
        <w:rPr>
          <w:color w:val="000000" w:themeColor="text1"/>
        </w:rPr>
        <w:t>labour</w:t>
      </w:r>
      <w:proofErr w:type="spellEnd"/>
      <w:r>
        <w:rPr>
          <w:color w:val="000000" w:themeColor="text1"/>
        </w:rPr>
        <w:t xml:space="preserve">. Even though its health, economic, and social costs are high, solutions exist.  </w:t>
      </w:r>
    </w:p>
    <w:p w14:paraId="3E207BBF" w14:textId="54A60DC9" w:rsidR="00D356A9" w:rsidRDefault="00D356A9" w:rsidP="008905F1">
      <w:pPr>
        <w:pStyle w:val="NormalNonumber"/>
        <w:numPr>
          <w:ilvl w:val="0"/>
          <w:numId w:val="30"/>
        </w:numPr>
        <w:ind w:left="1247" w:firstLine="0"/>
        <w:rPr>
          <w:color w:val="000000" w:themeColor="text1"/>
        </w:rPr>
      </w:pPr>
      <w:r>
        <w:rPr>
          <w:color w:val="000000" w:themeColor="text1"/>
        </w:rPr>
        <w:t xml:space="preserve">The Minamata Convention represents a global commitment to </w:t>
      </w:r>
      <w:proofErr w:type="gramStart"/>
      <w:r>
        <w:rPr>
          <w:color w:val="000000" w:themeColor="text1"/>
        </w:rPr>
        <w:t>take action</w:t>
      </w:r>
      <w:proofErr w:type="gramEnd"/>
      <w:r>
        <w:rPr>
          <w:color w:val="000000" w:themeColor="text1"/>
        </w:rPr>
        <w:t xml:space="preserve"> now. Through policy reform, safer practices, educational programs, and international cooperation, progress can be made to protect children from mercury pollution.</w:t>
      </w:r>
    </w:p>
    <w:p w14:paraId="3E2054C1" w14:textId="77777777" w:rsidR="000D1443" w:rsidRPr="00A454E3" w:rsidRDefault="000D1443" w:rsidP="00A454E3">
      <w:pPr>
        <w:pStyle w:val="Normal-pool"/>
      </w:pPr>
      <w:r w:rsidRPr="00A454E3">
        <w:br w:type="page"/>
      </w:r>
    </w:p>
    <w:p w14:paraId="79604F6B" w14:textId="1241BA9A" w:rsidR="000D1443" w:rsidRDefault="000D1443" w:rsidP="00A175D2">
      <w:pPr>
        <w:pStyle w:val="ZZAnxheader"/>
      </w:pPr>
      <w:bookmarkStart w:id="27" w:name="_Toc144133041"/>
      <w:bookmarkStart w:id="28" w:name="_Toc907700028"/>
      <w:bookmarkStart w:id="29" w:name="_Toc147247979"/>
      <w:bookmarkStart w:id="30" w:name="_Toc207891626"/>
      <w:r w:rsidRPr="00FF1E8A">
        <w:lastRenderedPageBreak/>
        <w:t>Annex</w:t>
      </w:r>
      <w:r>
        <w:t xml:space="preserve"> V</w:t>
      </w:r>
      <w:bookmarkEnd w:id="27"/>
      <w:bookmarkEnd w:id="28"/>
      <w:bookmarkEnd w:id="29"/>
      <w:bookmarkEnd w:id="30"/>
    </w:p>
    <w:p w14:paraId="5C741E1B" w14:textId="77777777" w:rsidR="005F4F3E" w:rsidRDefault="005F4F3E" w:rsidP="00AC7B7E">
      <w:pPr>
        <w:pStyle w:val="BBTitle"/>
      </w:pPr>
      <w:r>
        <w:t>Submission by the Inuit Circumpolar Council (ICC)</w:t>
      </w:r>
    </w:p>
    <w:p w14:paraId="502A8B4F" w14:textId="240E0FDB" w:rsidR="00AC7B7E" w:rsidRDefault="00AC7B7E" w:rsidP="00240222">
      <w:pPr>
        <w:pStyle w:val="NormalNonumber"/>
        <w:numPr>
          <w:ilvl w:val="0"/>
          <w:numId w:val="32"/>
        </w:numPr>
        <w:ind w:left="1247" w:firstLine="0"/>
      </w:pPr>
      <w:r>
        <w:t xml:space="preserve">The Inuit </w:t>
      </w:r>
      <w:r w:rsidRPr="00240222">
        <w:rPr>
          <w:rFonts w:eastAsia="SimSun"/>
          <w:lang w:val="en-GB"/>
        </w:rPr>
        <w:t>Circumpolar</w:t>
      </w:r>
      <w:r>
        <w:t xml:space="preserve"> Council has been and continues to be very engaged in the Minamata Convention on Mercury. The engagement started with the negotiation sessions (OEWG and INCs) and continues with attendance of COPs (where ICC has participated in and organized side events and/or Knowledge Labs) and involvement in the intersessional work, such as effectiveness evaluation efforts. In its work ICC is highlighting Inuit priorities and concerns, the importance of Indigenous self-determination, and adherence to human rights. ICC is also very involved in research and monitoring efforts in the Arctic, and is connecting research done in the Arctic, often co-led by Indigenous Peoples, with international decision-making processes, such as the Minamata Convention. For example, ICC is a member of the Canadian Northern Contaminants Program, which is funding contaminant research in the Canadian Arctic and is co-managed by Canadian Arctic Indigenous Peoples together with Canadian federal and sub-national government departments. This information and data are then used in Arctic Council’s Arctic Monitoring and Assessment Programme (AMAP), for example to develop assessments on the state of the Arctic environment, which feed into the UN-related work, including assessments on human health, mercury, POPs, Chemicals of Emerging Concern, and Climate Change. ICC is a Permanent Participant of Arctic Council and is very engaged in AMAP; among other things, ICC has co-led work on human health and mercury, which is additionally published in peer-reviewed international journals. Examples of ICC’s work that are of relevance to the Minamata Convention can be found in the Annex below.</w:t>
      </w:r>
    </w:p>
    <w:p w14:paraId="0B2F2846" w14:textId="34126800" w:rsidR="00AC7B7E" w:rsidRDefault="00AC7B7E" w:rsidP="00240222">
      <w:pPr>
        <w:pStyle w:val="NormalNonumber"/>
        <w:numPr>
          <w:ilvl w:val="0"/>
          <w:numId w:val="32"/>
        </w:numPr>
        <w:ind w:left="1247" w:firstLine="0"/>
      </w:pPr>
      <w:r>
        <w:t xml:space="preserve">Further of great interest to the Minamata Convention is the development of ICC’s </w:t>
      </w:r>
      <w:bookmarkStart w:id="31" w:name="_Hlk203051452"/>
      <w:r>
        <w:t xml:space="preserve">Circumpolar Inuit Protocols for Equitable and Ethical Engagement, which outline how Inuit need to be involved in </w:t>
      </w:r>
      <w:r w:rsidRPr="00240222">
        <w:rPr>
          <w:rFonts w:eastAsia="SimSun"/>
          <w:lang w:val="en-GB"/>
        </w:rPr>
        <w:t>research</w:t>
      </w:r>
      <w:r>
        <w:t xml:space="preserve"> and monitoring efforts in the Arctic. These protocols can be found on the ICC Canada website: </w:t>
      </w:r>
      <w:r w:rsidRPr="001B291D">
        <w:t>https://www.inuitcircumpolar.com/project/circumpolar-inuit-protocols-for-equitable-and-ethical-engagement/</w:t>
      </w:r>
      <w:r>
        <w:t>).</w:t>
      </w:r>
      <w:bookmarkEnd w:id="31"/>
    </w:p>
    <w:p w14:paraId="005A1300" w14:textId="77777777" w:rsidR="00AC7B7E" w:rsidRPr="00240222" w:rsidRDefault="00AC7B7E" w:rsidP="00240222">
      <w:pPr>
        <w:pStyle w:val="Normalnumber"/>
        <w:snapToGrid w:val="0"/>
        <w:spacing w:before="240"/>
        <w:ind w:left="1247"/>
        <w:rPr>
          <w:b/>
          <w:bCs/>
        </w:rPr>
      </w:pPr>
      <w:r w:rsidRPr="00240222">
        <w:rPr>
          <w:b/>
          <w:bCs/>
        </w:rPr>
        <w:t>Published literature of interest to the Minamata Convention on Mercury</w:t>
      </w:r>
    </w:p>
    <w:p w14:paraId="575734FE" w14:textId="7A0ACE35" w:rsidR="00AC7B7E" w:rsidRDefault="00AC7B7E" w:rsidP="00240222">
      <w:pPr>
        <w:pStyle w:val="NormalNonumber"/>
        <w:numPr>
          <w:ilvl w:val="0"/>
          <w:numId w:val="34"/>
        </w:numPr>
        <w:ind w:left="1247" w:firstLine="0"/>
      </w:pPr>
      <w:r>
        <w:t xml:space="preserve">Evers DC, Ackerman JT, Åkerblom S, Bally D, Basu N, Bishop K, Bodin N, Braaten HFV, Burton MEH, Bustamante P, Chen C, Chetelat J, Christian L, </w:t>
      </w:r>
      <w:proofErr w:type="spellStart"/>
      <w:r>
        <w:t>Diety</w:t>
      </w:r>
      <w:proofErr w:type="spellEnd"/>
      <w:r>
        <w:t xml:space="preserve"> R, </w:t>
      </w:r>
      <w:proofErr w:type="spellStart"/>
      <w:r>
        <w:t>Drevnick</w:t>
      </w:r>
      <w:proofErr w:type="spellEnd"/>
      <w:r>
        <w:t xml:space="preserve"> P, Eagles-Smith C, Fernandez LE, </w:t>
      </w:r>
      <w:proofErr w:type="spellStart"/>
      <w:r>
        <w:t>Hmmerschlag</w:t>
      </w:r>
      <w:proofErr w:type="spellEnd"/>
      <w:r>
        <w:t xml:space="preserve"> N, Harmelin-Vivien M, Harte A, </w:t>
      </w:r>
      <w:proofErr w:type="spellStart"/>
      <w:r>
        <w:t>Krümmel</w:t>
      </w:r>
      <w:proofErr w:type="spellEnd"/>
      <w:r>
        <w:t xml:space="preserve"> EM, </w:t>
      </w:r>
      <w:proofErr w:type="spellStart"/>
      <w:r>
        <w:t>Lailson</w:t>
      </w:r>
      <w:proofErr w:type="spellEnd"/>
      <w:r>
        <w:t xml:space="preserve"> Brito J, Medina G, Rodriguez CAB, Stenhouse I, Sunderland E, Takeuchi A, Tear T, Vega C, Wilson S, Wu P. Global mercury concentrations in biota: their use as a basis for a global biomonitoring framework. Ecotoxicology, 2024, 33, 325–396. </w:t>
      </w:r>
      <w:hyperlink r:id="rId41" w:history="1">
        <w:r w:rsidRPr="00240222">
          <w:rPr>
            <w:rStyle w:val="Hyperlink"/>
            <w:lang w:val="en-GB"/>
          </w:rPr>
          <w:t>https://doi.org/10.1007/s10646-024-02747-x</w:t>
        </w:r>
      </w:hyperlink>
    </w:p>
    <w:p w14:paraId="16E3747A" w14:textId="77777777" w:rsidR="00240222" w:rsidRDefault="00AC7B7E" w:rsidP="00A55FF4">
      <w:pPr>
        <w:pStyle w:val="NormalNonumber"/>
        <w:numPr>
          <w:ilvl w:val="0"/>
          <w:numId w:val="34"/>
        </w:numPr>
        <w:ind w:left="1247" w:firstLine="0"/>
      </w:pPr>
      <w:bookmarkStart w:id="32" w:name="_Hlk203051511"/>
      <w:r>
        <w:t xml:space="preserve">Houde, M., </w:t>
      </w:r>
      <w:proofErr w:type="spellStart"/>
      <w:r>
        <w:t>Krümmel</w:t>
      </w:r>
      <w:proofErr w:type="spellEnd"/>
      <w:r>
        <w:t xml:space="preserve">, EM, Mustonen T. et al. 2022. Contributions and perspectives of Indigenous Peoples to the study of mercury in the Arctic. Science of The Total Environment; 841,156566. https://doi.org/10.1016/j.scitotenv.2022.156566 </w:t>
      </w:r>
    </w:p>
    <w:p w14:paraId="3DC2918D" w14:textId="77777777" w:rsidR="00240222" w:rsidRDefault="00AC7B7E" w:rsidP="005873F1">
      <w:pPr>
        <w:pStyle w:val="NormalNonumber"/>
        <w:numPr>
          <w:ilvl w:val="0"/>
          <w:numId w:val="34"/>
        </w:numPr>
        <w:ind w:left="1247" w:firstLine="0"/>
      </w:pPr>
      <w:r>
        <w:t xml:space="preserve">Houde, M., </w:t>
      </w:r>
      <w:proofErr w:type="spellStart"/>
      <w:r>
        <w:t>Krümmel</w:t>
      </w:r>
      <w:proofErr w:type="spellEnd"/>
      <w:r>
        <w:t xml:space="preserve">, EM., et al. 2021. Chapter 9: What are Indigenous Peoples’ contributions and perspectives to the study of mercury in the Arctic? In: AMAP Assessment 2021: Mercury in the Arctic. Arctic Monitoring and Assessment Programme (AMAP), Tromsø, Norway. 324 pp. Available at https://www.amap.no/documents/doc/amap-assessment-2021-mercury-in-the-arctic/3581 </w:t>
      </w:r>
    </w:p>
    <w:p w14:paraId="19784830" w14:textId="77777777" w:rsidR="00240222" w:rsidRDefault="00AC7B7E" w:rsidP="00240222">
      <w:pPr>
        <w:pStyle w:val="NormalNonumber"/>
        <w:numPr>
          <w:ilvl w:val="0"/>
          <w:numId w:val="34"/>
        </w:numPr>
        <w:ind w:left="1247" w:firstLine="0"/>
      </w:pPr>
      <w:proofErr w:type="spellStart"/>
      <w:r>
        <w:t>Krümmel</w:t>
      </w:r>
      <w:proofErr w:type="spellEnd"/>
      <w:r>
        <w:t xml:space="preserve"> EM, Boyd AD, Brandow D, Brubaker M, Furgal CM, Gerlach R, O’Hara SP, Laird BD, Lemire M, </w:t>
      </w:r>
      <w:proofErr w:type="spellStart"/>
      <w:r>
        <w:t>Loseto</w:t>
      </w:r>
      <w:proofErr w:type="spellEnd"/>
      <w:r>
        <w:t xml:space="preserve"> LL, Mulvad G, Olafsdottir K, Provencher JF, Ratelle M, Rautio A, Skinner K, Weihe P, Wennberg M. 2024. Updated review on contaminant communication experiences in the circumpolar Arctic. Special issue of the 2021 AMAP Human Health Assessment in the International Journal on Circumpolar Health. Volume 83, 2024 – Issue, </w:t>
      </w:r>
      <w:hyperlink r:id="rId42" w:history="1">
        <w:r w:rsidR="00240222" w:rsidRPr="00D07A35">
          <w:rPr>
            <w:rStyle w:val="Hyperlink"/>
          </w:rPr>
          <w:t>https://doi.org/10.1080/22423982.2024.2371623</w:t>
        </w:r>
      </w:hyperlink>
    </w:p>
    <w:p w14:paraId="50E03298" w14:textId="721E8F9C" w:rsidR="00AC7B7E" w:rsidRDefault="00AC7B7E" w:rsidP="00240222">
      <w:pPr>
        <w:pStyle w:val="NormalNonumber"/>
        <w:numPr>
          <w:ilvl w:val="0"/>
          <w:numId w:val="34"/>
        </w:numPr>
        <w:ind w:left="1247" w:firstLine="0"/>
      </w:pPr>
      <w:proofErr w:type="spellStart"/>
      <w:r>
        <w:t>Krümmel</w:t>
      </w:r>
      <w:proofErr w:type="spellEnd"/>
      <w:r>
        <w:t xml:space="preserve">, EM. Boyd AD, Brandow D, Brubaker M, Furgal CM, Gerlach R, O’Hara SP, Laird BD, Lemire M, </w:t>
      </w:r>
      <w:proofErr w:type="spellStart"/>
      <w:r>
        <w:t>Loseto</w:t>
      </w:r>
      <w:proofErr w:type="spellEnd"/>
      <w:r>
        <w:t xml:space="preserve"> LL, Mulvad G, Olafsdottir K, Provencher JF, Ratelle M, Rautio A, Skinner K, Weihe P, Wennberg M. 2021. Chapter 6: Contaminant risk communication update. In: AMAP Assessment 2021: Human Health in the Arctic. Arctic Monitoring and Assessment Programme (AMAP), Tromsø, Norway. x+240pp. Available at https://www.amap.no/documents/doc/amap-assessment-2021-human-health-in-the-arctic/3593</w:t>
      </w:r>
      <w:bookmarkEnd w:id="32"/>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0D1443" w:rsidRPr="00F23DCE" w14:paraId="62C0266D" w14:textId="77777777" w:rsidTr="000B71F6">
        <w:tc>
          <w:tcPr>
            <w:tcW w:w="1897" w:type="dxa"/>
          </w:tcPr>
          <w:p w14:paraId="5865B67D" w14:textId="77777777" w:rsidR="000D1443" w:rsidRPr="00F23DCE" w:rsidRDefault="000D1443" w:rsidP="00722B95">
            <w:pPr>
              <w:pStyle w:val="Normal-pool"/>
              <w:spacing w:before="480"/>
            </w:pPr>
          </w:p>
        </w:tc>
        <w:tc>
          <w:tcPr>
            <w:tcW w:w="1897" w:type="dxa"/>
          </w:tcPr>
          <w:p w14:paraId="5116C169" w14:textId="77777777" w:rsidR="000D1443" w:rsidRPr="00F23DCE" w:rsidRDefault="000D1443" w:rsidP="00722B95">
            <w:pPr>
              <w:pStyle w:val="Normal-pool"/>
              <w:spacing w:before="480"/>
            </w:pPr>
          </w:p>
        </w:tc>
        <w:tc>
          <w:tcPr>
            <w:tcW w:w="1897" w:type="dxa"/>
            <w:tcBorders>
              <w:bottom w:val="single" w:sz="4" w:space="0" w:color="auto"/>
            </w:tcBorders>
          </w:tcPr>
          <w:p w14:paraId="7106B77A" w14:textId="77777777" w:rsidR="000D1443" w:rsidRPr="00F23DCE" w:rsidRDefault="000D1443" w:rsidP="00722B95">
            <w:pPr>
              <w:pStyle w:val="Normal-pool"/>
              <w:spacing w:before="480"/>
            </w:pPr>
          </w:p>
        </w:tc>
        <w:tc>
          <w:tcPr>
            <w:tcW w:w="1897" w:type="dxa"/>
          </w:tcPr>
          <w:p w14:paraId="29B9B776" w14:textId="77777777" w:rsidR="000D1443" w:rsidRPr="00F23DCE" w:rsidRDefault="000D1443" w:rsidP="00722B95">
            <w:pPr>
              <w:pStyle w:val="Normal-pool"/>
              <w:spacing w:before="480"/>
            </w:pPr>
          </w:p>
        </w:tc>
        <w:tc>
          <w:tcPr>
            <w:tcW w:w="1898" w:type="dxa"/>
          </w:tcPr>
          <w:p w14:paraId="54BFF252" w14:textId="77777777" w:rsidR="000D1443" w:rsidRPr="00F23DCE" w:rsidRDefault="000D1443" w:rsidP="00722B95">
            <w:pPr>
              <w:pStyle w:val="Normal-pool"/>
              <w:spacing w:before="480"/>
            </w:pPr>
          </w:p>
        </w:tc>
      </w:tr>
    </w:tbl>
    <w:p w14:paraId="2DDA5663" w14:textId="77777777" w:rsidR="00CC7854" w:rsidRPr="00CC7854" w:rsidRDefault="00CC7854" w:rsidP="00DE6E55">
      <w:pPr>
        <w:pStyle w:val="Normal-pool"/>
      </w:pPr>
    </w:p>
    <w:sectPr w:rsidR="00CC7854" w:rsidRPr="00CC7854" w:rsidSect="00CC7854">
      <w:headerReference w:type="first" r:id="rId43"/>
      <w:footerReference w:type="first" r:id="rId44"/>
      <w:pgSz w:w="11907" w:h="16839" w:code="9"/>
      <w:pgMar w:top="907" w:right="992" w:bottom="1418" w:left="1418" w:header="539" w:footer="975" w:gutter="0"/>
      <w:cols w:space="539"/>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y Linh Doan" w:date="2025-08-26T15:33:00Z" w:initials="LD">
    <w:p w14:paraId="6160CEB9" w14:textId="77777777" w:rsidR="006F0246" w:rsidRDefault="006F0246" w:rsidP="006F0246">
      <w:pPr>
        <w:pStyle w:val="CommentText"/>
      </w:pPr>
      <w:r>
        <w:rPr>
          <w:rStyle w:val="CommentReference"/>
        </w:rPr>
        <w:annotationRef/>
      </w:r>
      <w:r>
        <w:rPr>
          <w:lang w:val="fr-CH"/>
        </w:rPr>
        <w:t>COP-5 list – will be updated upon your guidance on the ordering of submissions received.</w:t>
      </w:r>
    </w:p>
  </w:comment>
  <w:comment w:id="9" w:author="Lara Ognibene" w:date="2025-08-26T15:49:00Z" w:initials="LO">
    <w:p w14:paraId="0445A3E4" w14:textId="349F78F7" w:rsidR="00176AF9" w:rsidRDefault="00000000">
      <w:pPr>
        <w:pStyle w:val="CommentText"/>
      </w:pPr>
      <w:r>
        <w:rPr>
          <w:rStyle w:val="CommentReference"/>
        </w:rPr>
        <w:annotationRef/>
      </w:r>
      <w:r w:rsidRPr="3DB98FC9">
        <w:t>I think it is ok to use the COP-5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0CEB9" w15:done="1"/>
  <w15:commentEx w15:paraId="0445A3E4" w15:paraIdParent="6160CE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3E543" w16cex:dateUtc="2025-08-26T13:33:00Z"/>
  <w16cex:commentExtensible w16cex:durableId="5D866DDF" w16cex:dateUtc="2025-08-26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0CEB9" w16cid:durableId="4F33E543"/>
  <w16cid:commentId w16cid:paraId="0445A3E4" w16cid:durableId="5D866D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4252" w14:textId="77777777" w:rsidR="00A47FBF" w:rsidRPr="00CC7854" w:rsidRDefault="00A47FBF">
      <w:r w:rsidRPr="00CC7854">
        <w:separator/>
      </w:r>
    </w:p>
  </w:endnote>
  <w:endnote w:type="continuationSeparator" w:id="0">
    <w:p w14:paraId="4238D549" w14:textId="77777777" w:rsidR="00A47FBF" w:rsidRPr="00CC7854" w:rsidRDefault="00A47FBF">
      <w:r w:rsidRPr="00CC7854">
        <w:continuationSeparator/>
      </w:r>
    </w:p>
  </w:endnote>
  <w:endnote w:type="continuationNotice" w:id="1">
    <w:p w14:paraId="57CF4EC9" w14:textId="77777777" w:rsidR="00A47FBF" w:rsidRDefault="00A47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517" w14:textId="77777777" w:rsidR="002E7F62" w:rsidRPr="00F96910" w:rsidRDefault="002E7F62"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DB2E" w14:textId="77777777" w:rsidR="002E7F62" w:rsidRPr="0015442E" w:rsidRDefault="002E7F62"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005C" w14:textId="15D471D3" w:rsidR="002E7F62" w:rsidRDefault="005141EA" w:rsidP="0015442E">
    <w:pPr>
      <w:pStyle w:val="Normal-pool"/>
    </w:pPr>
    <w:r>
      <w:tab/>
    </w:r>
    <w:r>
      <w:tab/>
      <w:t>0409</w:t>
    </w:r>
    <w:r w:rsidR="002E7F62">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2563" w14:textId="77777777" w:rsidR="007A36F8" w:rsidRPr="00CC7854" w:rsidRDefault="00CC7854" w:rsidP="00CC7854">
    <w:pPr>
      <w:pStyle w:val="Footer"/>
    </w:pPr>
    <w:r w:rsidRPr="00CC7854">
      <w:rPr>
        <w:rStyle w:val="PageNumber"/>
      </w:rPr>
      <w:fldChar w:fldCharType="begin"/>
    </w:r>
    <w:r w:rsidRPr="00CC7854">
      <w:rPr>
        <w:rStyle w:val="PageNumber"/>
      </w:rPr>
      <w:instrText xml:space="preserve"> PAGE </w:instrText>
    </w:r>
    <w:r w:rsidRPr="00CC7854">
      <w:rPr>
        <w:rStyle w:val="PageNumber"/>
      </w:rPr>
      <w:fldChar w:fldCharType="separate"/>
    </w:r>
    <w:r w:rsidRPr="00CC7854">
      <w:rPr>
        <w:rStyle w:val="PageNumber"/>
        <w:noProof/>
      </w:rPr>
      <w:t>1</w:t>
    </w:r>
    <w:r w:rsidRPr="00CC785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91CD" w14:textId="77777777" w:rsidR="007A36F8" w:rsidRPr="00CC7854" w:rsidRDefault="00CC7854" w:rsidP="00CC7854">
    <w:pPr>
      <w:pStyle w:val="Footer-pool"/>
      <w:jc w:val="right"/>
    </w:pPr>
    <w:r w:rsidRPr="00CC7854">
      <w:rPr>
        <w:rStyle w:val="PageNumber"/>
        <w:b/>
      </w:rPr>
      <w:fldChar w:fldCharType="begin"/>
    </w:r>
    <w:r w:rsidRPr="00CC7854">
      <w:rPr>
        <w:rStyle w:val="PageNumber"/>
        <w:b/>
      </w:rPr>
      <w:instrText xml:space="preserve"> PAGE \* MERGEFORMAT </w:instrText>
    </w:r>
    <w:r w:rsidRPr="00CC7854">
      <w:rPr>
        <w:rStyle w:val="PageNumber"/>
        <w:b/>
      </w:rPr>
      <w:fldChar w:fldCharType="separate"/>
    </w:r>
    <w:r w:rsidRPr="00CC7854">
      <w:rPr>
        <w:rStyle w:val="PageNumber"/>
        <w:b/>
        <w:noProof/>
      </w:rPr>
      <w:t>1</w:t>
    </w:r>
    <w:r w:rsidRPr="00CC7854">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86872"/>
      <w:docPartObj>
        <w:docPartGallery w:val="Page Numbers (Bottom of Page)"/>
        <w:docPartUnique/>
      </w:docPartObj>
    </w:sdtPr>
    <w:sdtEndPr>
      <w:rPr>
        <w:b/>
        <w:bCs/>
        <w:noProof/>
      </w:rPr>
    </w:sdtEndPr>
    <w:sdtContent>
      <w:p w14:paraId="5362AD98" w14:textId="2892E7D4" w:rsidR="00CC7854" w:rsidRPr="005141EA" w:rsidRDefault="005141EA" w:rsidP="005141EA">
        <w:pPr>
          <w:pStyle w:val="Footer"/>
          <w:jc w:val="right"/>
          <w:rPr>
            <w:b/>
            <w:bCs/>
          </w:rPr>
        </w:pPr>
        <w:r w:rsidRPr="005141EA">
          <w:rPr>
            <w:b/>
            <w:bCs/>
          </w:rPr>
          <w:fldChar w:fldCharType="begin"/>
        </w:r>
        <w:r w:rsidRPr="005141EA">
          <w:rPr>
            <w:b/>
            <w:bCs/>
          </w:rPr>
          <w:instrText xml:space="preserve"> PAGE   \* MERGEFORMAT </w:instrText>
        </w:r>
        <w:r w:rsidRPr="005141EA">
          <w:rPr>
            <w:b/>
            <w:bCs/>
          </w:rPr>
          <w:fldChar w:fldCharType="separate"/>
        </w:r>
        <w:r w:rsidRPr="005141EA">
          <w:rPr>
            <w:b/>
            <w:bCs/>
            <w:noProof/>
          </w:rPr>
          <w:t>2</w:t>
        </w:r>
        <w:r w:rsidRPr="005141EA">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DF5A" w14:textId="324DAB37" w:rsidR="00A175D2" w:rsidRPr="00A175D2" w:rsidRDefault="00A175D2" w:rsidP="005141EA">
    <w:pPr>
      <w:pStyle w:val="Footer"/>
      <w:rPr>
        <w:b/>
        <w:bCs/>
      </w:rPr>
    </w:pPr>
    <w:r w:rsidRPr="00A175D2">
      <w:rPr>
        <w:b/>
        <w:bCs/>
      </w:rPr>
      <w:fldChar w:fldCharType="begin"/>
    </w:r>
    <w:r w:rsidRPr="00A175D2">
      <w:rPr>
        <w:b/>
        <w:bCs/>
      </w:rPr>
      <w:instrText xml:space="preserve"> PAGE   \* MERGEFORMAT </w:instrText>
    </w:r>
    <w:r w:rsidRPr="00A175D2">
      <w:rPr>
        <w:b/>
        <w:bCs/>
      </w:rPr>
      <w:fldChar w:fldCharType="separate"/>
    </w:r>
    <w:r w:rsidRPr="00A175D2">
      <w:rPr>
        <w:b/>
        <w:bCs/>
        <w:noProof/>
      </w:rPr>
      <w:t>1</w:t>
    </w:r>
    <w:r w:rsidRPr="00A175D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772F" w14:textId="77777777" w:rsidR="00A47FBF" w:rsidRPr="00A73DB7" w:rsidRDefault="00A47FBF" w:rsidP="00A73DB7">
      <w:pPr>
        <w:pStyle w:val="Normal-pool"/>
        <w:tabs>
          <w:tab w:val="clear" w:pos="1247"/>
          <w:tab w:val="clear" w:pos="1871"/>
          <w:tab w:val="clear" w:pos="2495"/>
          <w:tab w:val="clear" w:pos="3119"/>
          <w:tab w:val="clear" w:pos="3742"/>
          <w:tab w:val="clear" w:pos="4366"/>
        </w:tabs>
        <w:spacing w:before="60"/>
        <w:ind w:left="624"/>
        <w:rPr>
          <w:sz w:val="18"/>
          <w:szCs w:val="18"/>
        </w:rPr>
      </w:pPr>
      <w:r w:rsidRPr="00A73DB7">
        <w:rPr>
          <w:sz w:val="18"/>
          <w:szCs w:val="18"/>
        </w:rPr>
        <w:separator/>
      </w:r>
    </w:p>
  </w:footnote>
  <w:footnote w:type="continuationSeparator" w:id="0">
    <w:p w14:paraId="5402543C" w14:textId="77777777" w:rsidR="00A47FBF" w:rsidRPr="00CC7854" w:rsidRDefault="00A47FBF" w:rsidP="00BC07FE">
      <w:pPr>
        <w:pStyle w:val="Normal-pool"/>
      </w:pPr>
      <w:r w:rsidRPr="00CC7854">
        <w:continuationSeparator/>
      </w:r>
    </w:p>
  </w:footnote>
  <w:footnote w:type="continuationNotice" w:id="1">
    <w:p w14:paraId="0DA1E22E" w14:textId="77777777" w:rsidR="00A47FBF" w:rsidRPr="00CC7854" w:rsidRDefault="00A47FBF" w:rsidP="00E94B48">
      <w:pPr>
        <w:pStyle w:val="Footer"/>
        <w:rPr>
          <w:sz w:val="4"/>
          <w:szCs w:val="4"/>
        </w:rPr>
      </w:pPr>
    </w:p>
  </w:footnote>
  <w:footnote w:id="2">
    <w:p w14:paraId="12C4BACF" w14:textId="405EC259" w:rsidR="000D1443" w:rsidRPr="006F0246" w:rsidRDefault="000D1443" w:rsidP="00A73DB7">
      <w:pPr>
        <w:pStyle w:val="Footnote-Text"/>
        <w:tabs>
          <w:tab w:val="clear" w:pos="1247"/>
          <w:tab w:val="clear" w:pos="1871"/>
          <w:tab w:val="clear" w:pos="2495"/>
          <w:tab w:val="clear" w:pos="3119"/>
          <w:tab w:val="clear" w:pos="3742"/>
          <w:tab w:val="clear" w:pos="4366"/>
        </w:tabs>
        <w:rPr>
          <w:szCs w:val="18"/>
        </w:rPr>
      </w:pPr>
      <w:r w:rsidRPr="006F0246">
        <w:rPr>
          <w:szCs w:val="18"/>
        </w:rPr>
        <w:t>* UNEP/MC/COP.</w:t>
      </w:r>
      <w:r w:rsidR="00D975A6" w:rsidRPr="006F0246">
        <w:rPr>
          <w:szCs w:val="18"/>
        </w:rPr>
        <w:t>6/</w:t>
      </w:r>
      <w:r w:rsidRPr="006F0246">
        <w:rPr>
          <w:szCs w:val="18"/>
        </w:rPr>
        <w:t>1</w:t>
      </w:r>
      <w:r w:rsidR="00D975A6" w:rsidRPr="006F0246">
        <w:rPr>
          <w:szCs w:val="18"/>
        </w:rPr>
        <w:t>/Rev.1</w:t>
      </w:r>
      <w:r w:rsidRPr="006F0246">
        <w:rPr>
          <w:szCs w:val="18"/>
        </w:rPr>
        <w:t>.</w:t>
      </w:r>
    </w:p>
  </w:footnote>
  <w:footnote w:id="3">
    <w:p w14:paraId="422732DB" w14:textId="4179C019" w:rsidR="006F0246" w:rsidRPr="00484F4B" w:rsidRDefault="006F0246" w:rsidP="006F0246">
      <w:pPr>
        <w:pStyle w:val="Footnote-Text"/>
        <w:tabs>
          <w:tab w:val="clear" w:pos="1247"/>
          <w:tab w:val="clear" w:pos="1871"/>
          <w:tab w:val="clear" w:pos="2495"/>
          <w:tab w:val="clear" w:pos="3119"/>
          <w:tab w:val="clear" w:pos="3742"/>
          <w:tab w:val="clear" w:pos="4366"/>
        </w:tabs>
        <w:rPr>
          <w:lang w:val="en-GB"/>
        </w:rPr>
      </w:pPr>
      <w:r w:rsidRPr="006F0246">
        <w:rPr>
          <w:rStyle w:val="FootnoteReference"/>
          <w:sz w:val="18"/>
          <w:vertAlign w:val="baseline"/>
        </w:rPr>
        <w:t>**</w:t>
      </w:r>
      <w:r w:rsidRPr="006F0246">
        <w:rPr>
          <w:szCs w:val="18"/>
          <w:lang w:val="en-GB"/>
        </w:rPr>
        <w:t xml:space="preserve"> The document has not been formally edited.</w:t>
      </w:r>
    </w:p>
  </w:footnote>
  <w:footnote w:id="4">
    <w:p w14:paraId="4A4E56A0" w14:textId="77777777" w:rsidR="00CC270C" w:rsidRPr="007E7193" w:rsidRDefault="00CC270C" w:rsidP="00CC270C">
      <w:pPr>
        <w:pStyle w:val="FootnoteText"/>
        <w:rPr>
          <w:szCs w:val="18"/>
        </w:rPr>
      </w:pPr>
      <w:r w:rsidRPr="007E7193">
        <w:rPr>
          <w:rStyle w:val="FootnoteReference"/>
          <w:sz w:val="18"/>
        </w:rPr>
        <w:footnoteRef/>
      </w:r>
      <w:r w:rsidRPr="007E7193">
        <w:rPr>
          <w:szCs w:val="18"/>
        </w:rPr>
        <w:t xml:space="preserve"> See </w:t>
      </w:r>
      <w:hyperlink r:id="rId1" w:history="1">
        <w:r w:rsidRPr="007E7193">
          <w:rPr>
            <w:rStyle w:val="Hyperlink"/>
            <w:sz w:val="18"/>
            <w:szCs w:val="18"/>
            <w:lang w:val="en-GB"/>
          </w:rPr>
          <w:t>https://unece.org/environmental-policy-1/public-participation</w:t>
        </w:r>
      </w:hyperlink>
      <w:r w:rsidRPr="007E7193">
        <w:rPr>
          <w:szCs w:val="18"/>
          <w:lang w:val="en-GB"/>
        </w:rPr>
        <w:t xml:space="preserve"> and https://unece.org/environment-policy/public-participation/key-guidance-material.</w:t>
      </w:r>
      <w:r w:rsidRPr="007E7193" w:rsidDel="00B54340">
        <w:rPr>
          <w:szCs w:val="18"/>
          <w:lang w:val="en-GB"/>
        </w:rPr>
        <w:t xml:space="preserve"> </w:t>
      </w:r>
    </w:p>
  </w:footnote>
  <w:footnote w:id="5">
    <w:p w14:paraId="3A5E18DC" w14:textId="77777777" w:rsidR="00CC270C" w:rsidRPr="00CC3195" w:rsidRDefault="00CC270C" w:rsidP="00CC270C">
      <w:pPr>
        <w:pStyle w:val="FootnoteText"/>
      </w:pPr>
      <w:r w:rsidRPr="007E7193">
        <w:rPr>
          <w:rStyle w:val="FootnoteReference"/>
          <w:sz w:val="18"/>
        </w:rPr>
        <w:footnoteRef/>
      </w:r>
      <w:r w:rsidRPr="007E7193">
        <w:rPr>
          <w:szCs w:val="18"/>
        </w:rPr>
        <w:t xml:space="preserve"> See https://unece.org/environment-policy/publications/recommendations-more-effective-use-electronic-information-tools.</w:t>
      </w:r>
    </w:p>
  </w:footnote>
  <w:footnote w:id="6">
    <w:p w14:paraId="46EC7681" w14:textId="77777777" w:rsidR="00CC270C" w:rsidRPr="00C65FD8" w:rsidRDefault="00CC270C" w:rsidP="00CC270C">
      <w:pPr>
        <w:pStyle w:val="FootnoteText"/>
        <w:rPr>
          <w:szCs w:val="18"/>
        </w:rPr>
      </w:pPr>
      <w:r w:rsidRPr="00C65FD8">
        <w:rPr>
          <w:rStyle w:val="FootnoteReference"/>
          <w:sz w:val="18"/>
        </w:rPr>
        <w:footnoteRef/>
      </w:r>
      <w:r w:rsidRPr="00C65FD8">
        <w:rPr>
          <w:szCs w:val="18"/>
        </w:rPr>
        <w:t xml:space="preserve"> See https://unece.org/environmental-policy/events/fourth-global-round-table-prtrs.</w:t>
      </w:r>
    </w:p>
  </w:footnote>
  <w:footnote w:id="7">
    <w:p w14:paraId="788B10BF" w14:textId="77777777" w:rsidR="00CC270C" w:rsidRPr="00C65FD8" w:rsidRDefault="00CC270C" w:rsidP="00CC270C">
      <w:pPr>
        <w:pStyle w:val="FootnoteText"/>
        <w:rPr>
          <w:szCs w:val="18"/>
        </w:rPr>
      </w:pPr>
      <w:r w:rsidRPr="00C65FD8">
        <w:rPr>
          <w:rStyle w:val="FootnoteReference"/>
          <w:sz w:val="18"/>
        </w:rPr>
        <w:footnoteRef/>
      </w:r>
      <w:r w:rsidRPr="00C65FD8">
        <w:rPr>
          <w:szCs w:val="18"/>
        </w:rPr>
        <w:t xml:space="preserve"> See https://unece.org/sites/default/files/2025-02/2_Minamata_Global_PRTR_Roundtable_Minamata_20Nov2024_0.pdf.</w:t>
      </w:r>
    </w:p>
  </w:footnote>
  <w:footnote w:id="8">
    <w:p w14:paraId="0A0E6015" w14:textId="77777777" w:rsidR="00CC270C" w:rsidRPr="00C65FD8" w:rsidRDefault="00CC270C" w:rsidP="00CC270C">
      <w:pPr>
        <w:pStyle w:val="FootnoteText"/>
        <w:rPr>
          <w:szCs w:val="18"/>
        </w:rPr>
      </w:pPr>
      <w:r w:rsidRPr="00C65FD8">
        <w:rPr>
          <w:rStyle w:val="FootnoteReference"/>
          <w:sz w:val="18"/>
        </w:rPr>
        <w:footnoteRef/>
      </w:r>
      <w:r w:rsidRPr="00C65FD8">
        <w:rPr>
          <w:szCs w:val="18"/>
        </w:rPr>
        <w:t xml:space="preserve"> See https://unece.org/environment-policy/public-participation/prtrs-working-group-parties.</w:t>
      </w:r>
    </w:p>
  </w:footnote>
  <w:footnote w:id="9">
    <w:p w14:paraId="6488C04C" w14:textId="77777777" w:rsidR="00CC270C" w:rsidRPr="000976AC" w:rsidRDefault="00CC270C" w:rsidP="00CC270C">
      <w:pPr>
        <w:pStyle w:val="FootnoteText"/>
        <w:rPr>
          <w:lang w:val="en-GB"/>
        </w:rPr>
      </w:pPr>
      <w:r w:rsidRPr="00C65FD8">
        <w:rPr>
          <w:rStyle w:val="FootnoteReference"/>
          <w:sz w:val="18"/>
        </w:rPr>
        <w:footnoteRef/>
      </w:r>
      <w:r w:rsidRPr="00C65FD8">
        <w:rPr>
          <w:szCs w:val="18"/>
          <w:lang w:val="en-GB"/>
        </w:rPr>
        <w:t xml:space="preserve"> See </w:t>
      </w:r>
      <w:hyperlink r:id="rId2" w:history="1">
        <w:r w:rsidRPr="00C65FD8">
          <w:rPr>
            <w:rStyle w:val="Hyperlink"/>
            <w:sz w:val="18"/>
            <w:szCs w:val="18"/>
            <w:lang w:val="en-GB"/>
          </w:rPr>
          <w:t>https://unece.org/environmental-policy/events/Aarhus_PP_8TFAI_API_workshop</w:t>
        </w:r>
      </w:hyperlink>
      <w:r w:rsidRPr="00C65FD8">
        <w:rPr>
          <w:szCs w:val="18"/>
          <w:lang w:val="en-GB"/>
        </w:rPr>
        <w:t xml:space="preserve"> and </w:t>
      </w:r>
      <w:hyperlink r:id="rId3" w:history="1">
        <w:r w:rsidRPr="00C65FD8">
          <w:rPr>
            <w:rStyle w:val="Hyperlink"/>
            <w:sz w:val="18"/>
            <w:szCs w:val="18"/>
            <w:lang w:val="en-GB"/>
          </w:rPr>
          <w:t>https://unece.org/environmental-policy/events/ninth-meeting-task-force-access-information-under-aarhus-convention</w:t>
        </w:r>
      </w:hyperlink>
      <w:r w:rsidRPr="00C65FD8">
        <w:rPr>
          <w:szCs w:val="18"/>
          <w:lang w:val="en-GB"/>
        </w:rPr>
        <w:t>.</w:t>
      </w:r>
      <w:r>
        <w:rPr>
          <w:lang w:val="en-GB"/>
        </w:rPr>
        <w:t xml:space="preserve"> </w:t>
      </w:r>
    </w:p>
  </w:footnote>
  <w:footnote w:id="10">
    <w:p w14:paraId="6D460610" w14:textId="77777777" w:rsidR="00CC270C" w:rsidRPr="00C65FD8" w:rsidRDefault="00CC270C" w:rsidP="00CC270C">
      <w:pPr>
        <w:pStyle w:val="FootnoteText"/>
        <w:rPr>
          <w:szCs w:val="18"/>
          <w:lang w:val="en-GB"/>
        </w:rPr>
      </w:pPr>
      <w:r w:rsidRPr="00C65FD8">
        <w:rPr>
          <w:rStyle w:val="FootnoteReference"/>
          <w:sz w:val="18"/>
        </w:rPr>
        <w:footnoteRef/>
      </w:r>
      <w:r w:rsidRPr="00C65FD8">
        <w:rPr>
          <w:szCs w:val="18"/>
          <w:lang w:val="en-GB"/>
        </w:rPr>
        <w:t xml:space="preserve"> See </w:t>
      </w:r>
      <w:hyperlink r:id="rId4" w:history="1">
        <w:r w:rsidRPr="00C65FD8">
          <w:rPr>
            <w:rStyle w:val="Hyperlink"/>
            <w:sz w:val="18"/>
            <w:szCs w:val="18"/>
            <w:lang w:val="en-GB"/>
          </w:rPr>
          <w:t>https://unece.org/environmental-policy/events/sixteenth-meeting-task-force-access-justice-under-aarhus-convention</w:t>
        </w:r>
      </w:hyperlink>
      <w:r w:rsidRPr="00C65FD8">
        <w:rPr>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E884" w14:textId="0653ACFF" w:rsidR="002E7F62" w:rsidRPr="00F96910" w:rsidRDefault="002E7F62" w:rsidP="00F96910">
    <w:pPr>
      <w:pStyle w:val="Header-pool"/>
    </w:pPr>
    <w:r w:rsidRPr="00F96910">
      <w:t>UNEP/MC</w:t>
    </w:r>
    <w:r>
      <w:t>/</w:t>
    </w:r>
    <w:r w:rsidRPr="00F96910">
      <w:t>COP.</w:t>
    </w:r>
    <w:r>
      <w:t>6</w:t>
    </w:r>
    <w:r w:rsidRPr="00F96910">
      <w:t>/</w:t>
    </w:r>
    <w:r>
      <w:t>INF/32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8CA0" w14:textId="1BEC2B1A" w:rsidR="002E7F62" w:rsidRPr="002E7F62" w:rsidRDefault="002E7F62" w:rsidP="005141EA">
    <w:pPr>
      <w:pStyle w:val="Header-pool"/>
      <w:jc w:val="right"/>
    </w:pPr>
    <w:r w:rsidRPr="00F96910">
      <w:t>UNEP/MC</w:t>
    </w:r>
    <w:r>
      <w:t>/</w:t>
    </w:r>
    <w:r w:rsidRPr="00F96910">
      <w:t>COP.</w:t>
    </w:r>
    <w:r>
      <w:t>6</w:t>
    </w:r>
    <w:r w:rsidRPr="00F96910">
      <w:t>/</w:t>
    </w:r>
    <w:r>
      <w:t>INF/32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26A0" w14:textId="75189413" w:rsidR="007A36F8" w:rsidRPr="00CC7854" w:rsidRDefault="00CC7854" w:rsidP="00CC7854">
    <w:pPr>
      <w:pStyle w:val="Header-pool"/>
    </w:pPr>
    <w:r w:rsidRPr="00CC7854">
      <w:fldChar w:fldCharType="begin"/>
    </w:r>
    <w:r w:rsidRPr="00CC7854">
      <w:instrText xml:space="preserve"> StyleRef A_Symbol </w:instrText>
    </w:r>
    <w:r w:rsidRPr="00CC7854">
      <w:fldChar w:fldCharType="separate"/>
    </w:r>
    <w:r w:rsidR="00AF2D24">
      <w:rPr>
        <w:noProof/>
      </w:rPr>
      <w:t>UNEP/MC/COP.6/INF/32</w:t>
    </w:r>
    <w:r w:rsidRPr="00CC785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8835" w14:textId="69AF3390" w:rsidR="007A36F8" w:rsidRPr="00CC7854" w:rsidRDefault="00CC7854" w:rsidP="00CC7854">
    <w:pPr>
      <w:pStyle w:val="Header-pool"/>
      <w:jc w:val="right"/>
    </w:pPr>
    <w:r w:rsidRPr="00CC7854">
      <w:fldChar w:fldCharType="begin"/>
    </w:r>
    <w:r w:rsidRPr="00CC7854">
      <w:instrText xml:space="preserve"> StyleRef A_Symbol </w:instrText>
    </w:r>
    <w:r w:rsidRPr="00CC7854">
      <w:fldChar w:fldCharType="separate"/>
    </w:r>
    <w:r w:rsidR="00AF2D24">
      <w:rPr>
        <w:noProof/>
      </w:rPr>
      <w:t>UNEP/MC/COP.6/INF/32</w:t>
    </w:r>
    <w:r w:rsidRPr="00CC785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781D" w14:textId="6F7474CA" w:rsidR="005141EA" w:rsidRDefault="005141EA" w:rsidP="005141EA">
    <w:pPr>
      <w:pStyle w:val="Header-pool"/>
      <w:jc w:val="right"/>
    </w:pPr>
    <w:r w:rsidRPr="00CC7854">
      <w:fldChar w:fldCharType="begin"/>
    </w:r>
    <w:r w:rsidRPr="00CC7854">
      <w:instrText xml:space="preserve"> StyleRef A_Symbol </w:instrText>
    </w:r>
    <w:r w:rsidRPr="00CC7854">
      <w:fldChar w:fldCharType="separate"/>
    </w:r>
    <w:r w:rsidR="00AF2D24">
      <w:rPr>
        <w:noProof/>
      </w:rPr>
      <w:t>UNEP/MC/COP.6/INF/32</w:t>
    </w:r>
    <w:r w:rsidRPr="00CC785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719E" w14:textId="483850D1" w:rsidR="00A175D2" w:rsidRPr="00A175D2" w:rsidRDefault="00A175D2" w:rsidP="005141EA">
    <w:pPr>
      <w:pStyle w:val="Header-pool"/>
    </w:pPr>
    <w:r w:rsidRPr="00CC7854">
      <w:fldChar w:fldCharType="begin"/>
    </w:r>
    <w:r w:rsidRPr="00CC7854">
      <w:instrText xml:space="preserve"> StyleRef A_Symbol </w:instrText>
    </w:r>
    <w:r w:rsidRPr="00CC7854">
      <w:fldChar w:fldCharType="separate"/>
    </w:r>
    <w:r w:rsidR="00AF2D24">
      <w:rPr>
        <w:noProof/>
      </w:rPr>
      <w:t>UNEP/MC/COP.6/INF/32</w:t>
    </w:r>
    <w:r w:rsidRPr="00CC785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E745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F443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BEE3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17CB2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6076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EC53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3C08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881E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28FB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C867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42F14"/>
    <w:multiLevelType w:val="hybridMultilevel"/>
    <w:tmpl w:val="2D547BC8"/>
    <w:lvl w:ilvl="0" w:tplc="EDC41ED8">
      <w:start w:val="1"/>
      <w:numFmt w:val="decimal"/>
      <w:lvlText w:val="%1."/>
      <w:lvlJc w:val="left"/>
      <w:pPr>
        <w:ind w:left="1607" w:hanging="360"/>
      </w:pPr>
      <w:rPr>
        <w:rFonts w:hint="default"/>
      </w:rPr>
    </w:lvl>
    <w:lvl w:ilvl="1" w:tplc="9A4CF40E">
      <w:start w:val="1"/>
      <w:numFmt w:val="lowerLetter"/>
      <w:lvlText w:val="(%2)"/>
      <w:lvlJc w:val="left"/>
      <w:pPr>
        <w:ind w:left="2327" w:hanging="360"/>
      </w:pPr>
      <w:rPr>
        <w:rFonts w:hint="default"/>
      </w:r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1" w15:restartNumberingAfterBreak="0">
    <w:nsid w:val="183D016F"/>
    <w:multiLevelType w:val="hybridMultilevel"/>
    <w:tmpl w:val="F26239E6"/>
    <w:lvl w:ilvl="0" w:tplc="FFFFFFFF">
      <w:start w:val="1"/>
      <w:numFmt w:val="decimal"/>
      <w:lvlText w:val="%1."/>
      <w:lvlJc w:val="left"/>
      <w:pPr>
        <w:ind w:left="1607"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2" w15:restartNumberingAfterBreak="0">
    <w:nsid w:val="21E21F9B"/>
    <w:multiLevelType w:val="hybridMultilevel"/>
    <w:tmpl w:val="4AFE7E42"/>
    <w:lvl w:ilvl="0" w:tplc="3D2E7F6A">
      <w:start w:val="1"/>
      <w:numFmt w:val="decimal"/>
      <w:lvlText w:val="%1."/>
      <w:lvlJc w:val="left"/>
      <w:pPr>
        <w:ind w:left="1607" w:hanging="360"/>
      </w:pPr>
      <w:rPr>
        <w:rFonts w:hint="default"/>
        <w:i w:val="0"/>
        <w:iCs w:val="0"/>
        <w:color w:val="auto"/>
      </w:rPr>
    </w:lvl>
    <w:lvl w:ilvl="1" w:tplc="FFFFFFFF">
      <w:start w:val="1"/>
      <w:numFmt w:val="lowerLetter"/>
      <w:lvlText w:val="(%2)"/>
      <w:lvlJc w:val="left"/>
      <w:pPr>
        <w:ind w:left="2327" w:hanging="360"/>
      </w:pPr>
      <w:rPr>
        <w:rFonts w:hint="default"/>
      </w:r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3" w15:restartNumberingAfterBreak="0">
    <w:nsid w:val="32C2061F"/>
    <w:multiLevelType w:val="hybridMultilevel"/>
    <w:tmpl w:val="202A54DC"/>
    <w:lvl w:ilvl="0" w:tplc="9A4CF40E">
      <w:start w:val="1"/>
      <w:numFmt w:val="lowerLetter"/>
      <w:lvlText w:val="(%1)"/>
      <w:lvlJc w:val="left"/>
      <w:pPr>
        <w:ind w:left="2327" w:hanging="360"/>
      </w:pPr>
      <w:rPr>
        <w:rFonts w:hint="default"/>
      </w:rPr>
    </w:lvl>
    <w:lvl w:ilvl="1" w:tplc="08090019" w:tentative="1">
      <w:start w:val="1"/>
      <w:numFmt w:val="lowerLetter"/>
      <w:lvlText w:val="%2."/>
      <w:lvlJc w:val="left"/>
      <w:pPr>
        <w:ind w:left="3047" w:hanging="360"/>
      </w:pPr>
    </w:lvl>
    <w:lvl w:ilvl="2" w:tplc="0809001B" w:tentative="1">
      <w:start w:val="1"/>
      <w:numFmt w:val="lowerRoman"/>
      <w:lvlText w:val="%3."/>
      <w:lvlJc w:val="right"/>
      <w:pPr>
        <w:ind w:left="3767" w:hanging="180"/>
      </w:pPr>
    </w:lvl>
    <w:lvl w:ilvl="3" w:tplc="0809000F" w:tentative="1">
      <w:start w:val="1"/>
      <w:numFmt w:val="decimal"/>
      <w:lvlText w:val="%4."/>
      <w:lvlJc w:val="left"/>
      <w:pPr>
        <w:ind w:left="4487" w:hanging="360"/>
      </w:pPr>
    </w:lvl>
    <w:lvl w:ilvl="4" w:tplc="08090019" w:tentative="1">
      <w:start w:val="1"/>
      <w:numFmt w:val="lowerLetter"/>
      <w:lvlText w:val="%5."/>
      <w:lvlJc w:val="left"/>
      <w:pPr>
        <w:ind w:left="5207" w:hanging="360"/>
      </w:pPr>
    </w:lvl>
    <w:lvl w:ilvl="5" w:tplc="0809001B" w:tentative="1">
      <w:start w:val="1"/>
      <w:numFmt w:val="lowerRoman"/>
      <w:lvlText w:val="%6."/>
      <w:lvlJc w:val="right"/>
      <w:pPr>
        <w:ind w:left="5927" w:hanging="180"/>
      </w:pPr>
    </w:lvl>
    <w:lvl w:ilvl="6" w:tplc="0809000F" w:tentative="1">
      <w:start w:val="1"/>
      <w:numFmt w:val="decimal"/>
      <w:lvlText w:val="%7."/>
      <w:lvlJc w:val="left"/>
      <w:pPr>
        <w:ind w:left="6647" w:hanging="360"/>
      </w:pPr>
    </w:lvl>
    <w:lvl w:ilvl="7" w:tplc="08090019" w:tentative="1">
      <w:start w:val="1"/>
      <w:numFmt w:val="lowerLetter"/>
      <w:lvlText w:val="%8."/>
      <w:lvlJc w:val="left"/>
      <w:pPr>
        <w:ind w:left="7367" w:hanging="360"/>
      </w:pPr>
    </w:lvl>
    <w:lvl w:ilvl="8" w:tplc="0809001B" w:tentative="1">
      <w:start w:val="1"/>
      <w:numFmt w:val="lowerRoman"/>
      <w:lvlText w:val="%9."/>
      <w:lvlJc w:val="right"/>
      <w:pPr>
        <w:ind w:left="8087" w:hanging="180"/>
      </w:pPr>
    </w:lvl>
  </w:abstractNum>
  <w:abstractNum w:abstractNumId="14" w15:restartNumberingAfterBreak="0">
    <w:nsid w:val="381778BD"/>
    <w:multiLevelType w:val="hybridMultilevel"/>
    <w:tmpl w:val="6C0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93FA8"/>
    <w:multiLevelType w:val="hybridMultilevel"/>
    <w:tmpl w:val="F26239E6"/>
    <w:lvl w:ilvl="0" w:tplc="D23A7C22">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6" w15:restartNumberingAfterBreak="0">
    <w:nsid w:val="488F5707"/>
    <w:multiLevelType w:val="hybridMultilevel"/>
    <w:tmpl w:val="F220365A"/>
    <w:lvl w:ilvl="0" w:tplc="9A4CF40E">
      <w:start w:val="1"/>
      <w:numFmt w:val="lowerLetter"/>
      <w:lvlText w:val="(%1)"/>
      <w:lvlJc w:val="left"/>
      <w:pPr>
        <w:ind w:left="2591" w:hanging="360"/>
      </w:pPr>
      <w:rPr>
        <w:rFonts w:hint="default"/>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 w15:restartNumberingAfterBreak="0">
    <w:nsid w:val="4F5F26EA"/>
    <w:multiLevelType w:val="hybridMultilevel"/>
    <w:tmpl w:val="74485664"/>
    <w:lvl w:ilvl="0" w:tplc="D23A7C22">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8" w15:restartNumberingAfterBreak="0">
    <w:nsid w:val="511B39FC"/>
    <w:multiLevelType w:val="hybridMultilevel"/>
    <w:tmpl w:val="7678487C"/>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9" w15:restartNumberingAfterBreak="0">
    <w:nsid w:val="52A66A9D"/>
    <w:multiLevelType w:val="multilevel"/>
    <w:tmpl w:val="77A6C092"/>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5F34278E"/>
    <w:multiLevelType w:val="hybridMultilevel"/>
    <w:tmpl w:val="BCF6A50E"/>
    <w:lvl w:ilvl="0" w:tplc="FFFFFFFF">
      <w:start w:val="1"/>
      <w:numFmt w:val="decimal"/>
      <w:lvlText w:val="%1."/>
      <w:lvlJc w:val="left"/>
      <w:pPr>
        <w:ind w:left="1607"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21" w15:restartNumberingAfterBreak="0">
    <w:nsid w:val="66B33B58"/>
    <w:multiLevelType w:val="hybridMultilevel"/>
    <w:tmpl w:val="E2104438"/>
    <w:lvl w:ilvl="0" w:tplc="9A4CF40E">
      <w:start w:val="1"/>
      <w:numFmt w:val="lowerLetter"/>
      <w:lvlText w:val="(%1)"/>
      <w:lvlJc w:val="left"/>
      <w:pPr>
        <w:ind w:left="2327" w:hanging="360"/>
      </w:pPr>
      <w:rPr>
        <w:rFonts w:hint="default"/>
      </w:rPr>
    </w:lvl>
    <w:lvl w:ilvl="1" w:tplc="08090019" w:tentative="1">
      <w:start w:val="1"/>
      <w:numFmt w:val="lowerLetter"/>
      <w:lvlText w:val="%2."/>
      <w:lvlJc w:val="left"/>
      <w:pPr>
        <w:ind w:left="3047" w:hanging="360"/>
      </w:pPr>
    </w:lvl>
    <w:lvl w:ilvl="2" w:tplc="0809001B" w:tentative="1">
      <w:start w:val="1"/>
      <w:numFmt w:val="lowerRoman"/>
      <w:lvlText w:val="%3."/>
      <w:lvlJc w:val="right"/>
      <w:pPr>
        <w:ind w:left="3767" w:hanging="180"/>
      </w:pPr>
    </w:lvl>
    <w:lvl w:ilvl="3" w:tplc="0809000F" w:tentative="1">
      <w:start w:val="1"/>
      <w:numFmt w:val="decimal"/>
      <w:lvlText w:val="%4."/>
      <w:lvlJc w:val="left"/>
      <w:pPr>
        <w:ind w:left="4487" w:hanging="360"/>
      </w:pPr>
    </w:lvl>
    <w:lvl w:ilvl="4" w:tplc="08090019" w:tentative="1">
      <w:start w:val="1"/>
      <w:numFmt w:val="lowerLetter"/>
      <w:lvlText w:val="%5."/>
      <w:lvlJc w:val="left"/>
      <w:pPr>
        <w:ind w:left="5207" w:hanging="360"/>
      </w:pPr>
    </w:lvl>
    <w:lvl w:ilvl="5" w:tplc="0809001B" w:tentative="1">
      <w:start w:val="1"/>
      <w:numFmt w:val="lowerRoman"/>
      <w:lvlText w:val="%6."/>
      <w:lvlJc w:val="right"/>
      <w:pPr>
        <w:ind w:left="5927" w:hanging="180"/>
      </w:pPr>
    </w:lvl>
    <w:lvl w:ilvl="6" w:tplc="0809000F" w:tentative="1">
      <w:start w:val="1"/>
      <w:numFmt w:val="decimal"/>
      <w:lvlText w:val="%7."/>
      <w:lvlJc w:val="left"/>
      <w:pPr>
        <w:ind w:left="6647" w:hanging="360"/>
      </w:pPr>
    </w:lvl>
    <w:lvl w:ilvl="7" w:tplc="08090019" w:tentative="1">
      <w:start w:val="1"/>
      <w:numFmt w:val="lowerLetter"/>
      <w:lvlText w:val="%8."/>
      <w:lvlJc w:val="left"/>
      <w:pPr>
        <w:ind w:left="7367" w:hanging="360"/>
      </w:pPr>
    </w:lvl>
    <w:lvl w:ilvl="8" w:tplc="0809001B" w:tentative="1">
      <w:start w:val="1"/>
      <w:numFmt w:val="lowerRoman"/>
      <w:lvlText w:val="%9."/>
      <w:lvlJc w:val="right"/>
      <w:pPr>
        <w:ind w:left="8087" w:hanging="180"/>
      </w:pPr>
    </w:lvl>
  </w:abstractNum>
  <w:abstractNum w:abstractNumId="22" w15:restartNumberingAfterBreak="0">
    <w:nsid w:val="67E75897"/>
    <w:multiLevelType w:val="hybridMultilevel"/>
    <w:tmpl w:val="63005B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23" w15:restartNumberingAfterBreak="0">
    <w:nsid w:val="6A1621FF"/>
    <w:multiLevelType w:val="hybridMultilevel"/>
    <w:tmpl w:val="AE34B322"/>
    <w:lvl w:ilvl="0" w:tplc="26C4B2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400FF5"/>
    <w:multiLevelType w:val="hybridMultilevel"/>
    <w:tmpl w:val="6598FCF4"/>
    <w:lvl w:ilvl="0" w:tplc="D23A7C22">
      <w:start w:val="1"/>
      <w:numFmt w:val="decimal"/>
      <w:lvlText w:val="%1."/>
      <w:lvlJc w:val="left"/>
      <w:pPr>
        <w:ind w:left="1607" w:hanging="360"/>
      </w:pPr>
      <w:rPr>
        <w:rFonts w:hint="default"/>
        <w:color w:val="auto"/>
      </w:rPr>
    </w:lvl>
    <w:lvl w:ilvl="1" w:tplc="FFFFFFFF">
      <w:start w:val="1"/>
      <w:numFmt w:val="lowerLetter"/>
      <w:lvlText w:val="(%2)"/>
      <w:lvlJc w:val="left"/>
      <w:pPr>
        <w:ind w:left="2327" w:hanging="360"/>
      </w:pPr>
      <w:rPr>
        <w:rFonts w:hint="default"/>
      </w:r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25" w15:restartNumberingAfterBreak="0">
    <w:nsid w:val="6FBE12B6"/>
    <w:multiLevelType w:val="hybridMultilevel"/>
    <w:tmpl w:val="464E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74B63020"/>
    <w:multiLevelType w:val="hybridMultilevel"/>
    <w:tmpl w:val="E9FE3670"/>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8" w15:restartNumberingAfterBreak="0">
    <w:nsid w:val="7A670349"/>
    <w:multiLevelType w:val="hybridMultilevel"/>
    <w:tmpl w:val="60947620"/>
    <w:lvl w:ilvl="0" w:tplc="9A4CF40E">
      <w:start w:val="1"/>
      <w:numFmt w:val="lowerLetter"/>
      <w:lvlText w:val="(%1)"/>
      <w:lvlJc w:val="left"/>
      <w:pPr>
        <w:ind w:left="2327" w:hanging="360"/>
      </w:pPr>
      <w:rPr>
        <w:rFonts w:hint="default"/>
      </w:rPr>
    </w:lvl>
    <w:lvl w:ilvl="1" w:tplc="08090019" w:tentative="1">
      <w:start w:val="1"/>
      <w:numFmt w:val="lowerLetter"/>
      <w:lvlText w:val="%2."/>
      <w:lvlJc w:val="left"/>
      <w:pPr>
        <w:ind w:left="3047" w:hanging="360"/>
      </w:pPr>
    </w:lvl>
    <w:lvl w:ilvl="2" w:tplc="0809001B" w:tentative="1">
      <w:start w:val="1"/>
      <w:numFmt w:val="lowerRoman"/>
      <w:lvlText w:val="%3."/>
      <w:lvlJc w:val="right"/>
      <w:pPr>
        <w:ind w:left="3767" w:hanging="180"/>
      </w:pPr>
    </w:lvl>
    <w:lvl w:ilvl="3" w:tplc="0809000F" w:tentative="1">
      <w:start w:val="1"/>
      <w:numFmt w:val="decimal"/>
      <w:lvlText w:val="%4."/>
      <w:lvlJc w:val="left"/>
      <w:pPr>
        <w:ind w:left="4487" w:hanging="360"/>
      </w:pPr>
    </w:lvl>
    <w:lvl w:ilvl="4" w:tplc="08090019" w:tentative="1">
      <w:start w:val="1"/>
      <w:numFmt w:val="lowerLetter"/>
      <w:lvlText w:val="%5."/>
      <w:lvlJc w:val="left"/>
      <w:pPr>
        <w:ind w:left="5207" w:hanging="360"/>
      </w:pPr>
    </w:lvl>
    <w:lvl w:ilvl="5" w:tplc="0809001B" w:tentative="1">
      <w:start w:val="1"/>
      <w:numFmt w:val="lowerRoman"/>
      <w:lvlText w:val="%6."/>
      <w:lvlJc w:val="right"/>
      <w:pPr>
        <w:ind w:left="5927" w:hanging="180"/>
      </w:pPr>
    </w:lvl>
    <w:lvl w:ilvl="6" w:tplc="0809000F" w:tentative="1">
      <w:start w:val="1"/>
      <w:numFmt w:val="decimal"/>
      <w:lvlText w:val="%7."/>
      <w:lvlJc w:val="left"/>
      <w:pPr>
        <w:ind w:left="6647" w:hanging="360"/>
      </w:pPr>
    </w:lvl>
    <w:lvl w:ilvl="7" w:tplc="08090019" w:tentative="1">
      <w:start w:val="1"/>
      <w:numFmt w:val="lowerLetter"/>
      <w:lvlText w:val="%8."/>
      <w:lvlJc w:val="left"/>
      <w:pPr>
        <w:ind w:left="7367" w:hanging="360"/>
      </w:pPr>
    </w:lvl>
    <w:lvl w:ilvl="8" w:tplc="0809001B" w:tentative="1">
      <w:start w:val="1"/>
      <w:numFmt w:val="lowerRoman"/>
      <w:lvlText w:val="%9."/>
      <w:lvlJc w:val="right"/>
      <w:pPr>
        <w:ind w:left="8087" w:hanging="180"/>
      </w:pPr>
    </w:lvl>
  </w:abstractNum>
  <w:abstractNum w:abstractNumId="29" w15:restartNumberingAfterBreak="0">
    <w:nsid w:val="7F4B26E2"/>
    <w:multiLevelType w:val="hybridMultilevel"/>
    <w:tmpl w:val="CCF21F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0672902">
    <w:abstractNumId w:val="19"/>
  </w:num>
  <w:num w:numId="2" w16cid:durableId="1072390599">
    <w:abstractNumId w:val="26"/>
  </w:num>
  <w:num w:numId="3" w16cid:durableId="2030449309">
    <w:abstractNumId w:val="9"/>
  </w:num>
  <w:num w:numId="4" w16cid:durableId="1930696524">
    <w:abstractNumId w:val="7"/>
  </w:num>
  <w:num w:numId="5" w16cid:durableId="2084833773">
    <w:abstractNumId w:val="6"/>
  </w:num>
  <w:num w:numId="6" w16cid:durableId="1998536608">
    <w:abstractNumId w:val="5"/>
  </w:num>
  <w:num w:numId="7" w16cid:durableId="1900743257">
    <w:abstractNumId w:val="4"/>
  </w:num>
  <w:num w:numId="8" w16cid:durableId="216817862">
    <w:abstractNumId w:val="8"/>
  </w:num>
  <w:num w:numId="9" w16cid:durableId="1128818893">
    <w:abstractNumId w:val="3"/>
  </w:num>
  <w:num w:numId="10" w16cid:durableId="1376930510">
    <w:abstractNumId w:val="2"/>
  </w:num>
  <w:num w:numId="11" w16cid:durableId="78719205">
    <w:abstractNumId w:val="1"/>
  </w:num>
  <w:num w:numId="12" w16cid:durableId="693308679">
    <w:abstractNumId w:val="0"/>
  </w:num>
  <w:num w:numId="13" w16cid:durableId="53050734">
    <w:abstractNumId w:val="19"/>
  </w:num>
  <w:num w:numId="14" w16cid:durableId="2087799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155743">
    <w:abstractNumId w:val="18"/>
  </w:num>
  <w:num w:numId="16" w16cid:durableId="529993010">
    <w:abstractNumId w:val="27"/>
  </w:num>
  <w:num w:numId="17" w16cid:durableId="19973724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75289">
    <w:abstractNumId w:val="19"/>
  </w:num>
  <w:num w:numId="19" w16cid:durableId="1974289344">
    <w:abstractNumId w:val="19"/>
  </w:num>
  <w:num w:numId="20" w16cid:durableId="52625661">
    <w:abstractNumId w:val="29"/>
  </w:num>
  <w:num w:numId="21" w16cid:durableId="667565261">
    <w:abstractNumId w:val="19"/>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 w16cid:durableId="1764568846">
    <w:abstractNumId w:val="10"/>
  </w:num>
  <w:num w:numId="23" w16cid:durableId="1290281660">
    <w:abstractNumId w:val="13"/>
  </w:num>
  <w:num w:numId="24" w16cid:durableId="1677532940">
    <w:abstractNumId w:val="16"/>
  </w:num>
  <w:num w:numId="25" w16cid:durableId="271128102">
    <w:abstractNumId w:val="21"/>
  </w:num>
  <w:num w:numId="26" w16cid:durableId="1743025102">
    <w:abstractNumId w:val="24"/>
  </w:num>
  <w:num w:numId="27" w16cid:durableId="1256939297">
    <w:abstractNumId w:val="14"/>
  </w:num>
  <w:num w:numId="28" w16cid:durableId="793718162">
    <w:abstractNumId w:val="25"/>
  </w:num>
  <w:num w:numId="29" w16cid:durableId="359472777">
    <w:abstractNumId w:val="22"/>
  </w:num>
  <w:num w:numId="30" w16cid:durableId="615063813">
    <w:abstractNumId w:val="12"/>
  </w:num>
  <w:num w:numId="31" w16cid:durableId="645429366">
    <w:abstractNumId w:val="20"/>
  </w:num>
  <w:num w:numId="32" w16cid:durableId="597518102">
    <w:abstractNumId w:val="15"/>
  </w:num>
  <w:num w:numId="33" w16cid:durableId="287711851">
    <w:abstractNumId w:val="23"/>
  </w:num>
  <w:num w:numId="34" w16cid:durableId="616256841">
    <w:abstractNumId w:val="11"/>
  </w:num>
  <w:num w:numId="35" w16cid:durableId="902644981">
    <w:abstractNumId w:val="17"/>
  </w:num>
  <w:num w:numId="36" w16cid:durableId="1837259207">
    <w:abstractNumId w:val="2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 Linh Doan">
    <w15:presenceInfo w15:providerId="AD" w15:userId="S::linh.doan@un.org::2cf0b8e5-c3ac-4e38-8721-9d947898d092"/>
  </w15:person>
  <w15:person w15:author="Lara Ognibene">
    <w15:presenceInfo w15:providerId="AD" w15:userId="S::lara.ognibene@un.org::5f8f321f-c067-4f13-9480-4b57540af4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54"/>
    <w:rsid w:val="000149E6"/>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C2A52"/>
    <w:rsid w:val="000C46A9"/>
    <w:rsid w:val="000D1443"/>
    <w:rsid w:val="000D33C0"/>
    <w:rsid w:val="000D5884"/>
    <w:rsid w:val="000D6941"/>
    <w:rsid w:val="000E0405"/>
    <w:rsid w:val="000F6CFF"/>
    <w:rsid w:val="00115F73"/>
    <w:rsid w:val="001202E3"/>
    <w:rsid w:val="00123699"/>
    <w:rsid w:val="00126572"/>
    <w:rsid w:val="0013059D"/>
    <w:rsid w:val="0014083A"/>
    <w:rsid w:val="00141A55"/>
    <w:rsid w:val="001446A3"/>
    <w:rsid w:val="001528EA"/>
    <w:rsid w:val="00155395"/>
    <w:rsid w:val="00166E9E"/>
    <w:rsid w:val="00172E6C"/>
    <w:rsid w:val="00173D27"/>
    <w:rsid w:val="00174739"/>
    <w:rsid w:val="001761F0"/>
    <w:rsid w:val="00176AF9"/>
    <w:rsid w:val="00177115"/>
    <w:rsid w:val="0018127C"/>
    <w:rsid w:val="00181EC8"/>
    <w:rsid w:val="00184349"/>
    <w:rsid w:val="00184B89"/>
    <w:rsid w:val="00195F33"/>
    <w:rsid w:val="001A5EE1"/>
    <w:rsid w:val="001A7FF9"/>
    <w:rsid w:val="001B1617"/>
    <w:rsid w:val="001B504B"/>
    <w:rsid w:val="001C29FC"/>
    <w:rsid w:val="001C5532"/>
    <w:rsid w:val="001D3874"/>
    <w:rsid w:val="001D5344"/>
    <w:rsid w:val="001D7E75"/>
    <w:rsid w:val="001E0389"/>
    <w:rsid w:val="001E22D1"/>
    <w:rsid w:val="001E56D2"/>
    <w:rsid w:val="001E7D56"/>
    <w:rsid w:val="001F0D7A"/>
    <w:rsid w:val="001F752F"/>
    <w:rsid w:val="001F75DE"/>
    <w:rsid w:val="00200D58"/>
    <w:rsid w:val="002013BE"/>
    <w:rsid w:val="002063A4"/>
    <w:rsid w:val="00206F97"/>
    <w:rsid w:val="0021145B"/>
    <w:rsid w:val="00214277"/>
    <w:rsid w:val="0022762D"/>
    <w:rsid w:val="00234806"/>
    <w:rsid w:val="002378D6"/>
    <w:rsid w:val="00240222"/>
    <w:rsid w:val="00240576"/>
    <w:rsid w:val="002405D9"/>
    <w:rsid w:val="00243D36"/>
    <w:rsid w:val="00244772"/>
    <w:rsid w:val="002464BA"/>
    <w:rsid w:val="00247707"/>
    <w:rsid w:val="00255548"/>
    <w:rsid w:val="00277919"/>
    <w:rsid w:val="00277DEB"/>
    <w:rsid w:val="00286740"/>
    <w:rsid w:val="00287B42"/>
    <w:rsid w:val="002929D8"/>
    <w:rsid w:val="002935C2"/>
    <w:rsid w:val="0029361E"/>
    <w:rsid w:val="002A237D"/>
    <w:rsid w:val="002A2711"/>
    <w:rsid w:val="002A4C53"/>
    <w:rsid w:val="002B0672"/>
    <w:rsid w:val="002B1B4C"/>
    <w:rsid w:val="002B247F"/>
    <w:rsid w:val="002B79C0"/>
    <w:rsid w:val="002C145D"/>
    <w:rsid w:val="002C2C3E"/>
    <w:rsid w:val="002C35BC"/>
    <w:rsid w:val="002C533E"/>
    <w:rsid w:val="002D027F"/>
    <w:rsid w:val="002D7A85"/>
    <w:rsid w:val="002D7B60"/>
    <w:rsid w:val="002E19D4"/>
    <w:rsid w:val="002E7F62"/>
    <w:rsid w:val="002F4761"/>
    <w:rsid w:val="002F5C79"/>
    <w:rsid w:val="003019E2"/>
    <w:rsid w:val="00305C70"/>
    <w:rsid w:val="00306B0D"/>
    <w:rsid w:val="0031413F"/>
    <w:rsid w:val="003148BB"/>
    <w:rsid w:val="00317976"/>
    <w:rsid w:val="00323885"/>
    <w:rsid w:val="00331475"/>
    <w:rsid w:val="003374D4"/>
    <w:rsid w:val="00355EA9"/>
    <w:rsid w:val="003578DE"/>
    <w:rsid w:val="00365F6B"/>
    <w:rsid w:val="00371340"/>
    <w:rsid w:val="003759E2"/>
    <w:rsid w:val="00386999"/>
    <w:rsid w:val="00396257"/>
    <w:rsid w:val="00397EB8"/>
    <w:rsid w:val="003A07AB"/>
    <w:rsid w:val="003A086E"/>
    <w:rsid w:val="003A15AC"/>
    <w:rsid w:val="003A37B8"/>
    <w:rsid w:val="003A4FD0"/>
    <w:rsid w:val="003A69D1"/>
    <w:rsid w:val="003A7705"/>
    <w:rsid w:val="003B1545"/>
    <w:rsid w:val="003C035E"/>
    <w:rsid w:val="003C3267"/>
    <w:rsid w:val="003C409D"/>
    <w:rsid w:val="003C5BA6"/>
    <w:rsid w:val="003D7B33"/>
    <w:rsid w:val="003F03DA"/>
    <w:rsid w:val="003F0E85"/>
    <w:rsid w:val="00404CB5"/>
    <w:rsid w:val="00405251"/>
    <w:rsid w:val="00406D5D"/>
    <w:rsid w:val="00407C39"/>
    <w:rsid w:val="00410C55"/>
    <w:rsid w:val="0041604D"/>
    <w:rsid w:val="00416854"/>
    <w:rsid w:val="00417725"/>
    <w:rsid w:val="0041779A"/>
    <w:rsid w:val="004243EA"/>
    <w:rsid w:val="00424E6F"/>
    <w:rsid w:val="00437F26"/>
    <w:rsid w:val="00444097"/>
    <w:rsid w:val="00445487"/>
    <w:rsid w:val="00446811"/>
    <w:rsid w:val="00454769"/>
    <w:rsid w:val="00456D58"/>
    <w:rsid w:val="00466991"/>
    <w:rsid w:val="0047064C"/>
    <w:rsid w:val="00470EFE"/>
    <w:rsid w:val="00474D90"/>
    <w:rsid w:val="004828E8"/>
    <w:rsid w:val="00490B08"/>
    <w:rsid w:val="00495BFE"/>
    <w:rsid w:val="004A42E1"/>
    <w:rsid w:val="004B162C"/>
    <w:rsid w:val="004C3DBE"/>
    <w:rsid w:val="004C5A0A"/>
    <w:rsid w:val="004C5C96"/>
    <w:rsid w:val="004D06A4"/>
    <w:rsid w:val="004E59D4"/>
    <w:rsid w:val="004E79AC"/>
    <w:rsid w:val="004F1A81"/>
    <w:rsid w:val="004F748A"/>
    <w:rsid w:val="0050367F"/>
    <w:rsid w:val="00513FA2"/>
    <w:rsid w:val="005141EA"/>
    <w:rsid w:val="00521508"/>
    <w:rsid w:val="005218D9"/>
    <w:rsid w:val="00532E47"/>
    <w:rsid w:val="00536186"/>
    <w:rsid w:val="00544CBB"/>
    <w:rsid w:val="00550518"/>
    <w:rsid w:val="005521FD"/>
    <w:rsid w:val="00552CD6"/>
    <w:rsid w:val="005644DF"/>
    <w:rsid w:val="00572CA7"/>
    <w:rsid w:val="0057315F"/>
    <w:rsid w:val="00576104"/>
    <w:rsid w:val="005945B6"/>
    <w:rsid w:val="00594BA0"/>
    <w:rsid w:val="005B4A29"/>
    <w:rsid w:val="005B52AD"/>
    <w:rsid w:val="005B779B"/>
    <w:rsid w:val="005C3BAF"/>
    <w:rsid w:val="005C4422"/>
    <w:rsid w:val="005C63F4"/>
    <w:rsid w:val="005C67C8"/>
    <w:rsid w:val="005D0249"/>
    <w:rsid w:val="005D27EA"/>
    <w:rsid w:val="005D6E8C"/>
    <w:rsid w:val="005F100C"/>
    <w:rsid w:val="005F4F3E"/>
    <w:rsid w:val="005F68DA"/>
    <w:rsid w:val="005F75E6"/>
    <w:rsid w:val="006014DD"/>
    <w:rsid w:val="0060773B"/>
    <w:rsid w:val="0061308A"/>
    <w:rsid w:val="006157B5"/>
    <w:rsid w:val="00626FC6"/>
    <w:rsid w:val="006303B4"/>
    <w:rsid w:val="0063184A"/>
    <w:rsid w:val="00633CEB"/>
    <w:rsid w:val="00633D3D"/>
    <w:rsid w:val="00641703"/>
    <w:rsid w:val="006431A6"/>
    <w:rsid w:val="006459F6"/>
    <w:rsid w:val="00650007"/>
    <w:rsid w:val="006501AD"/>
    <w:rsid w:val="00651BFA"/>
    <w:rsid w:val="00663A80"/>
    <w:rsid w:val="00665A4B"/>
    <w:rsid w:val="00673077"/>
    <w:rsid w:val="006850BC"/>
    <w:rsid w:val="00692E2A"/>
    <w:rsid w:val="006A76F2"/>
    <w:rsid w:val="006B31DA"/>
    <w:rsid w:val="006B5106"/>
    <w:rsid w:val="006B723E"/>
    <w:rsid w:val="006C3DDA"/>
    <w:rsid w:val="006C6387"/>
    <w:rsid w:val="006D3277"/>
    <w:rsid w:val="006D7EFB"/>
    <w:rsid w:val="006E4F34"/>
    <w:rsid w:val="006E6672"/>
    <w:rsid w:val="006E6722"/>
    <w:rsid w:val="006F0246"/>
    <w:rsid w:val="006F0292"/>
    <w:rsid w:val="006F10F1"/>
    <w:rsid w:val="006F6102"/>
    <w:rsid w:val="007027B9"/>
    <w:rsid w:val="00710538"/>
    <w:rsid w:val="00713D8F"/>
    <w:rsid w:val="00715E88"/>
    <w:rsid w:val="00722B95"/>
    <w:rsid w:val="00726703"/>
    <w:rsid w:val="00734CAA"/>
    <w:rsid w:val="00755106"/>
    <w:rsid w:val="0075533C"/>
    <w:rsid w:val="00757581"/>
    <w:rsid w:val="007611A0"/>
    <w:rsid w:val="00764E02"/>
    <w:rsid w:val="007658A0"/>
    <w:rsid w:val="00792270"/>
    <w:rsid w:val="00796D3F"/>
    <w:rsid w:val="007A1683"/>
    <w:rsid w:val="007A168D"/>
    <w:rsid w:val="007A36F8"/>
    <w:rsid w:val="007A4D4E"/>
    <w:rsid w:val="007A5C12"/>
    <w:rsid w:val="007A7CB0"/>
    <w:rsid w:val="007B1037"/>
    <w:rsid w:val="007B5331"/>
    <w:rsid w:val="007B68A3"/>
    <w:rsid w:val="007C2541"/>
    <w:rsid w:val="007D66A8"/>
    <w:rsid w:val="007E003F"/>
    <w:rsid w:val="007E04DF"/>
    <w:rsid w:val="007E185D"/>
    <w:rsid w:val="007E7193"/>
    <w:rsid w:val="007F3580"/>
    <w:rsid w:val="00802E72"/>
    <w:rsid w:val="008164F2"/>
    <w:rsid w:val="00821395"/>
    <w:rsid w:val="00830E26"/>
    <w:rsid w:val="00833A36"/>
    <w:rsid w:val="00843576"/>
    <w:rsid w:val="00843B64"/>
    <w:rsid w:val="00847333"/>
    <w:rsid w:val="008476F8"/>
    <w:rsid w:val="008478FC"/>
    <w:rsid w:val="00864BB6"/>
    <w:rsid w:val="00864E63"/>
    <w:rsid w:val="00867BFF"/>
    <w:rsid w:val="00883DDD"/>
    <w:rsid w:val="0088480A"/>
    <w:rsid w:val="0088757A"/>
    <w:rsid w:val="008905F1"/>
    <w:rsid w:val="008957DD"/>
    <w:rsid w:val="00897D98"/>
    <w:rsid w:val="008A1F17"/>
    <w:rsid w:val="008A26B4"/>
    <w:rsid w:val="008A6DF2"/>
    <w:rsid w:val="008A7807"/>
    <w:rsid w:val="008B237C"/>
    <w:rsid w:val="008B2FDA"/>
    <w:rsid w:val="008B3DA5"/>
    <w:rsid w:val="008B4CC9"/>
    <w:rsid w:val="008C1B8B"/>
    <w:rsid w:val="008D3AE0"/>
    <w:rsid w:val="008D7C99"/>
    <w:rsid w:val="008E0FCB"/>
    <w:rsid w:val="00907D78"/>
    <w:rsid w:val="0092178C"/>
    <w:rsid w:val="009248E6"/>
    <w:rsid w:val="00930B88"/>
    <w:rsid w:val="009378DC"/>
    <w:rsid w:val="00940DCC"/>
    <w:rsid w:val="0094179A"/>
    <w:rsid w:val="009422E7"/>
    <w:rsid w:val="0094459E"/>
    <w:rsid w:val="00944DBC"/>
    <w:rsid w:val="00945CAF"/>
    <w:rsid w:val="00950977"/>
    <w:rsid w:val="00951A7B"/>
    <w:rsid w:val="00956002"/>
    <w:rsid w:val="009564A6"/>
    <w:rsid w:val="00961A33"/>
    <w:rsid w:val="00967621"/>
    <w:rsid w:val="00967E6A"/>
    <w:rsid w:val="00980797"/>
    <w:rsid w:val="00987D33"/>
    <w:rsid w:val="009935AC"/>
    <w:rsid w:val="009A0EB2"/>
    <w:rsid w:val="009A6054"/>
    <w:rsid w:val="009B4A0F"/>
    <w:rsid w:val="009B4C81"/>
    <w:rsid w:val="009C11D2"/>
    <w:rsid w:val="009C3729"/>
    <w:rsid w:val="009C6C70"/>
    <w:rsid w:val="009D0922"/>
    <w:rsid w:val="009D0B63"/>
    <w:rsid w:val="009D4F97"/>
    <w:rsid w:val="009E307E"/>
    <w:rsid w:val="009F3530"/>
    <w:rsid w:val="00A03A4A"/>
    <w:rsid w:val="00A03B91"/>
    <w:rsid w:val="00A068F8"/>
    <w:rsid w:val="00A07870"/>
    <w:rsid w:val="00A07F19"/>
    <w:rsid w:val="00A1348D"/>
    <w:rsid w:val="00A1489E"/>
    <w:rsid w:val="00A175D2"/>
    <w:rsid w:val="00A232EE"/>
    <w:rsid w:val="00A4175F"/>
    <w:rsid w:val="00A44411"/>
    <w:rsid w:val="00A454E3"/>
    <w:rsid w:val="00A469FA"/>
    <w:rsid w:val="00A47FBF"/>
    <w:rsid w:val="00A50E94"/>
    <w:rsid w:val="00A55B01"/>
    <w:rsid w:val="00A56B5B"/>
    <w:rsid w:val="00A603FF"/>
    <w:rsid w:val="00A657DD"/>
    <w:rsid w:val="00A666A6"/>
    <w:rsid w:val="00A675FD"/>
    <w:rsid w:val="00A72437"/>
    <w:rsid w:val="00A73DB7"/>
    <w:rsid w:val="00A7547E"/>
    <w:rsid w:val="00A80611"/>
    <w:rsid w:val="00A844C0"/>
    <w:rsid w:val="00A84B15"/>
    <w:rsid w:val="00A87016"/>
    <w:rsid w:val="00A9722F"/>
    <w:rsid w:val="00AB5340"/>
    <w:rsid w:val="00AC010E"/>
    <w:rsid w:val="00AC01CC"/>
    <w:rsid w:val="00AC16B8"/>
    <w:rsid w:val="00AC7B7E"/>
    <w:rsid w:val="00AC7C96"/>
    <w:rsid w:val="00AE237D"/>
    <w:rsid w:val="00AE2A3D"/>
    <w:rsid w:val="00AE502A"/>
    <w:rsid w:val="00AE59BF"/>
    <w:rsid w:val="00AE794A"/>
    <w:rsid w:val="00AF2D24"/>
    <w:rsid w:val="00AF7C07"/>
    <w:rsid w:val="00B03D3A"/>
    <w:rsid w:val="00B03EBA"/>
    <w:rsid w:val="00B22C93"/>
    <w:rsid w:val="00B27589"/>
    <w:rsid w:val="00B37EF9"/>
    <w:rsid w:val="00B405B7"/>
    <w:rsid w:val="00B45E6D"/>
    <w:rsid w:val="00B50D83"/>
    <w:rsid w:val="00B52222"/>
    <w:rsid w:val="00B54FE7"/>
    <w:rsid w:val="00B57C47"/>
    <w:rsid w:val="00B66901"/>
    <w:rsid w:val="00B71E6D"/>
    <w:rsid w:val="00B72070"/>
    <w:rsid w:val="00B725B6"/>
    <w:rsid w:val="00B779E1"/>
    <w:rsid w:val="00B859A3"/>
    <w:rsid w:val="00B91EE1"/>
    <w:rsid w:val="00B93984"/>
    <w:rsid w:val="00BA0090"/>
    <w:rsid w:val="00BA1A67"/>
    <w:rsid w:val="00BB2A27"/>
    <w:rsid w:val="00BB49DE"/>
    <w:rsid w:val="00BC07FE"/>
    <w:rsid w:val="00BC67B9"/>
    <w:rsid w:val="00BD0163"/>
    <w:rsid w:val="00BD159E"/>
    <w:rsid w:val="00BE5B5F"/>
    <w:rsid w:val="00C071D1"/>
    <w:rsid w:val="00C26F55"/>
    <w:rsid w:val="00C30C63"/>
    <w:rsid w:val="00C32B37"/>
    <w:rsid w:val="00C36B8B"/>
    <w:rsid w:val="00C4358A"/>
    <w:rsid w:val="00C47DBF"/>
    <w:rsid w:val="00C53666"/>
    <w:rsid w:val="00C552FF"/>
    <w:rsid w:val="00C558DA"/>
    <w:rsid w:val="00C55AF3"/>
    <w:rsid w:val="00C63045"/>
    <w:rsid w:val="00C65FD8"/>
    <w:rsid w:val="00C75C7C"/>
    <w:rsid w:val="00C84759"/>
    <w:rsid w:val="00C904B1"/>
    <w:rsid w:val="00CA6C7F"/>
    <w:rsid w:val="00CB2902"/>
    <w:rsid w:val="00CB6F8C"/>
    <w:rsid w:val="00CC0260"/>
    <w:rsid w:val="00CC10A6"/>
    <w:rsid w:val="00CC270C"/>
    <w:rsid w:val="00CC7854"/>
    <w:rsid w:val="00CD5EB8"/>
    <w:rsid w:val="00CD7044"/>
    <w:rsid w:val="00CE08B9"/>
    <w:rsid w:val="00CE524C"/>
    <w:rsid w:val="00CF141F"/>
    <w:rsid w:val="00CF4777"/>
    <w:rsid w:val="00CF5AF8"/>
    <w:rsid w:val="00CF5B6A"/>
    <w:rsid w:val="00D067BB"/>
    <w:rsid w:val="00D1352A"/>
    <w:rsid w:val="00D13EDE"/>
    <w:rsid w:val="00D169AF"/>
    <w:rsid w:val="00D25249"/>
    <w:rsid w:val="00D255A7"/>
    <w:rsid w:val="00D356A9"/>
    <w:rsid w:val="00D41F89"/>
    <w:rsid w:val="00D44172"/>
    <w:rsid w:val="00D5414D"/>
    <w:rsid w:val="00D63B8C"/>
    <w:rsid w:val="00D72CB6"/>
    <w:rsid w:val="00D739CC"/>
    <w:rsid w:val="00D801BB"/>
    <w:rsid w:val="00D8093D"/>
    <w:rsid w:val="00D8108C"/>
    <w:rsid w:val="00D842AE"/>
    <w:rsid w:val="00D855A8"/>
    <w:rsid w:val="00D9211C"/>
    <w:rsid w:val="00D92927"/>
    <w:rsid w:val="00D92DE0"/>
    <w:rsid w:val="00D92FEF"/>
    <w:rsid w:val="00D93A0F"/>
    <w:rsid w:val="00D975A6"/>
    <w:rsid w:val="00DA1BCA"/>
    <w:rsid w:val="00DA2D7A"/>
    <w:rsid w:val="00DA3FFA"/>
    <w:rsid w:val="00DA7299"/>
    <w:rsid w:val="00DB36B7"/>
    <w:rsid w:val="00DB3E23"/>
    <w:rsid w:val="00DB4754"/>
    <w:rsid w:val="00DB61D6"/>
    <w:rsid w:val="00DC46FF"/>
    <w:rsid w:val="00DC5254"/>
    <w:rsid w:val="00DD1A4F"/>
    <w:rsid w:val="00DD3107"/>
    <w:rsid w:val="00DD5BA0"/>
    <w:rsid w:val="00DD5EFF"/>
    <w:rsid w:val="00DD7C2C"/>
    <w:rsid w:val="00DE01A0"/>
    <w:rsid w:val="00DE6E55"/>
    <w:rsid w:val="00DF51B6"/>
    <w:rsid w:val="00DF5660"/>
    <w:rsid w:val="00DF766F"/>
    <w:rsid w:val="00E022BB"/>
    <w:rsid w:val="00E06797"/>
    <w:rsid w:val="00E110A8"/>
    <w:rsid w:val="00E11724"/>
    <w:rsid w:val="00E122BC"/>
    <w:rsid w:val="00E1265B"/>
    <w:rsid w:val="00E13B48"/>
    <w:rsid w:val="00E1404F"/>
    <w:rsid w:val="00E212EF"/>
    <w:rsid w:val="00E21C83"/>
    <w:rsid w:val="00E24ADA"/>
    <w:rsid w:val="00E256F6"/>
    <w:rsid w:val="00E32F59"/>
    <w:rsid w:val="00E4157C"/>
    <w:rsid w:val="00E46D9A"/>
    <w:rsid w:val="00E509D1"/>
    <w:rsid w:val="00E550CD"/>
    <w:rsid w:val="00E55774"/>
    <w:rsid w:val="00E565FF"/>
    <w:rsid w:val="00E600D6"/>
    <w:rsid w:val="00E65388"/>
    <w:rsid w:val="00E67833"/>
    <w:rsid w:val="00E67A58"/>
    <w:rsid w:val="00E721E8"/>
    <w:rsid w:val="00E81238"/>
    <w:rsid w:val="00E85B7D"/>
    <w:rsid w:val="00E9121B"/>
    <w:rsid w:val="00E94B48"/>
    <w:rsid w:val="00EA0AE2"/>
    <w:rsid w:val="00EA2431"/>
    <w:rsid w:val="00EA292F"/>
    <w:rsid w:val="00EA39E5"/>
    <w:rsid w:val="00EB3106"/>
    <w:rsid w:val="00EC5A46"/>
    <w:rsid w:val="00EC5C48"/>
    <w:rsid w:val="00EC63E2"/>
    <w:rsid w:val="00ED0087"/>
    <w:rsid w:val="00ED1F3E"/>
    <w:rsid w:val="00EE1BA8"/>
    <w:rsid w:val="00EE1E98"/>
    <w:rsid w:val="00EE397B"/>
    <w:rsid w:val="00EE5261"/>
    <w:rsid w:val="00EF22B3"/>
    <w:rsid w:val="00EF3521"/>
    <w:rsid w:val="00EF469A"/>
    <w:rsid w:val="00EF7ACF"/>
    <w:rsid w:val="00F03B69"/>
    <w:rsid w:val="00F06E7E"/>
    <w:rsid w:val="00F07A50"/>
    <w:rsid w:val="00F10C9D"/>
    <w:rsid w:val="00F113DA"/>
    <w:rsid w:val="00F23184"/>
    <w:rsid w:val="00F27DC0"/>
    <w:rsid w:val="00F37DC8"/>
    <w:rsid w:val="00F429B3"/>
    <w:rsid w:val="00F439B3"/>
    <w:rsid w:val="00F502DD"/>
    <w:rsid w:val="00F511D5"/>
    <w:rsid w:val="00F638FC"/>
    <w:rsid w:val="00F650C3"/>
    <w:rsid w:val="00F65D85"/>
    <w:rsid w:val="00F7203C"/>
    <w:rsid w:val="00F75453"/>
    <w:rsid w:val="00F8091E"/>
    <w:rsid w:val="00F8100A"/>
    <w:rsid w:val="00F8615C"/>
    <w:rsid w:val="00F8699E"/>
    <w:rsid w:val="00F969E5"/>
    <w:rsid w:val="00F97AEE"/>
    <w:rsid w:val="00FA1C95"/>
    <w:rsid w:val="00FA6BB0"/>
    <w:rsid w:val="00FA7C93"/>
    <w:rsid w:val="00FD2D77"/>
    <w:rsid w:val="00FD431F"/>
    <w:rsid w:val="00FD5860"/>
    <w:rsid w:val="00FE352D"/>
    <w:rsid w:val="00FE40EB"/>
    <w:rsid w:val="00FE4D02"/>
    <w:rsid w:val="00FE51C9"/>
    <w:rsid w:val="00FE7B2F"/>
    <w:rsid w:val="00FE7D62"/>
    <w:rsid w:val="00FF3819"/>
    <w:rsid w:val="20A9D0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14917"/>
  <w15:chartTrackingRefBased/>
  <w15:docId w15:val="{5C15CBE0-7CF5-4D1E-9C77-C793E7B0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C7854"/>
    <w:pPr>
      <w:tabs>
        <w:tab w:val="left" w:pos="1247"/>
        <w:tab w:val="left" w:pos="1814"/>
        <w:tab w:val="left" w:pos="2381"/>
        <w:tab w:val="left" w:pos="2948"/>
        <w:tab w:val="left" w:pos="3515"/>
      </w:tabs>
    </w:pPr>
    <w:rPr>
      <w:rFonts w:eastAsia="Times New Roman"/>
      <w:lang w:val="en-US" w:eastAsia="en-US"/>
    </w:rPr>
  </w:style>
  <w:style w:type="paragraph" w:styleId="Heading1">
    <w:name w:val="heading 1"/>
    <w:basedOn w:val="Normal"/>
    <w:next w:val="Normalnumber"/>
    <w:link w:val="Heading1Char"/>
    <w:semiHidden/>
    <w:rsid w:val="00CC7854"/>
    <w:pPr>
      <w:keepNext/>
      <w:numPr>
        <w:numId w:val="2"/>
      </w:numPr>
      <w:spacing w:before="240" w:after="120"/>
      <w:outlineLvl w:val="0"/>
    </w:pPr>
    <w:rPr>
      <w:b/>
      <w:sz w:val="28"/>
    </w:rPr>
  </w:style>
  <w:style w:type="paragraph" w:styleId="Heading2">
    <w:name w:val="heading 2"/>
    <w:basedOn w:val="Normal"/>
    <w:next w:val="Normalnumber"/>
    <w:link w:val="Heading2Char"/>
    <w:semiHidden/>
    <w:rsid w:val="00CC7854"/>
    <w:pPr>
      <w:keepNext/>
      <w:numPr>
        <w:ilvl w:val="1"/>
        <w:numId w:val="2"/>
      </w:numPr>
      <w:spacing w:before="240" w:after="120"/>
      <w:outlineLvl w:val="1"/>
    </w:pPr>
    <w:rPr>
      <w:b/>
      <w:sz w:val="24"/>
      <w:szCs w:val="24"/>
    </w:rPr>
  </w:style>
  <w:style w:type="paragraph" w:styleId="Heading3">
    <w:name w:val="heading 3"/>
    <w:basedOn w:val="Normal"/>
    <w:next w:val="Normalnumber"/>
    <w:link w:val="Heading3Char"/>
    <w:semiHidden/>
    <w:rsid w:val="00CC7854"/>
    <w:pPr>
      <w:numPr>
        <w:ilvl w:val="2"/>
        <w:numId w:val="2"/>
      </w:numPr>
      <w:spacing w:after="120"/>
      <w:outlineLvl w:val="2"/>
    </w:pPr>
    <w:rPr>
      <w:b/>
    </w:rPr>
  </w:style>
  <w:style w:type="paragraph" w:styleId="Heading4">
    <w:name w:val="heading 4"/>
    <w:basedOn w:val="Heading3"/>
    <w:next w:val="Normalnumber"/>
    <w:link w:val="Heading4Char"/>
    <w:semiHidden/>
    <w:rsid w:val="00CC7854"/>
    <w:pPr>
      <w:keepNext/>
      <w:numPr>
        <w:ilvl w:val="3"/>
      </w:numPr>
      <w:outlineLvl w:val="3"/>
    </w:pPr>
  </w:style>
  <w:style w:type="paragraph" w:styleId="Heading5">
    <w:name w:val="heading 5"/>
    <w:basedOn w:val="Normal"/>
    <w:next w:val="Normal"/>
    <w:link w:val="Heading5Char"/>
    <w:semiHidden/>
    <w:rsid w:val="00CC7854"/>
    <w:pPr>
      <w:keepNext/>
      <w:numPr>
        <w:ilvl w:val="4"/>
        <w:numId w:val="2"/>
      </w:numPr>
      <w:outlineLvl w:val="4"/>
    </w:pPr>
    <w:rPr>
      <w:rFonts w:ascii="Univers" w:hAnsi="Univers"/>
      <w:b/>
      <w:sz w:val="24"/>
    </w:rPr>
  </w:style>
  <w:style w:type="paragraph" w:styleId="Heading6">
    <w:name w:val="heading 6"/>
    <w:basedOn w:val="Normal"/>
    <w:next w:val="Normal"/>
    <w:link w:val="Heading6Char"/>
    <w:semiHidden/>
    <w:rsid w:val="00CC7854"/>
    <w:pPr>
      <w:keepNext/>
      <w:numPr>
        <w:ilvl w:val="5"/>
        <w:numId w:val="2"/>
      </w:numPr>
      <w:outlineLvl w:val="5"/>
    </w:pPr>
    <w:rPr>
      <w:b/>
      <w:bCs/>
      <w:sz w:val="24"/>
    </w:rPr>
  </w:style>
  <w:style w:type="paragraph" w:styleId="Heading7">
    <w:name w:val="heading 7"/>
    <w:basedOn w:val="Normal"/>
    <w:next w:val="Normal"/>
    <w:link w:val="Heading7Char"/>
    <w:semiHidden/>
    <w:rsid w:val="00CC7854"/>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semiHidden/>
    <w:rsid w:val="00CC7854"/>
    <w:pPr>
      <w:keepNext/>
      <w:widowControl w:val="0"/>
      <w:numPr>
        <w:ilvl w:val="7"/>
        <w:numId w:val="2"/>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semiHidden/>
    <w:rsid w:val="00CC7854"/>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C7854"/>
    <w:rPr>
      <w:rFonts w:ascii="Times New Roman" w:hAnsi="Times New Roman"/>
      <w:b/>
      <w:sz w:val="18"/>
      <w:lang w:val="en-US"/>
    </w:rPr>
  </w:style>
  <w:style w:type="table" w:customStyle="1" w:styleId="Tabledocright">
    <w:name w:val="Table_doc_right"/>
    <w:basedOn w:val="TableNormal"/>
    <w:rsid w:val="00CC785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C7854"/>
    <w:pPr>
      <w:ind w:left="1000"/>
    </w:pPr>
    <w:rPr>
      <w:sz w:val="18"/>
      <w:szCs w:val="18"/>
    </w:rPr>
  </w:style>
  <w:style w:type="paragraph" w:styleId="TOC7">
    <w:name w:val="toc 7"/>
    <w:basedOn w:val="Normal"/>
    <w:next w:val="Normal"/>
    <w:autoRedefine/>
    <w:semiHidden/>
    <w:rsid w:val="00CC7854"/>
    <w:pPr>
      <w:ind w:left="1200"/>
    </w:pPr>
    <w:rPr>
      <w:sz w:val="18"/>
      <w:szCs w:val="18"/>
    </w:rPr>
  </w:style>
  <w:style w:type="paragraph" w:styleId="TOC8">
    <w:name w:val="toc 8"/>
    <w:basedOn w:val="Normal"/>
    <w:next w:val="Normal"/>
    <w:autoRedefine/>
    <w:semiHidden/>
    <w:rsid w:val="00CC7854"/>
    <w:pPr>
      <w:ind w:left="1400"/>
    </w:pPr>
    <w:rPr>
      <w:sz w:val="18"/>
      <w:szCs w:val="18"/>
    </w:rPr>
  </w:style>
  <w:style w:type="paragraph" w:styleId="TOC9">
    <w:name w:val="toc 9"/>
    <w:basedOn w:val="Normal"/>
    <w:next w:val="Normal"/>
    <w:autoRedefine/>
    <w:semiHidden/>
    <w:rsid w:val="00CC7854"/>
    <w:pPr>
      <w:ind w:left="1600"/>
    </w:pPr>
    <w:rPr>
      <w:sz w:val="18"/>
      <w:szCs w:val="18"/>
    </w:rPr>
  </w:style>
  <w:style w:type="paragraph" w:customStyle="1" w:styleId="Titlefigure">
    <w:name w:val="Title_figure"/>
    <w:basedOn w:val="Titletable"/>
    <w:next w:val="NormalNonumber"/>
    <w:rsid w:val="00CC7854"/>
    <w:rPr>
      <w:bCs w:val="0"/>
    </w:rPr>
  </w:style>
  <w:style w:type="paragraph" w:styleId="TableofFigures">
    <w:name w:val="table of figures"/>
    <w:basedOn w:val="Normal"/>
    <w:next w:val="Normal"/>
    <w:autoRedefine/>
    <w:semiHidden/>
    <w:rsid w:val="00CC7854"/>
    <w:pPr>
      <w:ind w:left="1814" w:hanging="567"/>
    </w:pPr>
  </w:style>
  <w:style w:type="paragraph" w:customStyle="1" w:styleId="CH1">
    <w:name w:val="CH1"/>
    <w:basedOn w:val="Normal-pool"/>
    <w:next w:val="CH2"/>
    <w:qFormat/>
    <w:rsid w:val="00CC785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C7854"/>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CC7854"/>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CC7854"/>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CC785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CC7854"/>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CC7854"/>
    <w:pPr>
      <w:tabs>
        <w:tab w:val="left" w:pos="4321"/>
        <w:tab w:val="right" w:pos="8641"/>
      </w:tabs>
      <w:spacing w:before="60" w:after="120"/>
    </w:pPr>
    <w:rPr>
      <w:b/>
      <w:sz w:val="18"/>
    </w:rPr>
  </w:style>
  <w:style w:type="paragraph" w:customStyle="1" w:styleId="Footer-pool">
    <w:name w:val="Footer-pool"/>
    <w:basedOn w:val="Normal"/>
    <w:next w:val="Normal"/>
    <w:rsid w:val="00CC7854"/>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rPr>
  </w:style>
  <w:style w:type="paragraph" w:customStyle="1" w:styleId="Header-pool">
    <w:name w:val="Header-pool"/>
    <w:basedOn w:val="Normal"/>
    <w:next w:val="Normal"/>
    <w:rsid w:val="00CC7854"/>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rPr>
  </w:style>
  <w:style w:type="paragraph" w:customStyle="1" w:styleId="Normal-pool">
    <w:name w:val="Normal-pool"/>
    <w:link w:val="Normal-poolChar"/>
    <w:qFormat/>
    <w:rsid w:val="00CC7854"/>
    <w:pPr>
      <w:tabs>
        <w:tab w:val="left" w:pos="624"/>
        <w:tab w:val="left" w:pos="1247"/>
        <w:tab w:val="left" w:pos="1871"/>
        <w:tab w:val="left" w:pos="2495"/>
        <w:tab w:val="left" w:pos="3119"/>
        <w:tab w:val="left" w:pos="3742"/>
        <w:tab w:val="left" w:pos="4366"/>
      </w:tabs>
    </w:pPr>
    <w:rPr>
      <w:rFonts w:eastAsia="Times New Roman"/>
      <w:lang w:val="en-US" w:eastAsia="en-US"/>
    </w:rPr>
  </w:style>
  <w:style w:type="character" w:styleId="FootnoteReference">
    <w:name w:val="footnote reference"/>
    <w:aliases w:val="16 Point,Superscript 6 Point,ftref,(Ref. de nota al pie),number,SUPERS,Footnote Reference Superscript,4_G,fr,Ref,de nota al pie,註腳內容,de nota al pie + (Asian) MS Mincho,11 pt,Ref. de nota de rodapé1,Ref. de nota al pie."/>
    <w:qFormat/>
    <w:rsid w:val="00CC7854"/>
    <w:rPr>
      <w:rFonts w:ascii="Times New Roman" w:hAnsi="Times New Roman"/>
      <w:color w:val="auto"/>
      <w:sz w:val="20"/>
      <w:szCs w:val="18"/>
      <w:vertAlign w:val="superscript"/>
      <w:lang w:val="en-US"/>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qFormat/>
    <w:rsid w:val="00CC7854"/>
    <w:pPr>
      <w:tabs>
        <w:tab w:val="left" w:pos="4082"/>
      </w:tabs>
      <w:spacing w:before="20" w:after="40"/>
      <w:ind w:left="1247"/>
    </w:pPr>
    <w:rPr>
      <w:sz w:val="18"/>
    </w:rPr>
  </w:style>
  <w:style w:type="table" w:customStyle="1" w:styleId="AATable">
    <w:name w:val="AA_Table"/>
    <w:basedOn w:val="TableNormal"/>
    <w:semiHidden/>
    <w:rsid w:val="00CC785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CC7854"/>
    <w:pPr>
      <w:keepNext/>
      <w:keepLines/>
      <w:suppressAutoHyphens/>
    </w:pPr>
    <w:rPr>
      <w:b/>
    </w:rPr>
  </w:style>
  <w:style w:type="paragraph" w:customStyle="1" w:styleId="AATitle2">
    <w:name w:val="AA_Title2"/>
    <w:basedOn w:val="AATitle"/>
    <w:qFormat/>
    <w:rsid w:val="00CC7854"/>
    <w:pPr>
      <w:keepNext w:val="0"/>
      <w:keepLines w:val="0"/>
      <w:spacing w:before="120" w:after="120"/>
    </w:pPr>
  </w:style>
  <w:style w:type="paragraph" w:customStyle="1" w:styleId="BBTitle">
    <w:name w:val="BB_Title"/>
    <w:basedOn w:val="Normal-pool"/>
    <w:link w:val="BBTitleChar"/>
    <w:qFormat/>
    <w:rsid w:val="00CC7854"/>
    <w:pPr>
      <w:keepNext/>
      <w:keepLines/>
      <w:suppressAutoHyphens/>
      <w:spacing w:before="320" w:after="240"/>
      <w:ind w:left="1247" w:right="567"/>
    </w:pPr>
    <w:rPr>
      <w:b/>
      <w:sz w:val="28"/>
      <w:szCs w:val="28"/>
    </w:rPr>
  </w:style>
  <w:style w:type="paragraph" w:styleId="Footer">
    <w:name w:val="footer"/>
    <w:basedOn w:val="Normal"/>
    <w:link w:val="FooterChar"/>
    <w:uiPriority w:val="99"/>
    <w:rsid w:val="00CC7854"/>
    <w:pPr>
      <w:tabs>
        <w:tab w:val="center" w:pos="4320"/>
        <w:tab w:val="right" w:pos="8640"/>
      </w:tabs>
      <w:spacing w:before="60" w:after="120"/>
    </w:pPr>
    <w:rPr>
      <w:sz w:val="18"/>
    </w:rPr>
  </w:style>
  <w:style w:type="paragraph" w:styleId="Header">
    <w:name w:val="header"/>
    <w:basedOn w:val="Normal"/>
    <w:link w:val="HeaderChar"/>
    <w:semiHidden/>
    <w:rsid w:val="00CC7854"/>
    <w:pPr>
      <w:tabs>
        <w:tab w:val="center" w:pos="4536"/>
        <w:tab w:val="right" w:pos="9072"/>
      </w:tabs>
    </w:pPr>
    <w:rPr>
      <w:b/>
      <w:sz w:val="18"/>
    </w:rPr>
  </w:style>
  <w:style w:type="character" w:styleId="Hyperlink">
    <w:name w:val="Hyperlink"/>
    <w:uiPriority w:val="99"/>
    <w:unhideWhenUsed/>
    <w:rsid w:val="00CC7854"/>
    <w:rPr>
      <w:rFonts w:ascii="Times New Roman" w:hAnsi="Times New Roman"/>
      <w:color w:val="0000FF"/>
      <w:sz w:val="20"/>
      <w:szCs w:val="20"/>
      <w:u w:val="none"/>
      <w:lang w:val="en-US"/>
    </w:rPr>
  </w:style>
  <w:style w:type="numbering" w:customStyle="1" w:styleId="Normallist">
    <w:name w:val="Normal_list"/>
    <w:basedOn w:val="NoList"/>
    <w:rsid w:val="00CC7854"/>
    <w:pPr>
      <w:numPr>
        <w:numId w:val="1"/>
      </w:numPr>
    </w:pPr>
  </w:style>
  <w:style w:type="paragraph" w:customStyle="1" w:styleId="NormalNonumber">
    <w:name w:val="Normal_No_number"/>
    <w:basedOn w:val="Normal-pool"/>
    <w:qFormat/>
    <w:rsid w:val="00CC7854"/>
    <w:pPr>
      <w:spacing w:after="120"/>
      <w:ind w:left="1247"/>
    </w:pPr>
  </w:style>
  <w:style w:type="paragraph" w:customStyle="1" w:styleId="Normalnumber">
    <w:name w:val="Normal_number"/>
    <w:basedOn w:val="Normal"/>
    <w:link w:val="NormalnumberChar"/>
    <w:rsid w:val="00A73DB7"/>
    <w:pPr>
      <w:tabs>
        <w:tab w:val="clear" w:pos="1247"/>
        <w:tab w:val="clear" w:pos="1814"/>
        <w:tab w:val="clear" w:pos="2381"/>
        <w:tab w:val="clear" w:pos="2948"/>
        <w:tab w:val="clear" w:pos="3515"/>
      </w:tabs>
      <w:spacing w:after="120"/>
    </w:pPr>
  </w:style>
  <w:style w:type="paragraph" w:customStyle="1" w:styleId="Titletable">
    <w:name w:val="Title_table"/>
    <w:basedOn w:val="Normal-pool"/>
    <w:next w:val="NormalNonumber"/>
    <w:rsid w:val="00CC7854"/>
    <w:pPr>
      <w:keepNext/>
      <w:keepLines/>
      <w:suppressAutoHyphens/>
      <w:spacing w:after="60"/>
      <w:ind w:left="1247"/>
    </w:pPr>
    <w:rPr>
      <w:b/>
      <w:bCs/>
    </w:rPr>
  </w:style>
  <w:style w:type="paragraph" w:styleId="TOC1">
    <w:name w:val="toc 1"/>
    <w:basedOn w:val="Normal-pool"/>
    <w:next w:val="Normal-pool"/>
    <w:uiPriority w:val="39"/>
    <w:unhideWhenUsed/>
    <w:rsid w:val="00CC7854"/>
    <w:pPr>
      <w:tabs>
        <w:tab w:val="right" w:leader="dot" w:pos="9486"/>
      </w:tabs>
      <w:spacing w:before="240"/>
      <w:ind w:left="1814" w:hanging="567"/>
    </w:pPr>
    <w:rPr>
      <w:bCs/>
    </w:rPr>
  </w:style>
  <w:style w:type="paragraph" w:styleId="TOC2">
    <w:name w:val="toc 2"/>
    <w:basedOn w:val="Normal-pool"/>
    <w:next w:val="Normal-pool"/>
    <w:uiPriority w:val="39"/>
    <w:unhideWhenUsed/>
    <w:rsid w:val="00CC7854"/>
    <w:pPr>
      <w:tabs>
        <w:tab w:val="right" w:leader="dot" w:pos="9486"/>
      </w:tabs>
      <w:ind w:left="2381" w:hanging="567"/>
    </w:pPr>
  </w:style>
  <w:style w:type="paragraph" w:styleId="TOC3">
    <w:name w:val="toc 3"/>
    <w:basedOn w:val="Normal-pool"/>
    <w:next w:val="Normal-pool"/>
    <w:unhideWhenUsed/>
    <w:rsid w:val="00CC7854"/>
    <w:pPr>
      <w:tabs>
        <w:tab w:val="right" w:leader="dot" w:pos="9486"/>
      </w:tabs>
      <w:ind w:left="2948" w:hanging="567"/>
    </w:pPr>
    <w:rPr>
      <w:iCs/>
    </w:rPr>
  </w:style>
  <w:style w:type="paragraph" w:styleId="TOC4">
    <w:name w:val="toc 4"/>
    <w:basedOn w:val="Normal-pool"/>
    <w:next w:val="Normal-pool"/>
    <w:unhideWhenUsed/>
    <w:rsid w:val="00CC7854"/>
    <w:pPr>
      <w:tabs>
        <w:tab w:val="left" w:pos="1000"/>
        <w:tab w:val="right" w:leader="dot" w:pos="9486"/>
      </w:tabs>
      <w:ind w:left="3515" w:hanging="567"/>
    </w:pPr>
    <w:rPr>
      <w:szCs w:val="18"/>
    </w:rPr>
  </w:style>
  <w:style w:type="paragraph" w:styleId="TOC5">
    <w:name w:val="toc 5"/>
    <w:basedOn w:val="Normal-pool"/>
    <w:next w:val="Normal-pool"/>
    <w:rsid w:val="00CC7854"/>
    <w:pPr>
      <w:ind w:left="800"/>
    </w:pPr>
    <w:rPr>
      <w:sz w:val="18"/>
      <w:szCs w:val="18"/>
    </w:rPr>
  </w:style>
  <w:style w:type="paragraph" w:customStyle="1" w:styleId="ZZAnxheader">
    <w:name w:val="ZZ_Anx_header"/>
    <w:basedOn w:val="Normal-pool"/>
    <w:link w:val="ZZAnxheaderChar"/>
    <w:rsid w:val="00CC7854"/>
    <w:rPr>
      <w:b/>
      <w:bCs/>
      <w:sz w:val="28"/>
      <w:szCs w:val="22"/>
    </w:rPr>
  </w:style>
  <w:style w:type="paragraph" w:customStyle="1" w:styleId="ZZAnxtitle">
    <w:name w:val="ZZ_Anx_title"/>
    <w:basedOn w:val="Normal-pool"/>
    <w:rsid w:val="00CC7854"/>
    <w:pPr>
      <w:spacing w:before="360" w:after="120"/>
      <w:ind w:left="1247"/>
    </w:pPr>
    <w:rPr>
      <w:b/>
      <w:bCs/>
      <w:sz w:val="28"/>
      <w:szCs w:val="26"/>
    </w:rPr>
  </w:style>
  <w:style w:type="paragraph" w:styleId="NormalWeb">
    <w:name w:val="Normal (Web)"/>
    <w:basedOn w:val="Normal"/>
    <w:uiPriority w:val="99"/>
    <w:semiHidden/>
    <w:unhideWhenUsed/>
    <w:rsid w:val="00CC785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C7854"/>
    <w:pPr>
      <w:spacing w:before="40" w:after="40"/>
    </w:pPr>
    <w:rPr>
      <w:sz w:val="18"/>
    </w:rPr>
  </w:style>
  <w:style w:type="paragraph" w:customStyle="1" w:styleId="Footnote-Text">
    <w:name w:val="Footnote-Text"/>
    <w:basedOn w:val="Normal-pool"/>
    <w:rsid w:val="00CC7854"/>
    <w:pPr>
      <w:spacing w:before="20" w:after="40"/>
      <w:ind w:left="1247"/>
    </w:pPr>
    <w:rPr>
      <w:sz w:val="18"/>
    </w:rPr>
  </w:style>
  <w:style w:type="character" w:customStyle="1" w:styleId="Normal-poolChar">
    <w:name w:val="Normal-pool Char"/>
    <w:link w:val="Normal-pool"/>
    <w:locked/>
    <w:rsid w:val="00CC7854"/>
    <w:rPr>
      <w:rFonts w:eastAsia="Times New Roman"/>
      <w:lang w:val="en-US" w:eastAsia="en-US"/>
    </w:rPr>
  </w:style>
  <w:style w:type="paragraph" w:customStyle="1" w:styleId="AConvName">
    <w:name w:val="A_ConvName"/>
    <w:basedOn w:val="Normal-pool"/>
    <w:next w:val="Normal-pool"/>
    <w:rsid w:val="00CC7854"/>
    <w:pPr>
      <w:spacing w:before="120" w:after="240"/>
    </w:pPr>
    <w:rPr>
      <w:rFonts w:ascii="Arial" w:hAnsi="Arial"/>
      <w:b/>
      <w:sz w:val="28"/>
    </w:rPr>
  </w:style>
  <w:style w:type="paragraph" w:customStyle="1" w:styleId="ASymbol">
    <w:name w:val="A_Symbol"/>
    <w:basedOn w:val="Normal-pool"/>
    <w:rsid w:val="00CC7854"/>
    <w:pPr>
      <w:tabs>
        <w:tab w:val="clear" w:pos="624"/>
        <w:tab w:val="clear" w:pos="1247"/>
        <w:tab w:val="right" w:pos="2920"/>
      </w:tabs>
    </w:pPr>
    <w:rPr>
      <w:rFonts w:eastAsia="SimSun"/>
    </w:rPr>
  </w:style>
  <w:style w:type="paragraph" w:customStyle="1" w:styleId="AText">
    <w:name w:val="A_Text"/>
    <w:basedOn w:val="Normal-pool"/>
    <w:rsid w:val="00CC7854"/>
    <w:pPr>
      <w:spacing w:before="120"/>
    </w:pPr>
  </w:style>
  <w:style w:type="paragraph" w:customStyle="1" w:styleId="ATwoLetters">
    <w:name w:val="A_TwoLetters"/>
    <w:basedOn w:val="Normal-pool"/>
    <w:next w:val="Normal-pool"/>
    <w:rsid w:val="00CC785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CC785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CC7854"/>
    <w:rPr>
      <w:rFonts w:ascii="Tahoma" w:hAnsi="Tahoma" w:cs="Tahoma"/>
      <w:sz w:val="16"/>
      <w:szCs w:val="16"/>
    </w:rPr>
  </w:style>
  <w:style w:type="character" w:customStyle="1" w:styleId="BalloonTextChar">
    <w:name w:val="Balloon Text Char"/>
    <w:basedOn w:val="DefaultParagraphFont"/>
    <w:link w:val="BalloonText"/>
    <w:rsid w:val="00CC7854"/>
    <w:rPr>
      <w:rFonts w:ascii="Tahoma" w:eastAsia="Times New Roman" w:hAnsi="Tahoma" w:cs="Tahoma"/>
      <w:sz w:val="16"/>
      <w:szCs w:val="16"/>
      <w:lang w:val="en-US" w:eastAsia="en-US"/>
    </w:rPr>
  </w:style>
  <w:style w:type="character" w:styleId="CommentReference">
    <w:name w:val="annotation reference"/>
    <w:basedOn w:val="DefaultParagraphFont"/>
    <w:uiPriority w:val="99"/>
    <w:unhideWhenUsed/>
    <w:rsid w:val="00CC7854"/>
    <w:rPr>
      <w:sz w:val="16"/>
      <w:szCs w:val="16"/>
      <w:lang w:val="en-US"/>
    </w:rPr>
  </w:style>
  <w:style w:type="paragraph" w:styleId="CommentText">
    <w:name w:val="annotation text"/>
    <w:basedOn w:val="Normal"/>
    <w:link w:val="CommentTextChar"/>
    <w:unhideWhenUsed/>
    <w:rsid w:val="00CC7854"/>
  </w:style>
  <w:style w:type="character" w:customStyle="1" w:styleId="CommentTextChar">
    <w:name w:val="Comment Text Char"/>
    <w:basedOn w:val="DefaultParagraphFont"/>
    <w:link w:val="CommentText"/>
    <w:rsid w:val="00CC7854"/>
    <w:rPr>
      <w:rFonts w:eastAsia="Times New Roman"/>
      <w:lang w:val="en-US" w:eastAsia="en-US"/>
    </w:rPr>
  </w:style>
  <w:style w:type="paragraph" w:styleId="CommentSubject">
    <w:name w:val="annotation subject"/>
    <w:basedOn w:val="CommentText"/>
    <w:next w:val="CommentText"/>
    <w:link w:val="CommentSubjectChar"/>
    <w:semiHidden/>
    <w:unhideWhenUsed/>
    <w:rsid w:val="00CC7854"/>
    <w:rPr>
      <w:b/>
      <w:bCs/>
    </w:rPr>
  </w:style>
  <w:style w:type="character" w:customStyle="1" w:styleId="CommentSubjectChar">
    <w:name w:val="Comment Subject Char"/>
    <w:basedOn w:val="CommentTextChar"/>
    <w:link w:val="CommentSubject"/>
    <w:semiHidden/>
    <w:rsid w:val="00CC7854"/>
    <w:rPr>
      <w:rFonts w:eastAsia="Times New Roman"/>
      <w:b/>
      <w:bCs/>
      <w:lang w:val="en-US" w:eastAsia="en-US"/>
    </w:rPr>
  </w:style>
  <w:style w:type="character" w:styleId="FollowedHyperlink">
    <w:name w:val="FollowedHyperlink"/>
    <w:uiPriority w:val="99"/>
    <w:semiHidden/>
    <w:rsid w:val="00CC7854"/>
    <w:rPr>
      <w:color w:val="0000FF"/>
      <w:u w:val="none"/>
      <w:lang w:val="en-US"/>
    </w:rPr>
  </w:style>
  <w:style w:type="character" w:customStyle="1" w:styleId="FooterChar">
    <w:name w:val="Footer Char"/>
    <w:basedOn w:val="DefaultParagraphFont"/>
    <w:link w:val="Footer"/>
    <w:uiPriority w:val="99"/>
    <w:rsid w:val="00CC7854"/>
    <w:rPr>
      <w:rFonts w:eastAsia="Times New Roman"/>
      <w:sz w:val="18"/>
      <w:lang w:val="en-US"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CC7854"/>
    <w:rPr>
      <w:rFonts w:eastAsia="Times New Roman"/>
      <w:sz w:val="18"/>
      <w:lang w:val="en-US" w:eastAsia="en-US"/>
    </w:rPr>
  </w:style>
  <w:style w:type="character" w:customStyle="1" w:styleId="HeaderChar">
    <w:name w:val="Header Char"/>
    <w:basedOn w:val="DefaultParagraphFont"/>
    <w:link w:val="Header"/>
    <w:semiHidden/>
    <w:rsid w:val="00CC7854"/>
    <w:rPr>
      <w:rFonts w:eastAsia="Times New Roman"/>
      <w:b/>
      <w:sz w:val="18"/>
      <w:lang w:val="en-US" w:eastAsia="en-US"/>
    </w:rPr>
  </w:style>
  <w:style w:type="character" w:customStyle="1" w:styleId="Heading1Char">
    <w:name w:val="Heading 1 Char"/>
    <w:basedOn w:val="DefaultParagraphFont"/>
    <w:link w:val="Heading1"/>
    <w:semiHidden/>
    <w:rsid w:val="00CC7854"/>
    <w:rPr>
      <w:rFonts w:eastAsia="Times New Roman"/>
      <w:b/>
      <w:sz w:val="28"/>
      <w:lang w:val="en-US" w:eastAsia="en-US"/>
    </w:rPr>
  </w:style>
  <w:style w:type="character" w:customStyle="1" w:styleId="Heading2Char">
    <w:name w:val="Heading 2 Char"/>
    <w:basedOn w:val="DefaultParagraphFont"/>
    <w:link w:val="Heading2"/>
    <w:semiHidden/>
    <w:rsid w:val="00CC7854"/>
    <w:rPr>
      <w:rFonts w:eastAsia="Times New Roman"/>
      <w:b/>
      <w:sz w:val="24"/>
      <w:szCs w:val="24"/>
      <w:lang w:val="en-US" w:eastAsia="en-US"/>
    </w:rPr>
  </w:style>
  <w:style w:type="character" w:customStyle="1" w:styleId="Heading3Char">
    <w:name w:val="Heading 3 Char"/>
    <w:basedOn w:val="DefaultParagraphFont"/>
    <w:link w:val="Heading3"/>
    <w:semiHidden/>
    <w:rsid w:val="00CC7854"/>
    <w:rPr>
      <w:rFonts w:eastAsia="Times New Roman"/>
      <w:b/>
      <w:lang w:val="en-US" w:eastAsia="en-US"/>
    </w:rPr>
  </w:style>
  <w:style w:type="character" w:customStyle="1" w:styleId="Heading4Char">
    <w:name w:val="Heading 4 Char"/>
    <w:basedOn w:val="DefaultParagraphFont"/>
    <w:link w:val="Heading4"/>
    <w:semiHidden/>
    <w:rsid w:val="00CC7854"/>
    <w:rPr>
      <w:rFonts w:eastAsia="Times New Roman"/>
      <w:b/>
      <w:lang w:val="en-US" w:eastAsia="en-US"/>
    </w:rPr>
  </w:style>
  <w:style w:type="character" w:customStyle="1" w:styleId="Heading5Char">
    <w:name w:val="Heading 5 Char"/>
    <w:basedOn w:val="DefaultParagraphFont"/>
    <w:link w:val="Heading5"/>
    <w:semiHidden/>
    <w:rsid w:val="00CC7854"/>
    <w:rPr>
      <w:rFonts w:ascii="Univers" w:eastAsia="Times New Roman" w:hAnsi="Univers"/>
      <w:b/>
      <w:sz w:val="24"/>
      <w:lang w:val="en-US" w:eastAsia="en-US"/>
    </w:rPr>
  </w:style>
  <w:style w:type="character" w:customStyle="1" w:styleId="Heading6Char">
    <w:name w:val="Heading 6 Char"/>
    <w:basedOn w:val="DefaultParagraphFont"/>
    <w:link w:val="Heading6"/>
    <w:semiHidden/>
    <w:rsid w:val="00CC7854"/>
    <w:rPr>
      <w:rFonts w:eastAsia="Times New Roman"/>
      <w:b/>
      <w:bCs/>
      <w:sz w:val="24"/>
      <w:lang w:val="en-US" w:eastAsia="en-US"/>
    </w:rPr>
  </w:style>
  <w:style w:type="character" w:customStyle="1" w:styleId="Heading7Char">
    <w:name w:val="Heading 7 Char"/>
    <w:basedOn w:val="DefaultParagraphFont"/>
    <w:link w:val="Heading7"/>
    <w:semiHidden/>
    <w:rsid w:val="00CC7854"/>
    <w:rPr>
      <w:rFonts w:eastAsia="Times New Roman"/>
      <w:snapToGrid w:val="0"/>
      <w:u w:val="single"/>
      <w:lang w:val="en-US" w:eastAsia="en-US"/>
    </w:rPr>
  </w:style>
  <w:style w:type="character" w:customStyle="1" w:styleId="Heading8Char">
    <w:name w:val="Heading 8 Char"/>
    <w:basedOn w:val="DefaultParagraphFont"/>
    <w:link w:val="Heading8"/>
    <w:semiHidden/>
    <w:rsid w:val="00CC7854"/>
    <w:rPr>
      <w:rFonts w:eastAsia="Times New Roman"/>
      <w:snapToGrid w:val="0"/>
      <w:u w:val="single"/>
      <w:lang w:val="en-US" w:eastAsia="en-US"/>
    </w:rPr>
  </w:style>
  <w:style w:type="character" w:customStyle="1" w:styleId="Heading9Char">
    <w:name w:val="Heading 9 Char"/>
    <w:basedOn w:val="DefaultParagraphFont"/>
    <w:link w:val="Heading9"/>
    <w:semiHidden/>
    <w:rsid w:val="00CC7854"/>
    <w:rPr>
      <w:rFonts w:eastAsia="Times New Roman"/>
      <w:snapToGrid w:val="0"/>
      <w:u w:val="single"/>
      <w:lang w:val="en-US" w:eastAsia="en-US"/>
    </w:rPr>
  </w:style>
  <w:style w:type="paragraph" w:styleId="ListParagraph">
    <w:name w:val="List Paragraph"/>
    <w:basedOn w:val="Normal"/>
    <w:uiPriority w:val="34"/>
    <w:qFormat/>
    <w:rsid w:val="00CC7854"/>
    <w:pPr>
      <w:ind w:left="720"/>
      <w:contextualSpacing/>
    </w:pPr>
  </w:style>
  <w:style w:type="paragraph" w:styleId="NoSpacing">
    <w:name w:val="No Spacing"/>
    <w:uiPriority w:val="1"/>
    <w:semiHidden/>
    <w:qFormat/>
    <w:rsid w:val="00CC7854"/>
    <w:rPr>
      <w:rFonts w:asciiTheme="minorHAnsi" w:eastAsiaTheme="minorHAnsi" w:hAnsiTheme="minorHAnsi" w:cstheme="minorBidi"/>
      <w:sz w:val="22"/>
      <w:szCs w:val="22"/>
      <w:lang w:val="en-US" w:eastAsia="en-US"/>
    </w:rPr>
  </w:style>
  <w:style w:type="character" w:customStyle="1" w:styleId="NormalnumberChar">
    <w:name w:val="Normal_number Char"/>
    <w:link w:val="Normalnumber"/>
    <w:rsid w:val="00A73DB7"/>
    <w:rPr>
      <w:rFonts w:eastAsia="Times New Roman"/>
      <w:lang w:val="en-US" w:eastAsia="en-US"/>
    </w:rPr>
  </w:style>
  <w:style w:type="character" w:styleId="PlaceholderText">
    <w:name w:val="Placeholder Text"/>
    <w:basedOn w:val="DefaultParagraphFont"/>
    <w:uiPriority w:val="99"/>
    <w:semiHidden/>
    <w:rsid w:val="00CC7854"/>
    <w:rPr>
      <w:color w:val="808080"/>
      <w:lang w:val="en-US"/>
    </w:rPr>
  </w:style>
  <w:style w:type="table" w:styleId="TableGrid">
    <w:name w:val="Table Grid"/>
    <w:basedOn w:val="TableNormal"/>
    <w:rsid w:val="00CC7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CC7854"/>
    <w:pPr>
      <w:tabs>
        <w:tab w:val="left" w:pos="624"/>
        <w:tab w:val="left" w:pos="4082"/>
      </w:tabs>
      <w:spacing w:before="120"/>
    </w:pPr>
  </w:style>
  <w:style w:type="character" w:customStyle="1" w:styleId="ALogoChar">
    <w:name w:val="A_Logo Char"/>
    <w:basedOn w:val="DefaultParagraphFont"/>
    <w:link w:val="ALogo"/>
    <w:rsid w:val="00CC7854"/>
    <w:rPr>
      <w:rFonts w:eastAsia="Times New Roman"/>
      <w:lang w:val="en-US" w:eastAsia="en-US"/>
    </w:rPr>
  </w:style>
  <w:style w:type="paragraph" w:customStyle="1" w:styleId="ASpacer">
    <w:name w:val="A_Spacer"/>
    <w:basedOn w:val="Normal-pool"/>
    <w:link w:val="ASpacerChar"/>
    <w:qFormat/>
    <w:rsid w:val="00CC7854"/>
    <w:rPr>
      <w:sz w:val="2"/>
    </w:rPr>
  </w:style>
  <w:style w:type="character" w:customStyle="1" w:styleId="ASpacerChar">
    <w:name w:val="A_Spacer Char"/>
    <w:basedOn w:val="Normal-poolChar"/>
    <w:link w:val="ASpacer"/>
    <w:rsid w:val="00CC7854"/>
    <w:rPr>
      <w:rFonts w:eastAsia="Times New Roman"/>
      <w:sz w:val="2"/>
      <w:lang w:val="en-US" w:eastAsia="en-US"/>
    </w:rPr>
  </w:style>
  <w:style w:type="paragraph" w:customStyle="1" w:styleId="AATitle1">
    <w:name w:val="AA_Title1"/>
    <w:basedOn w:val="Normal-pool"/>
    <w:qFormat/>
    <w:rsid w:val="00CC7854"/>
  </w:style>
  <w:style w:type="character" w:styleId="UnresolvedMention">
    <w:name w:val="Unresolved Mention"/>
    <w:basedOn w:val="DefaultParagraphFont"/>
    <w:uiPriority w:val="99"/>
    <w:semiHidden/>
    <w:rsid w:val="00CC7854"/>
    <w:rPr>
      <w:color w:val="605E5C"/>
      <w:shd w:val="clear" w:color="auto" w:fill="E1DFDD"/>
      <w:lang w:val="en-US"/>
    </w:rPr>
  </w:style>
  <w:style w:type="paragraph" w:customStyle="1" w:styleId="ANormal">
    <w:name w:val="A_Normal"/>
    <w:basedOn w:val="Normal-pool"/>
    <w:qFormat/>
    <w:rsid w:val="00CC7854"/>
  </w:style>
  <w:style w:type="paragraph" w:customStyle="1" w:styleId="AText0">
    <w:name w:val="A_Text0"/>
    <w:basedOn w:val="AText"/>
    <w:next w:val="AText"/>
    <w:qFormat/>
    <w:rsid w:val="00CC7854"/>
    <w:pPr>
      <w:spacing w:before="0" w:after="120"/>
    </w:pPr>
  </w:style>
  <w:style w:type="paragraph" w:styleId="Bibliography">
    <w:name w:val="Bibliography"/>
    <w:basedOn w:val="Normal"/>
    <w:next w:val="Normal"/>
    <w:uiPriority w:val="37"/>
    <w:semiHidden/>
    <w:rsid w:val="00CC7854"/>
  </w:style>
  <w:style w:type="paragraph" w:styleId="BlockText">
    <w:name w:val="Block Text"/>
    <w:basedOn w:val="Normal"/>
    <w:semiHidden/>
    <w:unhideWhenUsed/>
    <w:rsid w:val="00CC785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C7854"/>
    <w:pPr>
      <w:spacing w:after="120"/>
    </w:pPr>
  </w:style>
  <w:style w:type="character" w:customStyle="1" w:styleId="BodyTextChar">
    <w:name w:val="Body Text Char"/>
    <w:basedOn w:val="DefaultParagraphFont"/>
    <w:link w:val="BodyText"/>
    <w:semiHidden/>
    <w:rsid w:val="00CC7854"/>
    <w:rPr>
      <w:rFonts w:eastAsia="Times New Roman"/>
      <w:lang w:val="en-US" w:eastAsia="en-US"/>
    </w:rPr>
  </w:style>
  <w:style w:type="paragraph" w:styleId="BodyText2">
    <w:name w:val="Body Text 2"/>
    <w:basedOn w:val="Normal"/>
    <w:link w:val="BodyText2Char"/>
    <w:semiHidden/>
    <w:unhideWhenUsed/>
    <w:rsid w:val="00CC7854"/>
    <w:pPr>
      <w:spacing w:after="120" w:line="480" w:lineRule="auto"/>
    </w:pPr>
  </w:style>
  <w:style w:type="character" w:customStyle="1" w:styleId="BodyText2Char">
    <w:name w:val="Body Text 2 Char"/>
    <w:basedOn w:val="DefaultParagraphFont"/>
    <w:link w:val="BodyText2"/>
    <w:semiHidden/>
    <w:rsid w:val="00CC7854"/>
    <w:rPr>
      <w:rFonts w:eastAsia="Times New Roman"/>
      <w:lang w:val="en-US" w:eastAsia="en-US"/>
    </w:rPr>
  </w:style>
  <w:style w:type="paragraph" w:styleId="BodyText3">
    <w:name w:val="Body Text 3"/>
    <w:basedOn w:val="Normal"/>
    <w:link w:val="BodyText3Char"/>
    <w:semiHidden/>
    <w:unhideWhenUsed/>
    <w:rsid w:val="00CC7854"/>
    <w:pPr>
      <w:spacing w:after="120"/>
    </w:pPr>
    <w:rPr>
      <w:sz w:val="16"/>
      <w:szCs w:val="16"/>
    </w:rPr>
  </w:style>
  <w:style w:type="character" w:customStyle="1" w:styleId="BodyText3Char">
    <w:name w:val="Body Text 3 Char"/>
    <w:basedOn w:val="DefaultParagraphFont"/>
    <w:link w:val="BodyText3"/>
    <w:semiHidden/>
    <w:rsid w:val="00CC7854"/>
    <w:rPr>
      <w:rFonts w:eastAsia="Times New Roman"/>
      <w:sz w:val="16"/>
      <w:szCs w:val="16"/>
      <w:lang w:val="en-US" w:eastAsia="en-US"/>
    </w:rPr>
  </w:style>
  <w:style w:type="paragraph" w:styleId="BodyTextFirstIndent">
    <w:name w:val="Body Text First Indent"/>
    <w:basedOn w:val="BodyText"/>
    <w:link w:val="BodyTextFirstIndentChar"/>
    <w:semiHidden/>
    <w:unhideWhenUsed/>
    <w:rsid w:val="00CC7854"/>
    <w:pPr>
      <w:spacing w:after="0"/>
      <w:ind w:firstLine="360"/>
    </w:pPr>
  </w:style>
  <w:style w:type="character" w:customStyle="1" w:styleId="BodyTextFirstIndentChar">
    <w:name w:val="Body Text First Indent Char"/>
    <w:basedOn w:val="BodyTextChar"/>
    <w:link w:val="BodyTextFirstIndent"/>
    <w:semiHidden/>
    <w:rsid w:val="00CC7854"/>
    <w:rPr>
      <w:rFonts w:eastAsia="Times New Roman"/>
      <w:lang w:val="en-US" w:eastAsia="en-US"/>
    </w:rPr>
  </w:style>
  <w:style w:type="paragraph" w:styleId="BodyTextIndent">
    <w:name w:val="Body Text Indent"/>
    <w:basedOn w:val="Normal"/>
    <w:link w:val="BodyTextIndentChar"/>
    <w:semiHidden/>
    <w:unhideWhenUsed/>
    <w:rsid w:val="00CC7854"/>
    <w:pPr>
      <w:spacing w:after="120"/>
      <w:ind w:left="283"/>
    </w:pPr>
  </w:style>
  <w:style w:type="character" w:customStyle="1" w:styleId="BodyTextIndentChar">
    <w:name w:val="Body Text Indent Char"/>
    <w:basedOn w:val="DefaultParagraphFont"/>
    <w:link w:val="BodyTextIndent"/>
    <w:semiHidden/>
    <w:rsid w:val="00CC7854"/>
    <w:rPr>
      <w:rFonts w:eastAsia="Times New Roman"/>
      <w:lang w:val="en-US" w:eastAsia="en-US"/>
    </w:rPr>
  </w:style>
  <w:style w:type="paragraph" w:styleId="BodyTextFirstIndent2">
    <w:name w:val="Body Text First Indent 2"/>
    <w:basedOn w:val="BodyTextIndent"/>
    <w:link w:val="BodyTextFirstIndent2Char"/>
    <w:semiHidden/>
    <w:unhideWhenUsed/>
    <w:rsid w:val="00CC7854"/>
    <w:pPr>
      <w:spacing w:after="0"/>
      <w:ind w:left="360" w:firstLine="360"/>
    </w:pPr>
  </w:style>
  <w:style w:type="character" w:customStyle="1" w:styleId="BodyTextFirstIndent2Char">
    <w:name w:val="Body Text First Indent 2 Char"/>
    <w:basedOn w:val="BodyTextIndentChar"/>
    <w:link w:val="BodyTextFirstIndent2"/>
    <w:semiHidden/>
    <w:rsid w:val="00CC7854"/>
    <w:rPr>
      <w:rFonts w:eastAsia="Times New Roman"/>
      <w:lang w:val="en-US" w:eastAsia="en-US"/>
    </w:rPr>
  </w:style>
  <w:style w:type="paragraph" w:styleId="BodyTextIndent2">
    <w:name w:val="Body Text Indent 2"/>
    <w:basedOn w:val="Normal"/>
    <w:link w:val="BodyTextIndent2Char"/>
    <w:semiHidden/>
    <w:unhideWhenUsed/>
    <w:rsid w:val="00CC7854"/>
    <w:pPr>
      <w:spacing w:after="120" w:line="480" w:lineRule="auto"/>
      <w:ind w:left="283"/>
    </w:pPr>
  </w:style>
  <w:style w:type="character" w:customStyle="1" w:styleId="BodyTextIndent2Char">
    <w:name w:val="Body Text Indent 2 Char"/>
    <w:basedOn w:val="DefaultParagraphFont"/>
    <w:link w:val="BodyTextIndent2"/>
    <w:semiHidden/>
    <w:rsid w:val="00CC7854"/>
    <w:rPr>
      <w:rFonts w:eastAsia="Times New Roman"/>
      <w:lang w:val="en-US" w:eastAsia="en-US"/>
    </w:rPr>
  </w:style>
  <w:style w:type="paragraph" w:styleId="BodyTextIndent3">
    <w:name w:val="Body Text Indent 3"/>
    <w:basedOn w:val="Normal"/>
    <w:link w:val="BodyTextIndent3Char"/>
    <w:semiHidden/>
    <w:unhideWhenUsed/>
    <w:rsid w:val="00CC7854"/>
    <w:pPr>
      <w:spacing w:after="120"/>
      <w:ind w:left="283"/>
    </w:pPr>
    <w:rPr>
      <w:sz w:val="16"/>
      <w:szCs w:val="16"/>
    </w:rPr>
  </w:style>
  <w:style w:type="character" w:customStyle="1" w:styleId="BodyTextIndent3Char">
    <w:name w:val="Body Text Indent 3 Char"/>
    <w:basedOn w:val="DefaultParagraphFont"/>
    <w:link w:val="BodyTextIndent3"/>
    <w:semiHidden/>
    <w:rsid w:val="00CC7854"/>
    <w:rPr>
      <w:rFonts w:eastAsia="Times New Roman"/>
      <w:sz w:val="16"/>
      <w:szCs w:val="16"/>
      <w:lang w:val="en-US" w:eastAsia="en-US"/>
    </w:rPr>
  </w:style>
  <w:style w:type="character" w:styleId="BookTitle">
    <w:name w:val="Book Title"/>
    <w:basedOn w:val="DefaultParagraphFont"/>
    <w:uiPriority w:val="33"/>
    <w:semiHidden/>
    <w:qFormat/>
    <w:rsid w:val="00CC7854"/>
    <w:rPr>
      <w:b/>
      <w:bCs/>
      <w:i/>
      <w:iCs/>
      <w:spacing w:val="5"/>
      <w:lang w:val="en-US"/>
    </w:rPr>
  </w:style>
  <w:style w:type="paragraph" w:styleId="Caption">
    <w:name w:val="caption"/>
    <w:basedOn w:val="Normal"/>
    <w:next w:val="Normal"/>
    <w:semiHidden/>
    <w:unhideWhenUsed/>
    <w:qFormat/>
    <w:rsid w:val="00CC7854"/>
    <w:pPr>
      <w:spacing w:after="200"/>
    </w:pPr>
    <w:rPr>
      <w:i/>
      <w:iCs/>
      <w:color w:val="1F497D" w:themeColor="text2"/>
      <w:sz w:val="18"/>
      <w:szCs w:val="18"/>
    </w:rPr>
  </w:style>
  <w:style w:type="paragraph" w:styleId="Closing">
    <w:name w:val="Closing"/>
    <w:basedOn w:val="Normal"/>
    <w:link w:val="ClosingChar"/>
    <w:semiHidden/>
    <w:unhideWhenUsed/>
    <w:rsid w:val="00CC7854"/>
    <w:pPr>
      <w:ind w:left="4252"/>
    </w:pPr>
  </w:style>
  <w:style w:type="character" w:customStyle="1" w:styleId="ClosingChar">
    <w:name w:val="Closing Char"/>
    <w:basedOn w:val="DefaultParagraphFont"/>
    <w:link w:val="Closing"/>
    <w:semiHidden/>
    <w:rsid w:val="00CC7854"/>
    <w:rPr>
      <w:rFonts w:eastAsia="Times New Roman"/>
      <w:lang w:val="en-US" w:eastAsia="en-US"/>
    </w:rPr>
  </w:style>
  <w:style w:type="table" w:styleId="ColorfulGrid">
    <w:name w:val="Colorful Grid"/>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C785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C785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85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C785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C785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C785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C785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C785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C785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85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85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85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C785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85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C785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C785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85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C785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C785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C785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C785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C785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C7854"/>
  </w:style>
  <w:style w:type="character" w:customStyle="1" w:styleId="DateChar">
    <w:name w:val="Date Char"/>
    <w:basedOn w:val="DefaultParagraphFont"/>
    <w:link w:val="Date"/>
    <w:semiHidden/>
    <w:rsid w:val="00CC7854"/>
    <w:rPr>
      <w:rFonts w:eastAsia="Times New Roman"/>
      <w:lang w:val="en-US" w:eastAsia="en-US"/>
    </w:rPr>
  </w:style>
  <w:style w:type="paragraph" w:styleId="DocumentMap">
    <w:name w:val="Document Map"/>
    <w:basedOn w:val="Normal"/>
    <w:link w:val="DocumentMapChar"/>
    <w:semiHidden/>
    <w:unhideWhenUsed/>
    <w:rsid w:val="00CC7854"/>
    <w:rPr>
      <w:rFonts w:ascii="Segoe UI" w:hAnsi="Segoe UI" w:cs="Segoe UI"/>
      <w:sz w:val="16"/>
      <w:szCs w:val="16"/>
    </w:rPr>
  </w:style>
  <w:style w:type="character" w:customStyle="1" w:styleId="DocumentMapChar">
    <w:name w:val="Document Map Char"/>
    <w:basedOn w:val="DefaultParagraphFont"/>
    <w:link w:val="DocumentMap"/>
    <w:semiHidden/>
    <w:rsid w:val="00CC7854"/>
    <w:rPr>
      <w:rFonts w:ascii="Segoe UI" w:eastAsia="Times New Roman" w:hAnsi="Segoe UI" w:cs="Segoe UI"/>
      <w:sz w:val="16"/>
      <w:szCs w:val="16"/>
      <w:lang w:val="en-US" w:eastAsia="en-US"/>
    </w:rPr>
  </w:style>
  <w:style w:type="paragraph" w:styleId="E-mailSignature">
    <w:name w:val="E-mail Signature"/>
    <w:basedOn w:val="Normal"/>
    <w:link w:val="E-mailSignatureChar"/>
    <w:semiHidden/>
    <w:unhideWhenUsed/>
    <w:rsid w:val="00CC7854"/>
  </w:style>
  <w:style w:type="character" w:customStyle="1" w:styleId="E-mailSignatureChar">
    <w:name w:val="E-mail Signature Char"/>
    <w:basedOn w:val="DefaultParagraphFont"/>
    <w:link w:val="E-mailSignature"/>
    <w:semiHidden/>
    <w:rsid w:val="00CC7854"/>
    <w:rPr>
      <w:rFonts w:eastAsia="Times New Roman"/>
      <w:lang w:val="en-US" w:eastAsia="en-US"/>
    </w:rPr>
  </w:style>
  <w:style w:type="character" w:styleId="Emphasis">
    <w:name w:val="Emphasis"/>
    <w:basedOn w:val="DefaultParagraphFont"/>
    <w:semiHidden/>
    <w:qFormat/>
    <w:rsid w:val="00CC7854"/>
    <w:rPr>
      <w:i/>
      <w:iCs/>
      <w:lang w:val="en-US"/>
    </w:rPr>
  </w:style>
  <w:style w:type="character" w:styleId="EndnoteReference">
    <w:name w:val="endnote reference"/>
    <w:basedOn w:val="DefaultParagraphFont"/>
    <w:semiHidden/>
    <w:unhideWhenUsed/>
    <w:rsid w:val="00CC7854"/>
    <w:rPr>
      <w:vertAlign w:val="superscript"/>
      <w:lang w:val="en-US"/>
    </w:rPr>
  </w:style>
  <w:style w:type="paragraph" w:styleId="EndnoteText">
    <w:name w:val="endnote text"/>
    <w:basedOn w:val="Normal"/>
    <w:link w:val="EndnoteTextChar"/>
    <w:semiHidden/>
    <w:unhideWhenUsed/>
    <w:rsid w:val="00CC7854"/>
  </w:style>
  <w:style w:type="character" w:customStyle="1" w:styleId="EndnoteTextChar">
    <w:name w:val="Endnote Text Char"/>
    <w:basedOn w:val="DefaultParagraphFont"/>
    <w:link w:val="EndnoteText"/>
    <w:semiHidden/>
    <w:rsid w:val="00CC7854"/>
    <w:rPr>
      <w:rFonts w:eastAsia="Times New Roman"/>
      <w:lang w:val="en-US" w:eastAsia="en-US"/>
    </w:rPr>
  </w:style>
  <w:style w:type="paragraph" w:styleId="EnvelopeAddress">
    <w:name w:val="envelope address"/>
    <w:basedOn w:val="Normal"/>
    <w:semiHidden/>
    <w:unhideWhenUsed/>
    <w:rsid w:val="00CC785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C7854"/>
    <w:rPr>
      <w:rFonts w:asciiTheme="majorHAnsi" w:eastAsiaTheme="majorEastAsia" w:hAnsiTheme="majorHAnsi" w:cstheme="majorBidi"/>
    </w:rPr>
  </w:style>
  <w:style w:type="table" w:styleId="GridTable1Light">
    <w:name w:val="Grid Table 1 Light"/>
    <w:basedOn w:val="TableNormal"/>
    <w:uiPriority w:val="46"/>
    <w:rsid w:val="00CC785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85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8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85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8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85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85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C785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85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C785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C785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C785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C785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C785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C78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C78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C78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C78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C78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C78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C78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C78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8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C78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C78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C78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C78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C78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C78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C78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8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C78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C78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C78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C78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C78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C785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C785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C785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C785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C785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C785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C785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C7854"/>
    <w:rPr>
      <w:color w:val="2B579A"/>
      <w:shd w:val="clear" w:color="auto" w:fill="E1DFDD"/>
      <w:lang w:val="en-US"/>
    </w:rPr>
  </w:style>
  <w:style w:type="character" w:styleId="HTMLAcronym">
    <w:name w:val="HTML Acronym"/>
    <w:basedOn w:val="DefaultParagraphFont"/>
    <w:semiHidden/>
    <w:unhideWhenUsed/>
    <w:rsid w:val="00CC7854"/>
    <w:rPr>
      <w:lang w:val="en-US"/>
    </w:rPr>
  </w:style>
  <w:style w:type="paragraph" w:styleId="HTMLAddress">
    <w:name w:val="HTML Address"/>
    <w:basedOn w:val="Normal"/>
    <w:link w:val="HTMLAddressChar"/>
    <w:semiHidden/>
    <w:unhideWhenUsed/>
    <w:rsid w:val="00CC7854"/>
    <w:rPr>
      <w:i/>
      <w:iCs/>
    </w:rPr>
  </w:style>
  <w:style w:type="character" w:customStyle="1" w:styleId="HTMLAddressChar">
    <w:name w:val="HTML Address Char"/>
    <w:basedOn w:val="DefaultParagraphFont"/>
    <w:link w:val="HTMLAddress"/>
    <w:semiHidden/>
    <w:rsid w:val="00CC7854"/>
    <w:rPr>
      <w:rFonts w:eastAsia="Times New Roman"/>
      <w:i/>
      <w:iCs/>
      <w:lang w:val="en-US" w:eastAsia="en-US"/>
    </w:rPr>
  </w:style>
  <w:style w:type="character" w:styleId="HTMLCite">
    <w:name w:val="HTML Cite"/>
    <w:basedOn w:val="DefaultParagraphFont"/>
    <w:semiHidden/>
    <w:unhideWhenUsed/>
    <w:rsid w:val="00CC7854"/>
    <w:rPr>
      <w:i/>
      <w:iCs/>
      <w:lang w:val="en-US"/>
    </w:rPr>
  </w:style>
  <w:style w:type="character" w:styleId="HTMLCode">
    <w:name w:val="HTML Code"/>
    <w:basedOn w:val="DefaultParagraphFont"/>
    <w:semiHidden/>
    <w:unhideWhenUsed/>
    <w:rsid w:val="00CC7854"/>
    <w:rPr>
      <w:rFonts w:ascii="Consolas" w:hAnsi="Consolas"/>
      <w:sz w:val="20"/>
      <w:szCs w:val="20"/>
      <w:lang w:val="en-US"/>
    </w:rPr>
  </w:style>
  <w:style w:type="character" w:styleId="HTMLDefinition">
    <w:name w:val="HTML Definition"/>
    <w:basedOn w:val="DefaultParagraphFont"/>
    <w:semiHidden/>
    <w:unhideWhenUsed/>
    <w:rsid w:val="00CC7854"/>
    <w:rPr>
      <w:i/>
      <w:iCs/>
      <w:lang w:val="en-US"/>
    </w:rPr>
  </w:style>
  <w:style w:type="character" w:styleId="HTMLKeyboard">
    <w:name w:val="HTML Keyboard"/>
    <w:basedOn w:val="DefaultParagraphFont"/>
    <w:semiHidden/>
    <w:unhideWhenUsed/>
    <w:rsid w:val="00CC7854"/>
    <w:rPr>
      <w:rFonts w:ascii="Consolas" w:hAnsi="Consolas"/>
      <w:sz w:val="20"/>
      <w:szCs w:val="20"/>
      <w:lang w:val="en-US"/>
    </w:rPr>
  </w:style>
  <w:style w:type="paragraph" w:styleId="HTMLPreformatted">
    <w:name w:val="HTML Preformatted"/>
    <w:basedOn w:val="Normal"/>
    <w:link w:val="HTMLPreformattedChar"/>
    <w:semiHidden/>
    <w:unhideWhenUsed/>
    <w:rsid w:val="00CC7854"/>
    <w:rPr>
      <w:rFonts w:ascii="Consolas" w:hAnsi="Consolas"/>
    </w:rPr>
  </w:style>
  <w:style w:type="character" w:customStyle="1" w:styleId="HTMLPreformattedChar">
    <w:name w:val="HTML Preformatted Char"/>
    <w:basedOn w:val="DefaultParagraphFont"/>
    <w:link w:val="HTMLPreformatted"/>
    <w:semiHidden/>
    <w:rsid w:val="00CC7854"/>
    <w:rPr>
      <w:rFonts w:ascii="Consolas" w:eastAsia="Times New Roman" w:hAnsi="Consolas"/>
      <w:lang w:val="en-US" w:eastAsia="en-US"/>
    </w:rPr>
  </w:style>
  <w:style w:type="character" w:styleId="HTMLSample">
    <w:name w:val="HTML Sample"/>
    <w:basedOn w:val="DefaultParagraphFont"/>
    <w:semiHidden/>
    <w:unhideWhenUsed/>
    <w:rsid w:val="00CC7854"/>
    <w:rPr>
      <w:rFonts w:ascii="Consolas" w:hAnsi="Consolas"/>
      <w:sz w:val="24"/>
      <w:szCs w:val="24"/>
      <w:lang w:val="en-US"/>
    </w:rPr>
  </w:style>
  <w:style w:type="character" w:styleId="HTMLTypewriter">
    <w:name w:val="HTML Typewriter"/>
    <w:basedOn w:val="DefaultParagraphFont"/>
    <w:semiHidden/>
    <w:unhideWhenUsed/>
    <w:rsid w:val="00CC7854"/>
    <w:rPr>
      <w:rFonts w:ascii="Consolas" w:hAnsi="Consolas"/>
      <w:sz w:val="20"/>
      <w:szCs w:val="20"/>
      <w:lang w:val="en-US"/>
    </w:rPr>
  </w:style>
  <w:style w:type="character" w:styleId="HTMLVariable">
    <w:name w:val="HTML Variable"/>
    <w:basedOn w:val="DefaultParagraphFont"/>
    <w:semiHidden/>
    <w:unhideWhenUsed/>
    <w:rsid w:val="00CC7854"/>
    <w:rPr>
      <w:i/>
      <w:iCs/>
      <w:lang w:val="en-US"/>
    </w:rPr>
  </w:style>
  <w:style w:type="paragraph" w:styleId="Index1">
    <w:name w:val="index 1"/>
    <w:basedOn w:val="Normal"/>
    <w:next w:val="Normal"/>
    <w:autoRedefine/>
    <w:semiHidden/>
    <w:unhideWhenUsed/>
    <w:rsid w:val="00CC7854"/>
    <w:pPr>
      <w:tabs>
        <w:tab w:val="clear" w:pos="1247"/>
      </w:tabs>
      <w:ind w:left="200" w:hanging="200"/>
    </w:pPr>
  </w:style>
  <w:style w:type="paragraph" w:styleId="Index2">
    <w:name w:val="index 2"/>
    <w:basedOn w:val="Normal"/>
    <w:next w:val="Normal"/>
    <w:autoRedefine/>
    <w:semiHidden/>
    <w:unhideWhenUsed/>
    <w:rsid w:val="00CC7854"/>
    <w:pPr>
      <w:tabs>
        <w:tab w:val="clear" w:pos="1247"/>
      </w:tabs>
      <w:ind w:left="400" w:hanging="200"/>
    </w:pPr>
  </w:style>
  <w:style w:type="paragraph" w:styleId="Index3">
    <w:name w:val="index 3"/>
    <w:basedOn w:val="Normal"/>
    <w:next w:val="Normal"/>
    <w:autoRedefine/>
    <w:semiHidden/>
    <w:unhideWhenUsed/>
    <w:rsid w:val="00CC7854"/>
    <w:pPr>
      <w:tabs>
        <w:tab w:val="clear" w:pos="1247"/>
      </w:tabs>
      <w:ind w:left="600" w:hanging="200"/>
    </w:pPr>
  </w:style>
  <w:style w:type="paragraph" w:styleId="Index4">
    <w:name w:val="index 4"/>
    <w:basedOn w:val="Normal"/>
    <w:next w:val="Normal"/>
    <w:autoRedefine/>
    <w:semiHidden/>
    <w:unhideWhenUsed/>
    <w:rsid w:val="00CC7854"/>
    <w:pPr>
      <w:tabs>
        <w:tab w:val="clear" w:pos="1247"/>
      </w:tabs>
      <w:ind w:left="800" w:hanging="200"/>
    </w:pPr>
  </w:style>
  <w:style w:type="paragraph" w:styleId="Index5">
    <w:name w:val="index 5"/>
    <w:basedOn w:val="Normal"/>
    <w:next w:val="Normal"/>
    <w:autoRedefine/>
    <w:semiHidden/>
    <w:unhideWhenUsed/>
    <w:rsid w:val="00CC7854"/>
    <w:pPr>
      <w:tabs>
        <w:tab w:val="clear" w:pos="1247"/>
      </w:tabs>
      <w:ind w:left="1000" w:hanging="200"/>
    </w:pPr>
  </w:style>
  <w:style w:type="paragraph" w:styleId="Index6">
    <w:name w:val="index 6"/>
    <w:basedOn w:val="Normal"/>
    <w:next w:val="Normal"/>
    <w:autoRedefine/>
    <w:semiHidden/>
    <w:unhideWhenUsed/>
    <w:rsid w:val="00CC7854"/>
    <w:pPr>
      <w:tabs>
        <w:tab w:val="clear" w:pos="1247"/>
      </w:tabs>
      <w:ind w:left="1200" w:hanging="200"/>
    </w:pPr>
  </w:style>
  <w:style w:type="paragraph" w:styleId="Index7">
    <w:name w:val="index 7"/>
    <w:basedOn w:val="Normal"/>
    <w:next w:val="Normal"/>
    <w:autoRedefine/>
    <w:semiHidden/>
    <w:unhideWhenUsed/>
    <w:rsid w:val="00CC7854"/>
    <w:pPr>
      <w:tabs>
        <w:tab w:val="clear" w:pos="1247"/>
      </w:tabs>
      <w:ind w:left="1400" w:hanging="200"/>
    </w:pPr>
  </w:style>
  <w:style w:type="paragraph" w:styleId="Index8">
    <w:name w:val="index 8"/>
    <w:basedOn w:val="Normal"/>
    <w:next w:val="Normal"/>
    <w:autoRedefine/>
    <w:semiHidden/>
    <w:unhideWhenUsed/>
    <w:rsid w:val="00CC7854"/>
    <w:pPr>
      <w:tabs>
        <w:tab w:val="clear" w:pos="1247"/>
      </w:tabs>
      <w:ind w:left="1600" w:hanging="200"/>
    </w:pPr>
  </w:style>
  <w:style w:type="paragraph" w:styleId="Index9">
    <w:name w:val="index 9"/>
    <w:basedOn w:val="Normal"/>
    <w:next w:val="Normal"/>
    <w:autoRedefine/>
    <w:semiHidden/>
    <w:unhideWhenUsed/>
    <w:rsid w:val="00CC7854"/>
    <w:pPr>
      <w:tabs>
        <w:tab w:val="clear" w:pos="1247"/>
      </w:tabs>
      <w:ind w:left="1800" w:hanging="200"/>
    </w:pPr>
  </w:style>
  <w:style w:type="paragraph" w:styleId="IndexHeading">
    <w:name w:val="index heading"/>
    <w:basedOn w:val="Normal"/>
    <w:next w:val="Index1"/>
    <w:semiHidden/>
    <w:unhideWhenUsed/>
    <w:rsid w:val="00CC785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C7854"/>
    <w:rPr>
      <w:i/>
      <w:iCs/>
      <w:color w:val="4F81BD" w:themeColor="accent1"/>
      <w:lang w:val="en-US"/>
    </w:rPr>
  </w:style>
  <w:style w:type="paragraph" w:styleId="IntenseQuote">
    <w:name w:val="Intense Quote"/>
    <w:basedOn w:val="Normal"/>
    <w:next w:val="Normal"/>
    <w:link w:val="IntenseQuoteChar"/>
    <w:uiPriority w:val="30"/>
    <w:semiHidden/>
    <w:qFormat/>
    <w:rsid w:val="00CC78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C7854"/>
    <w:rPr>
      <w:rFonts w:eastAsia="Times New Roman"/>
      <w:i/>
      <w:iCs/>
      <w:color w:val="4F81BD" w:themeColor="accent1"/>
      <w:lang w:val="en-US" w:eastAsia="en-US"/>
    </w:rPr>
  </w:style>
  <w:style w:type="character" w:styleId="IntenseReference">
    <w:name w:val="Intense Reference"/>
    <w:basedOn w:val="DefaultParagraphFont"/>
    <w:uiPriority w:val="32"/>
    <w:semiHidden/>
    <w:qFormat/>
    <w:rsid w:val="00CC7854"/>
    <w:rPr>
      <w:b/>
      <w:bCs/>
      <w:smallCaps/>
      <w:color w:val="4F81BD" w:themeColor="accent1"/>
      <w:spacing w:val="5"/>
      <w:lang w:val="en-US"/>
    </w:rPr>
  </w:style>
  <w:style w:type="table" w:styleId="LightGrid">
    <w:name w:val="Light Grid"/>
    <w:basedOn w:val="TableNormal"/>
    <w:uiPriority w:val="62"/>
    <w:semiHidden/>
    <w:unhideWhenUsed/>
    <w:rsid w:val="00CC78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C78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C78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C78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C78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C78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C78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C785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C785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C785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C785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C785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C785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C785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C78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8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C785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C785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C785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C785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C785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C7854"/>
    <w:rPr>
      <w:lang w:val="en-US"/>
    </w:rPr>
  </w:style>
  <w:style w:type="paragraph" w:styleId="List">
    <w:name w:val="List"/>
    <w:basedOn w:val="Normal"/>
    <w:semiHidden/>
    <w:unhideWhenUsed/>
    <w:rsid w:val="00CC7854"/>
    <w:pPr>
      <w:ind w:left="283" w:hanging="283"/>
      <w:contextualSpacing/>
    </w:pPr>
  </w:style>
  <w:style w:type="paragraph" w:styleId="List2">
    <w:name w:val="List 2"/>
    <w:basedOn w:val="Normal"/>
    <w:semiHidden/>
    <w:unhideWhenUsed/>
    <w:rsid w:val="00CC7854"/>
    <w:pPr>
      <w:ind w:left="566" w:hanging="283"/>
      <w:contextualSpacing/>
    </w:pPr>
  </w:style>
  <w:style w:type="paragraph" w:styleId="List3">
    <w:name w:val="List 3"/>
    <w:basedOn w:val="Normal"/>
    <w:semiHidden/>
    <w:unhideWhenUsed/>
    <w:rsid w:val="00CC7854"/>
    <w:pPr>
      <w:ind w:left="849" w:hanging="283"/>
      <w:contextualSpacing/>
    </w:pPr>
  </w:style>
  <w:style w:type="paragraph" w:styleId="List4">
    <w:name w:val="List 4"/>
    <w:basedOn w:val="Normal"/>
    <w:semiHidden/>
    <w:unhideWhenUsed/>
    <w:rsid w:val="00CC7854"/>
    <w:pPr>
      <w:ind w:left="1132" w:hanging="283"/>
      <w:contextualSpacing/>
    </w:pPr>
  </w:style>
  <w:style w:type="paragraph" w:styleId="List5">
    <w:name w:val="List 5"/>
    <w:basedOn w:val="Normal"/>
    <w:semiHidden/>
    <w:unhideWhenUsed/>
    <w:rsid w:val="00CC7854"/>
    <w:pPr>
      <w:ind w:left="1415" w:hanging="283"/>
      <w:contextualSpacing/>
    </w:pPr>
  </w:style>
  <w:style w:type="paragraph" w:styleId="ListBullet">
    <w:name w:val="List Bullet"/>
    <w:basedOn w:val="Normal"/>
    <w:semiHidden/>
    <w:rsid w:val="00CC7854"/>
    <w:pPr>
      <w:numPr>
        <w:numId w:val="3"/>
      </w:numPr>
      <w:contextualSpacing/>
    </w:pPr>
  </w:style>
  <w:style w:type="paragraph" w:styleId="ListBullet2">
    <w:name w:val="List Bullet 2"/>
    <w:basedOn w:val="Normal"/>
    <w:semiHidden/>
    <w:unhideWhenUsed/>
    <w:rsid w:val="00CC7854"/>
    <w:pPr>
      <w:numPr>
        <w:numId w:val="4"/>
      </w:numPr>
      <w:contextualSpacing/>
    </w:pPr>
  </w:style>
  <w:style w:type="paragraph" w:styleId="ListBullet3">
    <w:name w:val="List Bullet 3"/>
    <w:basedOn w:val="Normal"/>
    <w:semiHidden/>
    <w:unhideWhenUsed/>
    <w:rsid w:val="00CC7854"/>
    <w:pPr>
      <w:numPr>
        <w:numId w:val="5"/>
      </w:numPr>
      <w:contextualSpacing/>
    </w:pPr>
  </w:style>
  <w:style w:type="paragraph" w:styleId="ListBullet4">
    <w:name w:val="List Bullet 4"/>
    <w:basedOn w:val="Normal"/>
    <w:semiHidden/>
    <w:unhideWhenUsed/>
    <w:rsid w:val="00CC7854"/>
    <w:pPr>
      <w:numPr>
        <w:numId w:val="6"/>
      </w:numPr>
      <w:contextualSpacing/>
    </w:pPr>
  </w:style>
  <w:style w:type="paragraph" w:styleId="ListBullet5">
    <w:name w:val="List Bullet 5"/>
    <w:basedOn w:val="Normal"/>
    <w:semiHidden/>
    <w:unhideWhenUsed/>
    <w:rsid w:val="00CC7854"/>
    <w:pPr>
      <w:numPr>
        <w:numId w:val="7"/>
      </w:numPr>
      <w:contextualSpacing/>
    </w:pPr>
  </w:style>
  <w:style w:type="paragraph" w:styleId="ListContinue">
    <w:name w:val="List Continue"/>
    <w:basedOn w:val="Normal"/>
    <w:semiHidden/>
    <w:unhideWhenUsed/>
    <w:rsid w:val="00CC7854"/>
    <w:pPr>
      <w:spacing w:after="120"/>
      <w:ind w:left="283"/>
      <w:contextualSpacing/>
    </w:pPr>
  </w:style>
  <w:style w:type="paragraph" w:styleId="ListContinue2">
    <w:name w:val="List Continue 2"/>
    <w:basedOn w:val="Normal"/>
    <w:semiHidden/>
    <w:unhideWhenUsed/>
    <w:rsid w:val="00CC7854"/>
    <w:pPr>
      <w:spacing w:after="120"/>
      <w:ind w:left="566"/>
      <w:contextualSpacing/>
    </w:pPr>
  </w:style>
  <w:style w:type="paragraph" w:styleId="ListContinue3">
    <w:name w:val="List Continue 3"/>
    <w:basedOn w:val="Normal"/>
    <w:semiHidden/>
    <w:rsid w:val="00CC7854"/>
    <w:pPr>
      <w:spacing w:after="120"/>
      <w:ind w:left="849"/>
      <w:contextualSpacing/>
    </w:pPr>
  </w:style>
  <w:style w:type="paragraph" w:styleId="ListContinue4">
    <w:name w:val="List Continue 4"/>
    <w:basedOn w:val="Normal"/>
    <w:semiHidden/>
    <w:rsid w:val="00CC7854"/>
    <w:pPr>
      <w:spacing w:after="120"/>
      <w:ind w:left="1132"/>
      <w:contextualSpacing/>
    </w:pPr>
  </w:style>
  <w:style w:type="paragraph" w:styleId="ListContinue5">
    <w:name w:val="List Continue 5"/>
    <w:basedOn w:val="Normal"/>
    <w:semiHidden/>
    <w:rsid w:val="00CC7854"/>
    <w:pPr>
      <w:spacing w:after="120"/>
      <w:ind w:left="1415"/>
      <w:contextualSpacing/>
    </w:pPr>
  </w:style>
  <w:style w:type="paragraph" w:styleId="ListNumber">
    <w:name w:val="List Number"/>
    <w:basedOn w:val="Normal"/>
    <w:semiHidden/>
    <w:rsid w:val="00CC7854"/>
    <w:pPr>
      <w:numPr>
        <w:numId w:val="8"/>
      </w:numPr>
      <w:contextualSpacing/>
    </w:pPr>
  </w:style>
  <w:style w:type="paragraph" w:styleId="ListNumber2">
    <w:name w:val="List Number 2"/>
    <w:basedOn w:val="Normal"/>
    <w:semiHidden/>
    <w:unhideWhenUsed/>
    <w:rsid w:val="00CC7854"/>
    <w:pPr>
      <w:numPr>
        <w:numId w:val="9"/>
      </w:numPr>
      <w:contextualSpacing/>
    </w:pPr>
  </w:style>
  <w:style w:type="paragraph" w:styleId="ListNumber3">
    <w:name w:val="List Number 3"/>
    <w:basedOn w:val="Normal"/>
    <w:semiHidden/>
    <w:unhideWhenUsed/>
    <w:rsid w:val="00CC7854"/>
    <w:pPr>
      <w:numPr>
        <w:numId w:val="10"/>
      </w:numPr>
      <w:contextualSpacing/>
    </w:pPr>
  </w:style>
  <w:style w:type="paragraph" w:styleId="ListNumber4">
    <w:name w:val="List Number 4"/>
    <w:basedOn w:val="Normal"/>
    <w:semiHidden/>
    <w:unhideWhenUsed/>
    <w:rsid w:val="00CC7854"/>
    <w:pPr>
      <w:numPr>
        <w:numId w:val="11"/>
      </w:numPr>
      <w:contextualSpacing/>
    </w:pPr>
  </w:style>
  <w:style w:type="paragraph" w:styleId="ListNumber5">
    <w:name w:val="List Number 5"/>
    <w:basedOn w:val="Normal"/>
    <w:semiHidden/>
    <w:unhideWhenUsed/>
    <w:rsid w:val="00CC7854"/>
    <w:pPr>
      <w:numPr>
        <w:numId w:val="12"/>
      </w:numPr>
      <w:contextualSpacing/>
    </w:pPr>
  </w:style>
  <w:style w:type="table" w:styleId="ListTable1Light">
    <w:name w:val="List Table 1 Light"/>
    <w:basedOn w:val="TableNormal"/>
    <w:uiPriority w:val="46"/>
    <w:rsid w:val="00CC785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85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C785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C785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C785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C785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C785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C78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85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C785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C785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C785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C785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C785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C78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C785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C785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C785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C785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C785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C785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C785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8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C785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C785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C785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C78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C785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C785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85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85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85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85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85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85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85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85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C785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C785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C785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C785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C785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C785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85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85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85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85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85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85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C785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en-US"/>
    </w:rPr>
  </w:style>
  <w:style w:type="character" w:customStyle="1" w:styleId="MacroTextChar">
    <w:name w:val="Macro Text Char"/>
    <w:basedOn w:val="DefaultParagraphFont"/>
    <w:link w:val="MacroText"/>
    <w:semiHidden/>
    <w:rsid w:val="00CC7854"/>
    <w:rPr>
      <w:rFonts w:ascii="Consolas" w:eastAsia="Times New Roman" w:hAnsi="Consolas"/>
      <w:lang w:val="en-US" w:eastAsia="en-US"/>
    </w:rPr>
  </w:style>
  <w:style w:type="table" w:styleId="MediumGrid1">
    <w:name w:val="Medium Grid 1"/>
    <w:basedOn w:val="TableNormal"/>
    <w:uiPriority w:val="67"/>
    <w:semiHidden/>
    <w:unhideWhenUsed/>
    <w:rsid w:val="00CC78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8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C78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C78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C78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C78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C78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C785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C785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C785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C785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C785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C785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C78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C78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85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85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78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85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85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85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85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8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C785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C7854"/>
    <w:rPr>
      <w:color w:val="2B579A"/>
      <w:shd w:val="clear" w:color="auto" w:fill="E1DFDD"/>
      <w:lang w:val="en-US"/>
    </w:rPr>
  </w:style>
  <w:style w:type="paragraph" w:styleId="MessageHeader">
    <w:name w:val="Message Header"/>
    <w:basedOn w:val="Normal"/>
    <w:link w:val="MessageHeaderChar"/>
    <w:semiHidden/>
    <w:rsid w:val="00CC78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C7854"/>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semiHidden/>
    <w:unhideWhenUsed/>
    <w:rsid w:val="00CC7854"/>
    <w:pPr>
      <w:ind w:left="720"/>
    </w:pPr>
  </w:style>
  <w:style w:type="paragraph" w:styleId="NoteHeading">
    <w:name w:val="Note Heading"/>
    <w:basedOn w:val="Normal"/>
    <w:next w:val="Normal"/>
    <w:link w:val="NoteHeadingChar"/>
    <w:semiHidden/>
    <w:unhideWhenUsed/>
    <w:rsid w:val="00CC7854"/>
  </w:style>
  <w:style w:type="character" w:customStyle="1" w:styleId="NoteHeadingChar">
    <w:name w:val="Note Heading Char"/>
    <w:basedOn w:val="DefaultParagraphFont"/>
    <w:link w:val="NoteHeading"/>
    <w:semiHidden/>
    <w:rsid w:val="00CC7854"/>
    <w:rPr>
      <w:rFonts w:eastAsia="Times New Roman"/>
      <w:lang w:val="en-US" w:eastAsia="en-US"/>
    </w:rPr>
  </w:style>
  <w:style w:type="table" w:styleId="PlainTable1">
    <w:name w:val="Plain Table 1"/>
    <w:basedOn w:val="TableNormal"/>
    <w:uiPriority w:val="41"/>
    <w:rsid w:val="00CC78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8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C785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8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8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C7854"/>
    <w:rPr>
      <w:rFonts w:ascii="Consolas" w:hAnsi="Consolas"/>
      <w:sz w:val="21"/>
      <w:szCs w:val="21"/>
    </w:rPr>
  </w:style>
  <w:style w:type="character" w:customStyle="1" w:styleId="PlainTextChar">
    <w:name w:val="Plain Text Char"/>
    <w:basedOn w:val="DefaultParagraphFont"/>
    <w:link w:val="PlainText"/>
    <w:semiHidden/>
    <w:rsid w:val="00CC7854"/>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CC78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C7854"/>
    <w:rPr>
      <w:rFonts w:eastAsia="Times New Roman"/>
      <w:i/>
      <w:iCs/>
      <w:color w:val="404040" w:themeColor="text1" w:themeTint="BF"/>
      <w:lang w:val="en-US" w:eastAsia="en-US"/>
    </w:rPr>
  </w:style>
  <w:style w:type="paragraph" w:styleId="Salutation">
    <w:name w:val="Salutation"/>
    <w:basedOn w:val="Normal"/>
    <w:next w:val="Normal"/>
    <w:link w:val="SalutationChar"/>
    <w:semiHidden/>
    <w:unhideWhenUsed/>
    <w:rsid w:val="00CC7854"/>
  </w:style>
  <w:style w:type="character" w:customStyle="1" w:styleId="SalutationChar">
    <w:name w:val="Salutation Char"/>
    <w:basedOn w:val="DefaultParagraphFont"/>
    <w:link w:val="Salutation"/>
    <w:semiHidden/>
    <w:rsid w:val="00CC7854"/>
    <w:rPr>
      <w:rFonts w:eastAsia="Times New Roman"/>
      <w:lang w:val="en-US" w:eastAsia="en-US"/>
    </w:rPr>
  </w:style>
  <w:style w:type="paragraph" w:styleId="Signature">
    <w:name w:val="Signature"/>
    <w:basedOn w:val="Normal"/>
    <w:link w:val="SignatureChar"/>
    <w:semiHidden/>
    <w:unhideWhenUsed/>
    <w:rsid w:val="00CC7854"/>
    <w:pPr>
      <w:ind w:left="4252"/>
    </w:pPr>
  </w:style>
  <w:style w:type="character" w:customStyle="1" w:styleId="SignatureChar">
    <w:name w:val="Signature Char"/>
    <w:basedOn w:val="DefaultParagraphFont"/>
    <w:link w:val="Signature"/>
    <w:semiHidden/>
    <w:rsid w:val="00CC7854"/>
    <w:rPr>
      <w:rFonts w:eastAsia="Times New Roman"/>
      <w:lang w:val="en-US" w:eastAsia="en-US"/>
    </w:rPr>
  </w:style>
  <w:style w:type="character" w:styleId="SmartHyperlink">
    <w:name w:val="Smart Hyperlink"/>
    <w:basedOn w:val="DefaultParagraphFont"/>
    <w:uiPriority w:val="99"/>
    <w:semiHidden/>
    <w:rsid w:val="00CC7854"/>
    <w:rPr>
      <w:u w:val="dotted"/>
      <w:lang w:val="en-US"/>
    </w:rPr>
  </w:style>
  <w:style w:type="character" w:styleId="SmartLink">
    <w:name w:val="Smart Link"/>
    <w:basedOn w:val="DefaultParagraphFont"/>
    <w:uiPriority w:val="99"/>
    <w:semiHidden/>
    <w:unhideWhenUsed/>
    <w:rsid w:val="00CC7854"/>
    <w:rPr>
      <w:color w:val="0000FF"/>
      <w:u w:val="single"/>
      <w:shd w:val="clear" w:color="auto" w:fill="F3F2F1"/>
      <w:lang w:val="en-US"/>
    </w:rPr>
  </w:style>
  <w:style w:type="character" w:styleId="Strong">
    <w:name w:val="Strong"/>
    <w:basedOn w:val="DefaultParagraphFont"/>
    <w:semiHidden/>
    <w:qFormat/>
    <w:rsid w:val="00CC7854"/>
    <w:rPr>
      <w:b/>
      <w:bCs/>
      <w:lang w:val="en-US"/>
    </w:rPr>
  </w:style>
  <w:style w:type="paragraph" w:styleId="Subtitle">
    <w:name w:val="Subtitle"/>
    <w:basedOn w:val="Normal"/>
    <w:next w:val="Normal"/>
    <w:link w:val="SubtitleChar"/>
    <w:semiHidden/>
    <w:qFormat/>
    <w:rsid w:val="00CC78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C7854"/>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semiHidden/>
    <w:qFormat/>
    <w:rsid w:val="00CC7854"/>
    <w:rPr>
      <w:i/>
      <w:iCs/>
      <w:color w:val="404040" w:themeColor="text1" w:themeTint="BF"/>
      <w:lang w:val="en-US"/>
    </w:rPr>
  </w:style>
  <w:style w:type="character" w:styleId="SubtleReference">
    <w:name w:val="Subtle Reference"/>
    <w:basedOn w:val="DefaultParagraphFont"/>
    <w:uiPriority w:val="31"/>
    <w:semiHidden/>
    <w:qFormat/>
    <w:rsid w:val="00CC7854"/>
    <w:rPr>
      <w:smallCaps/>
      <w:color w:val="5A5A5A" w:themeColor="text1" w:themeTint="A5"/>
      <w:lang w:val="en-US"/>
    </w:rPr>
  </w:style>
  <w:style w:type="table" w:styleId="Table3Deffects1">
    <w:name w:val="Table 3D effects 1"/>
    <w:basedOn w:val="TableNormal"/>
    <w:semiHidden/>
    <w:unhideWhenUsed/>
    <w:rsid w:val="00CC7854"/>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7854"/>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7854"/>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7854"/>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7854"/>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7854"/>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7854"/>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7854"/>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7854"/>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7854"/>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7854"/>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7854"/>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8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C7854"/>
    <w:pPr>
      <w:tabs>
        <w:tab w:val="clear" w:pos="1247"/>
      </w:tabs>
      <w:ind w:left="200" w:hanging="200"/>
    </w:pPr>
  </w:style>
  <w:style w:type="table" w:styleId="TableProfessional">
    <w:name w:val="Table Professional"/>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7854"/>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7854"/>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7854"/>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7854"/>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7854"/>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7854"/>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7854"/>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C7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C7854"/>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semiHidden/>
    <w:unhideWhenUsed/>
    <w:rsid w:val="00CC785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C7854"/>
    <w:pPr>
      <w:keepLines/>
      <w:numPr>
        <w:numId w:val="0"/>
      </w:numPr>
      <w:spacing w:after="0"/>
      <w:outlineLvl w:val="9"/>
    </w:pPr>
    <w:rPr>
      <w:rFonts w:asciiTheme="majorHAnsi" w:eastAsiaTheme="majorEastAsia" w:hAnsiTheme="majorHAnsi" w:cstheme="majorBidi"/>
      <w:b w:val="0"/>
      <w:color w:val="365F91" w:themeColor="accent1" w:themeShade="BF"/>
      <w:sz w:val="32"/>
      <w:szCs w:val="32"/>
    </w:rPr>
  </w:style>
  <w:style w:type="paragraph" w:customStyle="1" w:styleId="Normalpool">
    <w:name w:val="Normal_pool"/>
    <w:link w:val="NormalpoolChar"/>
    <w:autoRedefine/>
    <w:rsid w:val="007E04DF"/>
    <w:pPr>
      <w:tabs>
        <w:tab w:val="left" w:pos="1247"/>
        <w:tab w:val="left" w:pos="1814"/>
        <w:tab w:val="left" w:pos="2381"/>
        <w:tab w:val="left" w:pos="2948"/>
        <w:tab w:val="left" w:pos="3515"/>
        <w:tab w:val="left" w:pos="4082"/>
      </w:tabs>
      <w:spacing w:before="60"/>
      <w:ind w:left="567"/>
    </w:pPr>
    <w:rPr>
      <w:b/>
      <w:bCs/>
      <w:sz w:val="18"/>
      <w:szCs w:val="18"/>
      <w:lang w:val="en-GB" w:eastAsia="en-US"/>
    </w:rPr>
  </w:style>
  <w:style w:type="character" w:customStyle="1" w:styleId="CH2Char">
    <w:name w:val="CH2 Char"/>
    <w:link w:val="CH2"/>
    <w:rsid w:val="000D1443"/>
    <w:rPr>
      <w:rFonts w:eastAsia="Times New Roman"/>
      <w:b/>
      <w:sz w:val="24"/>
      <w:szCs w:val="24"/>
      <w:lang w:val="en-US" w:eastAsia="en-US"/>
    </w:rPr>
  </w:style>
  <w:style w:type="character" w:customStyle="1" w:styleId="BBTitleChar">
    <w:name w:val="BB_Title Char"/>
    <w:link w:val="BBTitle"/>
    <w:rsid w:val="000D1443"/>
    <w:rPr>
      <w:rFonts w:eastAsia="Times New Roman"/>
      <w:b/>
      <w:sz w:val="28"/>
      <w:szCs w:val="28"/>
      <w:lang w:val="en-US" w:eastAsia="en-US"/>
    </w:rPr>
  </w:style>
  <w:style w:type="character" w:customStyle="1" w:styleId="NormalpoolChar">
    <w:name w:val="Normal_pool Char"/>
    <w:link w:val="Normalpool"/>
    <w:locked/>
    <w:rsid w:val="007E04DF"/>
    <w:rPr>
      <w:b/>
      <w:bCs/>
      <w:sz w:val="18"/>
      <w:szCs w:val="18"/>
      <w:lang w:val="en-GB" w:eastAsia="en-US"/>
    </w:rPr>
  </w:style>
  <w:style w:type="character" w:customStyle="1" w:styleId="ZZAnxheaderChar">
    <w:name w:val="ZZ_Anx_header Char"/>
    <w:link w:val="ZZAnxheader"/>
    <w:rsid w:val="000D1443"/>
    <w:rPr>
      <w:rFonts w:eastAsia="Times New Roman"/>
      <w:b/>
      <w:bCs/>
      <w:sz w:val="28"/>
      <w:szCs w:val="22"/>
      <w:lang w:val="en-US" w:eastAsia="en-US"/>
    </w:rPr>
  </w:style>
  <w:style w:type="paragraph" w:styleId="Revision">
    <w:name w:val="Revision"/>
    <w:hidden/>
    <w:uiPriority w:val="99"/>
    <w:semiHidden/>
    <w:rsid w:val="00B03EBA"/>
    <w:rPr>
      <w:rFonts w:eastAsia="Times New Roman"/>
      <w:lang w:val="en-US" w:eastAsia="en-US"/>
    </w:rPr>
  </w:style>
  <w:style w:type="character" w:customStyle="1" w:styleId="preferred">
    <w:name w:val="preferred"/>
    <w:basedOn w:val="DefaultParagraphFont"/>
    <w:rsid w:val="00DF766F"/>
  </w:style>
  <w:style w:type="paragraph" w:customStyle="1" w:styleId="Default">
    <w:name w:val="Default"/>
    <w:rsid w:val="00E721E8"/>
    <w:pPr>
      <w:widowControl w:val="0"/>
      <w:autoSpaceDE w:val="0"/>
      <w:autoSpaceDN w:val="0"/>
      <w:adjustRightInd w:val="0"/>
    </w:pPr>
    <w:rPr>
      <w:rFonts w:eastAsiaTheme="minorEastAsi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yperlink" Target="https://unece.org/environmental-policy-1/air"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unece.org/DAM/env/pp/documents/cep43e.pdf" TargetMode="External"/><Relationship Id="rId42" Type="http://schemas.openxmlformats.org/officeDocument/2006/relationships/hyperlink" Target="https://doi.org/10.1080/22423982.2024.2371623"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yperlink" Target="https://unece.org/DAM/env/pp/documents/cep43e.pdf" TargetMode="External"/><Relationship Id="rId38" Type="http://schemas.openxmlformats.org/officeDocument/2006/relationships/hyperlink" Target="https://unece.org/environmental-policy/events/JHLS_Aarhus_MoP8_PRTRs_MoPP5" TargetMode="External"/><Relationship Id="rId46"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hyperlink" Target="https://unece.org/DAM/env/pp/documents/cep43e.pdf" TargetMode="External"/><Relationship Id="rId41" Type="http://schemas.openxmlformats.org/officeDocument/2006/relationships/hyperlink" Target="https://doi.org/10.1007/s10646-024-02747-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s://unece.org/DAM/env/pp/documents/cep43e.pdf" TargetMode="External"/><Relationship Id="rId37" Type="http://schemas.openxmlformats.org/officeDocument/2006/relationships/hyperlink" Target="https://unece.org/info/Environmental-Policy/Public-Participation/events/401178" TargetMode="External"/><Relationship Id="rId40" Type="http://schemas.openxmlformats.org/officeDocument/2006/relationships/hyperlink" Target="https://gmd.copernicus.org/articles/18/2747/2025/gmd-18-2747-2025.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hyperlink" Target="http://www.unece.org/environmental-policy-1/public-participation" TargetMode="External"/><Relationship Id="rId36" Type="http://schemas.openxmlformats.org/officeDocument/2006/relationships/hyperlink" Target="https://unece.org/info/Environmental-Policy/Public-Participation/events/401179"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unece.org/DAM/env/pp/documents/cep43e.pdf"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unece.org/DAM/env/pp/documents/cep43e.pdf" TargetMode="External"/><Relationship Id="rId35" Type="http://schemas.openxmlformats.org/officeDocument/2006/relationships/hyperlink" Target="https://unece.org/DAM/env/pp/documents/cep43e.pdf" TargetMode="External"/><Relationship Id="rId43"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unece.org/environmental-policy/events/ninth-meeting-task-force-access-information-under-aarhus-convention" TargetMode="External"/><Relationship Id="rId2" Type="http://schemas.openxmlformats.org/officeDocument/2006/relationships/hyperlink" Target="https://unece.org/environmental-policy/events/Aarhus_PP_8TFAI_API_workshop" TargetMode="External"/><Relationship Id="rId1" Type="http://schemas.openxmlformats.org/officeDocument/2006/relationships/hyperlink" Target="https://unece.org/environmental-policy-1/public-participation" TargetMode="External"/><Relationship Id="rId4" Type="http://schemas.openxmlformats.org/officeDocument/2006/relationships/hyperlink" Target="https://unece.org/environmental-policy/events/sixteenth-meeting-task-force-access-justice-under-aarhus-conven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PlainPage\PlainPage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D2B87370-627E-45B7-82C1-F6A38762EF44}"/>
</file>

<file path=docProps/app.xml><?xml version="1.0" encoding="utf-8"?>
<Properties xmlns="http://schemas.openxmlformats.org/officeDocument/2006/extended-properties" xmlns:vt="http://schemas.openxmlformats.org/officeDocument/2006/docPropsVTypes">
  <Template>PlainPage_EN.dotm</Template>
  <TotalTime>51</TotalTime>
  <Pages>14</Pages>
  <Words>5967</Words>
  <Characters>34015</Characters>
  <Application>Microsoft Office Word</Application>
  <DocSecurity>0</DocSecurity>
  <PresentationFormat/>
  <Lines>283</Lines>
  <Paragraphs>79</Paragraphs>
  <ScaleCrop>false</ScaleCrop>
  <Manager/>
  <Company/>
  <LinksUpToDate>false</LinksUpToDate>
  <CharactersWithSpaces>39903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77</cp:revision>
  <cp:lastPrinted>2023-10-04T13:15:00Z</cp:lastPrinted>
  <dcterms:created xsi:type="dcterms:W3CDTF">2023-10-04T12:57:00Z</dcterms:created>
  <dcterms:modified xsi:type="dcterms:W3CDTF">2025-09-15T13:46:00Z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