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D705C8" w14:paraId="3875A4F0" w14:textId="77777777" w:rsidTr="00AE6AB6">
        <w:trPr>
          <w:trHeight w:val="57"/>
          <w:jc w:val="right"/>
        </w:trPr>
        <w:tc>
          <w:tcPr>
            <w:tcW w:w="1613" w:type="dxa"/>
          </w:tcPr>
          <w:p w14:paraId="237C9056" w14:textId="77777777" w:rsidR="0015442E" w:rsidRPr="002F59C7" w:rsidRDefault="0015442E" w:rsidP="00AE6AB6">
            <w:pPr>
              <w:rPr>
                <w:rFonts w:ascii="Arial" w:hAnsi="Arial" w:cs="Arial"/>
                <w:b/>
                <w:bCs/>
                <w:sz w:val="27"/>
                <w:szCs w:val="27"/>
              </w:rPr>
            </w:pPr>
            <w:r w:rsidRPr="002F59C7">
              <w:rPr>
                <w:rFonts w:ascii="Arial" w:hAnsi="Arial" w:cs="Arial"/>
                <w:b/>
                <w:bCs/>
                <w:sz w:val="27"/>
                <w:szCs w:val="27"/>
              </w:rPr>
              <w:t xml:space="preserve">UNITED </w:t>
            </w:r>
            <w:r w:rsidRPr="002F59C7">
              <w:rPr>
                <w:rFonts w:ascii="Arial" w:hAnsi="Arial" w:cs="Arial"/>
                <w:b/>
                <w:bCs/>
                <w:sz w:val="27"/>
                <w:szCs w:val="27"/>
              </w:rPr>
              <w:br/>
              <w:t>NATIONS</w:t>
            </w:r>
          </w:p>
        </w:tc>
        <w:tc>
          <w:tcPr>
            <w:tcW w:w="6467" w:type="dxa"/>
            <w:gridSpan w:val="3"/>
          </w:tcPr>
          <w:p w14:paraId="7CB9E85D" w14:textId="77777777" w:rsidR="0015442E" w:rsidRPr="00D705C8" w:rsidRDefault="0015442E" w:rsidP="00AE6AB6">
            <w:pPr>
              <w:spacing w:before="20"/>
            </w:pPr>
            <w:r>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2F59C7" w:rsidRDefault="00E3329D" w:rsidP="00AE6AB6">
            <w:pPr>
              <w:jc w:val="right"/>
              <w:rPr>
                <w:rFonts w:ascii="Arial" w:hAnsi="Arial" w:cs="Arial"/>
                <w:b/>
                <w:bCs/>
                <w:sz w:val="64"/>
                <w:szCs w:val="64"/>
              </w:rPr>
            </w:pPr>
            <w:r>
              <w:rPr>
                <w:rFonts w:ascii="Arial" w:hAnsi="Arial" w:cs="Arial"/>
                <w:b/>
                <w:bCs/>
                <w:sz w:val="64"/>
                <w:szCs w:val="64"/>
              </w:rPr>
              <w:t>M</w:t>
            </w:r>
            <w:r w:rsidR="0015442E" w:rsidRPr="002F59C7">
              <w:rPr>
                <w:rFonts w:ascii="Arial" w:hAnsi="Arial" w:cs="Arial"/>
                <w:b/>
                <w:bCs/>
                <w:sz w:val="64"/>
                <w:szCs w:val="64"/>
              </w:rPr>
              <w:t>C</w:t>
            </w:r>
          </w:p>
        </w:tc>
      </w:tr>
      <w:tr w:rsidR="0015442E" w:rsidRPr="00D705C8" w14:paraId="3541900C" w14:textId="77777777" w:rsidTr="00F96910">
        <w:trPr>
          <w:trHeight w:val="57"/>
          <w:jc w:val="right"/>
        </w:trPr>
        <w:tc>
          <w:tcPr>
            <w:tcW w:w="1613" w:type="dxa"/>
            <w:tcBorders>
              <w:bottom w:val="single" w:sz="4" w:space="0" w:color="auto"/>
            </w:tcBorders>
          </w:tcPr>
          <w:p w14:paraId="144561A9" w14:textId="77777777" w:rsidR="0015442E" w:rsidRPr="00487B54" w:rsidRDefault="0015442E" w:rsidP="00AE6AB6"/>
        </w:tc>
        <w:tc>
          <w:tcPr>
            <w:tcW w:w="4807" w:type="dxa"/>
            <w:gridSpan w:val="2"/>
            <w:tcBorders>
              <w:bottom w:val="single" w:sz="4" w:space="0" w:color="auto"/>
            </w:tcBorders>
          </w:tcPr>
          <w:p w14:paraId="44C04C0A" w14:textId="77777777" w:rsidR="0015442E" w:rsidRPr="00487B54" w:rsidRDefault="0015442E" w:rsidP="00AE6AB6"/>
        </w:tc>
        <w:tc>
          <w:tcPr>
            <w:tcW w:w="3076" w:type="dxa"/>
            <w:gridSpan w:val="2"/>
            <w:tcBorders>
              <w:bottom w:val="single" w:sz="4" w:space="0" w:color="auto"/>
            </w:tcBorders>
          </w:tcPr>
          <w:p w14:paraId="2031E597" w14:textId="2D506FBE" w:rsidR="0015442E" w:rsidRPr="00D665EF" w:rsidRDefault="0015442E" w:rsidP="00AE6AB6">
            <w:r w:rsidRPr="002F59C7">
              <w:rPr>
                <w:b/>
                <w:bCs/>
                <w:sz w:val="28"/>
                <w:szCs w:val="28"/>
              </w:rPr>
              <w:t>UNEP</w:t>
            </w:r>
            <w:r w:rsidRPr="00D705C8">
              <w:t>/</w:t>
            </w:r>
            <w:r w:rsidR="00962471">
              <w:t>MC</w:t>
            </w:r>
            <w:r w:rsidR="00EA2CF9">
              <w:t>/</w:t>
            </w:r>
            <w:r w:rsidR="00962471">
              <w:t>COP.</w:t>
            </w:r>
            <w:r w:rsidR="00587F77">
              <w:t>6</w:t>
            </w:r>
            <w:r w:rsidR="00ED155C">
              <w:t>/</w:t>
            </w:r>
            <w:r w:rsidR="006D1C7C">
              <w:t>INF/</w:t>
            </w:r>
            <w:r w:rsidR="00C43794">
              <w:t>26</w:t>
            </w:r>
          </w:p>
        </w:tc>
      </w:tr>
      <w:tr w:rsidR="0015442E" w:rsidRPr="00D705C8" w14:paraId="6ED43051" w14:textId="77777777" w:rsidTr="00700F9C">
        <w:trPr>
          <w:trHeight w:val="57"/>
          <w:jc w:val="right"/>
        </w:trPr>
        <w:tc>
          <w:tcPr>
            <w:tcW w:w="3686" w:type="dxa"/>
            <w:gridSpan w:val="2"/>
            <w:tcBorders>
              <w:top w:val="single" w:sz="4" w:space="0" w:color="auto"/>
              <w:bottom w:val="single" w:sz="18" w:space="0" w:color="auto"/>
            </w:tcBorders>
          </w:tcPr>
          <w:p w14:paraId="2F3FED0F" w14:textId="77777777" w:rsidR="0015442E" w:rsidRPr="00D705C8" w:rsidRDefault="009D7B82" w:rsidP="006520E8">
            <w:pPr>
              <w:spacing w:before="120" w:after="240"/>
              <w:ind w:left="-85"/>
              <w:rPr>
                <w:sz w:val="22"/>
              </w:rPr>
            </w:pPr>
            <w:r>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shd w:val="clear" w:color="auto" w:fill="auto"/>
          </w:tcPr>
          <w:p w14:paraId="427623FA" w14:textId="77777777" w:rsidR="0015442E" w:rsidRPr="008F0E47"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shd w:val="clear" w:color="auto" w:fill="auto"/>
          </w:tcPr>
          <w:p w14:paraId="494F0B41" w14:textId="4537C8FE" w:rsidR="0015442E" w:rsidRPr="008F0E47" w:rsidRDefault="0015442E" w:rsidP="00AE6AB6">
            <w:pPr>
              <w:spacing w:before="120"/>
              <w:rPr>
                <w:iCs/>
              </w:rPr>
            </w:pPr>
            <w:r w:rsidRPr="008F0E47">
              <w:t xml:space="preserve">Distr.: General </w:t>
            </w:r>
            <w:r w:rsidRPr="008F0E47">
              <w:br/>
            </w:r>
            <w:r w:rsidR="00332250" w:rsidRPr="00700F9C">
              <w:rPr>
                <w:iCs/>
              </w:rPr>
              <w:t>1</w:t>
            </w:r>
            <w:r w:rsidR="006E52AE">
              <w:rPr>
                <w:iCs/>
              </w:rPr>
              <w:t>7</w:t>
            </w:r>
            <w:r w:rsidR="00332250" w:rsidRPr="00700F9C">
              <w:rPr>
                <w:iCs/>
              </w:rPr>
              <w:t xml:space="preserve"> September</w:t>
            </w:r>
            <w:r w:rsidRPr="00700F9C">
              <w:rPr>
                <w:iCs/>
              </w:rPr>
              <w:t xml:space="preserve"> 202</w:t>
            </w:r>
            <w:r w:rsidR="00587F77" w:rsidRPr="00700F9C">
              <w:rPr>
                <w:iCs/>
              </w:rPr>
              <w:t>5</w:t>
            </w:r>
          </w:p>
          <w:p w14:paraId="786FA9DB" w14:textId="7533C979" w:rsidR="0015442E" w:rsidRPr="008F0E47" w:rsidRDefault="0015442E" w:rsidP="00AE6AB6">
            <w:pPr>
              <w:spacing w:before="120"/>
              <w:rPr>
                <w:sz w:val="22"/>
              </w:rPr>
            </w:pPr>
            <w:r w:rsidRPr="008F0E47">
              <w:t>English</w:t>
            </w:r>
            <w:r w:rsidR="00895BA3" w:rsidRPr="008F0E47">
              <w:t xml:space="preserve"> only</w:t>
            </w:r>
          </w:p>
        </w:tc>
      </w:tr>
    </w:tbl>
    <w:p w14:paraId="5D4E73B5" w14:textId="77777777" w:rsidR="00962471" w:rsidRPr="0009694E" w:rsidRDefault="00962471" w:rsidP="00962471">
      <w:pPr>
        <w:pStyle w:val="AATitle"/>
      </w:pPr>
      <w:r w:rsidRPr="0009694E">
        <w:t xml:space="preserve">Conference of the Parties to the </w:t>
      </w:r>
      <w:r w:rsidRPr="0009694E">
        <w:br/>
        <w:t>Minamata Convention on Mercury</w:t>
      </w:r>
    </w:p>
    <w:p w14:paraId="25B9D054" w14:textId="67D89B84" w:rsidR="00962471" w:rsidRPr="0009694E" w:rsidRDefault="00587F77" w:rsidP="00962471">
      <w:pPr>
        <w:pStyle w:val="AATitle"/>
      </w:pPr>
      <w:r>
        <w:t>Sixth</w:t>
      </w:r>
      <w:r w:rsidR="00962471" w:rsidRPr="0009694E">
        <w:t xml:space="preserve"> meeting</w:t>
      </w:r>
    </w:p>
    <w:p w14:paraId="6479FDBB" w14:textId="26F55457" w:rsidR="005369CB" w:rsidRDefault="00ED155C" w:rsidP="0015442E">
      <w:pPr>
        <w:pStyle w:val="AATitle"/>
        <w:rPr>
          <w:b w:val="0"/>
        </w:rPr>
      </w:pPr>
      <w:r>
        <w:rPr>
          <w:b w:val="0"/>
        </w:rPr>
        <w:t xml:space="preserve">Geneva, </w:t>
      </w:r>
      <w:r w:rsidR="00587F77">
        <w:rPr>
          <w:b w:val="0"/>
        </w:rPr>
        <w:t>3</w:t>
      </w:r>
      <w:r>
        <w:rPr>
          <w:b w:val="0"/>
        </w:rPr>
        <w:t>–</w:t>
      </w:r>
      <w:r w:rsidR="00587F77">
        <w:rPr>
          <w:b w:val="0"/>
        </w:rPr>
        <w:t>7</w:t>
      </w:r>
      <w:r>
        <w:rPr>
          <w:b w:val="0"/>
        </w:rPr>
        <w:t xml:space="preserve"> November 202</w:t>
      </w:r>
      <w:r w:rsidR="00587F77">
        <w:rPr>
          <w:b w:val="0"/>
        </w:rPr>
        <w:t>5</w:t>
      </w:r>
    </w:p>
    <w:p w14:paraId="1D83FFB8" w14:textId="487F2C17" w:rsidR="00435FD9" w:rsidRPr="00843402" w:rsidRDefault="00435FD9" w:rsidP="00880CCB">
      <w:pPr>
        <w:pStyle w:val="AATitle"/>
        <w:rPr>
          <w:b w:val="0"/>
        </w:rPr>
      </w:pPr>
      <w:r w:rsidRPr="00843402">
        <w:rPr>
          <w:b w:val="0"/>
        </w:rPr>
        <w:t xml:space="preserve">Item </w:t>
      </w:r>
      <w:r w:rsidR="00B45324" w:rsidRPr="00843402">
        <w:rPr>
          <w:b w:val="0"/>
        </w:rPr>
        <w:t>4 (k)</w:t>
      </w:r>
      <w:r w:rsidRPr="00843402">
        <w:rPr>
          <w:b w:val="0"/>
        </w:rPr>
        <w:t xml:space="preserve"> of the provisional agenda</w:t>
      </w:r>
      <w:r w:rsidR="00880CCB" w:rsidRPr="00843402">
        <w:rPr>
          <w:rStyle w:val="FootnoteReference"/>
          <w:b w:val="0"/>
          <w:vertAlign w:val="baseline"/>
        </w:rPr>
        <w:footnoteReference w:customMarkFollows="1" w:id="2"/>
        <w:t>*</w:t>
      </w:r>
    </w:p>
    <w:p w14:paraId="3A82A9F2" w14:textId="5EC50E6F" w:rsidR="00435FD9" w:rsidRPr="003140A7" w:rsidRDefault="00895BA3" w:rsidP="00700F9C">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4932"/>
        <w:rPr>
          <w:rFonts w:eastAsia="Times New Roman"/>
        </w:rPr>
      </w:pPr>
      <w:r>
        <w:rPr>
          <w:rFonts w:eastAsia="Times New Roman"/>
        </w:rPr>
        <w:t>Matters for consideration or action by the Conference of the Parties: k</w:t>
      </w:r>
      <w:r w:rsidR="00B45324" w:rsidRPr="00843402">
        <w:rPr>
          <w:rFonts w:eastAsia="Times New Roman"/>
        </w:rPr>
        <w:t>nowledge management</w:t>
      </w:r>
    </w:p>
    <w:p w14:paraId="3707D942" w14:textId="46BCC6DF" w:rsidR="000C0F46" w:rsidRDefault="006D1A23" w:rsidP="00F96910">
      <w:pPr>
        <w:pStyle w:val="BBTitle"/>
      </w:pPr>
      <w:r>
        <w:t xml:space="preserve">Proposed </w:t>
      </w:r>
      <w:r w:rsidR="00F62777">
        <w:t xml:space="preserve">Minamata </w:t>
      </w:r>
      <w:r w:rsidR="009E7B2E">
        <w:t xml:space="preserve">Convention </w:t>
      </w:r>
      <w:r w:rsidR="00F62777">
        <w:t>Exchange Platfor</w:t>
      </w:r>
      <w:r w:rsidR="00F62777" w:rsidRPr="00B76A9A">
        <w:t>m</w:t>
      </w:r>
      <w:r w:rsidR="00B76A9A" w:rsidRPr="00700F9C">
        <w:rPr>
          <w:rStyle w:val="FootnoteReference"/>
          <w:rFonts w:asciiTheme="majorBidi" w:hAnsiTheme="majorBidi" w:cstheme="majorBidi"/>
          <w:sz w:val="28"/>
          <w:szCs w:val="28"/>
          <w:vertAlign w:val="baseline"/>
        </w:rPr>
        <w:footnoteReference w:customMarkFollows="1" w:id="3"/>
        <w:t>**</w:t>
      </w:r>
    </w:p>
    <w:p w14:paraId="5CC09887" w14:textId="48C79AB4" w:rsidR="0079019B" w:rsidRPr="00E3591B" w:rsidRDefault="0079019B" w:rsidP="00F96910">
      <w:pPr>
        <w:pStyle w:val="BBTitle"/>
        <w:rPr>
          <w:sz w:val="24"/>
          <w:szCs w:val="24"/>
        </w:rPr>
      </w:pPr>
      <w:r w:rsidRPr="00E3591B">
        <w:rPr>
          <w:sz w:val="24"/>
          <w:szCs w:val="24"/>
        </w:rPr>
        <w:t xml:space="preserve">Note by the </w:t>
      </w:r>
      <w:r w:rsidR="00B76A9A">
        <w:rPr>
          <w:sz w:val="24"/>
          <w:szCs w:val="24"/>
        </w:rPr>
        <w:t>s</w:t>
      </w:r>
      <w:r w:rsidR="00B76A9A" w:rsidRPr="00E3591B">
        <w:rPr>
          <w:sz w:val="24"/>
          <w:szCs w:val="24"/>
        </w:rPr>
        <w:t>ecretariat</w:t>
      </w:r>
    </w:p>
    <w:p w14:paraId="4C798F35" w14:textId="4473F382" w:rsidR="0064226F" w:rsidRDefault="595AA784" w:rsidP="006D1C7C">
      <w:pPr>
        <w:pStyle w:val="NormalNonumber"/>
        <w:numPr>
          <w:ilvl w:val="0"/>
          <w:numId w:val="45"/>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eastAsia="Times New Roman"/>
          <w:lang w:val="en-GB"/>
        </w:rPr>
      </w:pPr>
      <w:r w:rsidRPr="0E0DF78C">
        <w:rPr>
          <w:rFonts w:eastAsia="Times New Roman"/>
          <w:lang w:val="en-GB"/>
        </w:rPr>
        <w:t xml:space="preserve">At its fifth meeting, the Conference of the Parties (COP) </w:t>
      </w:r>
      <w:r w:rsidR="009F2DC9">
        <w:rPr>
          <w:rFonts w:eastAsia="Times New Roman"/>
          <w:lang w:val="en-GB"/>
        </w:rPr>
        <w:t>noted with appreciation</w:t>
      </w:r>
      <w:r w:rsidR="009F2DC9" w:rsidRPr="0E0DF78C">
        <w:rPr>
          <w:rFonts w:eastAsia="Times New Roman"/>
          <w:lang w:val="en-GB"/>
        </w:rPr>
        <w:t xml:space="preserve"> </w:t>
      </w:r>
      <w:r w:rsidRPr="0E0DF78C">
        <w:rPr>
          <w:rFonts w:eastAsia="Times New Roman"/>
          <w:lang w:val="en-GB"/>
        </w:rPr>
        <w:t>a digital strategy (MC-5/16) for the secretariat of the Minamata Convention on Mercury as outlined in annex I to document UNEP/MC/COP.5/19</w:t>
      </w:r>
      <w:r w:rsidR="0051622E">
        <w:rPr>
          <w:rFonts w:eastAsia="Times New Roman"/>
          <w:lang w:val="en-GB"/>
        </w:rPr>
        <w:t>. The digital strategy</w:t>
      </w:r>
      <w:r w:rsidRPr="0E0DF78C">
        <w:rPr>
          <w:rFonts w:eastAsia="Times New Roman"/>
          <w:lang w:val="en-GB"/>
        </w:rPr>
        <w:t xml:space="preserve"> guide</w:t>
      </w:r>
      <w:r w:rsidR="0051622E">
        <w:rPr>
          <w:rFonts w:eastAsia="Times New Roman"/>
          <w:lang w:val="en-GB"/>
        </w:rPr>
        <w:t>s</w:t>
      </w:r>
      <w:r w:rsidRPr="0E0DF78C">
        <w:rPr>
          <w:rFonts w:eastAsia="Times New Roman"/>
          <w:lang w:val="en-GB"/>
        </w:rPr>
        <w:t xml:space="preserve"> the work of the secretariat in leveraging technology and managing knowledge effectively to support the implementation of the Conventio</w:t>
      </w:r>
      <w:r w:rsidR="00635D9A">
        <w:rPr>
          <w:rFonts w:eastAsia="Times New Roman"/>
          <w:lang w:val="en-GB"/>
        </w:rPr>
        <w:t>n</w:t>
      </w:r>
      <w:r w:rsidRPr="0E0DF78C">
        <w:rPr>
          <w:rFonts w:eastAsia="Times New Roman"/>
          <w:lang w:val="en-GB"/>
        </w:rPr>
        <w:t>.</w:t>
      </w:r>
    </w:p>
    <w:p w14:paraId="7F5D036E" w14:textId="14DD9D8A" w:rsidR="00AF56C9" w:rsidRDefault="00AF56C9" w:rsidP="006D1C7C">
      <w:pPr>
        <w:pStyle w:val="NormalNonumber"/>
        <w:numPr>
          <w:ilvl w:val="0"/>
          <w:numId w:val="45"/>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eastAsia="Times New Roman"/>
          <w:lang w:val="en-GB"/>
        </w:rPr>
      </w:pPr>
      <w:r w:rsidRPr="0E0DF78C">
        <w:rPr>
          <w:rFonts w:eastAsia="Times New Roman"/>
          <w:lang w:val="en-GB"/>
        </w:rPr>
        <w:t xml:space="preserve">Paragraph 3 of article 17 states that the secretariat of the Minamata Convention is to facilitate cooperation in the exchange of information referred to in the article, as well as with relevant organizations, including the secretariats of multilateral environmental agreements (MEAs) and other international initiatives, and that, in addition to information from parties, that information is to include information from intergovernmental and non-governmental organizations, and from national and international institutions, with expertise in the area of mercury. Furthermore, </w:t>
      </w:r>
      <w:r w:rsidR="00B76A9A">
        <w:rPr>
          <w:rFonts w:eastAsia="Times New Roman"/>
          <w:lang w:val="en-GB"/>
        </w:rPr>
        <w:t>p</w:t>
      </w:r>
      <w:r w:rsidR="00B76A9A" w:rsidRPr="0E0DF78C">
        <w:rPr>
          <w:rFonts w:eastAsia="Times New Roman"/>
          <w:lang w:val="en-GB"/>
        </w:rPr>
        <w:t xml:space="preserve">aragraph </w:t>
      </w:r>
      <w:r w:rsidRPr="0E0DF78C">
        <w:rPr>
          <w:rFonts w:eastAsia="Times New Roman"/>
          <w:lang w:val="en-GB"/>
        </w:rPr>
        <w:t>2 (d) of article 24 specifies that one of the functions of the secretariat is to assist parties in the exchange of information related to the implementation of the Convention.</w:t>
      </w:r>
    </w:p>
    <w:p w14:paraId="03027247" w14:textId="14F1710E" w:rsidR="00483B4D" w:rsidRPr="00704465" w:rsidRDefault="002525C0" w:rsidP="00704465">
      <w:pPr>
        <w:pStyle w:val="NormalNonumber"/>
        <w:numPr>
          <w:ilvl w:val="0"/>
          <w:numId w:val="45"/>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eastAsia="Times New Roman"/>
          <w:lang w:val="en-GB"/>
        </w:rPr>
      </w:pPr>
      <w:r w:rsidRPr="00704465">
        <w:rPr>
          <w:rFonts w:eastAsia="Times New Roman"/>
          <w:lang w:val="en-GB"/>
        </w:rPr>
        <w:t xml:space="preserve">The annex to the present note sets out </w:t>
      </w:r>
      <w:r w:rsidR="00483B4D" w:rsidRPr="00704465">
        <w:rPr>
          <w:rFonts w:eastAsia="Times New Roman"/>
          <w:lang w:val="en-GB"/>
        </w:rPr>
        <w:t xml:space="preserve">a </w:t>
      </w:r>
      <w:r w:rsidR="00ED37B9" w:rsidRPr="00704465">
        <w:rPr>
          <w:rFonts w:eastAsia="Times New Roman"/>
          <w:lang w:val="en-GB"/>
        </w:rPr>
        <w:t xml:space="preserve">proposal for </w:t>
      </w:r>
      <w:r w:rsidR="00B06A85" w:rsidRPr="00704465">
        <w:rPr>
          <w:rFonts w:eastAsia="Times New Roman"/>
          <w:lang w:val="en-GB"/>
        </w:rPr>
        <w:t xml:space="preserve">the </w:t>
      </w:r>
      <w:r w:rsidR="00CB4193">
        <w:rPr>
          <w:rFonts w:eastAsia="Times New Roman"/>
          <w:lang w:val="en-GB"/>
        </w:rPr>
        <w:t>Minamata Convention Exchange</w:t>
      </w:r>
      <w:r w:rsidR="00B06A85" w:rsidRPr="00704465">
        <w:rPr>
          <w:rFonts w:eastAsia="Times New Roman"/>
          <w:lang w:val="en-GB"/>
        </w:rPr>
        <w:t xml:space="preserve"> Platform</w:t>
      </w:r>
      <w:r w:rsidR="00E3591B" w:rsidRPr="00704465">
        <w:rPr>
          <w:rFonts w:eastAsia="Times New Roman"/>
          <w:lang w:val="en-GB"/>
        </w:rPr>
        <w:t xml:space="preserve">. </w:t>
      </w:r>
      <w:r w:rsidR="00704465" w:rsidRPr="00704465">
        <w:rPr>
          <w:rFonts w:eastAsia="Times New Roman"/>
          <w:lang w:val="en-GB"/>
        </w:rPr>
        <w:t xml:space="preserve">The proposed </w:t>
      </w:r>
      <w:r w:rsidR="00BE3F5F">
        <w:rPr>
          <w:rFonts w:eastAsia="Times New Roman"/>
          <w:lang w:val="en-GB"/>
        </w:rPr>
        <w:t>p</w:t>
      </w:r>
      <w:r w:rsidR="00704465" w:rsidRPr="00704465">
        <w:rPr>
          <w:rFonts w:eastAsia="Times New Roman"/>
          <w:lang w:val="en-GB"/>
        </w:rPr>
        <w:t xml:space="preserve">latform </w:t>
      </w:r>
      <w:r w:rsidR="00B215FF">
        <w:rPr>
          <w:rFonts w:eastAsia="Times New Roman"/>
          <w:lang w:val="en-GB"/>
        </w:rPr>
        <w:t>aims</w:t>
      </w:r>
      <w:r w:rsidR="00704465" w:rsidRPr="00704465">
        <w:rPr>
          <w:rFonts w:eastAsia="Times New Roman"/>
          <w:lang w:val="en-GB"/>
        </w:rPr>
        <w:t xml:space="preserve"> to serve as a shared digital space where parties and other stakeholders can access reliable information, exchange experiences, and collaborate on the implementation of the Convention. It will bring together scientific, technical, economic and legal information concerning mercury and mercury compounds, in a way that is accessible, multilingual, and structured around the Convention’s priority areas. The platform will also support interactive engagement and cooperation by enabling discussions, working groups, and access to guidance and tools tailored to implementation needs.</w:t>
      </w:r>
    </w:p>
    <w:p w14:paraId="3D3EB902" w14:textId="34C670BA" w:rsidR="008B4456" w:rsidRPr="00ED37B9" w:rsidRDefault="008B4456">
      <w:pPr>
        <w:rPr>
          <w:rFonts w:eastAsia="Times New Roman"/>
          <w:lang w:val="en-US" w:eastAsia="en-US"/>
        </w:rPr>
      </w:pPr>
      <w:r>
        <w:br w:type="page"/>
      </w:r>
    </w:p>
    <w:p w14:paraId="3BDF6763" w14:textId="69C425DF" w:rsidR="008B4456" w:rsidRPr="00233B40" w:rsidRDefault="00E3591B" w:rsidP="00FB0BB9">
      <w:pPr>
        <w:pStyle w:val="Normalnumber"/>
        <w:snapToGrid w:val="0"/>
        <w:spacing w:after="0"/>
        <w:rPr>
          <w:b/>
          <w:bCs/>
          <w:sz w:val="28"/>
          <w:szCs w:val="28"/>
          <w:lang w:val="en-US"/>
        </w:rPr>
      </w:pPr>
      <w:r w:rsidRPr="00233B40">
        <w:rPr>
          <w:b/>
          <w:bCs/>
          <w:sz w:val="28"/>
          <w:szCs w:val="28"/>
          <w:lang w:val="en-US"/>
        </w:rPr>
        <w:lastRenderedPageBreak/>
        <w:t>Annex</w:t>
      </w:r>
    </w:p>
    <w:p w14:paraId="04F7175E" w14:textId="4F4673C7" w:rsidR="00E3591B" w:rsidRPr="004B0116" w:rsidRDefault="00CB4193" w:rsidP="00FB0BB9">
      <w:pPr>
        <w:pStyle w:val="Normalnumber"/>
        <w:snapToGrid w:val="0"/>
        <w:spacing w:before="360"/>
        <w:ind w:left="1247"/>
        <w:rPr>
          <w:b/>
          <w:bCs/>
          <w:sz w:val="28"/>
          <w:szCs w:val="28"/>
          <w:lang w:val="en-US"/>
        </w:rPr>
      </w:pPr>
      <w:r>
        <w:rPr>
          <w:b/>
          <w:bCs/>
          <w:sz w:val="28"/>
          <w:szCs w:val="28"/>
          <w:lang w:val="en-US"/>
        </w:rPr>
        <w:t>Minamata Convention Exchange</w:t>
      </w:r>
      <w:r w:rsidR="00F909A3">
        <w:rPr>
          <w:b/>
          <w:bCs/>
          <w:sz w:val="28"/>
          <w:szCs w:val="28"/>
          <w:lang w:val="en-US"/>
        </w:rPr>
        <w:t xml:space="preserve"> Platform</w:t>
      </w:r>
    </w:p>
    <w:p w14:paraId="2A19AD9B" w14:textId="7F53AABD" w:rsidR="000B5BC8" w:rsidRPr="00570873" w:rsidRDefault="00545860" w:rsidP="00FB0BB9">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tab/>
      </w:r>
      <w:r w:rsidR="00B84D51">
        <w:rPr>
          <w:rFonts w:eastAsia="Times New Roman"/>
          <w:lang w:val="en-GB"/>
        </w:rPr>
        <w:t>I.</w:t>
      </w:r>
      <w:r w:rsidR="00B84D51">
        <w:rPr>
          <w:rFonts w:eastAsia="Times New Roman"/>
          <w:lang w:val="en-GB"/>
        </w:rPr>
        <w:tab/>
      </w:r>
      <w:r w:rsidR="009060EA">
        <w:rPr>
          <w:rFonts w:eastAsia="Times New Roman"/>
          <w:lang w:val="en-GB"/>
        </w:rPr>
        <w:t>Background</w:t>
      </w:r>
    </w:p>
    <w:p w14:paraId="1B562249" w14:textId="5CD48A82" w:rsidR="000B5BC8" w:rsidRDefault="00F5105E" w:rsidP="006D1C7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sidRPr="00F5105E">
        <w:rPr>
          <w:lang w:val="en-GB"/>
        </w:rPr>
        <w:t xml:space="preserve">In an increasingly interconnected world, the need for structured, reliable, and timely information exchange is critical to support effective multilateral environmental action. The implementation of </w:t>
      </w:r>
      <w:r w:rsidR="00236ECA">
        <w:rPr>
          <w:lang w:val="en-GB"/>
        </w:rPr>
        <w:t xml:space="preserve">the </w:t>
      </w:r>
      <w:r w:rsidR="00CB4193">
        <w:rPr>
          <w:lang w:val="en-GB"/>
        </w:rPr>
        <w:t>Minamata Convention Exchange</w:t>
      </w:r>
      <w:r w:rsidR="00236ECA">
        <w:rPr>
          <w:lang w:val="en-GB"/>
        </w:rPr>
        <w:t xml:space="preserve"> </w:t>
      </w:r>
      <w:r w:rsidR="006C34D7">
        <w:rPr>
          <w:lang w:val="en-GB"/>
        </w:rPr>
        <w:t>Platform</w:t>
      </w:r>
      <w:r w:rsidRPr="00F5105E">
        <w:rPr>
          <w:lang w:val="en-GB"/>
        </w:rPr>
        <w:t xml:space="preserve"> under the Minamata Convention responds to this need by enhancing cooperation and facilitating the exchange of scientific, technical, legal and policy-relevant information related to mercury. </w:t>
      </w:r>
      <w:r w:rsidR="000624D2">
        <w:rPr>
          <w:lang w:val="en-GB"/>
        </w:rPr>
        <w:t>T</w:t>
      </w:r>
      <w:r w:rsidRPr="00F5105E">
        <w:rPr>
          <w:lang w:val="en-GB"/>
        </w:rPr>
        <w:t xml:space="preserve">he United Nations Secretary-General </w:t>
      </w:r>
      <w:r w:rsidR="000624D2">
        <w:rPr>
          <w:lang w:val="en-GB"/>
        </w:rPr>
        <w:t>underscored</w:t>
      </w:r>
      <w:r w:rsidR="00821699">
        <w:rPr>
          <w:lang w:val="en-GB"/>
        </w:rPr>
        <w:t>,</w:t>
      </w:r>
      <w:r w:rsidR="000624D2">
        <w:rPr>
          <w:lang w:val="en-GB"/>
        </w:rPr>
        <w:t xml:space="preserve"> </w:t>
      </w:r>
      <w:r w:rsidRPr="00F5105E">
        <w:rPr>
          <w:lang w:val="en-GB"/>
        </w:rPr>
        <w:t>in the “Our Common Agenda” report and in follow-up initiatives such as the Summit of the Future and the Global Digital Compact</w:t>
      </w:r>
      <w:r w:rsidR="00821699">
        <w:rPr>
          <w:lang w:val="en-GB"/>
        </w:rPr>
        <w:t>,</w:t>
      </w:r>
      <w:r w:rsidR="000624D2">
        <w:rPr>
          <w:lang w:val="en-GB"/>
        </w:rPr>
        <w:t xml:space="preserve"> that</w:t>
      </w:r>
      <w:r w:rsidRPr="00F5105E">
        <w:rPr>
          <w:lang w:val="en-GB"/>
        </w:rPr>
        <w:t xml:space="preserve"> digital transformation and data</w:t>
      </w:r>
      <w:r w:rsidR="000624D2">
        <w:rPr>
          <w:lang w:val="en-GB"/>
        </w:rPr>
        <w:t xml:space="preserve"> </w:t>
      </w:r>
      <w:r w:rsidRPr="00F5105E">
        <w:rPr>
          <w:lang w:val="en-GB"/>
        </w:rPr>
        <w:t>sharing are essential enablers of the 2030 Agenda for Sustainable Development.</w:t>
      </w:r>
    </w:p>
    <w:p w14:paraId="0098B7FA" w14:textId="24B1A1E2" w:rsidR="003A1799" w:rsidRDefault="002B5281" w:rsidP="00275165">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Pr>
          <w:lang w:val="en-GB"/>
        </w:rPr>
        <w:t>As reported at COP-5 (</w:t>
      </w:r>
      <w:r w:rsidR="00275165" w:rsidRPr="00275165">
        <w:rPr>
          <w:lang w:val="en-GB"/>
        </w:rPr>
        <w:t>UNEP/MC/COP.5/INF/26</w:t>
      </w:r>
      <w:r>
        <w:rPr>
          <w:lang w:val="en-GB"/>
        </w:rPr>
        <w:t>)</w:t>
      </w:r>
      <w:r w:rsidR="00F03D53">
        <w:rPr>
          <w:lang w:val="en-GB"/>
        </w:rPr>
        <w:t xml:space="preserve"> and COP-6 (</w:t>
      </w:r>
      <w:r w:rsidR="00F03D53" w:rsidRPr="00275165">
        <w:rPr>
          <w:lang w:val="en-GB"/>
        </w:rPr>
        <w:t>UNEP/MC/COP.</w:t>
      </w:r>
      <w:r w:rsidR="00197ECF">
        <w:rPr>
          <w:lang w:val="en-GB"/>
        </w:rPr>
        <w:t>6</w:t>
      </w:r>
      <w:r w:rsidR="00F03D53" w:rsidRPr="00275165">
        <w:rPr>
          <w:lang w:val="en-GB"/>
        </w:rPr>
        <w:t>/</w:t>
      </w:r>
      <w:r w:rsidR="00197ECF">
        <w:rPr>
          <w:lang w:val="en-GB"/>
        </w:rPr>
        <w:t>19</w:t>
      </w:r>
      <w:r w:rsidR="00F03D53">
        <w:rPr>
          <w:lang w:val="en-GB"/>
        </w:rPr>
        <w:t>)</w:t>
      </w:r>
      <w:r w:rsidR="003A1799" w:rsidRPr="003A1799">
        <w:rPr>
          <w:lang w:val="en-GB"/>
        </w:rPr>
        <w:t xml:space="preserve">, the </w:t>
      </w:r>
      <w:r w:rsidR="006C34D7">
        <w:rPr>
          <w:lang w:val="en-GB"/>
        </w:rPr>
        <w:t>s</w:t>
      </w:r>
      <w:r w:rsidR="003A1799" w:rsidRPr="003A1799">
        <w:rPr>
          <w:lang w:val="en-GB"/>
        </w:rPr>
        <w:t xml:space="preserve">ecretariat has made substantial progress in advancing knowledge management and digitalization, including the launch of a redesigned website that now serves as the Convention’s main knowledge hub, the development of a dynamic online reporting tool, and the creation of data dashboards for national reporting and GEF projects. These tools provide a strong foundation for establishing </w:t>
      </w:r>
      <w:r w:rsidR="0033701C">
        <w:rPr>
          <w:lang w:val="en-GB"/>
        </w:rPr>
        <w:t>an information exchange platform</w:t>
      </w:r>
      <w:r w:rsidR="003A1799" w:rsidRPr="003A1799">
        <w:rPr>
          <w:lang w:val="en-GB"/>
        </w:rPr>
        <w:t xml:space="preserve"> that can centralize, organize and disseminate information in support of implementation. </w:t>
      </w:r>
    </w:p>
    <w:p w14:paraId="43ED9DE8" w14:textId="60D288AC" w:rsidR="00724AA5" w:rsidRDefault="00217622" w:rsidP="00275165">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sidRPr="00217622">
        <w:rPr>
          <w:lang w:val="en-GB"/>
        </w:rPr>
        <w:t>Recent national reports indicate that while Parties share numerous examples of good national practices, these are often confined to the reports themselves and not broadly disseminated. In the first full national reporting cycle, 66 per cent of Parties replied “yes” to the question under article 17.1 on whether they had facilitated the exchange of the specified information</w:t>
      </w:r>
      <w:r w:rsidR="000017F7">
        <w:rPr>
          <w:lang w:val="en-GB"/>
        </w:rPr>
        <w:t>. In comparison,</w:t>
      </w:r>
      <w:r w:rsidRPr="00217622">
        <w:rPr>
          <w:lang w:val="en-GB"/>
        </w:rPr>
        <w:t xml:space="preserve"> 34 </w:t>
      </w:r>
      <w:r w:rsidR="00AD072A">
        <w:rPr>
          <w:lang w:val="en-GB"/>
        </w:rPr>
        <w:t>percent responded “no.”</w:t>
      </w:r>
      <w:r w:rsidRPr="00217622">
        <w:rPr>
          <w:lang w:val="en-GB"/>
        </w:rPr>
        <w:t xml:space="preserve"> Some Parties also reported </w:t>
      </w:r>
      <w:r w:rsidR="00EC716C">
        <w:rPr>
          <w:lang w:val="en-GB"/>
        </w:rPr>
        <w:t>a lack of</w:t>
      </w:r>
      <w:r w:rsidRPr="00217622">
        <w:rPr>
          <w:lang w:val="en-GB"/>
        </w:rPr>
        <w:t xml:space="preserve"> capacity to share scientific information on mercury and its compounds. These findings point to the need for a dedicated, accessible and user-oriented mechanism, such as the proposed </w:t>
      </w:r>
      <w:r w:rsidR="00CB4193">
        <w:rPr>
          <w:lang w:val="en-GB"/>
        </w:rPr>
        <w:t>Minamata Convention Exchange</w:t>
      </w:r>
      <w:r w:rsidRPr="00217622">
        <w:rPr>
          <w:lang w:val="en-GB"/>
        </w:rPr>
        <w:t xml:space="preserve"> Platform, to amplify the visibility of good practices, bridge capacity gaps and foster continuous, structured information exchange</w:t>
      </w:r>
      <w:r w:rsidR="00724AA5" w:rsidRPr="00724AA5">
        <w:rPr>
          <w:lang w:val="en-GB"/>
        </w:rPr>
        <w:t>.</w:t>
      </w:r>
    </w:p>
    <w:p w14:paraId="635A40AB" w14:textId="5C306FAE" w:rsidR="00AD5CBA" w:rsidRDefault="00AD5CBA" w:rsidP="00275165">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sidRPr="00AD5CBA">
        <w:rPr>
          <w:lang w:val="en-GB"/>
        </w:rPr>
        <w:t>In line with Article 17 of the Convention, the platform will facilitate the exchange of scientific, technical, economic and legal information concerning mercury and mercury compounds. This includes toxicological and ecotoxicological data; information on reduction or elimination of production, use, trade, emissions and releases; alternatives to mercury-added products and processes; and epidemiological information on health impacts.</w:t>
      </w:r>
    </w:p>
    <w:p w14:paraId="17745113" w14:textId="07D21A76" w:rsidR="00135092" w:rsidRDefault="003A1799" w:rsidP="006D1C7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sidRPr="003A1799">
        <w:rPr>
          <w:lang w:val="en-GB"/>
        </w:rPr>
        <w:t xml:space="preserve">The implementation of </w:t>
      </w:r>
      <w:r w:rsidR="0033701C">
        <w:rPr>
          <w:lang w:val="en-GB"/>
        </w:rPr>
        <w:t xml:space="preserve">the </w:t>
      </w:r>
      <w:r w:rsidR="00CB4193">
        <w:rPr>
          <w:lang w:val="en-GB"/>
        </w:rPr>
        <w:t>Minamata Convention Exchange</w:t>
      </w:r>
      <w:r w:rsidR="0033701C">
        <w:rPr>
          <w:lang w:val="en-GB"/>
        </w:rPr>
        <w:t xml:space="preserve"> Platform</w:t>
      </w:r>
      <w:r w:rsidRPr="003A1799">
        <w:rPr>
          <w:lang w:val="en-GB"/>
        </w:rPr>
        <w:t xml:space="preserve"> under the Minamata Convention is expected to build on existing digital infrastructure and resources, </w:t>
      </w:r>
      <w:r w:rsidR="00E77772" w:rsidRPr="00E77772">
        <w:rPr>
          <w:lang w:val="en-GB"/>
        </w:rPr>
        <w:t>while progressively evolving into a dynamic process and service that facilitates structured information exchange</w:t>
      </w:r>
      <w:r w:rsidR="004C63A3">
        <w:rPr>
          <w:lang w:val="en-GB"/>
        </w:rPr>
        <w:t xml:space="preserve"> and </w:t>
      </w:r>
      <w:r w:rsidR="00E77772" w:rsidRPr="00E77772">
        <w:rPr>
          <w:lang w:val="en-GB"/>
        </w:rPr>
        <w:t xml:space="preserve">cooperation among </w:t>
      </w:r>
      <w:r w:rsidR="00E77772">
        <w:rPr>
          <w:lang w:val="en-GB"/>
        </w:rPr>
        <w:t>p</w:t>
      </w:r>
      <w:r w:rsidR="00E77772" w:rsidRPr="00E77772">
        <w:rPr>
          <w:lang w:val="en-GB"/>
        </w:rPr>
        <w:t>arties and stakeholder</w:t>
      </w:r>
      <w:r w:rsidR="00E77772">
        <w:rPr>
          <w:lang w:val="en-GB"/>
        </w:rPr>
        <w:t>s</w:t>
      </w:r>
      <w:r w:rsidRPr="003A1799">
        <w:rPr>
          <w:lang w:val="en-GB"/>
        </w:rPr>
        <w:t xml:space="preserve">. </w:t>
      </w:r>
      <w:r w:rsidR="00C36947" w:rsidRPr="00C36947">
        <w:rPr>
          <w:lang w:val="en-GB"/>
        </w:rPr>
        <w:t xml:space="preserve">Its scope and functionalities will expand over time to include interoperable tools, curated content, and collaborative features, aligned with the Convention’s strategic priorities and the needs of its users. Ultimately, it aims to strengthen the Convention’s role as a global knowledge platform for mercury-related issues and support </w:t>
      </w:r>
      <w:r w:rsidR="001F7B6B">
        <w:rPr>
          <w:lang w:val="en-GB"/>
        </w:rPr>
        <w:t>p</w:t>
      </w:r>
      <w:r w:rsidR="00C36947" w:rsidRPr="00C36947">
        <w:rPr>
          <w:lang w:val="en-GB"/>
        </w:rPr>
        <w:t>arties in meeting their obligations in a coherent, efficient and transparent manner</w:t>
      </w:r>
      <w:r w:rsidRPr="003A1799">
        <w:rPr>
          <w:lang w:val="en-GB"/>
        </w:rPr>
        <w:t xml:space="preserve">. </w:t>
      </w:r>
    </w:p>
    <w:p w14:paraId="488A9C87" w14:textId="2A5D679D" w:rsidR="00F57A28" w:rsidRPr="00570873" w:rsidRDefault="00F57A28" w:rsidP="00F57A28">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tab/>
      </w:r>
      <w:r w:rsidR="6F9A5467">
        <w:rPr>
          <w:rFonts w:eastAsia="Times New Roman"/>
          <w:lang w:val="en-GB"/>
        </w:rPr>
        <w:t>I</w:t>
      </w:r>
      <w:r w:rsidR="2BCEDA5E">
        <w:rPr>
          <w:rFonts w:eastAsia="Times New Roman"/>
          <w:lang w:val="en-GB"/>
        </w:rPr>
        <w:t>I</w:t>
      </w:r>
      <w:r w:rsidR="6F9A5467">
        <w:rPr>
          <w:rFonts w:eastAsia="Times New Roman"/>
          <w:lang w:val="en-GB"/>
        </w:rPr>
        <w:t>.</w:t>
      </w:r>
      <w:r>
        <w:rPr>
          <w:rFonts w:eastAsia="Times New Roman"/>
          <w:lang w:val="en-GB"/>
        </w:rPr>
        <w:tab/>
      </w:r>
      <w:r w:rsidR="2BCEDA5E">
        <w:rPr>
          <w:rFonts w:eastAsia="Times New Roman"/>
          <w:lang w:val="en-GB"/>
        </w:rPr>
        <w:t>Mission</w:t>
      </w:r>
    </w:p>
    <w:p w14:paraId="7BBD7817" w14:textId="224DCA88" w:rsidR="00EC648F" w:rsidRDefault="000C47F3" w:rsidP="00700F9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Pr>
          <w:lang w:val="en-GB"/>
        </w:rPr>
        <w:t xml:space="preserve">The </w:t>
      </w:r>
      <w:r w:rsidR="00CB4193">
        <w:rPr>
          <w:lang w:val="en-GB"/>
        </w:rPr>
        <w:t>Minamata Convention Exchange</w:t>
      </w:r>
      <w:r>
        <w:rPr>
          <w:lang w:val="en-GB"/>
        </w:rPr>
        <w:t xml:space="preserve"> Platform will be a </w:t>
      </w:r>
      <w:r w:rsidR="00B1049E" w:rsidRPr="00B1049E">
        <w:rPr>
          <w:lang w:val="en-GB"/>
        </w:rPr>
        <w:t>key tool for facilitating structured and inclusive information exchange in accordance with article</w:t>
      </w:r>
      <w:r w:rsidR="004540E9">
        <w:rPr>
          <w:lang w:val="en-GB"/>
        </w:rPr>
        <w:t>s</w:t>
      </w:r>
      <w:r w:rsidR="00B1049E" w:rsidRPr="00B1049E">
        <w:rPr>
          <w:lang w:val="en-GB"/>
        </w:rPr>
        <w:t xml:space="preserve"> 17 and </w:t>
      </w:r>
      <w:r w:rsidR="004540E9">
        <w:rPr>
          <w:lang w:val="en-GB"/>
        </w:rPr>
        <w:t>24</w:t>
      </w:r>
      <w:r w:rsidR="00B1049E" w:rsidRPr="00B1049E">
        <w:rPr>
          <w:lang w:val="en-GB"/>
        </w:rPr>
        <w:t xml:space="preserve"> of the Convention. The platform will be designed to help build the capacity of parties and stakeholders </w:t>
      </w:r>
      <w:r w:rsidR="00D82409">
        <w:rPr>
          <w:lang w:val="en-GB"/>
        </w:rPr>
        <w:t xml:space="preserve">to implement the Convention </w:t>
      </w:r>
      <w:r w:rsidR="00B1049E" w:rsidRPr="00B1049E">
        <w:rPr>
          <w:lang w:val="en-GB"/>
        </w:rPr>
        <w:t xml:space="preserve">in an efficient </w:t>
      </w:r>
      <w:r w:rsidR="00F17C54">
        <w:rPr>
          <w:lang w:val="en-GB"/>
        </w:rPr>
        <w:t xml:space="preserve">and cost-effective </w:t>
      </w:r>
      <w:r w:rsidR="00B1049E" w:rsidRPr="00B1049E">
        <w:rPr>
          <w:lang w:val="en-GB"/>
        </w:rPr>
        <w:t>manner</w:t>
      </w:r>
      <w:r w:rsidR="0063575E">
        <w:rPr>
          <w:lang w:val="en-GB"/>
        </w:rPr>
        <w:t>,</w:t>
      </w:r>
      <w:r w:rsidR="00B1049E" w:rsidRPr="00B1049E">
        <w:rPr>
          <w:lang w:val="en-GB"/>
        </w:rPr>
        <w:t xml:space="preserve"> by providing centralized access to scientific, technical, legal and implementation-related knowledge. </w:t>
      </w:r>
      <w:r w:rsidR="00D25020" w:rsidRPr="00D25020">
        <w:rPr>
          <w:lang w:val="en-GB"/>
        </w:rPr>
        <w:t xml:space="preserve">It will promote cooperation and interaction among </w:t>
      </w:r>
      <w:r w:rsidR="003C0953">
        <w:rPr>
          <w:lang w:val="en-GB"/>
        </w:rPr>
        <w:t>p</w:t>
      </w:r>
      <w:r w:rsidR="00D25020" w:rsidRPr="00D25020">
        <w:rPr>
          <w:lang w:val="en-GB"/>
        </w:rPr>
        <w:t>arties and relevant organizations, support data interoperability and multilingual access, and enable informed decision-making through user-friendly digital services.</w:t>
      </w:r>
    </w:p>
    <w:p w14:paraId="5D38622C" w14:textId="20B870DF" w:rsidR="0041031A" w:rsidRPr="00570873" w:rsidRDefault="005244DA" w:rsidP="008A543F">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lastRenderedPageBreak/>
        <w:tab/>
      </w:r>
      <w:r w:rsidR="0041031A">
        <w:rPr>
          <w:rFonts w:eastAsia="Times New Roman"/>
          <w:lang w:val="en-GB"/>
        </w:rPr>
        <w:t>III.</w:t>
      </w:r>
      <w:r w:rsidR="0041031A">
        <w:rPr>
          <w:rFonts w:eastAsia="Times New Roman"/>
          <w:lang w:val="en-GB"/>
        </w:rPr>
        <w:tab/>
        <w:t>Goals</w:t>
      </w:r>
    </w:p>
    <w:p w14:paraId="571B2885" w14:textId="77777777" w:rsidR="0041031A" w:rsidRPr="006E11B0" w:rsidRDefault="0041031A" w:rsidP="00700F9C">
      <w:pPr>
        <w:pStyle w:val="NormalNonumber"/>
        <w:keepNext/>
        <w:keepLines/>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Pr>
          <w:lang w:val="en-GB"/>
        </w:rPr>
        <w:t>The main goals of the Minamata Convention Exchange Platform</w:t>
      </w:r>
      <w:r w:rsidRPr="006E11B0">
        <w:rPr>
          <w:lang w:val="en-GB"/>
        </w:rPr>
        <w:t xml:space="preserve"> </w:t>
      </w:r>
      <w:r>
        <w:rPr>
          <w:lang w:val="en-GB"/>
        </w:rPr>
        <w:t>are</w:t>
      </w:r>
      <w:r w:rsidRPr="006E11B0">
        <w:rPr>
          <w:lang w:val="en-GB"/>
        </w:rPr>
        <w:t>:</w:t>
      </w:r>
    </w:p>
    <w:p w14:paraId="47EE5DCB" w14:textId="77777777" w:rsidR="0041031A" w:rsidRPr="00DF7A1F" w:rsidRDefault="0041031A" w:rsidP="00700F9C">
      <w:pPr>
        <w:pStyle w:val="Normalnumber"/>
        <w:numPr>
          <w:ilvl w:val="1"/>
          <w:numId w:val="48"/>
        </w:numPr>
        <w:tabs>
          <w:tab w:val="clear" w:pos="1247"/>
          <w:tab w:val="clear" w:pos="1814"/>
          <w:tab w:val="clear" w:pos="2381"/>
          <w:tab w:val="clear" w:pos="2948"/>
          <w:tab w:val="clear" w:pos="3515"/>
          <w:tab w:val="clear" w:pos="4082"/>
          <w:tab w:val="num" w:pos="624"/>
        </w:tabs>
        <w:ind w:left="1247" w:firstLine="624"/>
        <w:rPr>
          <w:lang w:val="en-GB"/>
        </w:rPr>
      </w:pPr>
      <w:r w:rsidRPr="005A4A9A">
        <w:rPr>
          <w:b/>
          <w:bCs/>
          <w:lang w:val="en-GB"/>
        </w:rPr>
        <w:t>Support the</w:t>
      </w:r>
      <w:r w:rsidRPr="00233B40">
        <w:rPr>
          <w:b/>
          <w:bCs/>
          <w:lang w:val="en-GB"/>
        </w:rPr>
        <w:t xml:space="preserve"> implementation of the Convention</w:t>
      </w:r>
      <w:r w:rsidRPr="00DF7A1F">
        <w:rPr>
          <w:lang w:val="en-GB"/>
        </w:rPr>
        <w:t xml:space="preserve">: by providing parties and stakeholders with centralized, user-friendly access to </w:t>
      </w:r>
      <w:r w:rsidRPr="005A4A9A">
        <w:rPr>
          <w:lang w:val="en-GB"/>
        </w:rPr>
        <w:t>scientific</w:t>
      </w:r>
      <w:r w:rsidRPr="00DF7A1F">
        <w:rPr>
          <w:lang w:val="en-GB"/>
        </w:rPr>
        <w:t xml:space="preserve">, technical, </w:t>
      </w:r>
      <w:r w:rsidRPr="005A4A9A">
        <w:rPr>
          <w:lang w:val="en-GB"/>
        </w:rPr>
        <w:t>legal</w:t>
      </w:r>
      <w:r w:rsidRPr="00DF7A1F">
        <w:rPr>
          <w:lang w:val="en-GB"/>
        </w:rPr>
        <w:t xml:space="preserve"> and policy information relevant to mercury, organized around the Convention’s thematic areas of work.</w:t>
      </w:r>
    </w:p>
    <w:p w14:paraId="1E9108AB" w14:textId="77777777" w:rsidR="0041031A" w:rsidRPr="00DF7A1F" w:rsidRDefault="0041031A" w:rsidP="00700F9C">
      <w:pPr>
        <w:pStyle w:val="Normalnumber"/>
        <w:numPr>
          <w:ilvl w:val="1"/>
          <w:numId w:val="48"/>
        </w:numPr>
        <w:tabs>
          <w:tab w:val="clear" w:pos="1247"/>
          <w:tab w:val="clear" w:pos="1814"/>
          <w:tab w:val="clear" w:pos="2381"/>
          <w:tab w:val="clear" w:pos="2948"/>
          <w:tab w:val="clear" w:pos="3515"/>
          <w:tab w:val="clear" w:pos="4082"/>
          <w:tab w:val="num" w:pos="624"/>
        </w:tabs>
        <w:ind w:left="1247" w:firstLine="624"/>
        <w:rPr>
          <w:lang w:val="en-GB"/>
        </w:rPr>
      </w:pPr>
      <w:r w:rsidRPr="00233B40">
        <w:rPr>
          <w:b/>
          <w:bCs/>
          <w:lang w:val="en-GB"/>
        </w:rPr>
        <w:t>Facilitate the exchange of information</w:t>
      </w:r>
      <w:r>
        <w:rPr>
          <w:lang w:val="en-GB"/>
        </w:rPr>
        <w:t>: by enabling</w:t>
      </w:r>
      <w:r w:rsidRPr="00DF7A1F">
        <w:rPr>
          <w:lang w:val="en-GB"/>
        </w:rPr>
        <w:t xml:space="preserve"> the timely sharing of experiences, guidance and expertise among Parties, regions and partners, such as the Global Mercury Partnership and the Global Framework on Chemicals.</w:t>
      </w:r>
    </w:p>
    <w:p w14:paraId="3D064C62" w14:textId="77777777" w:rsidR="0041031A" w:rsidRPr="00CC093D" w:rsidRDefault="0041031A" w:rsidP="00700F9C">
      <w:pPr>
        <w:pStyle w:val="Normalnumber"/>
        <w:numPr>
          <w:ilvl w:val="1"/>
          <w:numId w:val="48"/>
        </w:numPr>
        <w:tabs>
          <w:tab w:val="clear" w:pos="1247"/>
          <w:tab w:val="clear" w:pos="1814"/>
          <w:tab w:val="clear" w:pos="2381"/>
          <w:tab w:val="clear" w:pos="2948"/>
          <w:tab w:val="clear" w:pos="3515"/>
          <w:tab w:val="clear" w:pos="4082"/>
          <w:tab w:val="num" w:pos="624"/>
        </w:tabs>
        <w:ind w:left="1247" w:firstLine="624"/>
        <w:rPr>
          <w:lang w:val="en-GB"/>
        </w:rPr>
      </w:pPr>
      <w:r w:rsidRPr="00233B40">
        <w:rPr>
          <w:b/>
          <w:bCs/>
        </w:rPr>
        <w:t>Build capacity and promote cooperation</w:t>
      </w:r>
      <w:r>
        <w:rPr>
          <w:lang w:val="en-GB"/>
        </w:rPr>
        <w:t>: by su</w:t>
      </w:r>
      <w:r w:rsidRPr="00A11463">
        <w:rPr>
          <w:lang w:val="en-GB"/>
        </w:rPr>
        <w:t>pport</w:t>
      </w:r>
      <w:r>
        <w:rPr>
          <w:lang w:val="en-GB"/>
        </w:rPr>
        <w:t>ing</w:t>
      </w:r>
      <w:r w:rsidRPr="00A11463">
        <w:rPr>
          <w:lang w:val="en-GB"/>
        </w:rPr>
        <w:t xml:space="preserve"> </w:t>
      </w:r>
      <w:r>
        <w:rPr>
          <w:lang w:val="en-GB"/>
        </w:rPr>
        <w:t>p</w:t>
      </w:r>
      <w:r w:rsidRPr="00A11463">
        <w:rPr>
          <w:lang w:val="en-GB"/>
        </w:rPr>
        <w:t xml:space="preserve">arties </w:t>
      </w:r>
      <w:proofErr w:type="gramStart"/>
      <w:r w:rsidRPr="00A11463">
        <w:rPr>
          <w:lang w:val="en-GB"/>
        </w:rPr>
        <w:t>in meeting</w:t>
      </w:r>
      <w:proofErr w:type="gramEnd"/>
      <w:r w:rsidRPr="00A11463">
        <w:rPr>
          <w:lang w:val="en-GB"/>
        </w:rPr>
        <w:t xml:space="preserve"> their obligations by fostering digital literacy, offering training opportunities, and encouraging collaboration across sectors.</w:t>
      </w:r>
    </w:p>
    <w:p w14:paraId="4AF2FB9E" w14:textId="1D5F7696" w:rsidR="00502F9A" w:rsidRPr="00233B40" w:rsidRDefault="002661F1" w:rsidP="00233B40">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tab/>
      </w:r>
      <w:r w:rsidR="005244DA">
        <w:rPr>
          <w:rFonts w:eastAsia="Times New Roman"/>
          <w:lang w:val="en-GB"/>
        </w:rPr>
        <w:t>I</w:t>
      </w:r>
      <w:r w:rsidR="0041031A">
        <w:rPr>
          <w:rFonts w:eastAsia="Times New Roman"/>
          <w:lang w:val="en-GB"/>
        </w:rPr>
        <w:t>V</w:t>
      </w:r>
      <w:r w:rsidR="005244DA">
        <w:rPr>
          <w:rFonts w:eastAsia="Times New Roman"/>
          <w:lang w:val="en-GB"/>
        </w:rPr>
        <w:t>.</w:t>
      </w:r>
      <w:r w:rsidR="005244DA">
        <w:rPr>
          <w:rFonts w:eastAsia="Times New Roman"/>
          <w:lang w:val="en-GB"/>
        </w:rPr>
        <w:tab/>
      </w:r>
      <w:r w:rsidR="00E27707">
        <w:rPr>
          <w:rFonts w:eastAsia="Times New Roman"/>
          <w:lang w:val="en-GB"/>
        </w:rPr>
        <w:t xml:space="preserve">Digital </w:t>
      </w:r>
      <w:r w:rsidR="00014E37">
        <w:rPr>
          <w:rFonts w:eastAsia="Times New Roman"/>
          <w:lang w:val="en-GB"/>
        </w:rPr>
        <w:t>s</w:t>
      </w:r>
      <w:r w:rsidR="00E27707">
        <w:rPr>
          <w:rFonts w:eastAsia="Times New Roman"/>
          <w:lang w:val="en-GB"/>
        </w:rPr>
        <w:t xml:space="preserve">trategy </w:t>
      </w:r>
      <w:r w:rsidR="00014E37">
        <w:rPr>
          <w:rFonts w:eastAsia="Times New Roman"/>
          <w:lang w:val="en-GB"/>
        </w:rPr>
        <w:t>p</w:t>
      </w:r>
      <w:r w:rsidR="00502F9A" w:rsidRPr="00233B40">
        <w:rPr>
          <w:rFonts w:eastAsia="Times New Roman"/>
          <w:lang w:val="en-GB"/>
        </w:rPr>
        <w:t>rinciples</w:t>
      </w:r>
    </w:p>
    <w:p w14:paraId="602A8B8E" w14:textId="441216C2" w:rsidR="00B84EA4" w:rsidRDefault="00B84EA4" w:rsidP="006D1C7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sidRPr="00B84EA4">
        <w:rPr>
          <w:lang w:val="en-GB"/>
        </w:rPr>
        <w:t xml:space="preserve">The </w:t>
      </w:r>
      <w:r w:rsidR="00CB4193">
        <w:rPr>
          <w:lang w:val="en-GB"/>
        </w:rPr>
        <w:t>Minamata Convention Exchange</w:t>
      </w:r>
      <w:r w:rsidR="00EC648F">
        <w:rPr>
          <w:lang w:val="en-GB"/>
        </w:rPr>
        <w:t xml:space="preserve"> Platform</w:t>
      </w:r>
      <w:r w:rsidRPr="00B84EA4">
        <w:rPr>
          <w:lang w:val="en-GB"/>
        </w:rPr>
        <w:t xml:space="preserve"> </w:t>
      </w:r>
      <w:r w:rsidR="002E758E">
        <w:rPr>
          <w:lang w:val="en-GB"/>
        </w:rPr>
        <w:t>will</w:t>
      </w:r>
      <w:r w:rsidR="002E758E" w:rsidRPr="00B84EA4">
        <w:rPr>
          <w:lang w:val="en-GB"/>
        </w:rPr>
        <w:t xml:space="preserve"> </w:t>
      </w:r>
      <w:r w:rsidRPr="00B84EA4">
        <w:rPr>
          <w:lang w:val="en-GB"/>
        </w:rPr>
        <w:t xml:space="preserve">operate following </w:t>
      </w:r>
      <w:r w:rsidR="00FD1D60">
        <w:rPr>
          <w:lang w:val="en-GB"/>
        </w:rPr>
        <w:t xml:space="preserve">the </w:t>
      </w:r>
      <w:r w:rsidRPr="00B84EA4">
        <w:rPr>
          <w:lang w:val="en-GB"/>
        </w:rPr>
        <w:t xml:space="preserve">principles </w:t>
      </w:r>
      <w:r w:rsidR="00CF61FB">
        <w:rPr>
          <w:lang w:val="en-GB"/>
        </w:rPr>
        <w:t xml:space="preserve">in </w:t>
      </w:r>
      <w:r w:rsidR="00691439">
        <w:rPr>
          <w:lang w:val="en-GB"/>
        </w:rPr>
        <w:t>the</w:t>
      </w:r>
      <w:r w:rsidRPr="00B84EA4">
        <w:rPr>
          <w:lang w:val="en-GB"/>
        </w:rPr>
        <w:t xml:space="preserve"> </w:t>
      </w:r>
      <w:r w:rsidR="002E0756">
        <w:rPr>
          <w:lang w:val="en-GB"/>
        </w:rPr>
        <w:t>secretariat’s</w:t>
      </w:r>
      <w:r w:rsidRPr="00B84EA4">
        <w:rPr>
          <w:lang w:val="en-GB"/>
        </w:rPr>
        <w:t xml:space="preserve"> digital strategy</w:t>
      </w:r>
      <w:r w:rsidR="00175E49">
        <w:rPr>
          <w:lang w:val="en-GB"/>
        </w:rPr>
        <w:t xml:space="preserve"> (</w:t>
      </w:r>
      <w:r w:rsidRPr="00B84EA4">
        <w:rPr>
          <w:lang w:val="en-GB"/>
        </w:rPr>
        <w:t>UNEP</w:t>
      </w:r>
      <w:r w:rsidR="00F73930">
        <w:rPr>
          <w:lang w:val="en-GB"/>
        </w:rPr>
        <w:t>/</w:t>
      </w:r>
      <w:r w:rsidRPr="00B84EA4">
        <w:rPr>
          <w:lang w:val="en-GB"/>
        </w:rPr>
        <w:t>MC</w:t>
      </w:r>
      <w:r w:rsidR="00F73930">
        <w:rPr>
          <w:lang w:val="en-GB"/>
        </w:rPr>
        <w:t>/</w:t>
      </w:r>
      <w:r w:rsidRPr="00B84EA4">
        <w:rPr>
          <w:lang w:val="en-GB"/>
        </w:rPr>
        <w:t>COP.5</w:t>
      </w:r>
      <w:r w:rsidR="00F73930">
        <w:rPr>
          <w:lang w:val="en-GB"/>
        </w:rPr>
        <w:t>/</w:t>
      </w:r>
      <w:r w:rsidRPr="00B84EA4">
        <w:rPr>
          <w:lang w:val="en-GB"/>
        </w:rPr>
        <w:t>19</w:t>
      </w:r>
      <w:r w:rsidR="00175E49">
        <w:rPr>
          <w:lang w:val="en-GB"/>
        </w:rPr>
        <w:t>)</w:t>
      </w:r>
      <w:r>
        <w:rPr>
          <w:lang w:val="en-GB"/>
        </w:rPr>
        <w:t xml:space="preserve"> </w:t>
      </w:r>
      <w:r w:rsidRPr="00B84EA4">
        <w:rPr>
          <w:lang w:val="en-GB"/>
        </w:rPr>
        <w:t xml:space="preserve">and </w:t>
      </w:r>
      <w:r w:rsidR="003A69AB">
        <w:rPr>
          <w:lang w:val="en-GB"/>
        </w:rPr>
        <w:t>the</w:t>
      </w:r>
      <w:r w:rsidRPr="00B84EA4">
        <w:rPr>
          <w:lang w:val="en-GB"/>
        </w:rPr>
        <w:t xml:space="preserve"> UN system principles on digital cooperation and knowledge management:</w:t>
      </w:r>
    </w:p>
    <w:p w14:paraId="060FE340" w14:textId="70E7D3F9" w:rsidR="00B5132A" w:rsidRPr="008310FD" w:rsidRDefault="00B5132A"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User-centred design:</w:t>
      </w:r>
      <w:r w:rsidRPr="008310FD">
        <w:rPr>
          <w:lang w:val="en-GB"/>
        </w:rPr>
        <w:t xml:space="preserve"> </w:t>
      </w:r>
      <w:r w:rsidR="007714B9" w:rsidRPr="008310FD">
        <w:rPr>
          <w:lang w:val="en-GB"/>
        </w:rPr>
        <w:t>it</w:t>
      </w:r>
      <w:r w:rsidRPr="008310FD">
        <w:rPr>
          <w:lang w:val="en-GB"/>
        </w:rPr>
        <w:t xml:space="preserve"> shall be tailored to the needs of </w:t>
      </w:r>
      <w:r w:rsidR="00DF22A3" w:rsidRPr="008310FD">
        <w:rPr>
          <w:lang w:val="en-GB"/>
        </w:rPr>
        <w:t>p</w:t>
      </w:r>
      <w:r w:rsidRPr="008310FD">
        <w:rPr>
          <w:lang w:val="en-GB"/>
        </w:rPr>
        <w:t xml:space="preserve">arties and stakeholders, ensuring intuitive </w:t>
      </w:r>
      <w:r w:rsidR="003A69AB" w:rsidRPr="008310FD">
        <w:rPr>
          <w:lang w:val="en-GB"/>
        </w:rPr>
        <w:t xml:space="preserve">multilingual </w:t>
      </w:r>
      <w:r w:rsidRPr="008310FD">
        <w:rPr>
          <w:lang w:val="en-GB"/>
        </w:rPr>
        <w:t xml:space="preserve">access, </w:t>
      </w:r>
      <w:r w:rsidR="00436F28" w:rsidRPr="008310FD">
        <w:rPr>
          <w:lang w:val="en-GB"/>
        </w:rPr>
        <w:t>robust search functionalities</w:t>
      </w:r>
      <w:r w:rsidRPr="008310FD">
        <w:rPr>
          <w:lang w:val="en-GB"/>
        </w:rPr>
        <w:t xml:space="preserve">, and </w:t>
      </w:r>
      <w:r w:rsidR="00832D30" w:rsidRPr="008310FD">
        <w:rPr>
          <w:lang w:val="en-GB"/>
        </w:rPr>
        <w:t>be relevant</w:t>
      </w:r>
      <w:r w:rsidRPr="008310FD">
        <w:rPr>
          <w:lang w:val="en-GB"/>
        </w:rPr>
        <w:t xml:space="preserve"> across technical, policy and </w:t>
      </w:r>
      <w:r w:rsidR="00076192" w:rsidRPr="008310FD">
        <w:rPr>
          <w:lang w:val="en-GB"/>
        </w:rPr>
        <w:t>broader</w:t>
      </w:r>
      <w:r w:rsidRPr="008310FD">
        <w:rPr>
          <w:lang w:val="en-GB"/>
        </w:rPr>
        <w:t xml:space="preserve"> users.</w:t>
      </w:r>
    </w:p>
    <w:p w14:paraId="1D4A975B" w14:textId="26545A7F" w:rsidR="00B5132A" w:rsidRPr="008310FD" w:rsidRDefault="00B5132A"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Accessibility and inclusiveness:</w:t>
      </w:r>
      <w:r w:rsidRPr="008310FD">
        <w:rPr>
          <w:lang w:val="en-GB"/>
        </w:rPr>
        <w:t xml:space="preserve"> </w:t>
      </w:r>
      <w:r w:rsidR="00DF22A3" w:rsidRPr="008310FD">
        <w:rPr>
          <w:lang w:val="en-GB"/>
        </w:rPr>
        <w:t>it</w:t>
      </w:r>
      <w:r w:rsidRPr="008310FD">
        <w:rPr>
          <w:lang w:val="en-GB"/>
        </w:rPr>
        <w:t xml:space="preserve"> </w:t>
      </w:r>
      <w:r w:rsidR="0021256A" w:rsidRPr="008310FD">
        <w:rPr>
          <w:lang w:val="en-GB"/>
        </w:rPr>
        <w:t xml:space="preserve">will </w:t>
      </w:r>
      <w:r w:rsidRPr="008310FD">
        <w:rPr>
          <w:lang w:val="en-GB"/>
        </w:rPr>
        <w:t xml:space="preserve">promote equitable access to knowledge for all </w:t>
      </w:r>
      <w:r w:rsidR="00DF22A3" w:rsidRPr="008310FD">
        <w:rPr>
          <w:lang w:val="en-GB"/>
        </w:rPr>
        <w:t>p</w:t>
      </w:r>
      <w:r w:rsidRPr="008310FD">
        <w:rPr>
          <w:lang w:val="en-GB"/>
        </w:rPr>
        <w:t>arties, including developing countr</w:t>
      </w:r>
      <w:r w:rsidR="00DF22A3" w:rsidRPr="008310FD">
        <w:rPr>
          <w:lang w:val="en-GB"/>
        </w:rPr>
        <w:t>y parties</w:t>
      </w:r>
      <w:r w:rsidRPr="008310FD">
        <w:rPr>
          <w:lang w:val="en-GB"/>
        </w:rPr>
        <w:t xml:space="preserve">, and ensure the visibility of diverse </w:t>
      </w:r>
      <w:r w:rsidR="00565473" w:rsidRPr="008310FD">
        <w:rPr>
          <w:lang w:val="en-GB"/>
        </w:rPr>
        <w:t>groups</w:t>
      </w:r>
      <w:r w:rsidRPr="008310FD">
        <w:rPr>
          <w:lang w:val="en-GB"/>
        </w:rPr>
        <w:t xml:space="preserve"> of expertise, including from Indigenous Peoples</w:t>
      </w:r>
      <w:r w:rsidR="00740426" w:rsidRPr="008310FD">
        <w:rPr>
          <w:lang w:val="en-GB"/>
        </w:rPr>
        <w:t xml:space="preserve">, </w:t>
      </w:r>
      <w:r w:rsidRPr="008310FD">
        <w:rPr>
          <w:lang w:val="en-GB"/>
        </w:rPr>
        <w:t>local communities, women and youth.</w:t>
      </w:r>
    </w:p>
    <w:p w14:paraId="165CC820" w14:textId="0D2093E7" w:rsidR="00B5132A" w:rsidRPr="008310FD" w:rsidRDefault="00B5132A"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Interoperability:</w:t>
      </w:r>
      <w:r w:rsidRPr="008310FD">
        <w:rPr>
          <w:lang w:val="en-GB"/>
        </w:rPr>
        <w:t xml:space="preserve"> </w:t>
      </w:r>
      <w:r w:rsidR="008D1120" w:rsidRPr="008310FD">
        <w:rPr>
          <w:lang w:val="en-GB"/>
        </w:rPr>
        <w:t>it</w:t>
      </w:r>
      <w:r w:rsidRPr="008310FD">
        <w:rPr>
          <w:lang w:val="en-GB"/>
        </w:rPr>
        <w:t xml:space="preserve"> </w:t>
      </w:r>
      <w:r w:rsidR="0021256A" w:rsidRPr="008310FD">
        <w:rPr>
          <w:lang w:val="en-GB"/>
        </w:rPr>
        <w:t xml:space="preserve">will </w:t>
      </w:r>
      <w:r w:rsidRPr="008310FD">
        <w:rPr>
          <w:lang w:val="en-GB"/>
        </w:rPr>
        <w:t xml:space="preserve">build on existing tools and standards within the Convention's digital ecosystem and ensure coherence with other </w:t>
      </w:r>
      <w:r w:rsidR="00303234" w:rsidRPr="008310FD">
        <w:rPr>
          <w:lang w:val="en-GB"/>
        </w:rPr>
        <w:t>multilateral environmental agreements</w:t>
      </w:r>
      <w:r w:rsidRPr="008310FD">
        <w:rPr>
          <w:lang w:val="en-GB"/>
        </w:rPr>
        <w:t xml:space="preserve"> clearing-house mechanisms, including </w:t>
      </w:r>
      <w:proofErr w:type="spellStart"/>
      <w:r w:rsidRPr="008310FD">
        <w:rPr>
          <w:lang w:val="en-GB"/>
        </w:rPr>
        <w:t>InforMEA</w:t>
      </w:r>
      <w:proofErr w:type="spellEnd"/>
      <w:r w:rsidRPr="008310FD">
        <w:rPr>
          <w:lang w:val="en-GB"/>
        </w:rPr>
        <w:t>, to enable data sharing and avoid duplication of efforts.</w:t>
      </w:r>
    </w:p>
    <w:p w14:paraId="51FD28A4" w14:textId="35D6CF9F" w:rsidR="00B5132A" w:rsidRPr="008310FD" w:rsidRDefault="005E4802"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Credibility and q</w:t>
      </w:r>
      <w:r w:rsidR="00076192" w:rsidRPr="008310FD">
        <w:rPr>
          <w:b/>
          <w:bCs/>
          <w:lang w:val="en-GB"/>
        </w:rPr>
        <w:t>uality assurance</w:t>
      </w:r>
      <w:r w:rsidR="00B5132A" w:rsidRPr="008310FD">
        <w:rPr>
          <w:b/>
          <w:bCs/>
          <w:lang w:val="en-GB"/>
        </w:rPr>
        <w:t>:</w:t>
      </w:r>
      <w:r w:rsidR="00B5132A" w:rsidRPr="008310FD">
        <w:rPr>
          <w:lang w:val="en-GB"/>
        </w:rPr>
        <w:t xml:space="preserve"> </w:t>
      </w:r>
      <w:r w:rsidR="00A90BBD" w:rsidRPr="008310FD">
        <w:rPr>
          <w:lang w:val="en-GB"/>
        </w:rPr>
        <w:t>i</w:t>
      </w:r>
      <w:r w:rsidR="00B5132A" w:rsidRPr="008310FD">
        <w:rPr>
          <w:lang w:val="en-GB"/>
        </w:rPr>
        <w:t xml:space="preserve">nformation hosted or linked by the </w:t>
      </w:r>
      <w:r w:rsidR="008D1120" w:rsidRPr="008310FD">
        <w:rPr>
          <w:lang w:val="en-GB"/>
        </w:rPr>
        <w:t>platform</w:t>
      </w:r>
      <w:r w:rsidR="00B5132A" w:rsidRPr="008310FD">
        <w:rPr>
          <w:lang w:val="en-GB"/>
        </w:rPr>
        <w:t xml:space="preserve"> </w:t>
      </w:r>
      <w:r w:rsidR="0021256A" w:rsidRPr="008310FD">
        <w:rPr>
          <w:lang w:val="en-GB"/>
        </w:rPr>
        <w:t xml:space="preserve">will </w:t>
      </w:r>
      <w:r w:rsidR="00B5132A" w:rsidRPr="008310FD">
        <w:rPr>
          <w:lang w:val="en-GB"/>
        </w:rPr>
        <w:t xml:space="preserve">be sourced from authoritative entities and subject to quality assurance processes, </w:t>
      </w:r>
      <w:r w:rsidR="00891646" w:rsidRPr="008310FD">
        <w:rPr>
          <w:lang w:val="en-GB"/>
        </w:rPr>
        <w:t xml:space="preserve">ensuring the use of standardized metadata, </w:t>
      </w:r>
      <w:r w:rsidR="00B5132A" w:rsidRPr="008310FD">
        <w:rPr>
          <w:lang w:val="en-GB"/>
        </w:rPr>
        <w:t>upholding the scientific and technical integrity of the Convention’s work.</w:t>
      </w:r>
    </w:p>
    <w:p w14:paraId="23301285" w14:textId="0CE7E447" w:rsidR="00B5132A" w:rsidRPr="008310FD" w:rsidRDefault="00B5132A"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Transparency and open knowledge:</w:t>
      </w:r>
      <w:r w:rsidRPr="008310FD">
        <w:rPr>
          <w:lang w:val="en-GB"/>
        </w:rPr>
        <w:t xml:space="preserve"> </w:t>
      </w:r>
      <w:r w:rsidR="008D1120" w:rsidRPr="008310FD">
        <w:rPr>
          <w:lang w:val="en-GB"/>
        </w:rPr>
        <w:t xml:space="preserve">it </w:t>
      </w:r>
      <w:r w:rsidR="00FC7566" w:rsidRPr="008310FD">
        <w:rPr>
          <w:lang w:val="en-GB"/>
        </w:rPr>
        <w:t xml:space="preserve">will </w:t>
      </w:r>
      <w:r w:rsidRPr="008310FD">
        <w:rPr>
          <w:lang w:val="en-GB"/>
        </w:rPr>
        <w:t>promote open access to public information and facilitate the discoverability and traceability of documents, datasets, and decisions, while respecting confidentiality where applicable.</w:t>
      </w:r>
    </w:p>
    <w:p w14:paraId="30900357" w14:textId="372D1F48" w:rsidR="00F04F60" w:rsidRPr="008310FD" w:rsidRDefault="00F930B2"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Privacy and confidentiality</w:t>
      </w:r>
      <w:r w:rsidRPr="008310FD">
        <w:rPr>
          <w:lang w:val="en-GB"/>
        </w:rPr>
        <w:t xml:space="preserve">: </w:t>
      </w:r>
      <w:r w:rsidR="00F0790D" w:rsidRPr="008310FD">
        <w:rPr>
          <w:lang w:val="en-GB"/>
        </w:rPr>
        <w:t xml:space="preserve">it </w:t>
      </w:r>
      <w:r w:rsidR="00FC7566" w:rsidRPr="008310FD">
        <w:rPr>
          <w:lang w:val="en-GB"/>
        </w:rPr>
        <w:t xml:space="preserve">will </w:t>
      </w:r>
      <w:r w:rsidR="00F0790D" w:rsidRPr="008310FD">
        <w:rPr>
          <w:lang w:val="en-GB"/>
        </w:rPr>
        <w:t xml:space="preserve">follow </w:t>
      </w:r>
      <w:r w:rsidR="00F04F60" w:rsidRPr="008310FD">
        <w:rPr>
          <w:lang w:val="en-GB"/>
        </w:rPr>
        <w:t>protocols for managing confidential and proprietary information and restricting access to data</w:t>
      </w:r>
      <w:r w:rsidRPr="008310FD">
        <w:rPr>
          <w:lang w:val="en-GB"/>
        </w:rPr>
        <w:t>.</w:t>
      </w:r>
    </w:p>
    <w:p w14:paraId="5BEDC5A8" w14:textId="5915DC6E" w:rsidR="00B5132A" w:rsidRPr="008310FD" w:rsidRDefault="00B5132A"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Sustainability and scalability:</w:t>
      </w:r>
      <w:r w:rsidRPr="008310FD">
        <w:rPr>
          <w:lang w:val="en-GB"/>
        </w:rPr>
        <w:t xml:space="preserve"> </w:t>
      </w:r>
      <w:r w:rsidR="00F0790D" w:rsidRPr="008310FD">
        <w:rPr>
          <w:lang w:val="en-GB"/>
        </w:rPr>
        <w:t>it</w:t>
      </w:r>
      <w:r w:rsidRPr="008310FD">
        <w:rPr>
          <w:lang w:val="en-GB"/>
        </w:rPr>
        <w:t xml:space="preserve"> </w:t>
      </w:r>
      <w:r w:rsidR="005F0BE8" w:rsidRPr="008310FD">
        <w:rPr>
          <w:lang w:val="en-GB"/>
        </w:rPr>
        <w:t xml:space="preserve">will </w:t>
      </w:r>
      <w:r w:rsidRPr="008310FD">
        <w:rPr>
          <w:lang w:val="en-GB"/>
        </w:rPr>
        <w:t xml:space="preserve">be developed in a modular, </w:t>
      </w:r>
      <w:r w:rsidR="00084763" w:rsidRPr="008310FD">
        <w:rPr>
          <w:lang w:val="en-GB"/>
        </w:rPr>
        <w:t>cost</w:t>
      </w:r>
      <w:r w:rsidRPr="008310FD">
        <w:rPr>
          <w:lang w:val="en-GB"/>
        </w:rPr>
        <w:t xml:space="preserve">-efficient manner that enables progressive enhancement over time, based on available resources and evolving </w:t>
      </w:r>
      <w:r w:rsidR="00FB0AA3" w:rsidRPr="008310FD">
        <w:rPr>
          <w:lang w:val="en-GB"/>
        </w:rPr>
        <w:t>p</w:t>
      </w:r>
      <w:r w:rsidRPr="008310FD">
        <w:rPr>
          <w:lang w:val="en-GB"/>
        </w:rPr>
        <w:t>arty needs.</w:t>
      </w:r>
    </w:p>
    <w:p w14:paraId="55041EF8" w14:textId="36B6488B" w:rsidR="00B5132A" w:rsidRPr="008310FD" w:rsidRDefault="00B5132A" w:rsidP="00700F9C">
      <w:pPr>
        <w:pStyle w:val="Normalnumber"/>
        <w:numPr>
          <w:ilvl w:val="0"/>
          <w:numId w:val="51"/>
        </w:numPr>
        <w:tabs>
          <w:tab w:val="clear" w:pos="1247"/>
          <w:tab w:val="clear" w:pos="1814"/>
          <w:tab w:val="clear" w:pos="2381"/>
          <w:tab w:val="clear" w:pos="2948"/>
          <w:tab w:val="clear" w:pos="3515"/>
          <w:tab w:val="clear" w:pos="4082"/>
          <w:tab w:val="num" w:pos="624"/>
        </w:tabs>
        <w:ind w:left="1247" w:firstLine="624"/>
        <w:rPr>
          <w:lang w:val="en-GB"/>
        </w:rPr>
      </w:pPr>
      <w:r w:rsidRPr="008310FD">
        <w:rPr>
          <w:b/>
          <w:bCs/>
          <w:lang w:val="en-GB"/>
        </w:rPr>
        <w:t>Innovation and adaptability:</w:t>
      </w:r>
      <w:r w:rsidRPr="008310FD">
        <w:rPr>
          <w:lang w:val="en-GB"/>
        </w:rPr>
        <w:t xml:space="preserve"> </w:t>
      </w:r>
      <w:r w:rsidR="00F0790D" w:rsidRPr="008310FD">
        <w:rPr>
          <w:lang w:val="en-GB"/>
        </w:rPr>
        <w:t xml:space="preserve">it </w:t>
      </w:r>
      <w:r w:rsidR="005F0BE8" w:rsidRPr="008310FD">
        <w:rPr>
          <w:lang w:val="en-GB"/>
        </w:rPr>
        <w:t xml:space="preserve">will </w:t>
      </w:r>
      <w:r w:rsidRPr="008310FD">
        <w:rPr>
          <w:lang w:val="en-GB"/>
        </w:rPr>
        <w:t>integrate emerging technologies and best practices to support knowledge exchange, including data visualization, e-learning, and artificial intelligence, where appropriate and ethically sound.</w:t>
      </w:r>
    </w:p>
    <w:p w14:paraId="3D4C8B72" w14:textId="0A09DB82" w:rsidR="00650EAC" w:rsidRPr="00570873" w:rsidRDefault="00650EAC" w:rsidP="00650EAC">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tab/>
      </w:r>
      <w:r w:rsidR="00C10E82">
        <w:rPr>
          <w:rFonts w:eastAsia="Times New Roman"/>
          <w:lang w:val="en-GB"/>
        </w:rPr>
        <w:t>V</w:t>
      </w:r>
      <w:r>
        <w:rPr>
          <w:rFonts w:eastAsia="Times New Roman"/>
          <w:lang w:val="en-GB"/>
        </w:rPr>
        <w:t>.</w:t>
      </w:r>
      <w:r>
        <w:rPr>
          <w:rFonts w:eastAsia="Times New Roman"/>
          <w:lang w:val="en-GB"/>
        </w:rPr>
        <w:tab/>
      </w:r>
      <w:r w:rsidR="00761882">
        <w:rPr>
          <w:rFonts w:eastAsia="Times New Roman"/>
          <w:lang w:val="en-GB"/>
        </w:rPr>
        <w:t>S</w:t>
      </w:r>
      <w:r w:rsidR="00B836D7">
        <w:rPr>
          <w:rFonts w:eastAsia="Times New Roman"/>
          <w:lang w:val="en-GB"/>
        </w:rPr>
        <w:t>cope</w:t>
      </w:r>
    </w:p>
    <w:p w14:paraId="703B0865" w14:textId="3736C9FE" w:rsidR="00CB3E15" w:rsidRDefault="00E54108" w:rsidP="00700F9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sidRPr="00E54108">
        <w:rPr>
          <w:lang w:val="en-GB"/>
        </w:rPr>
        <w:t xml:space="preserve">The </w:t>
      </w:r>
      <w:r w:rsidR="00CB4193">
        <w:rPr>
          <w:lang w:val="en-GB"/>
        </w:rPr>
        <w:t>Minamata Convention Exchange</w:t>
      </w:r>
      <w:r w:rsidR="00DE21A4">
        <w:rPr>
          <w:lang w:val="en-GB"/>
        </w:rPr>
        <w:t xml:space="preserve"> Platform</w:t>
      </w:r>
      <w:r w:rsidRPr="00E54108">
        <w:rPr>
          <w:lang w:val="en-GB"/>
        </w:rPr>
        <w:t xml:space="preserve"> is designed to facilitate the structured exchange, access and use of knowledge and information relevant to the implementation of the Convention. It serves as a collaborative knowledge system that integrates scientific, technical, legal and policy information, and enables </w:t>
      </w:r>
      <w:r w:rsidR="00DE21A4">
        <w:rPr>
          <w:lang w:val="en-GB"/>
        </w:rPr>
        <w:t>p</w:t>
      </w:r>
      <w:r w:rsidRPr="00E54108">
        <w:rPr>
          <w:lang w:val="en-GB"/>
        </w:rPr>
        <w:t xml:space="preserve">arties and stakeholders to contribute to and benefit from a dynamic and user-oriented information ecosystem. In line with </w:t>
      </w:r>
      <w:r w:rsidR="00DD7F3F">
        <w:rPr>
          <w:lang w:val="en-GB"/>
        </w:rPr>
        <w:t>a</w:t>
      </w:r>
      <w:r w:rsidRPr="00E54108">
        <w:rPr>
          <w:lang w:val="en-GB"/>
        </w:rPr>
        <w:t>rticle</w:t>
      </w:r>
      <w:r w:rsidR="00DD7F3F">
        <w:rPr>
          <w:lang w:val="en-GB"/>
        </w:rPr>
        <w:t>s</w:t>
      </w:r>
      <w:r w:rsidRPr="00E54108">
        <w:rPr>
          <w:lang w:val="en-GB"/>
        </w:rPr>
        <w:t xml:space="preserve"> 17 </w:t>
      </w:r>
      <w:r w:rsidR="00DD7F3F">
        <w:rPr>
          <w:lang w:val="en-GB"/>
        </w:rPr>
        <w:t xml:space="preserve">and 24 </w:t>
      </w:r>
      <w:r w:rsidRPr="00E54108">
        <w:rPr>
          <w:lang w:val="en-GB"/>
        </w:rPr>
        <w:t xml:space="preserve">of the Convention, the </w:t>
      </w:r>
      <w:r w:rsidR="005079F3">
        <w:rPr>
          <w:lang w:val="en-GB"/>
        </w:rPr>
        <w:t>platform</w:t>
      </w:r>
      <w:r w:rsidRPr="00E54108">
        <w:rPr>
          <w:lang w:val="en-GB"/>
        </w:rPr>
        <w:t xml:space="preserve"> aims to promote </w:t>
      </w:r>
      <w:r w:rsidR="005079F3">
        <w:rPr>
          <w:lang w:val="en-GB"/>
        </w:rPr>
        <w:t xml:space="preserve">knowledge and </w:t>
      </w:r>
      <w:r w:rsidRPr="00E54108">
        <w:rPr>
          <w:lang w:val="en-GB"/>
        </w:rPr>
        <w:t>cooperation</w:t>
      </w:r>
      <w:r>
        <w:rPr>
          <w:lang w:val="en-GB"/>
        </w:rPr>
        <w:t>.</w:t>
      </w:r>
    </w:p>
    <w:p w14:paraId="31C15E1E" w14:textId="7EBD563B" w:rsidR="004D1C57" w:rsidRPr="00233B40" w:rsidRDefault="005B09BB" w:rsidP="00233B40">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tab/>
        <w:t>V</w:t>
      </w:r>
      <w:r w:rsidR="0041031A">
        <w:rPr>
          <w:rFonts w:eastAsia="Times New Roman"/>
          <w:lang w:val="en-GB"/>
        </w:rPr>
        <w:t>I</w:t>
      </w:r>
      <w:r>
        <w:rPr>
          <w:rFonts w:eastAsia="Times New Roman"/>
          <w:lang w:val="en-GB"/>
        </w:rPr>
        <w:t>.</w:t>
      </w:r>
      <w:r>
        <w:rPr>
          <w:rFonts w:eastAsia="Times New Roman"/>
          <w:lang w:val="en-GB"/>
        </w:rPr>
        <w:tab/>
        <w:t>K</w:t>
      </w:r>
      <w:r w:rsidR="004D1C57" w:rsidRPr="00233B40">
        <w:rPr>
          <w:rFonts w:eastAsia="Times New Roman"/>
          <w:lang w:val="en-GB"/>
        </w:rPr>
        <w:t>ey pillars</w:t>
      </w:r>
    </w:p>
    <w:p w14:paraId="3611D5C6" w14:textId="325CBC99" w:rsidR="006E1867" w:rsidRDefault="00847C30" w:rsidP="00700F9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Pr>
          <w:lang w:val="en-GB"/>
        </w:rPr>
        <w:t xml:space="preserve">The </w:t>
      </w:r>
      <w:r w:rsidR="009072AA">
        <w:rPr>
          <w:lang w:val="en-GB"/>
        </w:rPr>
        <w:t>proposed p</w:t>
      </w:r>
      <w:r>
        <w:rPr>
          <w:lang w:val="en-GB"/>
        </w:rPr>
        <w:t xml:space="preserve">latform </w:t>
      </w:r>
      <w:r w:rsidR="00D27C8E">
        <w:rPr>
          <w:lang w:val="en-GB"/>
        </w:rPr>
        <w:t xml:space="preserve">will be </w:t>
      </w:r>
      <w:r w:rsidR="00555E1F">
        <w:t>structured</w:t>
      </w:r>
      <w:r w:rsidR="00D27C8E">
        <w:rPr>
          <w:lang w:val="en-GB"/>
        </w:rPr>
        <w:t xml:space="preserve"> around three </w:t>
      </w:r>
      <w:r w:rsidR="000D0B06">
        <w:rPr>
          <w:lang w:val="en-GB"/>
        </w:rPr>
        <w:t xml:space="preserve">key </w:t>
      </w:r>
      <w:r w:rsidR="00D27C8E">
        <w:rPr>
          <w:lang w:val="en-GB"/>
        </w:rPr>
        <w:t>pillars</w:t>
      </w:r>
      <w:r w:rsidR="000D0B06">
        <w:rPr>
          <w:lang w:val="en-GB"/>
        </w:rPr>
        <w:t xml:space="preserve"> of knowledge management</w:t>
      </w:r>
      <w:r w:rsidR="00555E1F">
        <w:rPr>
          <w:lang w:val="en-GB"/>
        </w:rPr>
        <w:t>:</w:t>
      </w:r>
      <w:r w:rsidR="000D0B06">
        <w:rPr>
          <w:lang w:val="en-GB"/>
        </w:rPr>
        <w:t xml:space="preserve"> </w:t>
      </w:r>
      <w:r w:rsidR="008A4910">
        <w:rPr>
          <w:lang w:val="en-GB"/>
        </w:rPr>
        <w:t xml:space="preserve">technology, </w:t>
      </w:r>
      <w:r w:rsidR="000D0B06">
        <w:rPr>
          <w:lang w:val="en-GB"/>
        </w:rPr>
        <w:t xml:space="preserve">people, </w:t>
      </w:r>
      <w:r w:rsidR="008A4910">
        <w:rPr>
          <w:lang w:val="en-GB"/>
        </w:rPr>
        <w:t xml:space="preserve">and </w:t>
      </w:r>
      <w:r w:rsidR="000D0B06">
        <w:rPr>
          <w:lang w:val="en-GB"/>
        </w:rPr>
        <w:t xml:space="preserve">processes </w:t>
      </w:r>
      <w:r w:rsidR="008A4910">
        <w:rPr>
          <w:lang w:val="en-GB"/>
        </w:rPr>
        <w:t>and standards</w:t>
      </w:r>
      <w:r w:rsidR="000D0B06">
        <w:rPr>
          <w:lang w:val="en-GB"/>
        </w:rPr>
        <w:t>.</w:t>
      </w:r>
    </w:p>
    <w:p w14:paraId="3DF58773" w14:textId="4BEFDEDA" w:rsidR="00B73235" w:rsidRDefault="008932EA" w:rsidP="00700F9C">
      <w:pPr>
        <w:pStyle w:val="Normalnumber"/>
        <w:numPr>
          <w:ilvl w:val="1"/>
          <w:numId w:val="46"/>
        </w:numPr>
        <w:tabs>
          <w:tab w:val="clear" w:pos="1247"/>
          <w:tab w:val="clear" w:pos="1814"/>
          <w:tab w:val="clear" w:pos="2381"/>
          <w:tab w:val="clear" w:pos="2948"/>
          <w:tab w:val="clear" w:pos="3515"/>
          <w:tab w:val="clear" w:pos="4082"/>
          <w:tab w:val="num" w:pos="624"/>
        </w:tabs>
        <w:ind w:left="1247" w:firstLine="624"/>
        <w:rPr>
          <w:lang w:val="en-GB"/>
        </w:rPr>
      </w:pPr>
      <w:r>
        <w:rPr>
          <w:b/>
          <w:bCs/>
          <w:lang w:val="en-GB"/>
        </w:rPr>
        <w:t>Technology</w:t>
      </w:r>
      <w:r w:rsidR="006861B7" w:rsidRPr="006861B7">
        <w:rPr>
          <w:b/>
          <w:bCs/>
          <w:lang w:val="en-GB"/>
        </w:rPr>
        <w:t>:</w:t>
      </w:r>
      <w:r w:rsidR="006861B7">
        <w:rPr>
          <w:lang w:val="en-GB"/>
        </w:rPr>
        <w:t xml:space="preserve"> </w:t>
      </w:r>
      <w:r w:rsidR="006861B7" w:rsidRPr="006861B7">
        <w:rPr>
          <w:lang w:val="en-GB"/>
        </w:rPr>
        <w:t xml:space="preserve">the </w:t>
      </w:r>
      <w:r w:rsidR="00CB4193" w:rsidRPr="00383896">
        <w:rPr>
          <w:lang w:val="en-GB"/>
        </w:rPr>
        <w:t>Minamata</w:t>
      </w:r>
      <w:r w:rsidR="00CB4193">
        <w:rPr>
          <w:lang w:val="en-GB"/>
        </w:rPr>
        <w:t xml:space="preserve"> Convention Exchange</w:t>
      </w:r>
      <w:r>
        <w:rPr>
          <w:lang w:val="en-GB"/>
        </w:rPr>
        <w:t xml:space="preserve"> Platform</w:t>
      </w:r>
      <w:r w:rsidR="006861B7" w:rsidRPr="006861B7">
        <w:rPr>
          <w:lang w:val="en-GB"/>
        </w:rPr>
        <w:t xml:space="preserve"> will build on the Convention’s existing digital infrastructure to provide a coherent and user-focused information </w:t>
      </w:r>
      <w:r w:rsidR="006861B7" w:rsidRPr="006861B7">
        <w:rPr>
          <w:lang w:val="en-GB"/>
        </w:rPr>
        <w:lastRenderedPageBreak/>
        <w:t xml:space="preserve">environment. </w:t>
      </w:r>
      <w:r w:rsidR="009B5860">
        <w:rPr>
          <w:lang w:val="en-GB"/>
        </w:rPr>
        <w:t xml:space="preserve">It will be </w:t>
      </w:r>
      <w:r w:rsidR="005F6142">
        <w:rPr>
          <w:lang w:val="en-GB"/>
        </w:rPr>
        <w:t>integrated</w:t>
      </w:r>
      <w:r w:rsidR="00171AE1">
        <w:rPr>
          <w:lang w:val="en-GB"/>
        </w:rPr>
        <w:t xml:space="preserve"> with</w:t>
      </w:r>
      <w:r w:rsidR="006861B7" w:rsidRPr="006861B7">
        <w:rPr>
          <w:lang w:val="en-GB"/>
        </w:rPr>
        <w:t xml:space="preserve"> the Convention’s website</w:t>
      </w:r>
      <w:r w:rsidR="005F6142">
        <w:rPr>
          <w:lang w:val="en-GB"/>
        </w:rPr>
        <w:t xml:space="preserve"> data architecture</w:t>
      </w:r>
      <w:r w:rsidR="006861B7" w:rsidRPr="006861B7">
        <w:rPr>
          <w:lang w:val="en-GB"/>
        </w:rPr>
        <w:t xml:space="preserve">. It will also consolidate access to official documents, technical guidance, and learning materials, while progressively enabling data interoperability with external platforms such as </w:t>
      </w:r>
      <w:proofErr w:type="spellStart"/>
      <w:r w:rsidR="006861B7" w:rsidRPr="006861B7">
        <w:rPr>
          <w:lang w:val="en-GB"/>
        </w:rPr>
        <w:t>InforMEA</w:t>
      </w:r>
      <w:proofErr w:type="spellEnd"/>
      <w:r w:rsidR="006861B7" w:rsidRPr="006861B7">
        <w:rPr>
          <w:lang w:val="en-GB"/>
        </w:rPr>
        <w:t xml:space="preserve"> and </w:t>
      </w:r>
      <w:r w:rsidR="00807EFB">
        <w:rPr>
          <w:lang w:val="en-GB"/>
        </w:rPr>
        <w:t xml:space="preserve">the </w:t>
      </w:r>
      <w:r w:rsidR="006861B7" w:rsidRPr="006861B7">
        <w:rPr>
          <w:lang w:val="en-GB"/>
        </w:rPr>
        <w:t>GEF</w:t>
      </w:r>
      <w:r w:rsidR="00EF2C0F">
        <w:rPr>
          <w:lang w:val="en-GB"/>
        </w:rPr>
        <w:t xml:space="preserve"> projects database</w:t>
      </w:r>
      <w:r w:rsidR="006861B7" w:rsidRPr="006861B7">
        <w:rPr>
          <w:lang w:val="en-GB"/>
        </w:rPr>
        <w:t>.</w:t>
      </w:r>
    </w:p>
    <w:p w14:paraId="58016D8A" w14:textId="3434A14D" w:rsidR="00B73235" w:rsidRDefault="00A0185F" w:rsidP="00700F9C">
      <w:pPr>
        <w:pStyle w:val="Normalnumber"/>
        <w:numPr>
          <w:ilvl w:val="1"/>
          <w:numId w:val="46"/>
        </w:numPr>
        <w:tabs>
          <w:tab w:val="clear" w:pos="1247"/>
          <w:tab w:val="clear" w:pos="1814"/>
          <w:tab w:val="clear" w:pos="2381"/>
          <w:tab w:val="clear" w:pos="2948"/>
          <w:tab w:val="clear" w:pos="3515"/>
          <w:tab w:val="clear" w:pos="4082"/>
          <w:tab w:val="num" w:pos="624"/>
        </w:tabs>
        <w:ind w:left="1247" w:firstLine="624"/>
        <w:rPr>
          <w:lang w:val="en-GB"/>
        </w:rPr>
      </w:pPr>
      <w:r>
        <w:rPr>
          <w:b/>
          <w:bCs/>
          <w:lang w:val="en-GB"/>
        </w:rPr>
        <w:t>Participation</w:t>
      </w:r>
      <w:r w:rsidR="00B73235" w:rsidRPr="00567CD7">
        <w:rPr>
          <w:b/>
          <w:bCs/>
          <w:lang w:val="en-GB"/>
        </w:rPr>
        <w:t>, network and capacity</w:t>
      </w:r>
      <w:r w:rsidR="00567CD7" w:rsidRPr="00567CD7">
        <w:rPr>
          <w:b/>
          <w:bCs/>
          <w:lang w:val="en-GB"/>
        </w:rPr>
        <w:t>:</w:t>
      </w:r>
      <w:r w:rsidR="00567CD7">
        <w:rPr>
          <w:lang w:val="en-GB"/>
        </w:rPr>
        <w:t xml:space="preserve"> </w:t>
      </w:r>
      <w:r w:rsidR="00567CD7" w:rsidRPr="00567CD7">
        <w:rPr>
          <w:lang w:val="en-GB"/>
        </w:rPr>
        <w:t xml:space="preserve">The </w:t>
      </w:r>
      <w:r w:rsidR="00EF2C0F">
        <w:rPr>
          <w:lang w:val="en-GB"/>
        </w:rPr>
        <w:t>platform</w:t>
      </w:r>
      <w:r w:rsidR="00567CD7" w:rsidRPr="00567CD7">
        <w:rPr>
          <w:lang w:val="en-GB"/>
        </w:rPr>
        <w:t xml:space="preserve"> will facilitate information sharing and collaboration </w:t>
      </w:r>
      <w:r w:rsidR="00D25DC5">
        <w:rPr>
          <w:lang w:val="en-GB"/>
        </w:rPr>
        <w:t>among</w:t>
      </w:r>
      <w:r w:rsidR="00D25DC5" w:rsidRPr="00567CD7">
        <w:rPr>
          <w:lang w:val="en-GB"/>
        </w:rPr>
        <w:t xml:space="preserve"> </w:t>
      </w:r>
      <w:r w:rsidR="001B1FAB">
        <w:rPr>
          <w:lang w:val="en-GB"/>
        </w:rPr>
        <w:t>p</w:t>
      </w:r>
      <w:r w:rsidR="00567CD7" w:rsidRPr="00567CD7">
        <w:rPr>
          <w:lang w:val="en-GB"/>
        </w:rPr>
        <w:t>arties</w:t>
      </w:r>
      <w:r w:rsidR="00D25DC5">
        <w:rPr>
          <w:lang w:val="en-GB"/>
        </w:rPr>
        <w:t xml:space="preserve"> and stakeholders and across</w:t>
      </w:r>
      <w:r w:rsidR="00567CD7" w:rsidRPr="00567CD7">
        <w:rPr>
          <w:lang w:val="en-GB"/>
        </w:rPr>
        <w:t xml:space="preserve"> the Global Mercury Partnership, </w:t>
      </w:r>
      <w:r w:rsidR="007951CB">
        <w:rPr>
          <w:lang w:val="en-GB"/>
        </w:rPr>
        <w:t xml:space="preserve">the Global Framework on Chemicals, the Basel, Rotterdam and Stockholm Conventions, </w:t>
      </w:r>
      <w:proofErr w:type="spellStart"/>
      <w:r w:rsidR="007951CB">
        <w:rPr>
          <w:lang w:val="en-GB"/>
        </w:rPr>
        <w:t>InforMEA</w:t>
      </w:r>
      <w:proofErr w:type="spellEnd"/>
      <w:r w:rsidR="007951CB">
        <w:rPr>
          <w:lang w:val="en-GB"/>
        </w:rPr>
        <w:t xml:space="preserve"> </w:t>
      </w:r>
      <w:r w:rsidR="00567CD7" w:rsidRPr="00567CD7">
        <w:rPr>
          <w:lang w:val="en-GB"/>
        </w:rPr>
        <w:t xml:space="preserve">and other </w:t>
      </w:r>
      <w:r w:rsidR="00374DC4">
        <w:rPr>
          <w:lang w:val="en-GB"/>
        </w:rPr>
        <w:t xml:space="preserve">relevant </w:t>
      </w:r>
      <w:r w:rsidR="001007DD">
        <w:rPr>
          <w:lang w:val="en-GB"/>
        </w:rPr>
        <w:t>organizations and initiatives</w:t>
      </w:r>
      <w:r w:rsidR="00567CD7" w:rsidRPr="00567CD7">
        <w:rPr>
          <w:lang w:val="en-GB"/>
        </w:rPr>
        <w:t>. It will promote access to diverse knowledge sources, including national case studies and stakeholder experiences, and enhance engagement through capacity-building tools such as Minamata Online and e-learning modules. Multilingual access, low-bandwidth compatibility, and inclusive design will support equitable participation and strengthen the Convention’s knowledge community</w:t>
      </w:r>
      <w:r w:rsidR="00374DC4">
        <w:rPr>
          <w:lang w:val="en-GB"/>
        </w:rPr>
        <w:t>.</w:t>
      </w:r>
    </w:p>
    <w:p w14:paraId="25AA9ABF" w14:textId="79F3AFB9" w:rsidR="00B73235" w:rsidRDefault="00B73235" w:rsidP="00700F9C">
      <w:pPr>
        <w:pStyle w:val="Normalnumber"/>
        <w:numPr>
          <w:ilvl w:val="1"/>
          <w:numId w:val="46"/>
        </w:numPr>
        <w:tabs>
          <w:tab w:val="clear" w:pos="1247"/>
          <w:tab w:val="clear" w:pos="1814"/>
          <w:tab w:val="clear" w:pos="2381"/>
          <w:tab w:val="clear" w:pos="2948"/>
          <w:tab w:val="clear" w:pos="3515"/>
          <w:tab w:val="clear" w:pos="4082"/>
          <w:tab w:val="num" w:pos="624"/>
        </w:tabs>
        <w:ind w:left="1247" w:firstLine="624"/>
        <w:rPr>
          <w:lang w:val="en-GB"/>
        </w:rPr>
      </w:pPr>
      <w:r w:rsidRPr="004710F6">
        <w:rPr>
          <w:b/>
          <w:bCs/>
          <w:lang w:val="en-GB"/>
        </w:rPr>
        <w:t>Processes</w:t>
      </w:r>
      <w:r w:rsidR="004710F6" w:rsidRPr="004710F6">
        <w:rPr>
          <w:b/>
          <w:bCs/>
          <w:lang w:val="en-GB"/>
        </w:rPr>
        <w:t xml:space="preserve"> and</w:t>
      </w:r>
      <w:r w:rsidRPr="004710F6">
        <w:rPr>
          <w:b/>
          <w:bCs/>
          <w:lang w:val="en-GB"/>
        </w:rPr>
        <w:t xml:space="preserve"> standards</w:t>
      </w:r>
      <w:r w:rsidR="004710F6" w:rsidRPr="004710F6">
        <w:rPr>
          <w:b/>
          <w:bCs/>
          <w:lang w:val="en-GB"/>
        </w:rPr>
        <w:t>:</w:t>
      </w:r>
      <w:r w:rsidR="004710F6">
        <w:rPr>
          <w:lang w:val="en-GB"/>
        </w:rPr>
        <w:t xml:space="preserve"> </w:t>
      </w:r>
      <w:r w:rsidR="004710F6" w:rsidRPr="004710F6">
        <w:rPr>
          <w:lang w:val="en-GB"/>
        </w:rPr>
        <w:t xml:space="preserve">The third pillar ensures that the </w:t>
      </w:r>
      <w:r w:rsidR="0043437A">
        <w:rPr>
          <w:lang w:val="en-GB"/>
        </w:rPr>
        <w:t>platform</w:t>
      </w:r>
      <w:r w:rsidR="004710F6" w:rsidRPr="004710F6">
        <w:rPr>
          <w:lang w:val="en-GB"/>
        </w:rPr>
        <w:t xml:space="preserve"> is grounded in robust governance, shared standards, and responsible innovation. </w:t>
      </w:r>
      <w:r w:rsidR="0043437A">
        <w:rPr>
          <w:lang w:val="en-GB"/>
        </w:rPr>
        <w:t xml:space="preserve">It </w:t>
      </w:r>
      <w:r w:rsidR="004710F6" w:rsidRPr="004710F6">
        <w:rPr>
          <w:lang w:val="en-GB"/>
        </w:rPr>
        <w:t xml:space="preserve">will adhere to open knowledge principles while respecting </w:t>
      </w:r>
      <w:r w:rsidR="00297F7C" w:rsidRPr="004710F6">
        <w:rPr>
          <w:lang w:val="en-GB"/>
        </w:rPr>
        <w:t>confidentiality and</w:t>
      </w:r>
      <w:r w:rsidR="004710F6" w:rsidRPr="004710F6">
        <w:rPr>
          <w:lang w:val="en-GB"/>
        </w:rPr>
        <w:t xml:space="preserve"> apply metadata standards and taxonomies aligned with </w:t>
      </w:r>
      <w:proofErr w:type="spellStart"/>
      <w:r w:rsidR="004710F6" w:rsidRPr="004710F6">
        <w:rPr>
          <w:lang w:val="en-GB"/>
        </w:rPr>
        <w:t>InforMEA</w:t>
      </w:r>
      <w:proofErr w:type="spellEnd"/>
      <w:r w:rsidR="004710F6" w:rsidRPr="004710F6">
        <w:rPr>
          <w:lang w:val="en-GB"/>
        </w:rPr>
        <w:t xml:space="preserve"> and UNEP-wide data frameworks. A content validation process will ensure quality and institutional coherence, while user feedback and web analytics will support continuous improvement. Over time, the </w:t>
      </w:r>
      <w:r w:rsidR="00B652E7">
        <w:rPr>
          <w:lang w:val="en-GB"/>
        </w:rPr>
        <w:t>platform</w:t>
      </w:r>
      <w:r w:rsidR="004710F6" w:rsidRPr="004710F6">
        <w:rPr>
          <w:lang w:val="en-GB"/>
        </w:rPr>
        <w:t xml:space="preserve"> </w:t>
      </w:r>
      <w:r w:rsidR="00B652E7">
        <w:rPr>
          <w:lang w:val="en-GB"/>
        </w:rPr>
        <w:t>could</w:t>
      </w:r>
      <w:r w:rsidR="004710F6" w:rsidRPr="004710F6">
        <w:rPr>
          <w:lang w:val="en-GB"/>
        </w:rPr>
        <w:t xml:space="preserve"> incorporate AI-enabled features for information discovery and reporting, in line with the UN’s guidance on ethical and secure digital transformation</w:t>
      </w:r>
      <w:r w:rsidR="00094EA8">
        <w:rPr>
          <w:lang w:val="en-GB"/>
        </w:rPr>
        <w:t>.</w:t>
      </w:r>
    </w:p>
    <w:p w14:paraId="0C9244AD" w14:textId="14237104" w:rsidR="00543D07" w:rsidRPr="00570873" w:rsidRDefault="000057D7" w:rsidP="00543D07">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bookmarkStart w:id="0" w:name="_Hlk198905610"/>
      <w:r>
        <w:rPr>
          <w:rFonts w:eastAsia="Times New Roman"/>
          <w:lang w:val="en-GB"/>
        </w:rPr>
        <w:tab/>
      </w:r>
      <w:bookmarkEnd w:id="0"/>
      <w:r w:rsidR="008C6B3E">
        <w:rPr>
          <w:rFonts w:eastAsia="Times New Roman"/>
          <w:lang w:val="en-GB"/>
        </w:rPr>
        <w:t>V</w:t>
      </w:r>
      <w:r w:rsidR="00902C83">
        <w:rPr>
          <w:rFonts w:eastAsia="Times New Roman"/>
          <w:lang w:val="en-GB"/>
        </w:rPr>
        <w:t>II</w:t>
      </w:r>
      <w:r w:rsidR="00543D07">
        <w:rPr>
          <w:rFonts w:eastAsia="Times New Roman"/>
          <w:lang w:val="en-GB"/>
        </w:rPr>
        <w:t>.</w:t>
      </w:r>
      <w:r w:rsidR="00543D07">
        <w:rPr>
          <w:rFonts w:eastAsia="Times New Roman"/>
          <w:lang w:val="en-GB"/>
        </w:rPr>
        <w:tab/>
      </w:r>
      <w:r w:rsidR="008C6B3E">
        <w:rPr>
          <w:rFonts w:eastAsia="Times New Roman"/>
          <w:lang w:val="en-GB"/>
        </w:rPr>
        <w:t>Implementation roadmap for the biennium 2026-2027</w:t>
      </w:r>
    </w:p>
    <w:p w14:paraId="28499E66" w14:textId="31403396" w:rsidR="001568FD" w:rsidRPr="001568FD" w:rsidRDefault="00D14FE5" w:rsidP="00700F9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pPr>
      <w:r w:rsidRPr="00D14FE5">
        <w:rPr>
          <w:lang w:val="en-GB"/>
        </w:rPr>
        <w:t xml:space="preserve">The implementation of the </w:t>
      </w:r>
      <w:r w:rsidR="00D836D2">
        <w:rPr>
          <w:lang w:val="en-GB"/>
        </w:rPr>
        <w:t xml:space="preserve">proposed </w:t>
      </w:r>
      <w:r w:rsidR="00014B46">
        <w:rPr>
          <w:lang w:val="en-GB"/>
        </w:rPr>
        <w:t>p</w:t>
      </w:r>
      <w:r w:rsidRPr="00D14FE5">
        <w:rPr>
          <w:lang w:val="en-GB"/>
        </w:rPr>
        <w:t xml:space="preserve">latform will follow a phased, strategic approach, prioritizing core functions and building on the Convention's digital infrastructure. </w:t>
      </w:r>
      <w:r w:rsidR="001568FD" w:rsidRPr="001568FD">
        <w:t xml:space="preserve">The platform will be developed </w:t>
      </w:r>
      <w:r w:rsidR="001568FD" w:rsidRPr="00700F9C">
        <w:rPr>
          <w:lang w:val="en-GB"/>
        </w:rPr>
        <w:t>incrementally</w:t>
      </w:r>
      <w:r w:rsidR="001568FD" w:rsidRPr="001568FD">
        <w:t xml:space="preserve"> in a cost-effective manner, aligning with the secretariat's digital strategy. Initially, it will focus on leveraging existing tools and resources and expand in line with the parties’ needs and strategic priorities. </w:t>
      </w:r>
    </w:p>
    <w:p w14:paraId="77D7DB06" w14:textId="15A6B994" w:rsidR="00D14FE5" w:rsidRDefault="00D14FE5" w:rsidP="00700F9C">
      <w:pPr>
        <w:pStyle w:val="NormalNonumber"/>
        <w:numPr>
          <w:ilvl w:val="0"/>
          <w:numId w:val="46"/>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lang w:val="en-GB"/>
        </w:rPr>
      </w:pPr>
      <w:r w:rsidRPr="00D14FE5">
        <w:rPr>
          <w:lang w:val="en-GB"/>
        </w:rPr>
        <w:t>During the biennium 2026–2027,</w:t>
      </w:r>
      <w:r w:rsidR="0041031A">
        <w:rPr>
          <w:lang w:val="en-GB"/>
        </w:rPr>
        <w:t xml:space="preserve"> subject to availability of resources,</w:t>
      </w:r>
      <w:r w:rsidRPr="00D14FE5">
        <w:rPr>
          <w:lang w:val="en-GB"/>
        </w:rPr>
        <w:t xml:space="preserve"> activities will focus on gathering inputs from </w:t>
      </w:r>
      <w:r w:rsidR="008456A5">
        <w:rPr>
          <w:lang w:val="en-GB"/>
        </w:rPr>
        <w:t>p</w:t>
      </w:r>
      <w:r w:rsidRPr="00D14FE5">
        <w:rPr>
          <w:lang w:val="en-GB"/>
        </w:rPr>
        <w:t>arties, structuring data and knowledge already available, and developing thematic and technical components to serve both information sharing and cooperation objectives. The following table summarizes key activities, expected outcomes, and their implementation timeline:</w:t>
      </w:r>
    </w:p>
    <w:p w14:paraId="4F6A7C70" w14:textId="53DCA74F" w:rsidR="006123E1" w:rsidRDefault="006123E1" w:rsidP="00233B40">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pPr>
      <w:r>
        <w:br w:type="page"/>
      </w:r>
    </w:p>
    <w:p w14:paraId="771209E3" w14:textId="77777777" w:rsidR="00E47692" w:rsidRDefault="00E47692">
      <w:pPr>
        <w:rPr>
          <w:lang w:eastAsia="en-US"/>
        </w:rPr>
        <w:sectPr w:rsidR="00E47692" w:rsidSect="0015442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pPr>
    </w:p>
    <w:tbl>
      <w:tblPr>
        <w:tblW w:w="14343" w:type="dxa"/>
        <w:jc w:val="right"/>
        <w:tblLook w:val="04A0" w:firstRow="1" w:lastRow="0" w:firstColumn="1" w:lastColumn="0" w:noHBand="0" w:noVBand="1"/>
      </w:tblPr>
      <w:tblGrid>
        <w:gridCol w:w="3415"/>
        <w:gridCol w:w="4230"/>
        <w:gridCol w:w="2970"/>
        <w:gridCol w:w="2970"/>
        <w:gridCol w:w="758"/>
      </w:tblGrid>
      <w:tr w:rsidR="000535A8" w:rsidRPr="00700F9C" w14:paraId="2255A9D1" w14:textId="77777777" w:rsidTr="00233B40">
        <w:trPr>
          <w:trHeight w:val="57"/>
          <w:tblHeader/>
          <w:jc w:val="right"/>
        </w:trPr>
        <w:tc>
          <w:tcPr>
            <w:tcW w:w="14343" w:type="dxa"/>
            <w:gridSpan w:val="5"/>
            <w:tcBorders>
              <w:top w:val="single" w:sz="4" w:space="0" w:color="auto"/>
              <w:left w:val="single" w:sz="4" w:space="0" w:color="auto"/>
              <w:bottom w:val="single" w:sz="4" w:space="0" w:color="auto"/>
              <w:right w:val="single" w:sz="4" w:space="0" w:color="auto"/>
            </w:tcBorders>
          </w:tcPr>
          <w:p w14:paraId="2A0F26F1" w14:textId="2EB375A7" w:rsidR="000535A8" w:rsidRPr="00700F9C" w:rsidRDefault="000535A8" w:rsidP="00FB118F">
            <w:pPr>
              <w:pStyle w:val="NormalNonumber"/>
              <w:ind w:left="0"/>
              <w:rPr>
                <w:b/>
                <w:bCs/>
                <w:i/>
                <w:iCs/>
                <w:sz w:val="18"/>
                <w:szCs w:val="18"/>
              </w:rPr>
            </w:pPr>
            <w:r w:rsidRPr="00700F9C">
              <w:rPr>
                <w:b/>
                <w:bCs/>
                <w:i/>
                <w:iCs/>
                <w:sz w:val="18"/>
                <w:szCs w:val="18"/>
              </w:rPr>
              <w:lastRenderedPageBreak/>
              <w:t xml:space="preserve">Proposed activities for the operationalization of the </w:t>
            </w:r>
            <w:r w:rsidR="00CB4193" w:rsidRPr="00700F9C">
              <w:rPr>
                <w:b/>
                <w:bCs/>
                <w:i/>
                <w:iCs/>
                <w:sz w:val="18"/>
                <w:szCs w:val="18"/>
              </w:rPr>
              <w:t>Minamata Convention Exchange</w:t>
            </w:r>
            <w:r w:rsidRPr="00700F9C">
              <w:rPr>
                <w:b/>
                <w:bCs/>
                <w:i/>
                <w:iCs/>
                <w:sz w:val="18"/>
                <w:szCs w:val="18"/>
              </w:rPr>
              <w:t xml:space="preserve"> Platform to be undertaken during the biennium 2026-2027</w:t>
            </w:r>
          </w:p>
        </w:tc>
      </w:tr>
      <w:tr w:rsidR="00E26B0B" w:rsidRPr="00700F9C" w14:paraId="6210198C" w14:textId="77777777" w:rsidTr="00233B40">
        <w:trPr>
          <w:trHeight w:val="57"/>
          <w:tblHeader/>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608E97" w14:textId="4D3238EB" w:rsidR="00341E59" w:rsidRPr="00700F9C" w:rsidRDefault="00341E59" w:rsidP="00341E59">
            <w:pPr>
              <w:pStyle w:val="NormalNonumber"/>
              <w:ind w:left="0"/>
              <w:jc w:val="center"/>
              <w:rPr>
                <w:i/>
                <w:iCs/>
                <w:sz w:val="18"/>
                <w:szCs w:val="18"/>
              </w:rPr>
            </w:pPr>
            <w:r w:rsidRPr="00700F9C">
              <w:rPr>
                <w:i/>
                <w:iCs/>
                <w:sz w:val="18"/>
                <w:szCs w:val="18"/>
              </w:rPr>
              <w:t>Activities</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4B24A0" w14:textId="72AECED0" w:rsidR="00341E59" w:rsidRPr="00700F9C" w:rsidRDefault="00341E59" w:rsidP="00341E59">
            <w:pPr>
              <w:pStyle w:val="NormalNonumber"/>
              <w:ind w:left="0"/>
              <w:jc w:val="center"/>
              <w:rPr>
                <w:i/>
                <w:iCs/>
                <w:sz w:val="18"/>
                <w:szCs w:val="18"/>
              </w:rPr>
            </w:pPr>
            <w:r w:rsidRPr="00700F9C">
              <w:rPr>
                <w:i/>
                <w:iCs/>
                <w:sz w:val="18"/>
                <w:szCs w:val="18"/>
              </w:rPr>
              <w:t>Description</w:t>
            </w:r>
          </w:p>
        </w:tc>
        <w:tc>
          <w:tcPr>
            <w:tcW w:w="2970" w:type="dxa"/>
            <w:tcBorders>
              <w:top w:val="single" w:sz="4" w:space="0" w:color="auto"/>
              <w:left w:val="single" w:sz="4" w:space="0" w:color="auto"/>
              <w:bottom w:val="single" w:sz="4" w:space="0" w:color="auto"/>
              <w:right w:val="single" w:sz="4" w:space="0" w:color="auto"/>
            </w:tcBorders>
          </w:tcPr>
          <w:p w14:paraId="3FA231B9" w14:textId="00E86C03" w:rsidR="00341E59" w:rsidRPr="00700F9C" w:rsidRDefault="00341E59" w:rsidP="00341E59">
            <w:pPr>
              <w:pStyle w:val="NormalNonumber"/>
              <w:ind w:left="0"/>
              <w:jc w:val="center"/>
              <w:rPr>
                <w:i/>
                <w:iCs/>
                <w:sz w:val="18"/>
                <w:szCs w:val="18"/>
              </w:rPr>
            </w:pPr>
            <w:r w:rsidRPr="00700F9C">
              <w:rPr>
                <w:i/>
                <w:iCs/>
                <w:sz w:val="18"/>
                <w:szCs w:val="18"/>
              </w:rPr>
              <w:t>Expected outcomes</w:t>
            </w:r>
          </w:p>
        </w:tc>
        <w:tc>
          <w:tcPr>
            <w:tcW w:w="2970" w:type="dxa"/>
            <w:tcBorders>
              <w:top w:val="single" w:sz="4" w:space="0" w:color="auto"/>
              <w:left w:val="single" w:sz="4" w:space="0" w:color="auto"/>
              <w:bottom w:val="single" w:sz="4" w:space="0" w:color="auto"/>
              <w:right w:val="single" w:sz="4" w:space="0" w:color="auto"/>
            </w:tcBorders>
          </w:tcPr>
          <w:p w14:paraId="0AD220B4" w14:textId="7EBAE98B" w:rsidR="00341E59" w:rsidRPr="00700F9C" w:rsidRDefault="00243738" w:rsidP="00341E59">
            <w:pPr>
              <w:pStyle w:val="NormalNonumber"/>
              <w:ind w:left="0"/>
              <w:jc w:val="center"/>
              <w:rPr>
                <w:i/>
                <w:iCs/>
                <w:sz w:val="18"/>
                <w:szCs w:val="18"/>
              </w:rPr>
            </w:pPr>
            <w:r w:rsidRPr="00700F9C">
              <w:rPr>
                <w:i/>
                <w:iCs/>
                <w:sz w:val="18"/>
                <w:szCs w:val="18"/>
              </w:rPr>
              <w:t>Approach</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C8EBF0" w14:textId="723C3535" w:rsidR="00341E59" w:rsidRPr="00700F9C" w:rsidRDefault="00341E59" w:rsidP="00341E59">
            <w:pPr>
              <w:pStyle w:val="NormalNonumber"/>
              <w:ind w:left="0"/>
              <w:jc w:val="center"/>
              <w:rPr>
                <w:i/>
                <w:iCs/>
                <w:sz w:val="18"/>
                <w:szCs w:val="18"/>
              </w:rPr>
            </w:pPr>
            <w:r w:rsidRPr="00700F9C">
              <w:rPr>
                <w:i/>
                <w:iCs/>
                <w:sz w:val="18"/>
                <w:szCs w:val="18"/>
              </w:rPr>
              <w:t>Year</w:t>
            </w:r>
          </w:p>
        </w:tc>
      </w:tr>
      <w:tr w:rsidR="00E26B0B" w:rsidRPr="00700F9C" w14:paraId="0885F8CA" w14:textId="77777777" w:rsidTr="00233B40">
        <w:trPr>
          <w:trHeight w:val="57"/>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C4705" w14:textId="3B491481" w:rsidR="00341E59" w:rsidRPr="00700F9C" w:rsidRDefault="00E96C35" w:rsidP="00341E59">
            <w:pPr>
              <w:pStyle w:val="NormalNonumber"/>
              <w:ind w:left="0"/>
              <w:rPr>
                <w:sz w:val="18"/>
                <w:szCs w:val="18"/>
              </w:rPr>
            </w:pPr>
            <w:r w:rsidRPr="00700F9C">
              <w:rPr>
                <w:sz w:val="18"/>
                <w:szCs w:val="18"/>
                <w:lang w:val="en-GB"/>
              </w:rPr>
              <w:t xml:space="preserve">Activity 1: </w:t>
            </w:r>
            <w:r w:rsidR="00341E59" w:rsidRPr="00700F9C">
              <w:rPr>
                <w:sz w:val="18"/>
                <w:szCs w:val="18"/>
              </w:rPr>
              <w:t xml:space="preserve">Conduct </w:t>
            </w:r>
            <w:r w:rsidR="00243738" w:rsidRPr="00700F9C">
              <w:rPr>
                <w:sz w:val="18"/>
                <w:szCs w:val="18"/>
              </w:rPr>
              <w:t xml:space="preserve">an </w:t>
            </w:r>
            <w:r w:rsidR="00341E59" w:rsidRPr="00700F9C">
              <w:rPr>
                <w:sz w:val="18"/>
                <w:szCs w:val="18"/>
              </w:rPr>
              <w:t>initial survey to gather party input on information exchange needs</w:t>
            </w:r>
            <w:r w:rsidRPr="00700F9C">
              <w:rPr>
                <w:sz w:val="18"/>
                <w:szCs w:val="18"/>
              </w:rPr>
              <w:t>.</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9D4D5A" w14:textId="35B56148" w:rsidR="00341E59" w:rsidRPr="00700F9C" w:rsidRDefault="00E96C35" w:rsidP="00341E59">
            <w:pPr>
              <w:pStyle w:val="NormalNonumber"/>
              <w:ind w:left="0"/>
              <w:rPr>
                <w:sz w:val="18"/>
                <w:szCs w:val="18"/>
              </w:rPr>
            </w:pPr>
            <w:r w:rsidRPr="00700F9C">
              <w:rPr>
                <w:sz w:val="18"/>
                <w:szCs w:val="18"/>
              </w:rPr>
              <w:t xml:space="preserve">The secretariat will launch a targeted survey to collect information from parties on their needs, preferences, and expectations regarding the </w:t>
            </w:r>
            <w:r w:rsidR="00CB4193" w:rsidRPr="00700F9C">
              <w:rPr>
                <w:sz w:val="18"/>
                <w:szCs w:val="18"/>
              </w:rPr>
              <w:t>Minamata Convention Exchange</w:t>
            </w:r>
            <w:r w:rsidRPr="00700F9C">
              <w:rPr>
                <w:sz w:val="18"/>
                <w:szCs w:val="18"/>
              </w:rPr>
              <w:t xml:space="preserve"> Platform</w:t>
            </w:r>
            <w:r w:rsidR="00E26B0B" w:rsidRPr="00700F9C">
              <w:rPr>
                <w:sz w:val="18"/>
                <w:szCs w:val="18"/>
              </w:rPr>
              <w:t>, in line with the Convention´s obligations expressed in articles</w:t>
            </w:r>
            <w:r w:rsidRPr="00700F9C">
              <w:rPr>
                <w:sz w:val="18"/>
                <w:szCs w:val="18"/>
              </w:rPr>
              <w:t xml:space="preserve"> 17 and 24.</w:t>
            </w:r>
          </w:p>
        </w:tc>
        <w:tc>
          <w:tcPr>
            <w:tcW w:w="2970" w:type="dxa"/>
            <w:tcBorders>
              <w:top w:val="single" w:sz="4" w:space="0" w:color="auto"/>
              <w:left w:val="single" w:sz="4" w:space="0" w:color="auto"/>
              <w:bottom w:val="single" w:sz="4" w:space="0" w:color="auto"/>
              <w:right w:val="single" w:sz="4" w:space="0" w:color="auto"/>
            </w:tcBorders>
          </w:tcPr>
          <w:p w14:paraId="7BF288CF" w14:textId="52DB06F8" w:rsidR="00341E59" w:rsidRPr="00700F9C" w:rsidRDefault="00341E59" w:rsidP="00341E59">
            <w:pPr>
              <w:pStyle w:val="NormalNonumber"/>
              <w:ind w:left="0"/>
              <w:rPr>
                <w:sz w:val="18"/>
                <w:szCs w:val="18"/>
              </w:rPr>
            </w:pPr>
            <w:r w:rsidRPr="00700F9C">
              <w:rPr>
                <w:sz w:val="18"/>
                <w:szCs w:val="18"/>
              </w:rPr>
              <w:t xml:space="preserve">Party perspectives and thematic priorities </w:t>
            </w:r>
            <w:r w:rsidR="00E96C35" w:rsidRPr="00700F9C">
              <w:rPr>
                <w:sz w:val="18"/>
                <w:szCs w:val="18"/>
              </w:rPr>
              <w:t xml:space="preserve">are </w:t>
            </w:r>
            <w:r w:rsidRPr="00700F9C">
              <w:rPr>
                <w:sz w:val="18"/>
                <w:szCs w:val="18"/>
              </w:rPr>
              <w:t>collected to guide platform features and content</w:t>
            </w:r>
            <w:r w:rsidR="00E26B0B" w:rsidRPr="00700F9C">
              <w:rPr>
                <w:sz w:val="18"/>
                <w:szCs w:val="18"/>
              </w:rPr>
              <w:t>.</w:t>
            </w:r>
          </w:p>
        </w:tc>
        <w:tc>
          <w:tcPr>
            <w:tcW w:w="2970" w:type="dxa"/>
            <w:tcBorders>
              <w:top w:val="single" w:sz="4" w:space="0" w:color="auto"/>
              <w:left w:val="single" w:sz="4" w:space="0" w:color="auto"/>
              <w:bottom w:val="single" w:sz="4" w:space="0" w:color="auto"/>
              <w:right w:val="single" w:sz="4" w:space="0" w:color="auto"/>
            </w:tcBorders>
          </w:tcPr>
          <w:p w14:paraId="6D0DD12B" w14:textId="3CDDAA15" w:rsidR="00341E59" w:rsidRPr="00700F9C" w:rsidRDefault="00E26B0B" w:rsidP="00341E59">
            <w:pPr>
              <w:pStyle w:val="NormalNonumber"/>
              <w:ind w:left="0"/>
              <w:rPr>
                <w:sz w:val="18"/>
                <w:szCs w:val="18"/>
              </w:rPr>
            </w:pPr>
            <w:r w:rsidRPr="00700F9C">
              <w:rPr>
                <w:sz w:val="18"/>
                <w:szCs w:val="18"/>
              </w:rPr>
              <w:t>Design and distribute a multilingual survey instrument with follow-up consultations where needed. The results will inform the platform architecture and content planning.</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5AED" w14:textId="2509339D" w:rsidR="00341E59" w:rsidRPr="00700F9C" w:rsidRDefault="00341E59" w:rsidP="00341E59">
            <w:pPr>
              <w:pStyle w:val="NormalNonumber"/>
              <w:ind w:left="0"/>
              <w:rPr>
                <w:sz w:val="18"/>
                <w:szCs w:val="18"/>
              </w:rPr>
            </w:pPr>
            <w:r w:rsidRPr="00700F9C">
              <w:rPr>
                <w:sz w:val="18"/>
                <w:szCs w:val="18"/>
              </w:rPr>
              <w:t>2026</w:t>
            </w:r>
          </w:p>
        </w:tc>
      </w:tr>
      <w:tr w:rsidR="00E26B0B" w:rsidRPr="00700F9C" w14:paraId="7C0CECB0" w14:textId="77777777" w:rsidTr="00233B40">
        <w:trPr>
          <w:trHeight w:val="57"/>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A603D3" w14:textId="22AC5386" w:rsidR="00341E59" w:rsidRPr="00700F9C" w:rsidRDefault="00E26B0B" w:rsidP="00341E59">
            <w:pPr>
              <w:pStyle w:val="NormalNonumber"/>
              <w:tabs>
                <w:tab w:val="clear" w:pos="1247"/>
                <w:tab w:val="clear" w:pos="1814"/>
                <w:tab w:val="clear" w:pos="2381"/>
                <w:tab w:val="clear" w:pos="2948"/>
                <w:tab w:val="clear" w:pos="3515"/>
                <w:tab w:val="clear" w:pos="4082"/>
                <w:tab w:val="left" w:pos="430"/>
              </w:tabs>
              <w:ind w:left="0"/>
              <w:rPr>
                <w:sz w:val="18"/>
                <w:szCs w:val="18"/>
              </w:rPr>
            </w:pPr>
            <w:r w:rsidRPr="00700F9C">
              <w:rPr>
                <w:sz w:val="18"/>
                <w:szCs w:val="18"/>
              </w:rPr>
              <w:t xml:space="preserve">Activity 2: </w:t>
            </w:r>
            <w:r w:rsidR="00341E59" w:rsidRPr="00700F9C">
              <w:rPr>
                <w:sz w:val="18"/>
                <w:szCs w:val="18"/>
              </w:rPr>
              <w:t xml:space="preserve">Extract insights from </w:t>
            </w:r>
            <w:r w:rsidR="009D224D" w:rsidRPr="00700F9C">
              <w:rPr>
                <w:sz w:val="18"/>
                <w:szCs w:val="18"/>
              </w:rPr>
              <w:t xml:space="preserve">the full </w:t>
            </w:r>
            <w:r w:rsidR="00341E59" w:rsidRPr="00700F9C">
              <w:rPr>
                <w:sz w:val="18"/>
                <w:szCs w:val="18"/>
              </w:rPr>
              <w:t>national reporting cycles 1 and 2 (article 17)</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D7018" w14:textId="480D0C14" w:rsidR="00341E59" w:rsidRPr="00700F9C" w:rsidRDefault="00A000D6" w:rsidP="00341E59">
            <w:pPr>
              <w:pStyle w:val="NormalNonumber"/>
              <w:ind w:left="0"/>
              <w:rPr>
                <w:sz w:val="18"/>
                <w:szCs w:val="18"/>
              </w:rPr>
            </w:pPr>
            <w:r w:rsidRPr="00700F9C">
              <w:rPr>
                <w:sz w:val="18"/>
                <w:szCs w:val="18"/>
              </w:rPr>
              <w:t>Responses submitted under Article 17 in the first and second full national reports will be analyzed to extract trends, challenges and good practices, to input the platform.</w:t>
            </w:r>
          </w:p>
        </w:tc>
        <w:tc>
          <w:tcPr>
            <w:tcW w:w="2970" w:type="dxa"/>
            <w:tcBorders>
              <w:top w:val="single" w:sz="4" w:space="0" w:color="auto"/>
              <w:left w:val="single" w:sz="4" w:space="0" w:color="auto"/>
              <w:bottom w:val="single" w:sz="4" w:space="0" w:color="auto"/>
              <w:right w:val="single" w:sz="4" w:space="0" w:color="auto"/>
            </w:tcBorders>
          </w:tcPr>
          <w:p w14:paraId="252F675D" w14:textId="46E5B757" w:rsidR="00341E59" w:rsidRPr="00700F9C" w:rsidRDefault="00A000D6" w:rsidP="00341E59">
            <w:pPr>
              <w:pStyle w:val="NormalNonumber"/>
              <w:ind w:left="0"/>
              <w:rPr>
                <w:sz w:val="18"/>
                <w:szCs w:val="18"/>
              </w:rPr>
            </w:pPr>
            <w:r w:rsidRPr="00700F9C">
              <w:rPr>
                <w:sz w:val="18"/>
                <w:szCs w:val="18"/>
              </w:rPr>
              <w:t xml:space="preserve">Key insights </w:t>
            </w:r>
            <w:r w:rsidR="00112320" w:rsidRPr="00700F9C">
              <w:rPr>
                <w:sz w:val="18"/>
                <w:szCs w:val="18"/>
              </w:rPr>
              <w:t xml:space="preserve">are </w:t>
            </w:r>
            <w:r w:rsidRPr="00700F9C">
              <w:rPr>
                <w:sz w:val="18"/>
                <w:szCs w:val="18"/>
              </w:rPr>
              <w:t>structured and made accessible on the platform to support knowledge sharing and policy development.</w:t>
            </w:r>
          </w:p>
        </w:tc>
        <w:tc>
          <w:tcPr>
            <w:tcW w:w="2970" w:type="dxa"/>
            <w:tcBorders>
              <w:top w:val="single" w:sz="4" w:space="0" w:color="auto"/>
              <w:left w:val="single" w:sz="4" w:space="0" w:color="auto"/>
              <w:bottom w:val="single" w:sz="4" w:space="0" w:color="auto"/>
              <w:right w:val="single" w:sz="4" w:space="0" w:color="auto"/>
            </w:tcBorders>
          </w:tcPr>
          <w:p w14:paraId="42E13DA8" w14:textId="2E0F334B" w:rsidR="00341E59" w:rsidRPr="00700F9C" w:rsidRDefault="00A000D6" w:rsidP="00341E59">
            <w:pPr>
              <w:pStyle w:val="NormalNonumber"/>
              <w:ind w:left="0"/>
              <w:rPr>
                <w:sz w:val="18"/>
                <w:szCs w:val="18"/>
              </w:rPr>
            </w:pPr>
            <w:r w:rsidRPr="00700F9C">
              <w:rPr>
                <w:sz w:val="18"/>
                <w:szCs w:val="18"/>
              </w:rPr>
              <w:t>Apply a structured review methodology to the relevant sections of national reports; synthesize findings into thematic summaries, organize data cycle, country, and region.</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F23CA3" w14:textId="0AE9B569" w:rsidR="00341E59" w:rsidRPr="00700F9C" w:rsidRDefault="00341E59" w:rsidP="00341E59">
            <w:pPr>
              <w:pStyle w:val="NormalNonumber"/>
              <w:ind w:left="0"/>
              <w:rPr>
                <w:sz w:val="18"/>
                <w:szCs w:val="18"/>
              </w:rPr>
            </w:pPr>
            <w:r w:rsidRPr="00700F9C">
              <w:rPr>
                <w:sz w:val="18"/>
                <w:szCs w:val="18"/>
              </w:rPr>
              <w:t>2026</w:t>
            </w:r>
          </w:p>
        </w:tc>
      </w:tr>
      <w:tr w:rsidR="00E26B0B" w:rsidRPr="00700F9C" w14:paraId="7D4995FB" w14:textId="77777777" w:rsidTr="00233B40">
        <w:trPr>
          <w:trHeight w:val="57"/>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113FA" w14:textId="0A61EA4A" w:rsidR="00341E59" w:rsidRPr="00700F9C" w:rsidRDefault="00A000D6" w:rsidP="00341E59">
            <w:pPr>
              <w:pStyle w:val="NormalNonumber"/>
              <w:ind w:left="0"/>
              <w:rPr>
                <w:sz w:val="18"/>
                <w:szCs w:val="18"/>
              </w:rPr>
            </w:pPr>
            <w:r w:rsidRPr="00700F9C">
              <w:rPr>
                <w:sz w:val="18"/>
                <w:szCs w:val="18"/>
              </w:rPr>
              <w:t xml:space="preserve">Activity 3: </w:t>
            </w:r>
            <w:r w:rsidR="00341E59" w:rsidRPr="00700F9C">
              <w:rPr>
                <w:sz w:val="18"/>
                <w:szCs w:val="18"/>
              </w:rPr>
              <w:t>Digitize party submissions and develop public registers (e.g. focal points)</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810FF" w14:textId="504E15A6" w:rsidR="00341E59" w:rsidRPr="00700F9C" w:rsidRDefault="0029507F" w:rsidP="00341E59">
            <w:pPr>
              <w:pStyle w:val="NormalNonumber"/>
              <w:ind w:left="0"/>
              <w:rPr>
                <w:sz w:val="18"/>
                <w:szCs w:val="18"/>
              </w:rPr>
            </w:pPr>
            <w:r w:rsidRPr="00700F9C">
              <w:rPr>
                <w:sz w:val="18"/>
                <w:szCs w:val="18"/>
              </w:rPr>
              <w:t>Submissions such as focal point nominations will be digitized and made publicly accessible through searchable, structured formats.</w:t>
            </w:r>
          </w:p>
        </w:tc>
        <w:tc>
          <w:tcPr>
            <w:tcW w:w="2970" w:type="dxa"/>
            <w:tcBorders>
              <w:top w:val="single" w:sz="4" w:space="0" w:color="auto"/>
              <w:left w:val="single" w:sz="4" w:space="0" w:color="auto"/>
              <w:bottom w:val="single" w:sz="4" w:space="0" w:color="auto"/>
              <w:right w:val="single" w:sz="4" w:space="0" w:color="auto"/>
            </w:tcBorders>
          </w:tcPr>
          <w:p w14:paraId="5A7BEDB1" w14:textId="33C4A783" w:rsidR="00341E59" w:rsidRPr="00700F9C" w:rsidRDefault="00341E59" w:rsidP="00341E59">
            <w:pPr>
              <w:pStyle w:val="NormalNonumber"/>
              <w:ind w:left="0"/>
              <w:rPr>
                <w:sz w:val="18"/>
                <w:szCs w:val="18"/>
              </w:rPr>
            </w:pPr>
            <w:r w:rsidRPr="00700F9C">
              <w:rPr>
                <w:sz w:val="18"/>
                <w:szCs w:val="18"/>
              </w:rPr>
              <w:t>Improved visibility and structured access to party data and formal submissions</w:t>
            </w:r>
            <w:r w:rsidR="0029507F" w:rsidRPr="00700F9C">
              <w:rPr>
                <w:sz w:val="18"/>
                <w:szCs w:val="18"/>
              </w:rPr>
              <w:t>.</w:t>
            </w:r>
          </w:p>
        </w:tc>
        <w:tc>
          <w:tcPr>
            <w:tcW w:w="2970" w:type="dxa"/>
            <w:tcBorders>
              <w:top w:val="single" w:sz="4" w:space="0" w:color="auto"/>
              <w:left w:val="single" w:sz="4" w:space="0" w:color="auto"/>
              <w:bottom w:val="single" w:sz="4" w:space="0" w:color="auto"/>
              <w:right w:val="single" w:sz="4" w:space="0" w:color="auto"/>
            </w:tcBorders>
          </w:tcPr>
          <w:p w14:paraId="216F5BDD" w14:textId="6998C343" w:rsidR="00341E59" w:rsidRPr="00700F9C" w:rsidRDefault="0029507F" w:rsidP="00341E59">
            <w:pPr>
              <w:pStyle w:val="NormalNonumber"/>
              <w:ind w:left="0"/>
              <w:rPr>
                <w:sz w:val="18"/>
                <w:szCs w:val="18"/>
              </w:rPr>
            </w:pPr>
            <w:r w:rsidRPr="00700F9C">
              <w:rPr>
                <w:sz w:val="18"/>
                <w:szCs w:val="18"/>
              </w:rPr>
              <w:t>Design and populate public registers based on existing submission archives; ensure interoperability with the Online Reporting Tool.</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0E2CD" w14:textId="577AE9FC" w:rsidR="00341E59" w:rsidRPr="00700F9C" w:rsidRDefault="00341E59" w:rsidP="00341E59">
            <w:pPr>
              <w:pStyle w:val="NormalNonumber"/>
              <w:ind w:left="0"/>
              <w:rPr>
                <w:sz w:val="18"/>
                <w:szCs w:val="18"/>
              </w:rPr>
            </w:pPr>
            <w:r w:rsidRPr="00700F9C">
              <w:rPr>
                <w:sz w:val="18"/>
                <w:szCs w:val="18"/>
              </w:rPr>
              <w:t>2026</w:t>
            </w:r>
          </w:p>
        </w:tc>
      </w:tr>
      <w:tr w:rsidR="00E26B0B" w:rsidRPr="00700F9C" w14:paraId="6E6BDDE0" w14:textId="77777777" w:rsidTr="00233B40">
        <w:trPr>
          <w:trHeight w:val="57"/>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E6842C" w14:textId="79ACF436" w:rsidR="00341E59" w:rsidRPr="00700F9C" w:rsidRDefault="0029507F" w:rsidP="00341E59">
            <w:pPr>
              <w:pStyle w:val="NormalNonumber"/>
              <w:ind w:left="0"/>
              <w:rPr>
                <w:sz w:val="18"/>
                <w:szCs w:val="18"/>
              </w:rPr>
            </w:pPr>
            <w:r w:rsidRPr="00700F9C">
              <w:rPr>
                <w:sz w:val="18"/>
                <w:szCs w:val="18"/>
              </w:rPr>
              <w:t xml:space="preserve">Activity 4: </w:t>
            </w:r>
            <w:r w:rsidR="00341E59" w:rsidRPr="00700F9C">
              <w:rPr>
                <w:sz w:val="18"/>
                <w:szCs w:val="18"/>
              </w:rPr>
              <w:t xml:space="preserve">Develop a digital repository </w:t>
            </w:r>
            <w:r w:rsidR="004B13F4" w:rsidRPr="00700F9C">
              <w:rPr>
                <w:sz w:val="18"/>
                <w:szCs w:val="18"/>
              </w:rPr>
              <w:t xml:space="preserve">of information </w:t>
            </w:r>
            <w:r w:rsidR="00341E59" w:rsidRPr="00700F9C">
              <w:rPr>
                <w:sz w:val="18"/>
                <w:szCs w:val="18"/>
              </w:rPr>
              <w:t>on mercury-added products in collaboration with the Global Mercury Partnership</w:t>
            </w:r>
            <w:r w:rsidR="00AC1B0D" w:rsidRPr="00700F9C">
              <w:rPr>
                <w:sz w:val="18"/>
                <w:szCs w:val="18"/>
              </w:rPr>
              <w:t xml:space="preserve"> (GMP)</w:t>
            </w:r>
            <w:r w:rsidR="009F3584" w:rsidRPr="00700F9C">
              <w:rPr>
                <w:sz w:val="18"/>
                <w:szCs w:val="18"/>
              </w:rPr>
              <w:t xml:space="preserve"> and other possible topics</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695318" w14:textId="5EA162EF" w:rsidR="00341E59" w:rsidRPr="00700F9C" w:rsidRDefault="0006785D" w:rsidP="00341E59">
            <w:pPr>
              <w:pStyle w:val="NormalNonumber"/>
              <w:ind w:left="0"/>
              <w:rPr>
                <w:sz w:val="18"/>
                <w:szCs w:val="18"/>
              </w:rPr>
            </w:pPr>
            <w:r w:rsidRPr="00700F9C">
              <w:rPr>
                <w:sz w:val="18"/>
                <w:szCs w:val="18"/>
              </w:rPr>
              <w:t>The secretariat will contribute to a dedicated knowledge repository focused on mercury-added products, featuring curated scientific, regulatory and guidance materials.</w:t>
            </w:r>
          </w:p>
        </w:tc>
        <w:tc>
          <w:tcPr>
            <w:tcW w:w="2970" w:type="dxa"/>
            <w:tcBorders>
              <w:top w:val="single" w:sz="4" w:space="0" w:color="auto"/>
              <w:left w:val="single" w:sz="4" w:space="0" w:color="auto"/>
              <w:bottom w:val="single" w:sz="4" w:space="0" w:color="auto"/>
              <w:right w:val="single" w:sz="4" w:space="0" w:color="auto"/>
            </w:tcBorders>
          </w:tcPr>
          <w:p w14:paraId="35C67CA4" w14:textId="3503BD33" w:rsidR="00341E59" w:rsidRPr="00700F9C" w:rsidRDefault="00D66D7D" w:rsidP="00341E59">
            <w:pPr>
              <w:pStyle w:val="NormalNonumber"/>
              <w:ind w:left="0"/>
              <w:rPr>
                <w:sz w:val="18"/>
                <w:szCs w:val="18"/>
              </w:rPr>
            </w:pPr>
            <w:r w:rsidRPr="00700F9C">
              <w:rPr>
                <w:sz w:val="18"/>
                <w:szCs w:val="18"/>
              </w:rPr>
              <w:t>A t</w:t>
            </w:r>
            <w:r w:rsidR="00341E59" w:rsidRPr="00700F9C">
              <w:rPr>
                <w:sz w:val="18"/>
                <w:szCs w:val="18"/>
              </w:rPr>
              <w:t xml:space="preserve">hematic repository </w:t>
            </w:r>
            <w:r w:rsidR="00112320" w:rsidRPr="00700F9C">
              <w:rPr>
                <w:sz w:val="18"/>
                <w:szCs w:val="18"/>
              </w:rPr>
              <w:t xml:space="preserve">is </w:t>
            </w:r>
            <w:r w:rsidR="00341E59" w:rsidRPr="00700F9C">
              <w:rPr>
                <w:sz w:val="18"/>
                <w:szCs w:val="18"/>
              </w:rPr>
              <w:t>launched as part of the platform with accessible, curated resources</w:t>
            </w:r>
            <w:r w:rsidR="00027FD2" w:rsidRPr="00700F9C">
              <w:rPr>
                <w:sz w:val="18"/>
                <w:szCs w:val="18"/>
              </w:rPr>
              <w:t>, supporting parties in implementing Annexes A and B.</w:t>
            </w:r>
          </w:p>
        </w:tc>
        <w:tc>
          <w:tcPr>
            <w:tcW w:w="2970" w:type="dxa"/>
            <w:tcBorders>
              <w:top w:val="single" w:sz="4" w:space="0" w:color="auto"/>
              <w:left w:val="single" w:sz="4" w:space="0" w:color="auto"/>
              <w:bottom w:val="single" w:sz="4" w:space="0" w:color="auto"/>
              <w:right w:val="single" w:sz="4" w:space="0" w:color="auto"/>
            </w:tcBorders>
          </w:tcPr>
          <w:p w14:paraId="435D5FFB" w14:textId="10734FDF" w:rsidR="00341E59" w:rsidRPr="00700F9C" w:rsidRDefault="00027FD2" w:rsidP="00341E59">
            <w:pPr>
              <w:pStyle w:val="NormalNonumber"/>
              <w:ind w:left="0"/>
              <w:rPr>
                <w:sz w:val="18"/>
                <w:szCs w:val="18"/>
              </w:rPr>
            </w:pPr>
            <w:r w:rsidRPr="00700F9C">
              <w:rPr>
                <w:sz w:val="18"/>
                <w:szCs w:val="18"/>
              </w:rPr>
              <w:t>Co-develop metadata structure with GMP, populate repository with secretariat and partner resources, and ensure accessibility</w:t>
            </w:r>
            <w:r w:rsidR="00890414" w:rsidRPr="00700F9C">
              <w:rPr>
                <w:sz w:val="18"/>
                <w:szCs w:val="18"/>
              </w:rPr>
              <w:t>.</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581A8" w14:textId="5AC2C264" w:rsidR="00341E59" w:rsidRPr="00700F9C" w:rsidRDefault="00341E59" w:rsidP="00341E59">
            <w:pPr>
              <w:pStyle w:val="NormalNonumber"/>
              <w:ind w:left="0"/>
              <w:rPr>
                <w:sz w:val="18"/>
                <w:szCs w:val="18"/>
              </w:rPr>
            </w:pPr>
            <w:r w:rsidRPr="00700F9C">
              <w:rPr>
                <w:sz w:val="18"/>
                <w:szCs w:val="18"/>
              </w:rPr>
              <w:t>202</w:t>
            </w:r>
            <w:r w:rsidR="006643B8" w:rsidRPr="00700F9C">
              <w:rPr>
                <w:sz w:val="18"/>
                <w:szCs w:val="18"/>
              </w:rPr>
              <w:t>7</w:t>
            </w:r>
          </w:p>
        </w:tc>
      </w:tr>
      <w:tr w:rsidR="00E26B0B" w:rsidRPr="00700F9C" w14:paraId="4CC19705" w14:textId="77777777" w:rsidTr="00233B40">
        <w:trPr>
          <w:trHeight w:val="57"/>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2BBE08" w14:textId="6965D845" w:rsidR="00341E59" w:rsidRPr="00700F9C" w:rsidRDefault="00640923" w:rsidP="00341E59">
            <w:pPr>
              <w:pStyle w:val="NormalNonumber"/>
              <w:ind w:left="0"/>
              <w:rPr>
                <w:sz w:val="18"/>
                <w:szCs w:val="18"/>
              </w:rPr>
            </w:pPr>
            <w:r w:rsidRPr="00700F9C">
              <w:rPr>
                <w:sz w:val="18"/>
                <w:szCs w:val="18"/>
              </w:rPr>
              <w:t xml:space="preserve">Activity 5: </w:t>
            </w:r>
            <w:r w:rsidR="00341E59" w:rsidRPr="00700F9C">
              <w:rPr>
                <w:sz w:val="18"/>
                <w:szCs w:val="18"/>
              </w:rPr>
              <w:t xml:space="preserve">Design and launch the core interface of the </w:t>
            </w:r>
            <w:r w:rsidR="00CB4193" w:rsidRPr="00700F9C">
              <w:rPr>
                <w:sz w:val="18"/>
                <w:szCs w:val="18"/>
              </w:rPr>
              <w:t>Minamata Convention Exchange</w:t>
            </w:r>
            <w:r w:rsidR="00341E59" w:rsidRPr="00700F9C">
              <w:rPr>
                <w:sz w:val="18"/>
                <w:szCs w:val="18"/>
              </w:rPr>
              <w:t xml:space="preserve"> Platform</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2602DD" w14:textId="4905728E" w:rsidR="00341E59" w:rsidRPr="00700F9C" w:rsidRDefault="00F6207B" w:rsidP="00341E59">
            <w:pPr>
              <w:pStyle w:val="NormalNonumber"/>
              <w:ind w:left="0"/>
              <w:rPr>
                <w:sz w:val="18"/>
                <w:szCs w:val="18"/>
              </w:rPr>
            </w:pPr>
            <w:r w:rsidRPr="00700F9C">
              <w:rPr>
                <w:sz w:val="18"/>
                <w:szCs w:val="18"/>
              </w:rPr>
              <w:t xml:space="preserve">The </w:t>
            </w:r>
            <w:r w:rsidR="00FA32F2" w:rsidRPr="00700F9C">
              <w:rPr>
                <w:sz w:val="18"/>
                <w:szCs w:val="18"/>
              </w:rPr>
              <w:t>p</w:t>
            </w:r>
            <w:r w:rsidRPr="00700F9C">
              <w:rPr>
                <w:sz w:val="18"/>
                <w:szCs w:val="18"/>
              </w:rPr>
              <w:t>latform interface will be launched as a multilingual, user-friendly space with access to documents, thematic areas and collaboration tools.</w:t>
            </w:r>
          </w:p>
        </w:tc>
        <w:tc>
          <w:tcPr>
            <w:tcW w:w="2970" w:type="dxa"/>
            <w:tcBorders>
              <w:top w:val="single" w:sz="4" w:space="0" w:color="auto"/>
              <w:left w:val="single" w:sz="4" w:space="0" w:color="auto"/>
              <w:bottom w:val="single" w:sz="4" w:space="0" w:color="auto"/>
              <w:right w:val="single" w:sz="4" w:space="0" w:color="auto"/>
            </w:tcBorders>
          </w:tcPr>
          <w:p w14:paraId="6FE8D8C0" w14:textId="35A156E4" w:rsidR="00341E59" w:rsidRPr="00700F9C" w:rsidRDefault="00890414" w:rsidP="00341E59">
            <w:pPr>
              <w:pStyle w:val="NormalNonumber"/>
              <w:ind w:left="0"/>
              <w:rPr>
                <w:sz w:val="18"/>
                <w:szCs w:val="18"/>
              </w:rPr>
            </w:pPr>
            <w:r w:rsidRPr="00700F9C">
              <w:rPr>
                <w:sz w:val="18"/>
                <w:szCs w:val="18"/>
              </w:rPr>
              <w:t xml:space="preserve">The first operational version of the platform is </w:t>
            </w:r>
            <w:r w:rsidR="0070628E" w:rsidRPr="00700F9C">
              <w:rPr>
                <w:sz w:val="18"/>
                <w:szCs w:val="18"/>
              </w:rPr>
              <w:t>available to users with core features.</w:t>
            </w:r>
          </w:p>
        </w:tc>
        <w:tc>
          <w:tcPr>
            <w:tcW w:w="2970" w:type="dxa"/>
            <w:tcBorders>
              <w:top w:val="single" w:sz="4" w:space="0" w:color="auto"/>
              <w:left w:val="single" w:sz="4" w:space="0" w:color="auto"/>
              <w:bottom w:val="single" w:sz="4" w:space="0" w:color="auto"/>
              <w:right w:val="single" w:sz="4" w:space="0" w:color="auto"/>
            </w:tcBorders>
          </w:tcPr>
          <w:p w14:paraId="41D61FD2" w14:textId="39781B84" w:rsidR="00341E59" w:rsidRPr="00700F9C" w:rsidRDefault="00F6207B" w:rsidP="00341E59">
            <w:pPr>
              <w:pStyle w:val="NormalNonumber"/>
              <w:ind w:left="0"/>
              <w:rPr>
                <w:sz w:val="18"/>
                <w:szCs w:val="18"/>
              </w:rPr>
            </w:pPr>
            <w:r w:rsidRPr="00700F9C">
              <w:rPr>
                <w:sz w:val="18"/>
                <w:szCs w:val="18"/>
              </w:rPr>
              <w:t xml:space="preserve">Build upon the existing Convention </w:t>
            </w:r>
            <w:r w:rsidR="002720F5" w:rsidRPr="00700F9C">
              <w:rPr>
                <w:sz w:val="18"/>
                <w:szCs w:val="18"/>
              </w:rPr>
              <w:t xml:space="preserve">website's data architecture, ensuring responsive design and adherence to </w:t>
            </w:r>
            <w:r w:rsidRPr="00700F9C">
              <w:rPr>
                <w:sz w:val="18"/>
                <w:szCs w:val="18"/>
              </w:rPr>
              <w:t>accessibility standards.</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8967B" w14:textId="2ADED675" w:rsidR="00341E59" w:rsidRPr="00700F9C" w:rsidRDefault="00341E59" w:rsidP="00341E59">
            <w:pPr>
              <w:pStyle w:val="NormalNonumber"/>
              <w:ind w:left="0"/>
              <w:rPr>
                <w:sz w:val="18"/>
                <w:szCs w:val="18"/>
              </w:rPr>
            </w:pPr>
            <w:r w:rsidRPr="00700F9C">
              <w:rPr>
                <w:sz w:val="18"/>
                <w:szCs w:val="18"/>
              </w:rPr>
              <w:t>2027</w:t>
            </w:r>
          </w:p>
        </w:tc>
      </w:tr>
      <w:tr w:rsidR="00E26B0B" w:rsidRPr="00700F9C" w14:paraId="7AD1EC26" w14:textId="77777777" w:rsidTr="00233B40">
        <w:trPr>
          <w:trHeight w:val="57"/>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CB6658" w14:textId="7108807C" w:rsidR="00341E59" w:rsidRPr="00700F9C" w:rsidRDefault="0070628E" w:rsidP="00341E59">
            <w:pPr>
              <w:pStyle w:val="NormalNonumber"/>
              <w:ind w:left="0"/>
              <w:rPr>
                <w:sz w:val="18"/>
                <w:szCs w:val="18"/>
              </w:rPr>
            </w:pPr>
            <w:r w:rsidRPr="00700F9C">
              <w:rPr>
                <w:sz w:val="18"/>
                <w:szCs w:val="18"/>
              </w:rPr>
              <w:t xml:space="preserve">Activity 6: </w:t>
            </w:r>
            <w:r w:rsidR="00341E59" w:rsidRPr="00700F9C">
              <w:rPr>
                <w:sz w:val="18"/>
                <w:szCs w:val="18"/>
              </w:rPr>
              <w:t xml:space="preserve">Publish one party case study highlighting </w:t>
            </w:r>
            <w:r w:rsidR="002720F5" w:rsidRPr="00700F9C">
              <w:rPr>
                <w:sz w:val="18"/>
                <w:szCs w:val="18"/>
              </w:rPr>
              <w:t xml:space="preserve">information </w:t>
            </w:r>
            <w:r w:rsidR="00341E59" w:rsidRPr="00700F9C">
              <w:rPr>
                <w:sz w:val="18"/>
                <w:szCs w:val="18"/>
              </w:rPr>
              <w:t>exchange practices</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221B67" w14:textId="5D965F33" w:rsidR="00341E59" w:rsidRPr="00700F9C" w:rsidRDefault="001D3162" w:rsidP="00341E59">
            <w:pPr>
              <w:pStyle w:val="NormalNonumber"/>
              <w:ind w:left="0"/>
              <w:rPr>
                <w:sz w:val="18"/>
                <w:szCs w:val="18"/>
              </w:rPr>
            </w:pPr>
            <w:r w:rsidRPr="00700F9C">
              <w:rPr>
                <w:sz w:val="18"/>
                <w:szCs w:val="18"/>
              </w:rPr>
              <w:t>A case study will be developed in collaboration with one party to document practical experiences and lessons learned in using digital tools for information sharing</w:t>
            </w:r>
          </w:p>
        </w:tc>
        <w:tc>
          <w:tcPr>
            <w:tcW w:w="2970" w:type="dxa"/>
            <w:tcBorders>
              <w:top w:val="single" w:sz="4" w:space="0" w:color="auto"/>
              <w:left w:val="single" w:sz="4" w:space="0" w:color="auto"/>
              <w:bottom w:val="single" w:sz="4" w:space="0" w:color="auto"/>
              <w:right w:val="single" w:sz="4" w:space="0" w:color="auto"/>
            </w:tcBorders>
          </w:tcPr>
          <w:p w14:paraId="5E46E2BB" w14:textId="7DE6C76D" w:rsidR="00341E59" w:rsidRPr="00700F9C" w:rsidRDefault="00341E59" w:rsidP="00341E59">
            <w:pPr>
              <w:pStyle w:val="NormalNonumber"/>
              <w:ind w:left="0"/>
              <w:rPr>
                <w:sz w:val="18"/>
                <w:szCs w:val="18"/>
              </w:rPr>
            </w:pPr>
            <w:r w:rsidRPr="00700F9C">
              <w:rPr>
                <w:sz w:val="18"/>
                <w:szCs w:val="18"/>
              </w:rPr>
              <w:t>Documented example of party-led knowledge sharing to inspire broader engagement</w:t>
            </w:r>
          </w:p>
        </w:tc>
        <w:tc>
          <w:tcPr>
            <w:tcW w:w="2970" w:type="dxa"/>
            <w:tcBorders>
              <w:top w:val="single" w:sz="4" w:space="0" w:color="auto"/>
              <w:left w:val="single" w:sz="4" w:space="0" w:color="auto"/>
              <w:bottom w:val="single" w:sz="4" w:space="0" w:color="auto"/>
              <w:right w:val="single" w:sz="4" w:space="0" w:color="auto"/>
            </w:tcBorders>
          </w:tcPr>
          <w:p w14:paraId="4FC23B08" w14:textId="4CD27616" w:rsidR="00341E59" w:rsidRPr="00700F9C" w:rsidRDefault="00893C50" w:rsidP="00341E59">
            <w:pPr>
              <w:pStyle w:val="NormalNonumber"/>
              <w:ind w:left="0"/>
              <w:rPr>
                <w:sz w:val="18"/>
                <w:szCs w:val="18"/>
              </w:rPr>
            </w:pPr>
            <w:r w:rsidRPr="00700F9C">
              <w:rPr>
                <w:sz w:val="18"/>
                <w:szCs w:val="18"/>
              </w:rPr>
              <w:t>Identify and work with a party willing to share its approach; co-author and publish a narrative case study.</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22BA9" w14:textId="1A126BE7" w:rsidR="00341E59" w:rsidRPr="00700F9C" w:rsidRDefault="00341E59" w:rsidP="00341E59">
            <w:pPr>
              <w:pStyle w:val="NormalNonumber"/>
              <w:ind w:left="0"/>
              <w:rPr>
                <w:sz w:val="18"/>
                <w:szCs w:val="18"/>
              </w:rPr>
            </w:pPr>
            <w:r w:rsidRPr="00700F9C">
              <w:rPr>
                <w:sz w:val="18"/>
                <w:szCs w:val="18"/>
              </w:rPr>
              <w:t>2027</w:t>
            </w:r>
          </w:p>
        </w:tc>
      </w:tr>
      <w:tr w:rsidR="00E26B0B" w:rsidRPr="00700F9C" w14:paraId="2E5313FD" w14:textId="77777777" w:rsidTr="00233B40">
        <w:trPr>
          <w:trHeight w:val="57"/>
          <w:jc w:val="right"/>
        </w:trPr>
        <w:tc>
          <w:tcPr>
            <w:tcW w:w="341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D22C4A" w14:textId="1ED3F0DB" w:rsidR="00341E59" w:rsidRPr="00700F9C" w:rsidRDefault="00893C50" w:rsidP="00341E59">
            <w:pPr>
              <w:pStyle w:val="NormalNonumber"/>
              <w:ind w:left="0"/>
              <w:rPr>
                <w:sz w:val="18"/>
                <w:szCs w:val="18"/>
              </w:rPr>
            </w:pPr>
            <w:r w:rsidRPr="00700F9C">
              <w:rPr>
                <w:sz w:val="18"/>
                <w:szCs w:val="18"/>
              </w:rPr>
              <w:t>Activity 7</w:t>
            </w:r>
            <w:r w:rsidR="00C22385" w:rsidRPr="00700F9C">
              <w:rPr>
                <w:sz w:val="18"/>
                <w:szCs w:val="18"/>
              </w:rPr>
              <w:t xml:space="preserve">: </w:t>
            </w:r>
            <w:r w:rsidR="00341E59" w:rsidRPr="00700F9C">
              <w:rPr>
                <w:sz w:val="18"/>
                <w:szCs w:val="18"/>
              </w:rPr>
              <w:t>Develop a user feedback and analytics mechanism for continuous platform improvement</w:t>
            </w:r>
          </w:p>
        </w:tc>
        <w:tc>
          <w:tcPr>
            <w:tcW w:w="42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FA078C" w14:textId="6CCF09AE" w:rsidR="00341E59" w:rsidRPr="00700F9C" w:rsidRDefault="00F32A96" w:rsidP="00341E59">
            <w:pPr>
              <w:pStyle w:val="NormalNonumber"/>
              <w:tabs>
                <w:tab w:val="clear" w:pos="1814"/>
                <w:tab w:val="clear" w:pos="2381"/>
                <w:tab w:val="clear" w:pos="2948"/>
                <w:tab w:val="clear" w:pos="3515"/>
                <w:tab w:val="clear" w:pos="4082"/>
              </w:tabs>
              <w:ind w:left="0"/>
              <w:rPr>
                <w:sz w:val="18"/>
                <w:szCs w:val="18"/>
              </w:rPr>
            </w:pPr>
            <w:r w:rsidRPr="00700F9C">
              <w:rPr>
                <w:sz w:val="18"/>
                <w:szCs w:val="18"/>
                <w:lang w:val="en-GB"/>
              </w:rPr>
              <w:t>A feedback</w:t>
            </w:r>
            <w:r w:rsidR="00C22385" w:rsidRPr="00700F9C">
              <w:rPr>
                <w:sz w:val="18"/>
                <w:szCs w:val="18"/>
                <w:lang w:val="en-GB"/>
              </w:rPr>
              <w:t xml:space="preserve"> loop will be introduced to monitor user satisfaction, engagement, and feature usage.</w:t>
            </w:r>
          </w:p>
        </w:tc>
        <w:tc>
          <w:tcPr>
            <w:tcW w:w="2970" w:type="dxa"/>
            <w:tcBorders>
              <w:top w:val="single" w:sz="4" w:space="0" w:color="auto"/>
              <w:left w:val="single" w:sz="4" w:space="0" w:color="auto"/>
              <w:bottom w:val="single" w:sz="4" w:space="0" w:color="auto"/>
              <w:right w:val="single" w:sz="4" w:space="0" w:color="auto"/>
            </w:tcBorders>
          </w:tcPr>
          <w:p w14:paraId="14B3A0C9" w14:textId="15342966" w:rsidR="00341E59" w:rsidRPr="00700F9C" w:rsidRDefault="00341E59" w:rsidP="00341E59">
            <w:pPr>
              <w:pStyle w:val="NormalNonumber"/>
              <w:ind w:left="0"/>
              <w:rPr>
                <w:sz w:val="18"/>
                <w:szCs w:val="18"/>
              </w:rPr>
            </w:pPr>
            <w:r w:rsidRPr="00700F9C">
              <w:rPr>
                <w:sz w:val="18"/>
                <w:szCs w:val="18"/>
              </w:rPr>
              <w:t xml:space="preserve">Mechanism in place to measure use, collect feedback and inform platform </w:t>
            </w:r>
            <w:r w:rsidR="00747258" w:rsidRPr="00700F9C">
              <w:rPr>
                <w:sz w:val="18"/>
                <w:szCs w:val="18"/>
              </w:rPr>
              <w:t>improvements.</w:t>
            </w:r>
          </w:p>
        </w:tc>
        <w:tc>
          <w:tcPr>
            <w:tcW w:w="2970" w:type="dxa"/>
            <w:tcBorders>
              <w:top w:val="single" w:sz="4" w:space="0" w:color="auto"/>
              <w:left w:val="single" w:sz="4" w:space="0" w:color="auto"/>
              <w:bottom w:val="single" w:sz="4" w:space="0" w:color="auto"/>
              <w:right w:val="single" w:sz="4" w:space="0" w:color="auto"/>
            </w:tcBorders>
          </w:tcPr>
          <w:p w14:paraId="43ADEA8D" w14:textId="7EB91A3A" w:rsidR="00341E59" w:rsidRPr="00700F9C" w:rsidRDefault="00747258" w:rsidP="00341E59">
            <w:pPr>
              <w:pStyle w:val="NormalNonumber"/>
              <w:ind w:left="0"/>
              <w:rPr>
                <w:sz w:val="18"/>
                <w:szCs w:val="18"/>
              </w:rPr>
            </w:pPr>
            <w:r w:rsidRPr="00700F9C">
              <w:rPr>
                <w:sz w:val="18"/>
                <w:szCs w:val="18"/>
                <w:lang w:val="en-GB"/>
              </w:rPr>
              <w:t>Integrate analytics and survey tools into the platform; produce regular reports to guide decision-making and technical upgrades.</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005895" w14:textId="0E5A925E" w:rsidR="00341E59" w:rsidRPr="00700F9C" w:rsidRDefault="00341E59" w:rsidP="00341E59">
            <w:pPr>
              <w:pStyle w:val="NormalNonumber"/>
              <w:ind w:left="0"/>
              <w:rPr>
                <w:sz w:val="18"/>
                <w:szCs w:val="18"/>
              </w:rPr>
            </w:pPr>
            <w:r w:rsidRPr="00700F9C">
              <w:rPr>
                <w:sz w:val="18"/>
                <w:szCs w:val="18"/>
              </w:rPr>
              <w:t>2027</w:t>
            </w:r>
          </w:p>
        </w:tc>
      </w:tr>
    </w:tbl>
    <w:tbl>
      <w:tblPr>
        <w:tblStyle w:val="TableGrid"/>
        <w:tblW w:w="14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2909"/>
        <w:gridCol w:w="2909"/>
        <w:gridCol w:w="2909"/>
        <w:gridCol w:w="2910"/>
      </w:tblGrid>
      <w:tr w:rsidR="0015442E" w14:paraId="2E924820" w14:textId="77777777" w:rsidTr="00700F9C">
        <w:trPr>
          <w:trHeight w:val="825"/>
        </w:trPr>
        <w:tc>
          <w:tcPr>
            <w:tcW w:w="2909" w:type="dxa"/>
          </w:tcPr>
          <w:p w14:paraId="16F5C414" w14:textId="77777777" w:rsidR="0015442E" w:rsidRDefault="0015442E" w:rsidP="0015442E">
            <w:pPr>
              <w:pStyle w:val="Normal-pool"/>
            </w:pPr>
          </w:p>
        </w:tc>
        <w:tc>
          <w:tcPr>
            <w:tcW w:w="2909" w:type="dxa"/>
          </w:tcPr>
          <w:p w14:paraId="6D6FF786" w14:textId="77777777" w:rsidR="0015442E" w:rsidRDefault="0015442E" w:rsidP="0015442E">
            <w:pPr>
              <w:pStyle w:val="Normal-pool"/>
            </w:pPr>
          </w:p>
        </w:tc>
        <w:tc>
          <w:tcPr>
            <w:tcW w:w="2909" w:type="dxa"/>
            <w:tcBorders>
              <w:bottom w:val="single" w:sz="4" w:space="0" w:color="auto"/>
            </w:tcBorders>
          </w:tcPr>
          <w:p w14:paraId="7B77BBB9" w14:textId="77777777" w:rsidR="0015442E" w:rsidRDefault="0015442E" w:rsidP="0015442E">
            <w:pPr>
              <w:pStyle w:val="Normal-pool"/>
              <w:spacing w:before="480"/>
            </w:pPr>
          </w:p>
        </w:tc>
        <w:tc>
          <w:tcPr>
            <w:tcW w:w="2909" w:type="dxa"/>
          </w:tcPr>
          <w:p w14:paraId="3B69A5B6" w14:textId="77777777" w:rsidR="0015442E" w:rsidRDefault="0015442E" w:rsidP="0015442E">
            <w:pPr>
              <w:pStyle w:val="Normal-pool"/>
            </w:pPr>
          </w:p>
        </w:tc>
        <w:tc>
          <w:tcPr>
            <w:tcW w:w="2910" w:type="dxa"/>
          </w:tcPr>
          <w:p w14:paraId="5F071A8C" w14:textId="77777777" w:rsidR="0015442E" w:rsidRDefault="0015442E" w:rsidP="0015442E">
            <w:pPr>
              <w:pStyle w:val="Normal-pool"/>
            </w:pPr>
          </w:p>
        </w:tc>
      </w:tr>
    </w:tbl>
    <w:p w14:paraId="3CE5B03E" w14:textId="77777777" w:rsidR="0015442E" w:rsidRDefault="0015442E" w:rsidP="0015442E">
      <w:pPr>
        <w:pStyle w:val="Normal-pool"/>
      </w:pPr>
    </w:p>
    <w:sectPr w:rsidR="0015442E" w:rsidSect="00700F9C">
      <w:headerReference w:type="first" r:id="rId19"/>
      <w:footerReference w:type="first" r:id="rId20"/>
      <w:pgSz w:w="16838" w:h="11906" w:orient="landscape" w:code="9"/>
      <w:pgMar w:top="994" w:right="1411" w:bottom="1411" w:left="907"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9573" w14:textId="77777777" w:rsidR="00B26738" w:rsidRDefault="00B26738">
      <w:r>
        <w:separator/>
      </w:r>
    </w:p>
  </w:endnote>
  <w:endnote w:type="continuationSeparator" w:id="0">
    <w:p w14:paraId="4E977A4C" w14:textId="77777777" w:rsidR="00B26738" w:rsidRDefault="00B26738">
      <w:r>
        <w:continuationSeparator/>
      </w:r>
    </w:p>
  </w:endnote>
  <w:endnote w:type="continuationNotice" w:id="1">
    <w:p w14:paraId="1D81EEDD" w14:textId="77777777" w:rsidR="00B26738" w:rsidRDefault="00B2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6BAB" w14:textId="5052556A" w:rsidR="0015442E" w:rsidRDefault="00D2169A" w:rsidP="0015442E">
    <w:pPr>
      <w:pStyle w:val="Normal-pool"/>
    </w:pPr>
    <w:r>
      <w:tab/>
      <w:t>170925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230568"/>
      <w:docPartObj>
        <w:docPartGallery w:val="Page Numbers (Bottom of Page)"/>
        <w:docPartUnique/>
      </w:docPartObj>
    </w:sdtPr>
    <w:sdtEndPr>
      <w:rPr>
        <w:b/>
        <w:bCs/>
        <w:noProof/>
      </w:rPr>
    </w:sdtEndPr>
    <w:sdtContent>
      <w:p w14:paraId="64A69FF5" w14:textId="6F0FD10C" w:rsidR="002661F1" w:rsidRPr="00700F9C" w:rsidRDefault="002661F1" w:rsidP="00700F9C">
        <w:pPr>
          <w:pStyle w:val="Footer"/>
          <w:jc w:val="right"/>
          <w:rPr>
            <w:b/>
            <w:bCs/>
          </w:rPr>
        </w:pPr>
        <w:r w:rsidRPr="00700F9C">
          <w:rPr>
            <w:b/>
            <w:bCs/>
          </w:rPr>
          <w:fldChar w:fldCharType="begin"/>
        </w:r>
        <w:r w:rsidRPr="00700F9C">
          <w:rPr>
            <w:b/>
            <w:bCs/>
          </w:rPr>
          <w:instrText xml:space="preserve"> PAGE   \* MERGEFORMAT </w:instrText>
        </w:r>
        <w:r w:rsidRPr="00700F9C">
          <w:rPr>
            <w:b/>
            <w:bCs/>
          </w:rPr>
          <w:fldChar w:fldCharType="separate"/>
        </w:r>
        <w:r w:rsidRPr="00700F9C">
          <w:rPr>
            <w:b/>
            <w:bCs/>
            <w:noProof/>
          </w:rPr>
          <w:t>2</w:t>
        </w:r>
        <w:r w:rsidRPr="00700F9C">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1CE5" w14:textId="77777777" w:rsidR="00B26738" w:rsidRPr="0072353B" w:rsidRDefault="00B26738" w:rsidP="0072353B">
      <w:pPr>
        <w:tabs>
          <w:tab w:val="left" w:pos="624"/>
        </w:tabs>
        <w:spacing w:before="60"/>
        <w:ind w:left="624"/>
        <w:rPr>
          <w:sz w:val="18"/>
          <w:szCs w:val="18"/>
        </w:rPr>
      </w:pPr>
      <w:r w:rsidRPr="0072353B">
        <w:rPr>
          <w:sz w:val="18"/>
          <w:szCs w:val="18"/>
        </w:rPr>
        <w:separator/>
      </w:r>
    </w:p>
  </w:footnote>
  <w:footnote w:type="continuationSeparator" w:id="0">
    <w:p w14:paraId="60BA86BF" w14:textId="77777777" w:rsidR="00B26738" w:rsidRDefault="00B26738">
      <w:r>
        <w:continuationSeparator/>
      </w:r>
    </w:p>
  </w:footnote>
  <w:footnote w:type="continuationNotice" w:id="1">
    <w:p w14:paraId="449455B0" w14:textId="77777777" w:rsidR="00B26738" w:rsidRDefault="00B26738"/>
  </w:footnote>
  <w:footnote w:id="2">
    <w:p w14:paraId="7BD0C3DA" w14:textId="05A1B2E9" w:rsidR="00880CCB" w:rsidRPr="00700F9C" w:rsidRDefault="00880CCB">
      <w:pPr>
        <w:pStyle w:val="FootnoteText"/>
        <w:rPr>
          <w:szCs w:val="18"/>
          <w:lang w:val="en-US"/>
        </w:rPr>
      </w:pPr>
      <w:r w:rsidRPr="00700F9C">
        <w:rPr>
          <w:rStyle w:val="FootnoteReference"/>
          <w:sz w:val="18"/>
          <w:vertAlign w:val="baseline"/>
          <w:lang w:val="en-US"/>
        </w:rPr>
        <w:t>*</w:t>
      </w:r>
      <w:r w:rsidRPr="00700F9C">
        <w:rPr>
          <w:szCs w:val="18"/>
          <w:lang w:val="en-US"/>
        </w:rPr>
        <w:t xml:space="preserve"> </w:t>
      </w:r>
      <w:r w:rsidR="00AC7FD3" w:rsidRPr="00700F9C">
        <w:rPr>
          <w:szCs w:val="18"/>
          <w:lang w:val="en-US"/>
        </w:rPr>
        <w:t>UNEP/MC/COP.6/1</w:t>
      </w:r>
      <w:r w:rsidR="00B76A9A">
        <w:rPr>
          <w:szCs w:val="18"/>
          <w:lang w:val="en-US"/>
        </w:rPr>
        <w:t>/Rev.1</w:t>
      </w:r>
      <w:r w:rsidR="00AC7FD3" w:rsidRPr="00700F9C">
        <w:rPr>
          <w:szCs w:val="18"/>
          <w:lang w:val="en-US"/>
        </w:rPr>
        <w:t>.</w:t>
      </w:r>
    </w:p>
  </w:footnote>
  <w:footnote w:id="3">
    <w:p w14:paraId="532620DE" w14:textId="77777777" w:rsidR="00B76A9A" w:rsidRPr="00E27849" w:rsidRDefault="00B76A9A" w:rsidP="00B76A9A">
      <w:pPr>
        <w:pStyle w:val="Footnote-Text"/>
        <w:tabs>
          <w:tab w:val="clear" w:pos="1247"/>
          <w:tab w:val="clear" w:pos="1871"/>
          <w:tab w:val="clear" w:pos="2495"/>
          <w:tab w:val="clear" w:pos="3119"/>
          <w:tab w:val="clear" w:pos="3742"/>
          <w:tab w:val="clear" w:pos="4366"/>
        </w:tabs>
        <w:rPr>
          <w:szCs w:val="18"/>
        </w:rPr>
      </w:pPr>
      <w:r w:rsidRPr="00700F9C">
        <w:rPr>
          <w:rStyle w:val="FootnoteReference"/>
          <w:sz w:val="18"/>
          <w:vertAlign w:val="baseline"/>
        </w:rPr>
        <w:t>**</w:t>
      </w:r>
      <w:r w:rsidRPr="00B76A9A">
        <w:rPr>
          <w:szCs w:val="18"/>
        </w:rPr>
        <w:t xml:space="preserve"> This document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6A89" w14:textId="4694626D"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C43794">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AFE" w14:textId="62460173" w:rsidR="00123699" w:rsidRPr="00392F9C" w:rsidRDefault="00F96910" w:rsidP="00F96910">
    <w:pPr>
      <w:pStyle w:val="Header-pool"/>
      <w:jc w:val="right"/>
      <w:rPr>
        <w:szCs w:val="18"/>
      </w:rPr>
    </w:pPr>
    <w:r w:rsidRPr="00F96910">
      <w:t>UNEP/MC</w:t>
    </w:r>
    <w:r w:rsidR="00EA2CF9">
      <w:t>/</w:t>
    </w:r>
    <w:r w:rsidRPr="00F96910">
      <w:t>COP.</w:t>
    </w:r>
    <w:r w:rsidR="00D1352E">
      <w:t>6</w:t>
    </w:r>
    <w:r w:rsidRPr="00F96910">
      <w:t>/</w:t>
    </w:r>
    <w:r w:rsidR="00AF7266">
      <w:t>INF/</w:t>
    </w:r>
    <w:r w:rsidR="00D1352E">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81FC" w14:textId="34C16D39" w:rsidR="00C059F0" w:rsidRPr="00F7542C" w:rsidRDefault="00C059F0" w:rsidP="00F7542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2438" w14:textId="3BDB7D63" w:rsidR="002661F1" w:rsidRPr="00F7542C" w:rsidRDefault="002661F1" w:rsidP="00700F9C">
    <w:pPr>
      <w:pStyle w:val="Header-pool"/>
      <w:jc w:val="right"/>
    </w:pPr>
    <w:r w:rsidRPr="00F96910">
      <w:t>UNEP/MC</w:t>
    </w:r>
    <w:r>
      <w:t>/</w:t>
    </w:r>
    <w:r w:rsidRPr="00F96910">
      <w:t>COP.</w:t>
    </w:r>
    <w:r>
      <w:t>6</w:t>
    </w:r>
    <w:r w:rsidRPr="00F96910">
      <w:t>/</w:t>
    </w:r>
    <w:r>
      <w:t>INF/26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037848C0"/>
    <w:multiLevelType w:val="hybridMultilevel"/>
    <w:tmpl w:val="F8186692"/>
    <w:lvl w:ilvl="0" w:tplc="F1BAF8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3" w15:restartNumberingAfterBreak="0">
    <w:nsid w:val="0EBF581F"/>
    <w:multiLevelType w:val="hybridMultilevel"/>
    <w:tmpl w:val="B81A3326"/>
    <w:lvl w:ilvl="0" w:tplc="EA1CBB0E">
      <w:start w:val="1"/>
      <w:numFmt w:val="upp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 w15:restartNumberingAfterBreak="0">
    <w:nsid w:val="119947BF"/>
    <w:multiLevelType w:val="hybridMultilevel"/>
    <w:tmpl w:val="BCF6A50E"/>
    <w:lvl w:ilvl="0" w:tplc="FFFFFFFF">
      <w:start w:val="1"/>
      <w:numFmt w:val="decimal"/>
      <w:lvlText w:val="%1."/>
      <w:lvlJc w:val="left"/>
      <w:pPr>
        <w:ind w:left="1607" w:hanging="360"/>
      </w:pPr>
      <w:rPr>
        <w:rFonts w:hint="default"/>
      </w:rPr>
    </w:lvl>
    <w:lvl w:ilvl="1" w:tplc="FFFFFFFF">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5" w15:restartNumberingAfterBreak="0">
    <w:nsid w:val="13293E1B"/>
    <w:multiLevelType w:val="hybridMultilevel"/>
    <w:tmpl w:val="A450447A"/>
    <w:lvl w:ilvl="0" w:tplc="9A4CF40E">
      <w:start w:val="1"/>
      <w:numFmt w:val="lowerLetter"/>
      <w:lvlText w:val="(%1)"/>
      <w:lvlJc w:val="left"/>
      <w:pPr>
        <w:ind w:left="2327" w:hanging="360"/>
      </w:pPr>
      <w:rPr>
        <w:rFonts w:hint="default"/>
      </w:rPr>
    </w:lvl>
    <w:lvl w:ilvl="1" w:tplc="08090019" w:tentative="1">
      <w:start w:val="1"/>
      <w:numFmt w:val="lowerLetter"/>
      <w:lvlText w:val="%2."/>
      <w:lvlJc w:val="left"/>
      <w:pPr>
        <w:ind w:left="3047" w:hanging="360"/>
      </w:pPr>
    </w:lvl>
    <w:lvl w:ilvl="2" w:tplc="0809001B" w:tentative="1">
      <w:start w:val="1"/>
      <w:numFmt w:val="lowerRoman"/>
      <w:lvlText w:val="%3."/>
      <w:lvlJc w:val="right"/>
      <w:pPr>
        <w:ind w:left="3767" w:hanging="180"/>
      </w:pPr>
    </w:lvl>
    <w:lvl w:ilvl="3" w:tplc="0809000F" w:tentative="1">
      <w:start w:val="1"/>
      <w:numFmt w:val="decimal"/>
      <w:lvlText w:val="%4."/>
      <w:lvlJc w:val="left"/>
      <w:pPr>
        <w:ind w:left="4487" w:hanging="360"/>
      </w:pPr>
    </w:lvl>
    <w:lvl w:ilvl="4" w:tplc="08090019" w:tentative="1">
      <w:start w:val="1"/>
      <w:numFmt w:val="lowerLetter"/>
      <w:lvlText w:val="%5."/>
      <w:lvlJc w:val="left"/>
      <w:pPr>
        <w:ind w:left="5207" w:hanging="360"/>
      </w:pPr>
    </w:lvl>
    <w:lvl w:ilvl="5" w:tplc="0809001B" w:tentative="1">
      <w:start w:val="1"/>
      <w:numFmt w:val="lowerRoman"/>
      <w:lvlText w:val="%6."/>
      <w:lvlJc w:val="right"/>
      <w:pPr>
        <w:ind w:left="5927" w:hanging="180"/>
      </w:pPr>
    </w:lvl>
    <w:lvl w:ilvl="6" w:tplc="0809000F" w:tentative="1">
      <w:start w:val="1"/>
      <w:numFmt w:val="decimal"/>
      <w:lvlText w:val="%7."/>
      <w:lvlJc w:val="left"/>
      <w:pPr>
        <w:ind w:left="6647" w:hanging="360"/>
      </w:pPr>
    </w:lvl>
    <w:lvl w:ilvl="7" w:tplc="08090019" w:tentative="1">
      <w:start w:val="1"/>
      <w:numFmt w:val="lowerLetter"/>
      <w:lvlText w:val="%8."/>
      <w:lvlJc w:val="left"/>
      <w:pPr>
        <w:ind w:left="7367" w:hanging="360"/>
      </w:pPr>
    </w:lvl>
    <w:lvl w:ilvl="8" w:tplc="0809001B" w:tentative="1">
      <w:start w:val="1"/>
      <w:numFmt w:val="lowerRoman"/>
      <w:lvlText w:val="%9."/>
      <w:lvlJc w:val="right"/>
      <w:pPr>
        <w:ind w:left="8087" w:hanging="180"/>
      </w:pPr>
    </w:lvl>
  </w:abstractNum>
  <w:abstractNum w:abstractNumId="6" w15:restartNumberingAfterBreak="0">
    <w:nsid w:val="14F662EE"/>
    <w:multiLevelType w:val="hybridMultilevel"/>
    <w:tmpl w:val="F4A2A6D8"/>
    <w:lvl w:ilvl="0" w:tplc="613CD834">
      <w:start w:val="1"/>
      <w:numFmt w:val="upperLetter"/>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7"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0" w15:restartNumberingAfterBreak="0">
    <w:nsid w:val="518C3520"/>
    <w:multiLevelType w:val="hybridMultilevel"/>
    <w:tmpl w:val="B986EE94"/>
    <w:lvl w:ilvl="0" w:tplc="2C7E59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5F34278E"/>
    <w:multiLevelType w:val="hybridMultilevel"/>
    <w:tmpl w:val="DEA8954E"/>
    <w:lvl w:ilvl="0" w:tplc="FFFFFFFF">
      <w:start w:val="1"/>
      <w:numFmt w:val="decimal"/>
      <w:lvlText w:val="%1."/>
      <w:lvlJc w:val="left"/>
      <w:pPr>
        <w:ind w:left="1607" w:hanging="360"/>
      </w:pPr>
      <w:rPr>
        <w:rFonts w:hint="default"/>
      </w:rPr>
    </w:lvl>
    <w:lvl w:ilvl="1" w:tplc="9A4CF40E">
      <w:start w:val="1"/>
      <w:numFmt w:val="lowerLetter"/>
      <w:lvlText w:val="(%2)"/>
      <w:lvlJc w:val="left"/>
      <w:pPr>
        <w:ind w:left="2327" w:hanging="360"/>
      </w:pPr>
      <w:rPr>
        <w:rFonts w:hint="default"/>
      </w:r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3" w15:restartNumberingAfterBreak="0">
    <w:nsid w:val="6B0A3978"/>
    <w:multiLevelType w:val="hybridMultilevel"/>
    <w:tmpl w:val="A0067BEA"/>
    <w:lvl w:ilvl="0" w:tplc="086EB6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8F22FB"/>
    <w:multiLevelType w:val="hybridMultilevel"/>
    <w:tmpl w:val="62164FC6"/>
    <w:lvl w:ilvl="0" w:tplc="F6DAA530">
      <w:start w:val="1"/>
      <w:numFmt w:val="decimal"/>
      <w:lvlText w:val="%1."/>
      <w:lvlJc w:val="left"/>
      <w:pPr>
        <w:ind w:left="720" w:hanging="360"/>
      </w:pPr>
    </w:lvl>
    <w:lvl w:ilvl="1" w:tplc="D5D61B10">
      <w:start w:val="1"/>
      <w:numFmt w:val="decimal"/>
      <w:lvlText w:val="%2."/>
      <w:lvlJc w:val="left"/>
      <w:pPr>
        <w:ind w:left="720" w:hanging="360"/>
      </w:pPr>
    </w:lvl>
    <w:lvl w:ilvl="2" w:tplc="939C5F4E">
      <w:start w:val="1"/>
      <w:numFmt w:val="decimal"/>
      <w:lvlText w:val="%3."/>
      <w:lvlJc w:val="left"/>
      <w:pPr>
        <w:ind w:left="720" w:hanging="360"/>
      </w:pPr>
    </w:lvl>
    <w:lvl w:ilvl="3" w:tplc="C63207F6">
      <w:start w:val="1"/>
      <w:numFmt w:val="decimal"/>
      <w:lvlText w:val="%4."/>
      <w:lvlJc w:val="left"/>
      <w:pPr>
        <w:ind w:left="720" w:hanging="360"/>
      </w:pPr>
    </w:lvl>
    <w:lvl w:ilvl="4" w:tplc="DE5893D8">
      <w:start w:val="1"/>
      <w:numFmt w:val="decimal"/>
      <w:lvlText w:val="%5."/>
      <w:lvlJc w:val="left"/>
      <w:pPr>
        <w:ind w:left="720" w:hanging="360"/>
      </w:pPr>
    </w:lvl>
    <w:lvl w:ilvl="5" w:tplc="3A8A2FB8">
      <w:start w:val="1"/>
      <w:numFmt w:val="decimal"/>
      <w:lvlText w:val="%6."/>
      <w:lvlJc w:val="left"/>
      <w:pPr>
        <w:ind w:left="720" w:hanging="360"/>
      </w:pPr>
    </w:lvl>
    <w:lvl w:ilvl="6" w:tplc="F2C29A3A">
      <w:start w:val="1"/>
      <w:numFmt w:val="decimal"/>
      <w:lvlText w:val="%7."/>
      <w:lvlJc w:val="left"/>
      <w:pPr>
        <w:ind w:left="720" w:hanging="360"/>
      </w:pPr>
    </w:lvl>
    <w:lvl w:ilvl="7" w:tplc="091CDD90">
      <w:start w:val="1"/>
      <w:numFmt w:val="decimal"/>
      <w:lvlText w:val="%8."/>
      <w:lvlJc w:val="left"/>
      <w:pPr>
        <w:ind w:left="720" w:hanging="360"/>
      </w:pPr>
    </w:lvl>
    <w:lvl w:ilvl="8" w:tplc="9EFA4A40">
      <w:start w:val="1"/>
      <w:numFmt w:val="decimal"/>
      <w:lvlText w:val="%9."/>
      <w:lvlJc w:val="left"/>
      <w:pPr>
        <w:ind w:left="720" w:hanging="360"/>
      </w:pPr>
    </w:lvl>
  </w:abstractNum>
  <w:abstractNum w:abstractNumId="15" w15:restartNumberingAfterBreak="0">
    <w:nsid w:val="7CD543A7"/>
    <w:multiLevelType w:val="hybridMultilevel"/>
    <w:tmpl w:val="79260DCA"/>
    <w:lvl w:ilvl="0" w:tplc="FFFFFFFF">
      <w:start w:val="1"/>
      <w:numFmt w:val="decimal"/>
      <w:lvlText w:val="%1."/>
      <w:lvlJc w:val="left"/>
      <w:pPr>
        <w:ind w:left="1607" w:hanging="360"/>
      </w:pPr>
      <w:rPr>
        <w:rFonts w:hint="default"/>
      </w:rPr>
    </w:lvl>
    <w:lvl w:ilvl="1" w:tplc="9A4CF40E">
      <w:start w:val="1"/>
      <w:numFmt w:val="lowerLetter"/>
      <w:lvlText w:val="(%2)"/>
      <w:lvlJc w:val="left"/>
      <w:pPr>
        <w:ind w:left="2327" w:hanging="360"/>
      </w:pPr>
      <w:rPr>
        <w:rFonts w:hint="default"/>
      </w:r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num w:numId="1" w16cid:durableId="667565261">
    <w:abstractNumId w:val="11"/>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16cid:durableId="1016267553">
    <w:abstractNumId w:val="7"/>
  </w:num>
  <w:num w:numId="3" w16cid:durableId="282033796">
    <w:abstractNumId w:val="8"/>
  </w:num>
  <w:num w:numId="4" w16cid:durableId="1494448980">
    <w:abstractNumId w:val="11"/>
  </w:num>
  <w:num w:numId="5" w16cid:durableId="1135946353">
    <w:abstractNumId w:val="9"/>
  </w:num>
  <w:num w:numId="6" w16cid:durableId="1100219994">
    <w:abstractNumId w:val="2"/>
  </w:num>
  <w:num w:numId="7" w16cid:durableId="837236890">
    <w:abstractNumId w:val="11"/>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 w16cid:durableId="1235167672">
    <w:abstractNumId w:val="11"/>
  </w:num>
  <w:num w:numId="9" w16cid:durableId="1672561967">
    <w:abstractNumId w:val="11"/>
  </w:num>
  <w:num w:numId="10" w16cid:durableId="1437212726">
    <w:abstractNumId w:val="11"/>
  </w:num>
  <w:num w:numId="11" w16cid:durableId="2016877031">
    <w:abstractNumId w:val="11"/>
  </w:num>
  <w:num w:numId="12" w16cid:durableId="1771202158">
    <w:abstractNumId w:val="11"/>
  </w:num>
  <w:num w:numId="13" w16cid:durableId="860124871">
    <w:abstractNumId w:val="11"/>
  </w:num>
  <w:num w:numId="14" w16cid:durableId="1326588141">
    <w:abstractNumId w:val="11"/>
  </w:num>
  <w:num w:numId="15" w16cid:durableId="645666334">
    <w:abstractNumId w:val="11"/>
  </w:num>
  <w:num w:numId="16" w16cid:durableId="1863744742">
    <w:abstractNumId w:val="11"/>
  </w:num>
  <w:num w:numId="17" w16cid:durableId="1171330947">
    <w:abstractNumId w:val="11"/>
  </w:num>
  <w:num w:numId="18" w16cid:durableId="1935552929">
    <w:abstractNumId w:val="11"/>
  </w:num>
  <w:num w:numId="19" w16cid:durableId="1174610815">
    <w:abstractNumId w:val="11"/>
  </w:num>
  <w:num w:numId="20" w16cid:durableId="960376072">
    <w:abstractNumId w:val="11"/>
  </w:num>
  <w:num w:numId="21" w16cid:durableId="1267301723">
    <w:abstractNumId w:val="11"/>
  </w:num>
  <w:num w:numId="22" w16cid:durableId="711611048">
    <w:abstractNumId w:val="11"/>
  </w:num>
  <w:num w:numId="23" w16cid:durableId="1040713280">
    <w:abstractNumId w:val="11"/>
  </w:num>
  <w:num w:numId="24" w16cid:durableId="327173741">
    <w:abstractNumId w:val="11"/>
  </w:num>
  <w:num w:numId="25" w16cid:durableId="795369156">
    <w:abstractNumId w:val="11"/>
  </w:num>
  <w:num w:numId="26" w16cid:durableId="133528854">
    <w:abstractNumId w:val="11"/>
  </w:num>
  <w:num w:numId="27" w16cid:durableId="986323153">
    <w:abstractNumId w:val="11"/>
  </w:num>
  <w:num w:numId="28" w16cid:durableId="433213590">
    <w:abstractNumId w:val="11"/>
  </w:num>
  <w:num w:numId="29" w16cid:durableId="265043740">
    <w:abstractNumId w:val="11"/>
  </w:num>
  <w:num w:numId="30" w16cid:durableId="1791820401">
    <w:abstractNumId w:val="11"/>
  </w:num>
  <w:num w:numId="31" w16cid:durableId="1300576112">
    <w:abstractNumId w:val="11"/>
  </w:num>
  <w:num w:numId="32" w16cid:durableId="201483325">
    <w:abstractNumId w:val="11"/>
  </w:num>
  <w:num w:numId="33" w16cid:durableId="685595495">
    <w:abstractNumId w:val="11"/>
  </w:num>
  <w:num w:numId="34" w16cid:durableId="747459989">
    <w:abstractNumId w:val="11"/>
  </w:num>
  <w:num w:numId="35" w16cid:durableId="1902908779">
    <w:abstractNumId w:val="11"/>
  </w:num>
  <w:num w:numId="36" w16cid:durableId="431437778">
    <w:abstractNumId w:val="11"/>
  </w:num>
  <w:num w:numId="37" w16cid:durableId="1020814842">
    <w:abstractNumId w:val="11"/>
  </w:num>
  <w:num w:numId="38" w16cid:durableId="147790694">
    <w:abstractNumId w:val="11"/>
  </w:num>
  <w:num w:numId="39" w16cid:durableId="1005400598">
    <w:abstractNumId w:val="11"/>
  </w:num>
  <w:num w:numId="40" w16cid:durableId="1527334094">
    <w:abstractNumId w:val="11"/>
  </w:num>
  <w:num w:numId="41" w16cid:durableId="1255939666">
    <w:abstractNumId w:val="3"/>
  </w:num>
  <w:num w:numId="42" w16cid:durableId="1800299503">
    <w:abstractNumId w:val="13"/>
  </w:num>
  <w:num w:numId="43" w16cid:durableId="1423144864">
    <w:abstractNumId w:val="10"/>
  </w:num>
  <w:num w:numId="44" w16cid:durableId="1302687383">
    <w:abstractNumId w:val="1"/>
  </w:num>
  <w:num w:numId="45" w16cid:durableId="1764568846">
    <w:abstractNumId w:val="0"/>
  </w:num>
  <w:num w:numId="46" w16cid:durableId="645429366">
    <w:abstractNumId w:val="12"/>
  </w:num>
  <w:num w:numId="47" w16cid:durableId="529532271">
    <w:abstractNumId w:val="4"/>
  </w:num>
  <w:num w:numId="48" w16cid:durableId="800808700">
    <w:abstractNumId w:val="15"/>
  </w:num>
  <w:num w:numId="49" w16cid:durableId="1343554704">
    <w:abstractNumId w:val="6"/>
  </w:num>
  <w:num w:numId="50" w16cid:durableId="2074622469">
    <w:abstractNumId w:val="14"/>
  </w:num>
  <w:num w:numId="51" w16cid:durableId="207573386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017F7"/>
    <w:rsid w:val="000019F0"/>
    <w:rsid w:val="00003FCC"/>
    <w:rsid w:val="000057D7"/>
    <w:rsid w:val="00010C20"/>
    <w:rsid w:val="000149E6"/>
    <w:rsid w:val="00014B46"/>
    <w:rsid w:val="00014E37"/>
    <w:rsid w:val="000228A1"/>
    <w:rsid w:val="000247B0"/>
    <w:rsid w:val="00026997"/>
    <w:rsid w:val="00027FD2"/>
    <w:rsid w:val="00033E0B"/>
    <w:rsid w:val="00034B31"/>
    <w:rsid w:val="00035EDE"/>
    <w:rsid w:val="00036A9D"/>
    <w:rsid w:val="00041A4F"/>
    <w:rsid w:val="0004415A"/>
    <w:rsid w:val="00044340"/>
    <w:rsid w:val="000509B4"/>
    <w:rsid w:val="00051F45"/>
    <w:rsid w:val="000535A8"/>
    <w:rsid w:val="00054076"/>
    <w:rsid w:val="00054462"/>
    <w:rsid w:val="0006035B"/>
    <w:rsid w:val="00061A52"/>
    <w:rsid w:val="000624D2"/>
    <w:rsid w:val="0006785D"/>
    <w:rsid w:val="00071886"/>
    <w:rsid w:val="000742BC"/>
    <w:rsid w:val="00076192"/>
    <w:rsid w:val="0007637E"/>
    <w:rsid w:val="00077206"/>
    <w:rsid w:val="00077512"/>
    <w:rsid w:val="00082A0C"/>
    <w:rsid w:val="00083504"/>
    <w:rsid w:val="00084763"/>
    <w:rsid w:val="0008607A"/>
    <w:rsid w:val="000902E7"/>
    <w:rsid w:val="00090EC3"/>
    <w:rsid w:val="000941E5"/>
    <w:rsid w:val="00094EA8"/>
    <w:rsid w:val="0009640C"/>
    <w:rsid w:val="000974C3"/>
    <w:rsid w:val="000A3B9C"/>
    <w:rsid w:val="000A499F"/>
    <w:rsid w:val="000A7E95"/>
    <w:rsid w:val="000B22A2"/>
    <w:rsid w:val="000B5BC8"/>
    <w:rsid w:val="000B697B"/>
    <w:rsid w:val="000C0F46"/>
    <w:rsid w:val="000C2A52"/>
    <w:rsid w:val="000C35A9"/>
    <w:rsid w:val="000C43F1"/>
    <w:rsid w:val="000C47F3"/>
    <w:rsid w:val="000C746A"/>
    <w:rsid w:val="000D0733"/>
    <w:rsid w:val="000D0B06"/>
    <w:rsid w:val="000D2B54"/>
    <w:rsid w:val="000D33C0"/>
    <w:rsid w:val="000D6941"/>
    <w:rsid w:val="000E176C"/>
    <w:rsid w:val="000E460F"/>
    <w:rsid w:val="000E5A8D"/>
    <w:rsid w:val="000F2BA0"/>
    <w:rsid w:val="000F343B"/>
    <w:rsid w:val="001007DD"/>
    <w:rsid w:val="00101058"/>
    <w:rsid w:val="00103655"/>
    <w:rsid w:val="00104615"/>
    <w:rsid w:val="001057D0"/>
    <w:rsid w:val="00106AE5"/>
    <w:rsid w:val="00107AC9"/>
    <w:rsid w:val="00110855"/>
    <w:rsid w:val="00112320"/>
    <w:rsid w:val="00117CCA"/>
    <w:rsid w:val="00117EA5"/>
    <w:rsid w:val="001202E3"/>
    <w:rsid w:val="00123699"/>
    <w:rsid w:val="00123F23"/>
    <w:rsid w:val="00124DF8"/>
    <w:rsid w:val="0012644F"/>
    <w:rsid w:val="0013059D"/>
    <w:rsid w:val="001327D8"/>
    <w:rsid w:val="00135092"/>
    <w:rsid w:val="00136DFC"/>
    <w:rsid w:val="00141A55"/>
    <w:rsid w:val="001446A3"/>
    <w:rsid w:val="00145960"/>
    <w:rsid w:val="001468FE"/>
    <w:rsid w:val="0015262A"/>
    <w:rsid w:val="0015442E"/>
    <w:rsid w:val="00155395"/>
    <w:rsid w:val="001568FD"/>
    <w:rsid w:val="00160D74"/>
    <w:rsid w:val="00166FA1"/>
    <w:rsid w:val="00167D02"/>
    <w:rsid w:val="00171AE1"/>
    <w:rsid w:val="00175E49"/>
    <w:rsid w:val="001777A8"/>
    <w:rsid w:val="00181304"/>
    <w:rsid w:val="0018143C"/>
    <w:rsid w:val="00181EC8"/>
    <w:rsid w:val="00184349"/>
    <w:rsid w:val="0019016C"/>
    <w:rsid w:val="00191434"/>
    <w:rsid w:val="00191F26"/>
    <w:rsid w:val="00193DC9"/>
    <w:rsid w:val="00194915"/>
    <w:rsid w:val="00195E9F"/>
    <w:rsid w:val="00195F33"/>
    <w:rsid w:val="00197ECF"/>
    <w:rsid w:val="001A3C6C"/>
    <w:rsid w:val="001A5DB6"/>
    <w:rsid w:val="001B1617"/>
    <w:rsid w:val="001B1FAB"/>
    <w:rsid w:val="001B504B"/>
    <w:rsid w:val="001B7D42"/>
    <w:rsid w:val="001B7ECE"/>
    <w:rsid w:val="001C2418"/>
    <w:rsid w:val="001C4D7F"/>
    <w:rsid w:val="001C71C1"/>
    <w:rsid w:val="001D3162"/>
    <w:rsid w:val="001D3874"/>
    <w:rsid w:val="001D43F2"/>
    <w:rsid w:val="001D7E75"/>
    <w:rsid w:val="001E4A2B"/>
    <w:rsid w:val="001E56D2"/>
    <w:rsid w:val="001E7D56"/>
    <w:rsid w:val="001F42FE"/>
    <w:rsid w:val="001F4802"/>
    <w:rsid w:val="001F566B"/>
    <w:rsid w:val="001F75DE"/>
    <w:rsid w:val="001F77C4"/>
    <w:rsid w:val="001F7B6B"/>
    <w:rsid w:val="00200D58"/>
    <w:rsid w:val="00201257"/>
    <w:rsid w:val="002013BE"/>
    <w:rsid w:val="002063A4"/>
    <w:rsid w:val="0021145B"/>
    <w:rsid w:val="002116EA"/>
    <w:rsid w:val="0021256A"/>
    <w:rsid w:val="00217622"/>
    <w:rsid w:val="00224804"/>
    <w:rsid w:val="00226140"/>
    <w:rsid w:val="00233B40"/>
    <w:rsid w:val="00234B59"/>
    <w:rsid w:val="00235555"/>
    <w:rsid w:val="00236ECA"/>
    <w:rsid w:val="00237F5D"/>
    <w:rsid w:val="00243114"/>
    <w:rsid w:val="00243738"/>
    <w:rsid w:val="00243D36"/>
    <w:rsid w:val="00244900"/>
    <w:rsid w:val="00247707"/>
    <w:rsid w:val="00250B6D"/>
    <w:rsid w:val="002525C0"/>
    <w:rsid w:val="00257CD4"/>
    <w:rsid w:val="0026018E"/>
    <w:rsid w:val="00260799"/>
    <w:rsid w:val="002655F6"/>
    <w:rsid w:val="0026598F"/>
    <w:rsid w:val="002661F1"/>
    <w:rsid w:val="00270C3B"/>
    <w:rsid w:val="002720F5"/>
    <w:rsid w:val="00273617"/>
    <w:rsid w:val="00275165"/>
    <w:rsid w:val="0027572E"/>
    <w:rsid w:val="00275DA1"/>
    <w:rsid w:val="002768BA"/>
    <w:rsid w:val="002859B3"/>
    <w:rsid w:val="00286740"/>
    <w:rsid w:val="002873EC"/>
    <w:rsid w:val="002877BA"/>
    <w:rsid w:val="002901D0"/>
    <w:rsid w:val="00290DC1"/>
    <w:rsid w:val="002929D8"/>
    <w:rsid w:val="0029507F"/>
    <w:rsid w:val="00295604"/>
    <w:rsid w:val="00297F7C"/>
    <w:rsid w:val="002A1C1C"/>
    <w:rsid w:val="002A237D"/>
    <w:rsid w:val="002A3D63"/>
    <w:rsid w:val="002A4C53"/>
    <w:rsid w:val="002A787F"/>
    <w:rsid w:val="002B0672"/>
    <w:rsid w:val="002B2355"/>
    <w:rsid w:val="002B247F"/>
    <w:rsid w:val="002B5281"/>
    <w:rsid w:val="002B7A75"/>
    <w:rsid w:val="002C145D"/>
    <w:rsid w:val="002C2C3E"/>
    <w:rsid w:val="002C3544"/>
    <w:rsid w:val="002C3C7B"/>
    <w:rsid w:val="002C533E"/>
    <w:rsid w:val="002C79E4"/>
    <w:rsid w:val="002C7A45"/>
    <w:rsid w:val="002D027F"/>
    <w:rsid w:val="002D118B"/>
    <w:rsid w:val="002D1527"/>
    <w:rsid w:val="002D7A85"/>
    <w:rsid w:val="002D7B60"/>
    <w:rsid w:val="002E0756"/>
    <w:rsid w:val="002E277D"/>
    <w:rsid w:val="002E474E"/>
    <w:rsid w:val="002E4783"/>
    <w:rsid w:val="002E758E"/>
    <w:rsid w:val="002F1245"/>
    <w:rsid w:val="002F4761"/>
    <w:rsid w:val="002F5C79"/>
    <w:rsid w:val="003019E2"/>
    <w:rsid w:val="00302811"/>
    <w:rsid w:val="00302CCC"/>
    <w:rsid w:val="00303234"/>
    <w:rsid w:val="00305D13"/>
    <w:rsid w:val="003140A7"/>
    <w:rsid w:val="0031413F"/>
    <w:rsid w:val="003148BB"/>
    <w:rsid w:val="00317976"/>
    <w:rsid w:val="00320A3B"/>
    <w:rsid w:val="00324B1A"/>
    <w:rsid w:val="00324C68"/>
    <w:rsid w:val="00325A36"/>
    <w:rsid w:val="003300F0"/>
    <w:rsid w:val="00332250"/>
    <w:rsid w:val="0033701C"/>
    <w:rsid w:val="00341E59"/>
    <w:rsid w:val="00346363"/>
    <w:rsid w:val="00353FBC"/>
    <w:rsid w:val="0035571E"/>
    <w:rsid w:val="00355EA9"/>
    <w:rsid w:val="003578DE"/>
    <w:rsid w:val="0036153B"/>
    <w:rsid w:val="00361DF8"/>
    <w:rsid w:val="00362047"/>
    <w:rsid w:val="00362877"/>
    <w:rsid w:val="00364981"/>
    <w:rsid w:val="00366423"/>
    <w:rsid w:val="0036669D"/>
    <w:rsid w:val="00370F81"/>
    <w:rsid w:val="00372781"/>
    <w:rsid w:val="003735DB"/>
    <w:rsid w:val="00374DC4"/>
    <w:rsid w:val="00382A40"/>
    <w:rsid w:val="00383896"/>
    <w:rsid w:val="00385590"/>
    <w:rsid w:val="00386AB0"/>
    <w:rsid w:val="0039169B"/>
    <w:rsid w:val="00392467"/>
    <w:rsid w:val="003929CC"/>
    <w:rsid w:val="00392F9C"/>
    <w:rsid w:val="00396257"/>
    <w:rsid w:val="003963DF"/>
    <w:rsid w:val="00396E3E"/>
    <w:rsid w:val="00397EB8"/>
    <w:rsid w:val="003A1799"/>
    <w:rsid w:val="003A1C5B"/>
    <w:rsid w:val="003A42BA"/>
    <w:rsid w:val="003A4FD0"/>
    <w:rsid w:val="003A69AB"/>
    <w:rsid w:val="003A69D1"/>
    <w:rsid w:val="003A7705"/>
    <w:rsid w:val="003A77F1"/>
    <w:rsid w:val="003B0885"/>
    <w:rsid w:val="003B1545"/>
    <w:rsid w:val="003B5FFF"/>
    <w:rsid w:val="003B69E8"/>
    <w:rsid w:val="003B7463"/>
    <w:rsid w:val="003C0953"/>
    <w:rsid w:val="003C2709"/>
    <w:rsid w:val="003C409D"/>
    <w:rsid w:val="003C5BA6"/>
    <w:rsid w:val="003D09F6"/>
    <w:rsid w:val="003D104A"/>
    <w:rsid w:val="003D48D1"/>
    <w:rsid w:val="003D7520"/>
    <w:rsid w:val="003D7C09"/>
    <w:rsid w:val="003E2B06"/>
    <w:rsid w:val="003E6F41"/>
    <w:rsid w:val="003E7DE3"/>
    <w:rsid w:val="003F06BB"/>
    <w:rsid w:val="003F087D"/>
    <w:rsid w:val="003F0E85"/>
    <w:rsid w:val="003F1187"/>
    <w:rsid w:val="003F2BF8"/>
    <w:rsid w:val="003F77CF"/>
    <w:rsid w:val="00405B4A"/>
    <w:rsid w:val="00406F8E"/>
    <w:rsid w:val="0041031A"/>
    <w:rsid w:val="00410C55"/>
    <w:rsid w:val="00415026"/>
    <w:rsid w:val="00416854"/>
    <w:rsid w:val="004171CF"/>
    <w:rsid w:val="00417725"/>
    <w:rsid w:val="0042196F"/>
    <w:rsid w:val="004322D3"/>
    <w:rsid w:val="00432D51"/>
    <w:rsid w:val="0043437A"/>
    <w:rsid w:val="00435FD9"/>
    <w:rsid w:val="00436291"/>
    <w:rsid w:val="00436F28"/>
    <w:rsid w:val="00437213"/>
    <w:rsid w:val="00437F26"/>
    <w:rsid w:val="00444097"/>
    <w:rsid w:val="00445487"/>
    <w:rsid w:val="00446E75"/>
    <w:rsid w:val="0044724D"/>
    <w:rsid w:val="00450FD0"/>
    <w:rsid w:val="00451965"/>
    <w:rsid w:val="004540E9"/>
    <w:rsid w:val="00454769"/>
    <w:rsid w:val="00461296"/>
    <w:rsid w:val="00461DA2"/>
    <w:rsid w:val="0046380C"/>
    <w:rsid w:val="00464376"/>
    <w:rsid w:val="0046438C"/>
    <w:rsid w:val="00466991"/>
    <w:rsid w:val="0047062E"/>
    <w:rsid w:val="0047064C"/>
    <w:rsid w:val="004710F6"/>
    <w:rsid w:val="004733EA"/>
    <w:rsid w:val="00474C6E"/>
    <w:rsid w:val="004805C8"/>
    <w:rsid w:val="00482A4F"/>
    <w:rsid w:val="00483B4D"/>
    <w:rsid w:val="0048511D"/>
    <w:rsid w:val="004908DE"/>
    <w:rsid w:val="00492A45"/>
    <w:rsid w:val="00494164"/>
    <w:rsid w:val="004A2E09"/>
    <w:rsid w:val="004A42E1"/>
    <w:rsid w:val="004A506A"/>
    <w:rsid w:val="004A572D"/>
    <w:rsid w:val="004B0116"/>
    <w:rsid w:val="004B13F4"/>
    <w:rsid w:val="004B162C"/>
    <w:rsid w:val="004B614E"/>
    <w:rsid w:val="004B7A0A"/>
    <w:rsid w:val="004C2D83"/>
    <w:rsid w:val="004C3DBE"/>
    <w:rsid w:val="004C5C96"/>
    <w:rsid w:val="004C63A3"/>
    <w:rsid w:val="004D06A4"/>
    <w:rsid w:val="004D1C57"/>
    <w:rsid w:val="004D3315"/>
    <w:rsid w:val="004D5685"/>
    <w:rsid w:val="004D7070"/>
    <w:rsid w:val="004F1A81"/>
    <w:rsid w:val="004F45A8"/>
    <w:rsid w:val="004F630C"/>
    <w:rsid w:val="0050052E"/>
    <w:rsid w:val="00500725"/>
    <w:rsid w:val="00501398"/>
    <w:rsid w:val="00502F9A"/>
    <w:rsid w:val="005058BB"/>
    <w:rsid w:val="00506C60"/>
    <w:rsid w:val="005079F3"/>
    <w:rsid w:val="00515A41"/>
    <w:rsid w:val="0051622E"/>
    <w:rsid w:val="005218D9"/>
    <w:rsid w:val="005244DA"/>
    <w:rsid w:val="005335CB"/>
    <w:rsid w:val="00535BFC"/>
    <w:rsid w:val="00536186"/>
    <w:rsid w:val="005369CB"/>
    <w:rsid w:val="00537579"/>
    <w:rsid w:val="0054352E"/>
    <w:rsid w:val="00543D07"/>
    <w:rsid w:val="00544CBB"/>
    <w:rsid w:val="00545860"/>
    <w:rsid w:val="00546740"/>
    <w:rsid w:val="00551104"/>
    <w:rsid w:val="005529D5"/>
    <w:rsid w:val="005546A5"/>
    <w:rsid w:val="00555E1F"/>
    <w:rsid w:val="0055627D"/>
    <w:rsid w:val="00561676"/>
    <w:rsid w:val="00562867"/>
    <w:rsid w:val="00565473"/>
    <w:rsid w:val="00566B59"/>
    <w:rsid w:val="00567CD7"/>
    <w:rsid w:val="00570873"/>
    <w:rsid w:val="0057315F"/>
    <w:rsid w:val="00574E85"/>
    <w:rsid w:val="00575D35"/>
    <w:rsid w:val="00576026"/>
    <w:rsid w:val="00576104"/>
    <w:rsid w:val="0058703C"/>
    <w:rsid w:val="00587F77"/>
    <w:rsid w:val="005906F9"/>
    <w:rsid w:val="0059159F"/>
    <w:rsid w:val="0059265A"/>
    <w:rsid w:val="00594C61"/>
    <w:rsid w:val="005A1597"/>
    <w:rsid w:val="005A436F"/>
    <w:rsid w:val="005A4A9A"/>
    <w:rsid w:val="005A55A0"/>
    <w:rsid w:val="005A65D0"/>
    <w:rsid w:val="005B09BB"/>
    <w:rsid w:val="005B3F36"/>
    <w:rsid w:val="005B42A6"/>
    <w:rsid w:val="005B76E3"/>
    <w:rsid w:val="005C0AA7"/>
    <w:rsid w:val="005C20A4"/>
    <w:rsid w:val="005C67C8"/>
    <w:rsid w:val="005D0249"/>
    <w:rsid w:val="005D1DA1"/>
    <w:rsid w:val="005D55C1"/>
    <w:rsid w:val="005D6E8C"/>
    <w:rsid w:val="005E2C54"/>
    <w:rsid w:val="005E4379"/>
    <w:rsid w:val="005E4802"/>
    <w:rsid w:val="005E5C29"/>
    <w:rsid w:val="005E677D"/>
    <w:rsid w:val="005F0BE8"/>
    <w:rsid w:val="005F100C"/>
    <w:rsid w:val="005F6142"/>
    <w:rsid w:val="005F68DA"/>
    <w:rsid w:val="00601A49"/>
    <w:rsid w:val="0060773B"/>
    <w:rsid w:val="006123E1"/>
    <w:rsid w:val="006157B5"/>
    <w:rsid w:val="006159FB"/>
    <w:rsid w:val="00615F67"/>
    <w:rsid w:val="00622AC9"/>
    <w:rsid w:val="00622D02"/>
    <w:rsid w:val="00622FF2"/>
    <w:rsid w:val="00626FC6"/>
    <w:rsid w:val="006303B4"/>
    <w:rsid w:val="00633D3D"/>
    <w:rsid w:val="0063575E"/>
    <w:rsid w:val="00635D9A"/>
    <w:rsid w:val="00637EE2"/>
    <w:rsid w:val="00640923"/>
    <w:rsid w:val="00641703"/>
    <w:rsid w:val="0064226F"/>
    <w:rsid w:val="006431A6"/>
    <w:rsid w:val="006459F6"/>
    <w:rsid w:val="006501AD"/>
    <w:rsid w:val="00650EAC"/>
    <w:rsid w:val="00651BFA"/>
    <w:rsid w:val="006520E8"/>
    <w:rsid w:val="00654475"/>
    <w:rsid w:val="006562BF"/>
    <w:rsid w:val="00656B46"/>
    <w:rsid w:val="0066060C"/>
    <w:rsid w:val="006643B8"/>
    <w:rsid w:val="00665A4B"/>
    <w:rsid w:val="00670CFD"/>
    <w:rsid w:val="006717E6"/>
    <w:rsid w:val="00673665"/>
    <w:rsid w:val="00674282"/>
    <w:rsid w:val="00680611"/>
    <w:rsid w:val="00684839"/>
    <w:rsid w:val="006861B7"/>
    <w:rsid w:val="00687DAE"/>
    <w:rsid w:val="00691439"/>
    <w:rsid w:val="00692E2A"/>
    <w:rsid w:val="006932D6"/>
    <w:rsid w:val="006A21E5"/>
    <w:rsid w:val="006A28D3"/>
    <w:rsid w:val="006A76F2"/>
    <w:rsid w:val="006B111A"/>
    <w:rsid w:val="006B146C"/>
    <w:rsid w:val="006B3D2B"/>
    <w:rsid w:val="006B654D"/>
    <w:rsid w:val="006B6DC8"/>
    <w:rsid w:val="006C34D7"/>
    <w:rsid w:val="006C506C"/>
    <w:rsid w:val="006D0230"/>
    <w:rsid w:val="006D1A23"/>
    <w:rsid w:val="006D1A3C"/>
    <w:rsid w:val="006D1C7C"/>
    <w:rsid w:val="006D3610"/>
    <w:rsid w:val="006D4F04"/>
    <w:rsid w:val="006D7EFB"/>
    <w:rsid w:val="006D7F01"/>
    <w:rsid w:val="006E00B3"/>
    <w:rsid w:val="006E11B0"/>
    <w:rsid w:val="006E1867"/>
    <w:rsid w:val="006E52AE"/>
    <w:rsid w:val="006E6672"/>
    <w:rsid w:val="006E6722"/>
    <w:rsid w:val="006F075F"/>
    <w:rsid w:val="006F46DC"/>
    <w:rsid w:val="006F5276"/>
    <w:rsid w:val="00700C1B"/>
    <w:rsid w:val="00700F9C"/>
    <w:rsid w:val="00701FAE"/>
    <w:rsid w:val="007027B9"/>
    <w:rsid w:val="00704465"/>
    <w:rsid w:val="0070628E"/>
    <w:rsid w:val="00706E33"/>
    <w:rsid w:val="0070770D"/>
    <w:rsid w:val="00713108"/>
    <w:rsid w:val="00715E88"/>
    <w:rsid w:val="0071618A"/>
    <w:rsid w:val="0072004E"/>
    <w:rsid w:val="0072353B"/>
    <w:rsid w:val="00723E8E"/>
    <w:rsid w:val="00724AA5"/>
    <w:rsid w:val="00733038"/>
    <w:rsid w:val="007348C0"/>
    <w:rsid w:val="00734CAA"/>
    <w:rsid w:val="007364F7"/>
    <w:rsid w:val="00740426"/>
    <w:rsid w:val="00741B20"/>
    <w:rsid w:val="00743C1A"/>
    <w:rsid w:val="007465EA"/>
    <w:rsid w:val="00747258"/>
    <w:rsid w:val="00751150"/>
    <w:rsid w:val="0075533C"/>
    <w:rsid w:val="00757581"/>
    <w:rsid w:val="007611A0"/>
    <w:rsid w:val="0076147A"/>
    <w:rsid w:val="00761882"/>
    <w:rsid w:val="00767C2F"/>
    <w:rsid w:val="007714B9"/>
    <w:rsid w:val="007750DB"/>
    <w:rsid w:val="007778FF"/>
    <w:rsid w:val="0078155B"/>
    <w:rsid w:val="007828A5"/>
    <w:rsid w:val="007841F5"/>
    <w:rsid w:val="0079019B"/>
    <w:rsid w:val="007951CB"/>
    <w:rsid w:val="00795721"/>
    <w:rsid w:val="00796D3F"/>
    <w:rsid w:val="007A138D"/>
    <w:rsid w:val="007A1683"/>
    <w:rsid w:val="007A31B3"/>
    <w:rsid w:val="007A4751"/>
    <w:rsid w:val="007A59E5"/>
    <w:rsid w:val="007A5A2C"/>
    <w:rsid w:val="007A5C12"/>
    <w:rsid w:val="007A7CB0"/>
    <w:rsid w:val="007B24F8"/>
    <w:rsid w:val="007B6837"/>
    <w:rsid w:val="007B68A3"/>
    <w:rsid w:val="007C2541"/>
    <w:rsid w:val="007C3803"/>
    <w:rsid w:val="007C521D"/>
    <w:rsid w:val="007D170E"/>
    <w:rsid w:val="007D5654"/>
    <w:rsid w:val="007D66A8"/>
    <w:rsid w:val="007D7FCE"/>
    <w:rsid w:val="007E003F"/>
    <w:rsid w:val="007E0BDC"/>
    <w:rsid w:val="007E69E5"/>
    <w:rsid w:val="007F682E"/>
    <w:rsid w:val="00807EFB"/>
    <w:rsid w:val="008164F2"/>
    <w:rsid w:val="00816BCC"/>
    <w:rsid w:val="008201A2"/>
    <w:rsid w:val="00820945"/>
    <w:rsid w:val="00821395"/>
    <w:rsid w:val="00821699"/>
    <w:rsid w:val="00822418"/>
    <w:rsid w:val="00823639"/>
    <w:rsid w:val="00824FC7"/>
    <w:rsid w:val="00830E26"/>
    <w:rsid w:val="008310FD"/>
    <w:rsid w:val="00832D30"/>
    <w:rsid w:val="008337A9"/>
    <w:rsid w:val="00833921"/>
    <w:rsid w:val="00840BE2"/>
    <w:rsid w:val="0084113F"/>
    <w:rsid w:val="00843402"/>
    <w:rsid w:val="00843576"/>
    <w:rsid w:val="00843B64"/>
    <w:rsid w:val="008456A5"/>
    <w:rsid w:val="008478FC"/>
    <w:rsid w:val="00847C30"/>
    <w:rsid w:val="008521D9"/>
    <w:rsid w:val="008522B8"/>
    <w:rsid w:val="0085268F"/>
    <w:rsid w:val="00854361"/>
    <w:rsid w:val="00856DA9"/>
    <w:rsid w:val="008577D3"/>
    <w:rsid w:val="00860079"/>
    <w:rsid w:val="00861F7D"/>
    <w:rsid w:val="0086518B"/>
    <w:rsid w:val="00867BFF"/>
    <w:rsid w:val="00872F68"/>
    <w:rsid w:val="0087348A"/>
    <w:rsid w:val="00880CCB"/>
    <w:rsid w:val="00881B15"/>
    <w:rsid w:val="0088480A"/>
    <w:rsid w:val="0088757A"/>
    <w:rsid w:val="00890414"/>
    <w:rsid w:val="00891646"/>
    <w:rsid w:val="00892285"/>
    <w:rsid w:val="008932EA"/>
    <w:rsid w:val="00893C50"/>
    <w:rsid w:val="008957AF"/>
    <w:rsid w:val="008957DD"/>
    <w:rsid w:val="00895BA3"/>
    <w:rsid w:val="00897A8A"/>
    <w:rsid w:val="00897D98"/>
    <w:rsid w:val="008A2117"/>
    <w:rsid w:val="008A3441"/>
    <w:rsid w:val="008A3ABA"/>
    <w:rsid w:val="008A4910"/>
    <w:rsid w:val="008A543F"/>
    <w:rsid w:val="008A6DF2"/>
    <w:rsid w:val="008A7807"/>
    <w:rsid w:val="008A7CA5"/>
    <w:rsid w:val="008B4456"/>
    <w:rsid w:val="008B4CC9"/>
    <w:rsid w:val="008C6B3E"/>
    <w:rsid w:val="008D1120"/>
    <w:rsid w:val="008D4202"/>
    <w:rsid w:val="008D7C99"/>
    <w:rsid w:val="008E0FCB"/>
    <w:rsid w:val="008F0E47"/>
    <w:rsid w:val="008F201B"/>
    <w:rsid w:val="008F2825"/>
    <w:rsid w:val="008F58B7"/>
    <w:rsid w:val="008F5D00"/>
    <w:rsid w:val="008F7C89"/>
    <w:rsid w:val="0090145F"/>
    <w:rsid w:val="00902C83"/>
    <w:rsid w:val="0090560A"/>
    <w:rsid w:val="009060EA"/>
    <w:rsid w:val="009072AA"/>
    <w:rsid w:val="009075E9"/>
    <w:rsid w:val="0092178C"/>
    <w:rsid w:val="0092184C"/>
    <w:rsid w:val="009228D2"/>
    <w:rsid w:val="00930B88"/>
    <w:rsid w:val="00930E68"/>
    <w:rsid w:val="0094095A"/>
    <w:rsid w:val="00940DCC"/>
    <w:rsid w:val="0094179A"/>
    <w:rsid w:val="00942E29"/>
    <w:rsid w:val="0094459E"/>
    <w:rsid w:val="00944DBC"/>
    <w:rsid w:val="00946266"/>
    <w:rsid w:val="009473C6"/>
    <w:rsid w:val="00950977"/>
    <w:rsid w:val="00951A7B"/>
    <w:rsid w:val="009564A6"/>
    <w:rsid w:val="00962471"/>
    <w:rsid w:val="009662A5"/>
    <w:rsid w:val="00966FE3"/>
    <w:rsid w:val="00967621"/>
    <w:rsid w:val="00967E6A"/>
    <w:rsid w:val="0097010D"/>
    <w:rsid w:val="00970B74"/>
    <w:rsid w:val="00974763"/>
    <w:rsid w:val="00982510"/>
    <w:rsid w:val="009832BA"/>
    <w:rsid w:val="0098348F"/>
    <w:rsid w:val="00984069"/>
    <w:rsid w:val="00985470"/>
    <w:rsid w:val="00991A5C"/>
    <w:rsid w:val="00992B17"/>
    <w:rsid w:val="00992DE3"/>
    <w:rsid w:val="009A0CE6"/>
    <w:rsid w:val="009A3BB7"/>
    <w:rsid w:val="009A7D72"/>
    <w:rsid w:val="009B2246"/>
    <w:rsid w:val="009B480D"/>
    <w:rsid w:val="009B4A0F"/>
    <w:rsid w:val="009B5860"/>
    <w:rsid w:val="009C11D2"/>
    <w:rsid w:val="009C2E19"/>
    <w:rsid w:val="009C5C60"/>
    <w:rsid w:val="009C6C70"/>
    <w:rsid w:val="009D0B63"/>
    <w:rsid w:val="009D222D"/>
    <w:rsid w:val="009D224D"/>
    <w:rsid w:val="009D7B82"/>
    <w:rsid w:val="009E1424"/>
    <w:rsid w:val="009E24BE"/>
    <w:rsid w:val="009E2F3F"/>
    <w:rsid w:val="009E307E"/>
    <w:rsid w:val="009E4419"/>
    <w:rsid w:val="009E7B2E"/>
    <w:rsid w:val="009F2DC9"/>
    <w:rsid w:val="009F3584"/>
    <w:rsid w:val="00A000D6"/>
    <w:rsid w:val="00A001C6"/>
    <w:rsid w:val="00A0185F"/>
    <w:rsid w:val="00A03B6E"/>
    <w:rsid w:val="00A07870"/>
    <w:rsid w:val="00A07F19"/>
    <w:rsid w:val="00A10AED"/>
    <w:rsid w:val="00A11463"/>
    <w:rsid w:val="00A11B9F"/>
    <w:rsid w:val="00A128CF"/>
    <w:rsid w:val="00A1348D"/>
    <w:rsid w:val="00A13FA1"/>
    <w:rsid w:val="00A142E9"/>
    <w:rsid w:val="00A232EE"/>
    <w:rsid w:val="00A27F44"/>
    <w:rsid w:val="00A32458"/>
    <w:rsid w:val="00A32F74"/>
    <w:rsid w:val="00A35430"/>
    <w:rsid w:val="00A3546E"/>
    <w:rsid w:val="00A35EA7"/>
    <w:rsid w:val="00A407DD"/>
    <w:rsid w:val="00A41445"/>
    <w:rsid w:val="00A4175F"/>
    <w:rsid w:val="00A44411"/>
    <w:rsid w:val="00A469FA"/>
    <w:rsid w:val="00A46CC6"/>
    <w:rsid w:val="00A55B01"/>
    <w:rsid w:val="00A56B5B"/>
    <w:rsid w:val="00A603FF"/>
    <w:rsid w:val="00A61711"/>
    <w:rsid w:val="00A64AF7"/>
    <w:rsid w:val="00A657DD"/>
    <w:rsid w:val="00A666A6"/>
    <w:rsid w:val="00A66C80"/>
    <w:rsid w:val="00A675FD"/>
    <w:rsid w:val="00A706CF"/>
    <w:rsid w:val="00A71EFB"/>
    <w:rsid w:val="00A72437"/>
    <w:rsid w:val="00A745F9"/>
    <w:rsid w:val="00A80611"/>
    <w:rsid w:val="00A80741"/>
    <w:rsid w:val="00A83364"/>
    <w:rsid w:val="00A9003C"/>
    <w:rsid w:val="00A90BBD"/>
    <w:rsid w:val="00A914EF"/>
    <w:rsid w:val="00A94604"/>
    <w:rsid w:val="00A9600B"/>
    <w:rsid w:val="00A96230"/>
    <w:rsid w:val="00AA6459"/>
    <w:rsid w:val="00AA6A0B"/>
    <w:rsid w:val="00AB035B"/>
    <w:rsid w:val="00AB3380"/>
    <w:rsid w:val="00AB5340"/>
    <w:rsid w:val="00AC0A89"/>
    <w:rsid w:val="00AC1B0D"/>
    <w:rsid w:val="00AC422D"/>
    <w:rsid w:val="00AC5CBF"/>
    <w:rsid w:val="00AC683D"/>
    <w:rsid w:val="00AC7AF5"/>
    <w:rsid w:val="00AC7C96"/>
    <w:rsid w:val="00AC7FD3"/>
    <w:rsid w:val="00AD072A"/>
    <w:rsid w:val="00AD3EAE"/>
    <w:rsid w:val="00AD5CBA"/>
    <w:rsid w:val="00AE237D"/>
    <w:rsid w:val="00AE2EFF"/>
    <w:rsid w:val="00AE502A"/>
    <w:rsid w:val="00AE6AB6"/>
    <w:rsid w:val="00AF1D73"/>
    <w:rsid w:val="00AF2E84"/>
    <w:rsid w:val="00AF56C9"/>
    <w:rsid w:val="00AF7266"/>
    <w:rsid w:val="00AF7C07"/>
    <w:rsid w:val="00B02C33"/>
    <w:rsid w:val="00B06A85"/>
    <w:rsid w:val="00B1049E"/>
    <w:rsid w:val="00B11663"/>
    <w:rsid w:val="00B12B35"/>
    <w:rsid w:val="00B13B06"/>
    <w:rsid w:val="00B215FF"/>
    <w:rsid w:val="00B226A7"/>
    <w:rsid w:val="00B22C93"/>
    <w:rsid w:val="00B26738"/>
    <w:rsid w:val="00B27589"/>
    <w:rsid w:val="00B27E17"/>
    <w:rsid w:val="00B27ED5"/>
    <w:rsid w:val="00B31997"/>
    <w:rsid w:val="00B321E7"/>
    <w:rsid w:val="00B405B7"/>
    <w:rsid w:val="00B40CD8"/>
    <w:rsid w:val="00B4162D"/>
    <w:rsid w:val="00B423C8"/>
    <w:rsid w:val="00B45324"/>
    <w:rsid w:val="00B5132A"/>
    <w:rsid w:val="00B52222"/>
    <w:rsid w:val="00B52657"/>
    <w:rsid w:val="00B5428A"/>
    <w:rsid w:val="00B54847"/>
    <w:rsid w:val="00B54FE7"/>
    <w:rsid w:val="00B56A5B"/>
    <w:rsid w:val="00B652E7"/>
    <w:rsid w:val="00B66901"/>
    <w:rsid w:val="00B71E6D"/>
    <w:rsid w:val="00B72070"/>
    <w:rsid w:val="00B73235"/>
    <w:rsid w:val="00B732A1"/>
    <w:rsid w:val="00B737E9"/>
    <w:rsid w:val="00B76A9A"/>
    <w:rsid w:val="00B779E1"/>
    <w:rsid w:val="00B826C1"/>
    <w:rsid w:val="00B836D7"/>
    <w:rsid w:val="00B849E3"/>
    <w:rsid w:val="00B84D51"/>
    <w:rsid w:val="00B84EA4"/>
    <w:rsid w:val="00B8774D"/>
    <w:rsid w:val="00B91EE1"/>
    <w:rsid w:val="00B925AB"/>
    <w:rsid w:val="00B93A1F"/>
    <w:rsid w:val="00BA0090"/>
    <w:rsid w:val="00BA1A67"/>
    <w:rsid w:val="00BA67B7"/>
    <w:rsid w:val="00BA7128"/>
    <w:rsid w:val="00BA7586"/>
    <w:rsid w:val="00BB071B"/>
    <w:rsid w:val="00BB3144"/>
    <w:rsid w:val="00BB76B4"/>
    <w:rsid w:val="00BC429E"/>
    <w:rsid w:val="00BD4C28"/>
    <w:rsid w:val="00BD6494"/>
    <w:rsid w:val="00BE3F5F"/>
    <w:rsid w:val="00BE5B5F"/>
    <w:rsid w:val="00BF17E5"/>
    <w:rsid w:val="00BF400E"/>
    <w:rsid w:val="00BF5163"/>
    <w:rsid w:val="00C001D2"/>
    <w:rsid w:val="00C0297C"/>
    <w:rsid w:val="00C04EAF"/>
    <w:rsid w:val="00C059F0"/>
    <w:rsid w:val="00C063FB"/>
    <w:rsid w:val="00C065CA"/>
    <w:rsid w:val="00C0725D"/>
    <w:rsid w:val="00C10E82"/>
    <w:rsid w:val="00C2221E"/>
    <w:rsid w:val="00C22385"/>
    <w:rsid w:val="00C228DB"/>
    <w:rsid w:val="00C231E8"/>
    <w:rsid w:val="00C23246"/>
    <w:rsid w:val="00C26F55"/>
    <w:rsid w:val="00C30C63"/>
    <w:rsid w:val="00C32EB9"/>
    <w:rsid w:val="00C36947"/>
    <w:rsid w:val="00C36B8B"/>
    <w:rsid w:val="00C40733"/>
    <w:rsid w:val="00C415C1"/>
    <w:rsid w:val="00C4358A"/>
    <w:rsid w:val="00C43794"/>
    <w:rsid w:val="00C47DBF"/>
    <w:rsid w:val="00C51FC5"/>
    <w:rsid w:val="00C52AC2"/>
    <w:rsid w:val="00C552FF"/>
    <w:rsid w:val="00C558DA"/>
    <w:rsid w:val="00C55AF3"/>
    <w:rsid w:val="00C61093"/>
    <w:rsid w:val="00C64D1C"/>
    <w:rsid w:val="00C706F2"/>
    <w:rsid w:val="00C72E66"/>
    <w:rsid w:val="00C74161"/>
    <w:rsid w:val="00C77DE7"/>
    <w:rsid w:val="00C83977"/>
    <w:rsid w:val="00C84759"/>
    <w:rsid w:val="00C86D73"/>
    <w:rsid w:val="00C90EF5"/>
    <w:rsid w:val="00C959FF"/>
    <w:rsid w:val="00CA6C7F"/>
    <w:rsid w:val="00CB3E15"/>
    <w:rsid w:val="00CB4006"/>
    <w:rsid w:val="00CB4193"/>
    <w:rsid w:val="00CB6524"/>
    <w:rsid w:val="00CC093D"/>
    <w:rsid w:val="00CC10A6"/>
    <w:rsid w:val="00CC2FDC"/>
    <w:rsid w:val="00CC429B"/>
    <w:rsid w:val="00CC46FD"/>
    <w:rsid w:val="00CC7F63"/>
    <w:rsid w:val="00CD0F5B"/>
    <w:rsid w:val="00CD5EB8"/>
    <w:rsid w:val="00CD6838"/>
    <w:rsid w:val="00CD7044"/>
    <w:rsid w:val="00CE08B9"/>
    <w:rsid w:val="00CE3103"/>
    <w:rsid w:val="00CE524C"/>
    <w:rsid w:val="00CE6A88"/>
    <w:rsid w:val="00CE7299"/>
    <w:rsid w:val="00CF141F"/>
    <w:rsid w:val="00CF39A9"/>
    <w:rsid w:val="00CF4777"/>
    <w:rsid w:val="00CF61FB"/>
    <w:rsid w:val="00CF7981"/>
    <w:rsid w:val="00D067BB"/>
    <w:rsid w:val="00D07EDB"/>
    <w:rsid w:val="00D134FB"/>
    <w:rsid w:val="00D1352A"/>
    <w:rsid w:val="00D1352E"/>
    <w:rsid w:val="00D13873"/>
    <w:rsid w:val="00D14FE5"/>
    <w:rsid w:val="00D169AF"/>
    <w:rsid w:val="00D2169A"/>
    <w:rsid w:val="00D24693"/>
    <w:rsid w:val="00D25020"/>
    <w:rsid w:val="00D25249"/>
    <w:rsid w:val="00D25DC5"/>
    <w:rsid w:val="00D25ED8"/>
    <w:rsid w:val="00D27C8E"/>
    <w:rsid w:val="00D3092A"/>
    <w:rsid w:val="00D32B10"/>
    <w:rsid w:val="00D33176"/>
    <w:rsid w:val="00D33365"/>
    <w:rsid w:val="00D34DE9"/>
    <w:rsid w:val="00D35F94"/>
    <w:rsid w:val="00D41DF8"/>
    <w:rsid w:val="00D44172"/>
    <w:rsid w:val="00D44836"/>
    <w:rsid w:val="00D52ED6"/>
    <w:rsid w:val="00D56181"/>
    <w:rsid w:val="00D56AF1"/>
    <w:rsid w:val="00D57F4D"/>
    <w:rsid w:val="00D61FBB"/>
    <w:rsid w:val="00D627EE"/>
    <w:rsid w:val="00D63A0D"/>
    <w:rsid w:val="00D63B8C"/>
    <w:rsid w:val="00D63D88"/>
    <w:rsid w:val="00D65163"/>
    <w:rsid w:val="00D66D7D"/>
    <w:rsid w:val="00D72DA8"/>
    <w:rsid w:val="00D739CC"/>
    <w:rsid w:val="00D76E06"/>
    <w:rsid w:val="00D804BB"/>
    <w:rsid w:val="00D8093D"/>
    <w:rsid w:val="00D8108C"/>
    <w:rsid w:val="00D811AC"/>
    <w:rsid w:val="00D820B7"/>
    <w:rsid w:val="00D82409"/>
    <w:rsid w:val="00D836D2"/>
    <w:rsid w:val="00D839ED"/>
    <w:rsid w:val="00D84219"/>
    <w:rsid w:val="00D842AE"/>
    <w:rsid w:val="00D90840"/>
    <w:rsid w:val="00D9211C"/>
    <w:rsid w:val="00D922FD"/>
    <w:rsid w:val="00D92DE0"/>
    <w:rsid w:val="00D92FEF"/>
    <w:rsid w:val="00D93704"/>
    <w:rsid w:val="00D93A0F"/>
    <w:rsid w:val="00DA0077"/>
    <w:rsid w:val="00DA1BCA"/>
    <w:rsid w:val="00DA5913"/>
    <w:rsid w:val="00DA606E"/>
    <w:rsid w:val="00DA6685"/>
    <w:rsid w:val="00DB1996"/>
    <w:rsid w:val="00DB652F"/>
    <w:rsid w:val="00DC46FF"/>
    <w:rsid w:val="00DC5254"/>
    <w:rsid w:val="00DD1A4F"/>
    <w:rsid w:val="00DD3107"/>
    <w:rsid w:val="00DD58FF"/>
    <w:rsid w:val="00DD5F17"/>
    <w:rsid w:val="00DD7C2C"/>
    <w:rsid w:val="00DD7F3F"/>
    <w:rsid w:val="00DD7F98"/>
    <w:rsid w:val="00DE21A4"/>
    <w:rsid w:val="00DE260E"/>
    <w:rsid w:val="00DE4267"/>
    <w:rsid w:val="00DE7EB0"/>
    <w:rsid w:val="00DF22A3"/>
    <w:rsid w:val="00DF43B0"/>
    <w:rsid w:val="00DF70BF"/>
    <w:rsid w:val="00DF7A1F"/>
    <w:rsid w:val="00E024F3"/>
    <w:rsid w:val="00E04FF0"/>
    <w:rsid w:val="00E06797"/>
    <w:rsid w:val="00E072CC"/>
    <w:rsid w:val="00E10368"/>
    <w:rsid w:val="00E10D71"/>
    <w:rsid w:val="00E11C48"/>
    <w:rsid w:val="00E1265B"/>
    <w:rsid w:val="00E13B48"/>
    <w:rsid w:val="00E1404F"/>
    <w:rsid w:val="00E21C83"/>
    <w:rsid w:val="00E24063"/>
    <w:rsid w:val="00E24ADA"/>
    <w:rsid w:val="00E26B0B"/>
    <w:rsid w:val="00E276A4"/>
    <w:rsid w:val="00E27707"/>
    <w:rsid w:val="00E305DD"/>
    <w:rsid w:val="00E32F59"/>
    <w:rsid w:val="00E3329D"/>
    <w:rsid w:val="00E33886"/>
    <w:rsid w:val="00E350E1"/>
    <w:rsid w:val="00E3591B"/>
    <w:rsid w:val="00E44602"/>
    <w:rsid w:val="00E46D9A"/>
    <w:rsid w:val="00E47692"/>
    <w:rsid w:val="00E51C23"/>
    <w:rsid w:val="00E52D63"/>
    <w:rsid w:val="00E54108"/>
    <w:rsid w:val="00E54741"/>
    <w:rsid w:val="00E565FF"/>
    <w:rsid w:val="00E56644"/>
    <w:rsid w:val="00E56E9D"/>
    <w:rsid w:val="00E62582"/>
    <w:rsid w:val="00E65388"/>
    <w:rsid w:val="00E66C4C"/>
    <w:rsid w:val="00E726A7"/>
    <w:rsid w:val="00E77772"/>
    <w:rsid w:val="00E77F1E"/>
    <w:rsid w:val="00E80796"/>
    <w:rsid w:val="00E85B7D"/>
    <w:rsid w:val="00E874C2"/>
    <w:rsid w:val="00E91113"/>
    <w:rsid w:val="00E9121B"/>
    <w:rsid w:val="00E9168B"/>
    <w:rsid w:val="00E91D53"/>
    <w:rsid w:val="00E942CC"/>
    <w:rsid w:val="00E9561A"/>
    <w:rsid w:val="00E95D3E"/>
    <w:rsid w:val="00E96C35"/>
    <w:rsid w:val="00E96DA8"/>
    <w:rsid w:val="00EA0AE2"/>
    <w:rsid w:val="00EA2CF9"/>
    <w:rsid w:val="00EA39E5"/>
    <w:rsid w:val="00EA4AF6"/>
    <w:rsid w:val="00EA6777"/>
    <w:rsid w:val="00EA702E"/>
    <w:rsid w:val="00EA73D8"/>
    <w:rsid w:val="00EB44BC"/>
    <w:rsid w:val="00EB500D"/>
    <w:rsid w:val="00EB599A"/>
    <w:rsid w:val="00EB66A3"/>
    <w:rsid w:val="00EC292E"/>
    <w:rsid w:val="00EC36F1"/>
    <w:rsid w:val="00EC5A46"/>
    <w:rsid w:val="00EC63E2"/>
    <w:rsid w:val="00EC648F"/>
    <w:rsid w:val="00EC716C"/>
    <w:rsid w:val="00ED0A76"/>
    <w:rsid w:val="00ED155C"/>
    <w:rsid w:val="00ED21D7"/>
    <w:rsid w:val="00ED37B9"/>
    <w:rsid w:val="00EE0374"/>
    <w:rsid w:val="00EE3713"/>
    <w:rsid w:val="00EF00AE"/>
    <w:rsid w:val="00EF22B3"/>
    <w:rsid w:val="00EF2C0F"/>
    <w:rsid w:val="00F00C1C"/>
    <w:rsid w:val="00F03989"/>
    <w:rsid w:val="00F03B69"/>
    <w:rsid w:val="00F03D53"/>
    <w:rsid w:val="00F04F60"/>
    <w:rsid w:val="00F05C85"/>
    <w:rsid w:val="00F06DB9"/>
    <w:rsid w:val="00F0790D"/>
    <w:rsid w:val="00F07A50"/>
    <w:rsid w:val="00F113DA"/>
    <w:rsid w:val="00F116A8"/>
    <w:rsid w:val="00F11AC1"/>
    <w:rsid w:val="00F13557"/>
    <w:rsid w:val="00F17C54"/>
    <w:rsid w:val="00F24CFC"/>
    <w:rsid w:val="00F327CB"/>
    <w:rsid w:val="00F32A96"/>
    <w:rsid w:val="00F34719"/>
    <w:rsid w:val="00F3692D"/>
    <w:rsid w:val="00F37DC8"/>
    <w:rsid w:val="00F402F3"/>
    <w:rsid w:val="00F439B3"/>
    <w:rsid w:val="00F5105E"/>
    <w:rsid w:val="00F542B3"/>
    <w:rsid w:val="00F54428"/>
    <w:rsid w:val="00F554D0"/>
    <w:rsid w:val="00F57A28"/>
    <w:rsid w:val="00F6207B"/>
    <w:rsid w:val="00F62777"/>
    <w:rsid w:val="00F62F3E"/>
    <w:rsid w:val="00F650C3"/>
    <w:rsid w:val="00F65D5E"/>
    <w:rsid w:val="00F65D85"/>
    <w:rsid w:val="00F66CE9"/>
    <w:rsid w:val="00F73930"/>
    <w:rsid w:val="00F7542C"/>
    <w:rsid w:val="00F8091E"/>
    <w:rsid w:val="00F810D7"/>
    <w:rsid w:val="00F8162F"/>
    <w:rsid w:val="00F839A2"/>
    <w:rsid w:val="00F8615C"/>
    <w:rsid w:val="00F86279"/>
    <w:rsid w:val="00F873F8"/>
    <w:rsid w:val="00F909A3"/>
    <w:rsid w:val="00F92E48"/>
    <w:rsid w:val="00F930B2"/>
    <w:rsid w:val="00F94A90"/>
    <w:rsid w:val="00F96910"/>
    <w:rsid w:val="00F969E5"/>
    <w:rsid w:val="00FA32F2"/>
    <w:rsid w:val="00FA6BB0"/>
    <w:rsid w:val="00FB0AA3"/>
    <w:rsid w:val="00FB0BB9"/>
    <w:rsid w:val="00FB118F"/>
    <w:rsid w:val="00FB49C6"/>
    <w:rsid w:val="00FB6286"/>
    <w:rsid w:val="00FB7DD2"/>
    <w:rsid w:val="00FC395C"/>
    <w:rsid w:val="00FC7566"/>
    <w:rsid w:val="00FD1D60"/>
    <w:rsid w:val="00FD292F"/>
    <w:rsid w:val="00FD5860"/>
    <w:rsid w:val="00FE09DB"/>
    <w:rsid w:val="00FE352D"/>
    <w:rsid w:val="00FE40EB"/>
    <w:rsid w:val="00FE4D02"/>
    <w:rsid w:val="00FE60C5"/>
    <w:rsid w:val="00FE7037"/>
    <w:rsid w:val="00FE7D62"/>
    <w:rsid w:val="00FF3819"/>
    <w:rsid w:val="00FF4F7C"/>
    <w:rsid w:val="00FF5C9E"/>
    <w:rsid w:val="0B05DB69"/>
    <w:rsid w:val="0E0DF78C"/>
    <w:rsid w:val="14482B99"/>
    <w:rsid w:val="17FA4A0C"/>
    <w:rsid w:val="1A3F5C5F"/>
    <w:rsid w:val="1E2C3102"/>
    <w:rsid w:val="26BC1F3F"/>
    <w:rsid w:val="2BCEDA5E"/>
    <w:rsid w:val="2DDA3C05"/>
    <w:rsid w:val="31A5A3C8"/>
    <w:rsid w:val="3D2A12C0"/>
    <w:rsid w:val="40C14D0F"/>
    <w:rsid w:val="44AAE9E4"/>
    <w:rsid w:val="497C9BF8"/>
    <w:rsid w:val="4C9447FF"/>
    <w:rsid w:val="520FAE02"/>
    <w:rsid w:val="57B6BE2B"/>
    <w:rsid w:val="595AA784"/>
    <w:rsid w:val="5B21DA70"/>
    <w:rsid w:val="62898DB1"/>
    <w:rsid w:val="63B3E7B0"/>
    <w:rsid w:val="6B293C7F"/>
    <w:rsid w:val="6F9A5467"/>
    <w:rsid w:val="6FFE7C76"/>
    <w:rsid w:val="72F798D3"/>
    <w:rsid w:val="76C4AEE3"/>
    <w:rsid w:val="7987A6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C9B54131-9B51-441C-9A46-4F879E38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semiHidden/>
    <w:rsid w:val="0015442E"/>
    <w:pPr>
      <w:numPr>
        <w:numId w:val="4"/>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Ref,註腳內容"/>
    <w:link w:val="BVIfn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rsid w:val="00D922FD"/>
    <w:rPr>
      <w:lang w:val="fr-CA" w:eastAsia="en-US"/>
    </w:rPr>
  </w:style>
  <w:style w:type="character" w:styleId="UnresolvedMention">
    <w:name w:val="Unresolved Mention"/>
    <w:basedOn w:val="DefaultParagraphFont"/>
    <w:uiPriority w:val="99"/>
    <w:semiHidden/>
    <w:unhideWhenUsed/>
    <w:rsid w:val="00970B74"/>
    <w:rPr>
      <w:color w:val="605E5C"/>
      <w:shd w:val="clear" w:color="auto" w:fill="E1DFDD"/>
    </w:rPr>
  </w:style>
  <w:style w:type="paragraph" w:styleId="Revision">
    <w:name w:val="Revision"/>
    <w:hidden/>
    <w:uiPriority w:val="99"/>
    <w:semiHidden/>
    <w:rsid w:val="00500725"/>
    <w:rPr>
      <w:rFonts w:eastAsia="SimSun"/>
      <w:lang w:eastAsia="zh-CN"/>
    </w:rPr>
  </w:style>
  <w:style w:type="character" w:styleId="Mention">
    <w:name w:val="Mention"/>
    <w:basedOn w:val="DefaultParagraphFont"/>
    <w:uiPriority w:val="99"/>
    <w:unhideWhenUsed/>
    <w:rsid w:val="00E95D3E"/>
    <w:rPr>
      <w:color w:val="2B579A"/>
      <w:shd w:val="clear" w:color="auto" w:fill="E1DFDD"/>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B76A9A"/>
    <w:pPr>
      <w:spacing w:before="120" w:after="160" w:line="240" w:lineRule="exact"/>
    </w:pPr>
    <w:rPr>
      <w:rFonts w:eastAsia="Times New Roman"/>
      <w:szCs w:val="18"/>
      <w:vertAlign w:val="superscript"/>
      <w:lang w:eastAsia="en-GB"/>
    </w:rPr>
  </w:style>
  <w:style w:type="character" w:customStyle="1" w:styleId="FooterChar">
    <w:name w:val="Footer Char"/>
    <w:basedOn w:val="DefaultParagraphFont"/>
    <w:link w:val="Footer"/>
    <w:uiPriority w:val="99"/>
    <w:rsid w:val="00383896"/>
    <w:rPr>
      <w:rFonts w:eastAsia="SimSun"/>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754">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538784173">
      <w:bodyDiv w:val="1"/>
      <w:marLeft w:val="0"/>
      <w:marRight w:val="0"/>
      <w:marTop w:val="0"/>
      <w:marBottom w:val="0"/>
      <w:divBdr>
        <w:top w:val="none" w:sz="0" w:space="0" w:color="auto"/>
        <w:left w:val="none" w:sz="0" w:space="0" w:color="auto"/>
        <w:bottom w:val="none" w:sz="0" w:space="0" w:color="auto"/>
        <w:right w:val="none" w:sz="0" w:space="0" w:color="auto"/>
      </w:divBdr>
    </w:div>
    <w:div w:id="648480834">
      <w:bodyDiv w:val="1"/>
      <w:marLeft w:val="0"/>
      <w:marRight w:val="0"/>
      <w:marTop w:val="0"/>
      <w:marBottom w:val="0"/>
      <w:divBdr>
        <w:top w:val="none" w:sz="0" w:space="0" w:color="auto"/>
        <w:left w:val="none" w:sz="0" w:space="0" w:color="auto"/>
        <w:bottom w:val="none" w:sz="0" w:space="0" w:color="auto"/>
        <w:right w:val="none" w:sz="0" w:space="0" w:color="auto"/>
      </w:divBdr>
    </w:div>
    <w:div w:id="694574522">
      <w:bodyDiv w:val="1"/>
      <w:marLeft w:val="0"/>
      <w:marRight w:val="0"/>
      <w:marTop w:val="0"/>
      <w:marBottom w:val="0"/>
      <w:divBdr>
        <w:top w:val="none" w:sz="0" w:space="0" w:color="auto"/>
        <w:left w:val="none" w:sz="0" w:space="0" w:color="auto"/>
        <w:bottom w:val="none" w:sz="0" w:space="0" w:color="auto"/>
        <w:right w:val="none" w:sz="0" w:space="0" w:color="auto"/>
      </w:divBdr>
    </w:div>
    <w:div w:id="759062603">
      <w:bodyDiv w:val="1"/>
      <w:marLeft w:val="0"/>
      <w:marRight w:val="0"/>
      <w:marTop w:val="0"/>
      <w:marBottom w:val="0"/>
      <w:divBdr>
        <w:top w:val="none" w:sz="0" w:space="0" w:color="auto"/>
        <w:left w:val="none" w:sz="0" w:space="0" w:color="auto"/>
        <w:bottom w:val="none" w:sz="0" w:space="0" w:color="auto"/>
        <w:right w:val="none" w:sz="0" w:space="0" w:color="auto"/>
      </w:divBdr>
    </w:div>
    <w:div w:id="809517289">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31371194">
      <w:bodyDiv w:val="1"/>
      <w:marLeft w:val="0"/>
      <w:marRight w:val="0"/>
      <w:marTop w:val="0"/>
      <w:marBottom w:val="0"/>
      <w:divBdr>
        <w:top w:val="none" w:sz="0" w:space="0" w:color="auto"/>
        <w:left w:val="none" w:sz="0" w:space="0" w:color="auto"/>
        <w:bottom w:val="none" w:sz="0" w:space="0" w:color="auto"/>
        <w:right w:val="none" w:sz="0" w:space="0" w:color="auto"/>
      </w:divBdr>
    </w:div>
    <w:div w:id="1427261939">
      <w:bodyDiv w:val="1"/>
      <w:marLeft w:val="0"/>
      <w:marRight w:val="0"/>
      <w:marTop w:val="0"/>
      <w:marBottom w:val="0"/>
      <w:divBdr>
        <w:top w:val="none" w:sz="0" w:space="0" w:color="auto"/>
        <w:left w:val="none" w:sz="0" w:space="0" w:color="auto"/>
        <w:bottom w:val="none" w:sz="0" w:space="0" w:color="auto"/>
        <w:right w:val="none" w:sz="0" w:space="0" w:color="auto"/>
      </w:divBdr>
    </w:div>
    <w:div w:id="1548225146">
      <w:bodyDiv w:val="1"/>
      <w:marLeft w:val="0"/>
      <w:marRight w:val="0"/>
      <w:marTop w:val="0"/>
      <w:marBottom w:val="0"/>
      <w:divBdr>
        <w:top w:val="none" w:sz="0" w:space="0" w:color="auto"/>
        <w:left w:val="none" w:sz="0" w:space="0" w:color="auto"/>
        <w:bottom w:val="none" w:sz="0" w:space="0" w:color="auto"/>
        <w:right w:val="none" w:sz="0" w:space="0" w:color="auto"/>
      </w:divBdr>
    </w:div>
    <w:div w:id="1553496659">
      <w:bodyDiv w:val="1"/>
      <w:marLeft w:val="0"/>
      <w:marRight w:val="0"/>
      <w:marTop w:val="0"/>
      <w:marBottom w:val="0"/>
      <w:divBdr>
        <w:top w:val="none" w:sz="0" w:space="0" w:color="auto"/>
        <w:left w:val="none" w:sz="0" w:space="0" w:color="auto"/>
        <w:bottom w:val="none" w:sz="0" w:space="0" w:color="auto"/>
        <w:right w:val="none" w:sz="0" w:space="0" w:color="auto"/>
      </w:divBdr>
    </w:div>
    <w:div w:id="1843087828">
      <w:bodyDiv w:val="1"/>
      <w:marLeft w:val="0"/>
      <w:marRight w:val="0"/>
      <w:marTop w:val="0"/>
      <w:marBottom w:val="0"/>
      <w:divBdr>
        <w:top w:val="none" w:sz="0" w:space="0" w:color="auto"/>
        <w:left w:val="none" w:sz="0" w:space="0" w:color="auto"/>
        <w:bottom w:val="none" w:sz="0" w:space="0" w:color="auto"/>
        <w:right w:val="none" w:sz="0" w:space="0" w:color="auto"/>
      </w:divBdr>
    </w:div>
    <w:div w:id="20855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3.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4.xml><?xml version="1.0" encoding="utf-8"?>
<ds:datastoreItem xmlns:ds="http://schemas.openxmlformats.org/officeDocument/2006/customXml" ds:itemID="{0D37CB63-3C94-4A89-A909-10FE2D165E3F}"/>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143</TotalTime>
  <Pages>5</Pages>
  <Words>2235</Words>
  <Characters>14033</Characters>
  <Application>Microsoft Office Word</Application>
  <DocSecurity>0</DocSecurity>
  <Lines>116</Lines>
  <Paragraphs>32</Paragraphs>
  <ScaleCrop>false</ScaleCrop>
  <Company/>
  <LinksUpToDate>false</LinksUpToDate>
  <CharactersWithSpaces>16236</CharactersWithSpaces>
  <SharedDoc>false</SharedDoc>
  <HLinks>
    <vt:vector size="6" baseType="variant">
      <vt:variant>
        <vt:i4>6684687</vt:i4>
      </vt:variant>
      <vt:variant>
        <vt:i4>0</vt:i4>
      </vt:variant>
      <vt:variant>
        <vt:i4>0</vt:i4>
      </vt:variant>
      <vt:variant>
        <vt:i4>5</vt:i4>
      </vt:variant>
      <vt:variant>
        <vt:lpwstr>mailto:linh.doan@un.org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Garcia Sans</dc:creator>
  <cp:keywords/>
  <dc:description/>
  <cp:lastModifiedBy>My Linh Doan</cp:lastModifiedBy>
  <cp:revision>67</cp:revision>
  <dcterms:created xsi:type="dcterms:W3CDTF">2025-08-26T23:09:00Z</dcterms:created>
  <dcterms:modified xsi:type="dcterms:W3CDTF">2025-09-18T10:03:00Z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