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D705C8" w14:paraId="3875A4F0" w14:textId="77777777" w:rsidTr="00AE6AB6">
        <w:trPr>
          <w:trHeight w:val="57"/>
          <w:jc w:val="right"/>
        </w:trPr>
        <w:tc>
          <w:tcPr>
            <w:tcW w:w="1613" w:type="dxa"/>
          </w:tcPr>
          <w:p w14:paraId="237C9056" w14:textId="77777777" w:rsidR="0015442E" w:rsidRPr="002F59C7" w:rsidRDefault="0015442E" w:rsidP="00AE6AB6">
            <w:pPr>
              <w:rPr>
                <w:rFonts w:ascii="Arial" w:hAnsi="Arial" w:cs="Arial"/>
                <w:b/>
                <w:bCs/>
                <w:sz w:val="27"/>
                <w:szCs w:val="27"/>
              </w:rPr>
            </w:pPr>
            <w:r w:rsidRPr="002F59C7">
              <w:rPr>
                <w:rFonts w:ascii="Arial" w:hAnsi="Arial" w:cs="Arial"/>
                <w:b/>
                <w:bCs/>
                <w:sz w:val="27"/>
                <w:szCs w:val="27"/>
              </w:rPr>
              <w:t xml:space="preserve">UNITED </w:t>
            </w:r>
            <w:r w:rsidRPr="002F59C7">
              <w:rPr>
                <w:rFonts w:ascii="Arial" w:hAnsi="Arial" w:cs="Arial"/>
                <w:b/>
                <w:bCs/>
                <w:sz w:val="27"/>
                <w:szCs w:val="27"/>
              </w:rPr>
              <w:br/>
              <w:t>NATIONS</w:t>
            </w:r>
          </w:p>
        </w:tc>
        <w:tc>
          <w:tcPr>
            <w:tcW w:w="6467" w:type="dxa"/>
            <w:gridSpan w:val="3"/>
          </w:tcPr>
          <w:p w14:paraId="7CB9E85D" w14:textId="77777777" w:rsidR="0015442E" w:rsidRPr="00D705C8" w:rsidRDefault="0015442E" w:rsidP="00AE6AB6">
            <w:pPr>
              <w:spacing w:before="20"/>
            </w:pPr>
            <w:r>
              <w:rPr>
                <w:noProof/>
              </w:rPr>
              <w:drawing>
                <wp:inline distT="0" distB="0" distL="0" distR="0" wp14:anchorId="52A71257" wp14:editId="6E7768F2">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3142FAD" w14:textId="77777777" w:rsidR="0015442E" w:rsidRPr="002F59C7" w:rsidRDefault="00E3329D" w:rsidP="00AE6AB6">
            <w:pPr>
              <w:jc w:val="right"/>
              <w:rPr>
                <w:rFonts w:ascii="Arial" w:hAnsi="Arial" w:cs="Arial"/>
                <w:b/>
                <w:bCs/>
                <w:sz w:val="64"/>
                <w:szCs w:val="64"/>
              </w:rPr>
            </w:pPr>
            <w:r>
              <w:rPr>
                <w:rFonts w:ascii="Arial" w:hAnsi="Arial" w:cs="Arial"/>
                <w:b/>
                <w:bCs/>
                <w:sz w:val="64"/>
                <w:szCs w:val="64"/>
              </w:rPr>
              <w:t>M</w:t>
            </w:r>
            <w:r w:rsidR="0015442E" w:rsidRPr="002F59C7">
              <w:rPr>
                <w:rFonts w:ascii="Arial" w:hAnsi="Arial" w:cs="Arial"/>
                <w:b/>
                <w:bCs/>
                <w:sz w:val="64"/>
                <w:szCs w:val="64"/>
              </w:rPr>
              <w:t>C</w:t>
            </w:r>
          </w:p>
        </w:tc>
      </w:tr>
      <w:tr w:rsidR="0015442E" w:rsidRPr="00D705C8" w14:paraId="3541900C" w14:textId="77777777" w:rsidTr="00F96910">
        <w:trPr>
          <w:trHeight w:val="57"/>
          <w:jc w:val="right"/>
        </w:trPr>
        <w:tc>
          <w:tcPr>
            <w:tcW w:w="1613" w:type="dxa"/>
            <w:tcBorders>
              <w:bottom w:val="single" w:sz="4" w:space="0" w:color="auto"/>
            </w:tcBorders>
          </w:tcPr>
          <w:p w14:paraId="144561A9" w14:textId="77777777" w:rsidR="0015442E" w:rsidRPr="00487B54" w:rsidRDefault="0015442E" w:rsidP="00AE6AB6"/>
        </w:tc>
        <w:tc>
          <w:tcPr>
            <w:tcW w:w="4807" w:type="dxa"/>
            <w:gridSpan w:val="2"/>
            <w:tcBorders>
              <w:bottom w:val="single" w:sz="4" w:space="0" w:color="auto"/>
            </w:tcBorders>
          </w:tcPr>
          <w:p w14:paraId="44C04C0A" w14:textId="77777777" w:rsidR="0015442E" w:rsidRPr="00487B54" w:rsidRDefault="0015442E" w:rsidP="00AE6AB6"/>
        </w:tc>
        <w:tc>
          <w:tcPr>
            <w:tcW w:w="3076" w:type="dxa"/>
            <w:gridSpan w:val="2"/>
            <w:tcBorders>
              <w:bottom w:val="single" w:sz="4" w:space="0" w:color="auto"/>
            </w:tcBorders>
          </w:tcPr>
          <w:p w14:paraId="2031E597" w14:textId="4A217A04" w:rsidR="0015442E" w:rsidRPr="00D665EF" w:rsidRDefault="0015442E" w:rsidP="00AE6AB6">
            <w:r w:rsidRPr="002F59C7">
              <w:rPr>
                <w:b/>
                <w:bCs/>
                <w:sz w:val="28"/>
                <w:szCs w:val="28"/>
              </w:rPr>
              <w:t>UNEP</w:t>
            </w:r>
            <w:r w:rsidRPr="00D705C8">
              <w:t>/</w:t>
            </w:r>
            <w:r w:rsidR="00962471">
              <w:t>MC</w:t>
            </w:r>
            <w:r w:rsidR="00EA2CF9">
              <w:t>/</w:t>
            </w:r>
            <w:r w:rsidR="00962471">
              <w:t>COP.</w:t>
            </w:r>
            <w:r w:rsidR="00587F77">
              <w:t>6</w:t>
            </w:r>
            <w:r w:rsidR="00ED155C">
              <w:t>/</w:t>
            </w:r>
            <w:r w:rsidR="006D1C7C">
              <w:t>INF/</w:t>
            </w:r>
            <w:r w:rsidR="00323B86">
              <w:t>16</w:t>
            </w:r>
          </w:p>
        </w:tc>
      </w:tr>
      <w:tr w:rsidR="0015442E" w:rsidRPr="00D705C8" w14:paraId="6ED43051" w14:textId="77777777" w:rsidTr="009D7B82">
        <w:trPr>
          <w:trHeight w:val="57"/>
          <w:jc w:val="right"/>
        </w:trPr>
        <w:tc>
          <w:tcPr>
            <w:tcW w:w="3686" w:type="dxa"/>
            <w:gridSpan w:val="2"/>
            <w:tcBorders>
              <w:top w:val="single" w:sz="4" w:space="0" w:color="auto"/>
              <w:bottom w:val="single" w:sz="18" w:space="0" w:color="auto"/>
            </w:tcBorders>
          </w:tcPr>
          <w:p w14:paraId="2F3FED0F" w14:textId="77777777" w:rsidR="0015442E" w:rsidRPr="00D705C8" w:rsidRDefault="009D7B82" w:rsidP="006520E8">
            <w:pPr>
              <w:spacing w:before="120" w:after="240"/>
              <w:ind w:left="-85"/>
              <w:rPr>
                <w:sz w:val="22"/>
              </w:rPr>
            </w:pPr>
            <w:r>
              <w:rPr>
                <w:noProof/>
                <w:sz w:val="22"/>
              </w:rPr>
              <w:drawing>
                <wp:inline distT="0" distB="0" distL="0" distR="0" wp14:anchorId="760207D8" wp14:editId="46F3D417">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427623FA" w14:textId="77777777" w:rsidR="0015442E" w:rsidRPr="00962471" w:rsidRDefault="0015442E" w:rsidP="00962471">
            <w:pPr>
              <w:spacing w:before="240" w:after="480"/>
              <w:rPr>
                <w:rFonts w:ascii="Arial" w:hAnsi="Arial" w:cs="Arial"/>
                <w:b/>
                <w:bCs/>
                <w:sz w:val="28"/>
                <w:szCs w:val="28"/>
              </w:rPr>
            </w:pPr>
          </w:p>
        </w:tc>
        <w:tc>
          <w:tcPr>
            <w:tcW w:w="3076" w:type="dxa"/>
            <w:gridSpan w:val="2"/>
            <w:tcBorders>
              <w:top w:val="single" w:sz="4" w:space="0" w:color="auto"/>
              <w:bottom w:val="single" w:sz="18" w:space="0" w:color="auto"/>
            </w:tcBorders>
          </w:tcPr>
          <w:p w14:paraId="494F0B41" w14:textId="517B9ABE" w:rsidR="0015442E" w:rsidRPr="00541ED6" w:rsidRDefault="0015442E" w:rsidP="00AE6AB6">
            <w:pPr>
              <w:spacing w:before="120"/>
              <w:rPr>
                <w:iCs/>
              </w:rPr>
            </w:pPr>
            <w:r w:rsidRPr="00D665EF">
              <w:t>Distr.: General</w:t>
            </w:r>
            <w:r>
              <w:t xml:space="preserve"> </w:t>
            </w:r>
            <w:r>
              <w:br/>
            </w:r>
            <w:r w:rsidR="004F6369" w:rsidRPr="004E6BFC">
              <w:rPr>
                <w:iCs/>
              </w:rPr>
              <w:t xml:space="preserve">16 </w:t>
            </w:r>
            <w:r w:rsidR="00323B86" w:rsidRPr="004E6BFC">
              <w:rPr>
                <w:iCs/>
              </w:rPr>
              <w:t>August</w:t>
            </w:r>
            <w:r w:rsidRPr="004E6BFC">
              <w:rPr>
                <w:iCs/>
              </w:rPr>
              <w:t xml:space="preserve"> 202</w:t>
            </w:r>
            <w:r w:rsidR="00587F77" w:rsidRPr="004E6BFC">
              <w:rPr>
                <w:iCs/>
              </w:rPr>
              <w:t>5</w:t>
            </w:r>
          </w:p>
          <w:p w14:paraId="786FA9DB" w14:textId="0DEC3C79" w:rsidR="0015442E" w:rsidRPr="000E4F48" w:rsidRDefault="0015442E" w:rsidP="00AE6AB6">
            <w:pPr>
              <w:spacing w:before="120"/>
              <w:rPr>
                <w:sz w:val="22"/>
              </w:rPr>
            </w:pPr>
            <w:r w:rsidRPr="0015442E">
              <w:t>English</w:t>
            </w:r>
            <w:r w:rsidR="00924DE9">
              <w:t xml:space="preserve"> only</w:t>
            </w:r>
          </w:p>
        </w:tc>
      </w:tr>
    </w:tbl>
    <w:p w14:paraId="5D4E73B5" w14:textId="77777777" w:rsidR="00962471" w:rsidRPr="0009694E" w:rsidRDefault="00962471" w:rsidP="00962471">
      <w:pPr>
        <w:pStyle w:val="AATitle"/>
      </w:pPr>
      <w:r w:rsidRPr="0009694E">
        <w:t xml:space="preserve">Conference of the Parties to the </w:t>
      </w:r>
      <w:r w:rsidRPr="0009694E">
        <w:br/>
        <w:t>Minamata Convention on Mercury</w:t>
      </w:r>
    </w:p>
    <w:p w14:paraId="25B9D054" w14:textId="67D89B84" w:rsidR="00962471" w:rsidRPr="0009694E" w:rsidRDefault="00587F77" w:rsidP="00962471">
      <w:pPr>
        <w:pStyle w:val="AATitle"/>
      </w:pPr>
      <w:r>
        <w:t>Sixth</w:t>
      </w:r>
      <w:r w:rsidR="00962471" w:rsidRPr="0009694E">
        <w:t xml:space="preserve"> meeting</w:t>
      </w:r>
    </w:p>
    <w:p w14:paraId="6479FDBB" w14:textId="26F55457" w:rsidR="005369CB" w:rsidRDefault="00ED155C" w:rsidP="0015442E">
      <w:pPr>
        <w:pStyle w:val="AATitle"/>
        <w:rPr>
          <w:b w:val="0"/>
        </w:rPr>
      </w:pPr>
      <w:r>
        <w:rPr>
          <w:b w:val="0"/>
        </w:rPr>
        <w:t xml:space="preserve">Geneva, </w:t>
      </w:r>
      <w:r w:rsidR="00587F77">
        <w:rPr>
          <w:b w:val="0"/>
        </w:rPr>
        <w:t>3</w:t>
      </w:r>
      <w:r>
        <w:rPr>
          <w:b w:val="0"/>
        </w:rPr>
        <w:t>–</w:t>
      </w:r>
      <w:r w:rsidR="00587F77">
        <w:rPr>
          <w:b w:val="0"/>
        </w:rPr>
        <w:t>7</w:t>
      </w:r>
      <w:r>
        <w:rPr>
          <w:b w:val="0"/>
        </w:rPr>
        <w:t xml:space="preserve"> November 202</w:t>
      </w:r>
      <w:r w:rsidR="00587F77">
        <w:rPr>
          <w:b w:val="0"/>
        </w:rPr>
        <w:t>5</w:t>
      </w:r>
    </w:p>
    <w:p w14:paraId="1D83FFB8" w14:textId="3AD8B271" w:rsidR="00435FD9" w:rsidRPr="004E6BFC" w:rsidRDefault="00435FD9" w:rsidP="00880CCB">
      <w:pPr>
        <w:pStyle w:val="AATitle"/>
        <w:rPr>
          <w:b w:val="0"/>
        </w:rPr>
      </w:pPr>
      <w:r w:rsidRPr="004E6BFC">
        <w:rPr>
          <w:b w:val="0"/>
        </w:rPr>
        <w:t xml:space="preserve">Item </w:t>
      </w:r>
      <w:r w:rsidR="005B6AB1" w:rsidRPr="004E6BFC">
        <w:rPr>
          <w:b w:val="0"/>
        </w:rPr>
        <w:t xml:space="preserve">4 (e) (ii) </w:t>
      </w:r>
      <w:r w:rsidRPr="004E6BFC">
        <w:rPr>
          <w:b w:val="0"/>
        </w:rPr>
        <w:t>of the provisional agenda</w:t>
      </w:r>
      <w:r w:rsidR="00880CCB" w:rsidRPr="004E6BFC">
        <w:rPr>
          <w:rStyle w:val="FootnoteReference"/>
          <w:b w:val="0"/>
          <w:vertAlign w:val="baseline"/>
        </w:rPr>
        <w:footnoteReference w:customMarkFollows="1" w:id="2"/>
        <w:t>*</w:t>
      </w:r>
    </w:p>
    <w:p w14:paraId="3A82A9F2" w14:textId="5E5B2535" w:rsidR="00435FD9" w:rsidRPr="003140A7" w:rsidRDefault="00422C1F" w:rsidP="004E6BFC">
      <w:pPr>
        <w:pStyle w:val="AATitle2"/>
        <w:keepNext w:val="0"/>
        <w:keepLines w:val="0"/>
        <w:tabs>
          <w:tab w:val="clear" w:pos="1814"/>
          <w:tab w:val="clear" w:pos="2381"/>
          <w:tab w:val="clear" w:pos="2948"/>
          <w:tab w:val="clear" w:pos="3515"/>
          <w:tab w:val="left" w:pos="624"/>
          <w:tab w:val="left" w:pos="1871"/>
          <w:tab w:val="left" w:pos="2495"/>
          <w:tab w:val="left" w:pos="3119"/>
          <w:tab w:val="left" w:pos="3742"/>
          <w:tab w:val="left" w:pos="4366"/>
        </w:tabs>
        <w:ind w:right="4535"/>
        <w:rPr>
          <w:rFonts w:eastAsia="Times New Roman"/>
        </w:rPr>
      </w:pPr>
      <w:r w:rsidRPr="004F6369">
        <w:rPr>
          <w:rFonts w:eastAsia="Times New Roman"/>
        </w:rPr>
        <w:t>Matters for consideration or action by the Conference</w:t>
      </w:r>
      <w:r w:rsidRPr="00422C1F">
        <w:rPr>
          <w:rFonts w:eastAsia="Times New Roman"/>
        </w:rPr>
        <w:t xml:space="preserve"> of the Parties: </w:t>
      </w:r>
      <w:r w:rsidR="005B6AB1">
        <w:rPr>
          <w:rFonts w:eastAsia="Times New Roman"/>
        </w:rPr>
        <w:t>f</w:t>
      </w:r>
      <w:r w:rsidR="00E95AA9" w:rsidRPr="00E95AA9">
        <w:rPr>
          <w:rFonts w:eastAsia="Times New Roman"/>
        </w:rPr>
        <w:t xml:space="preserve">inancial resources and mechanism: </w:t>
      </w:r>
      <w:r w:rsidR="005B6AB1" w:rsidRPr="005B6AB1">
        <w:rPr>
          <w:rFonts w:eastAsia="Times New Roman"/>
        </w:rPr>
        <w:t>Specific International Programme to Support Capacity-Building and Technical Assistance</w:t>
      </w:r>
    </w:p>
    <w:p w14:paraId="3F3275A2" w14:textId="293AC088" w:rsidR="00F007D0" w:rsidRPr="00290C27" w:rsidRDefault="00F8759F" w:rsidP="000C4332">
      <w:pPr>
        <w:pStyle w:val="ZZAnxtitle"/>
      </w:pPr>
      <w:r w:rsidRPr="00290C27">
        <w:t>Activities of the Special Programme to support institutional strengthening at the national level for implementation of the Basel, Rotterdam and Stockholm conventions, the Minamata Convention</w:t>
      </w:r>
      <w:r>
        <w:t xml:space="preserve"> on Mercury, </w:t>
      </w:r>
      <w:r w:rsidRPr="00290C27">
        <w:t>the Strategic Approach to International Chemicals Management</w:t>
      </w:r>
      <w:r>
        <w:t xml:space="preserve"> and the Global Framework on Chemicals</w:t>
      </w:r>
      <w:r w:rsidR="009B13B8" w:rsidRPr="005D77C3">
        <w:rPr>
          <w:rStyle w:val="FootnoteReference"/>
          <w:sz w:val="28"/>
          <w:szCs w:val="28"/>
          <w:vertAlign w:val="baseline"/>
        </w:rPr>
        <w:footnoteReference w:customMarkFollows="1" w:id="3"/>
        <w:t>**</w:t>
      </w:r>
    </w:p>
    <w:p w14:paraId="0DD7AE35" w14:textId="77777777" w:rsidR="00F007D0" w:rsidRPr="00290C27" w:rsidRDefault="00F007D0" w:rsidP="00F007D0">
      <w:pPr>
        <w:pStyle w:val="CH2"/>
      </w:pPr>
      <w:r w:rsidRPr="00290C27">
        <w:tab/>
      </w:r>
      <w:r w:rsidRPr="00290C27">
        <w:tab/>
        <w:t xml:space="preserve">Note by the </w:t>
      </w:r>
      <w:r>
        <w:t>s</w:t>
      </w:r>
      <w:r w:rsidRPr="00290C27">
        <w:t>ecretariat</w:t>
      </w:r>
    </w:p>
    <w:p w14:paraId="2642DF61" w14:textId="5AC5B9EF" w:rsidR="00F007D0" w:rsidRPr="00290C27" w:rsidRDefault="009D055B" w:rsidP="00F007D0">
      <w:pPr>
        <w:pStyle w:val="Normal-pool"/>
        <w:tabs>
          <w:tab w:val="clear" w:pos="1247"/>
          <w:tab w:val="clear" w:pos="1814"/>
          <w:tab w:val="clear" w:pos="2381"/>
          <w:tab w:val="clear" w:pos="2948"/>
          <w:tab w:val="clear" w:pos="3515"/>
          <w:tab w:val="clear" w:pos="4082"/>
          <w:tab w:val="left" w:pos="624"/>
        </w:tabs>
        <w:spacing w:after="120"/>
        <w:ind w:left="1247"/>
      </w:pPr>
      <w:r w:rsidRPr="00290C27">
        <w:t>The annex to the present note sets out a report on the activities of the Special Programme to support institutional strengthening at the national level for implementation of the Basel, Rotterdam and Stockholm conventions, the Minamata Convention</w:t>
      </w:r>
      <w:r>
        <w:t xml:space="preserve"> on Mercury,</w:t>
      </w:r>
      <w:r w:rsidRPr="00290C27">
        <w:t xml:space="preserve"> the Strategic Approach to International Chemicals Management</w:t>
      </w:r>
      <w:r>
        <w:t xml:space="preserve"> and the Global Framework on Chemicals</w:t>
      </w:r>
      <w:r w:rsidRPr="00290C27">
        <w:t>. The report was submitted by the United Nations Environment Programme, which serves as the secretariat of the Special Programme. It is presented as received, without formal editing</w:t>
      </w:r>
      <w:r w:rsidR="00F007D0" w:rsidRPr="00290C27">
        <w:t xml:space="preserve">. </w:t>
      </w:r>
    </w:p>
    <w:p w14:paraId="3D3EB902" w14:textId="34C670BA" w:rsidR="008B4456" w:rsidRPr="00F007D0" w:rsidRDefault="008B4456">
      <w:pPr>
        <w:rPr>
          <w:rFonts w:eastAsia="Times New Roman"/>
          <w:lang w:val="en-US" w:eastAsia="en-US"/>
        </w:rPr>
      </w:pPr>
      <w:r>
        <w:br w:type="page"/>
      </w:r>
    </w:p>
    <w:p w14:paraId="399D8A7D" w14:textId="77777777" w:rsidR="0030293A" w:rsidRPr="00290C27" w:rsidRDefault="0030293A" w:rsidP="0030293A">
      <w:pPr>
        <w:pStyle w:val="ZZAnxheader"/>
      </w:pPr>
      <w:bookmarkStart w:id="0" w:name="_Toc201562561"/>
      <w:r w:rsidRPr="00290C27">
        <w:lastRenderedPageBreak/>
        <w:t>Annex</w:t>
      </w:r>
    </w:p>
    <w:p w14:paraId="6BD6BFA4" w14:textId="4AFBB7FA" w:rsidR="0030293A" w:rsidRPr="00290C27" w:rsidRDefault="0030293A" w:rsidP="0030293A">
      <w:pPr>
        <w:pStyle w:val="ZZAnxtitle"/>
      </w:pPr>
      <w:r w:rsidRPr="00290C27">
        <w:t xml:space="preserve">Activities of the Special Programme to support institutional strengthening at the national level for implementation of the Basel, Rotterdam and Stockholm conventions, the Minamata Convention on Mercury, the Strategic Approach to International Chemicals Management </w:t>
      </w:r>
      <w:r w:rsidR="000F5001">
        <w:t>and the Global Framework on Chemicals</w:t>
      </w:r>
    </w:p>
    <w:p w14:paraId="066250EB" w14:textId="64365F26" w:rsidR="003773B1" w:rsidRPr="00D907A7" w:rsidRDefault="006D3D75" w:rsidP="004E6BFC">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pPr>
      <w:r>
        <w:rPr>
          <w:rFonts w:eastAsia="Times New Roman"/>
          <w:sz w:val="28"/>
          <w:szCs w:val="28"/>
          <w:lang w:val="en-GB"/>
        </w:rPr>
        <w:tab/>
        <w:t>I.</w:t>
      </w:r>
      <w:r>
        <w:rPr>
          <w:rFonts w:eastAsia="Times New Roman"/>
          <w:sz w:val="28"/>
          <w:szCs w:val="28"/>
          <w:lang w:val="en-GB"/>
        </w:rPr>
        <w:tab/>
      </w:r>
      <w:r w:rsidR="003773B1" w:rsidRPr="004E6BFC">
        <w:rPr>
          <w:rFonts w:eastAsia="Times New Roman"/>
          <w:sz w:val="28"/>
          <w:szCs w:val="28"/>
          <w:lang w:val="en-GB"/>
        </w:rPr>
        <w:t>Introduction</w:t>
      </w:r>
      <w:bookmarkEnd w:id="0"/>
    </w:p>
    <w:p w14:paraId="04C709D6" w14:textId="35BA85C7"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3773B1">
        <w:rPr>
          <w:lang w:val="en-US"/>
        </w:rPr>
        <w:t>The Special Programme to support institutional strengthening</w:t>
      </w:r>
      <w:r w:rsidRPr="0009004B">
        <w:rPr>
          <w:rStyle w:val="FootnoteReference"/>
        </w:rPr>
        <w:footnoteReference w:id="4"/>
      </w:r>
      <w:r w:rsidRPr="003773B1">
        <w:rPr>
          <w:lang w:val="en-US"/>
        </w:rPr>
        <w:t xml:space="preserve"> at the national level to enhance the implementation of the Basel, Rotterdam and Stockholm conventions, the Minamata Convention on Mercury, the Strategic Approach to International Chemicals </w:t>
      </w:r>
      <w:r w:rsidRPr="004E6BFC">
        <w:rPr>
          <w:lang w:val="en-GB"/>
        </w:rPr>
        <w:t>Management</w:t>
      </w:r>
      <w:r w:rsidRPr="003773B1">
        <w:rPr>
          <w:lang w:val="en-US"/>
        </w:rPr>
        <w:t xml:space="preserve"> (</w:t>
      </w:r>
      <w:r w:rsidRPr="003773B1">
        <w:rPr>
          <w:rFonts w:asciiTheme="majorBidi" w:hAnsiTheme="majorBidi" w:cstheme="majorBidi"/>
          <w:lang w:val="en-US"/>
        </w:rPr>
        <w:t>SAICM</w:t>
      </w:r>
      <w:r w:rsidRPr="003773B1">
        <w:rPr>
          <w:lang w:val="en-US"/>
        </w:rPr>
        <w:t>) and the Global Framework on Chemicals (GFC) was established pursuant to the adoption of its Terms of Reference by the United Nations Environment Assembly, in UNEA resolution 1/5</w:t>
      </w:r>
      <w:r w:rsidRPr="00CB2D88">
        <w:rPr>
          <w:vertAlign w:val="superscript"/>
        </w:rPr>
        <w:footnoteReference w:id="5"/>
      </w:r>
      <w:r w:rsidRPr="003773B1">
        <w:rPr>
          <w:lang w:val="en-US"/>
        </w:rPr>
        <w:t xml:space="preserve"> as part of the integrated approach to financing the sound management of chemicals and waste. The Terms of Reference were amended by UNEA resolution 6/9</w:t>
      </w:r>
      <w:r w:rsidR="00DA0F4F">
        <w:rPr>
          <w:rStyle w:val="FootnoteReference"/>
          <w:lang w:val="en-US"/>
        </w:rPr>
        <w:footnoteReference w:id="6"/>
      </w:r>
      <w:r w:rsidRPr="003773B1">
        <w:rPr>
          <w:lang w:val="en-US"/>
        </w:rPr>
        <w:t xml:space="preserve"> to include support to the GFC. </w:t>
      </w:r>
    </w:p>
    <w:p w14:paraId="62D10EA3" w14:textId="77777777"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3773B1">
        <w:rPr>
          <w:lang w:val="en-US"/>
        </w:rPr>
        <w:t xml:space="preserve">The objective of the Special Programme is to support country-driven institutional strengthening at the national level, in the context of the integrated approach to address the financing of the sound management of chemicals and wastes, taking into account the national </w:t>
      </w:r>
      <w:r w:rsidRPr="004E6BFC">
        <w:rPr>
          <w:lang w:val="en-GB"/>
        </w:rPr>
        <w:t>development</w:t>
      </w:r>
      <w:r w:rsidRPr="003773B1">
        <w:rPr>
          <w:lang w:val="en-US"/>
        </w:rPr>
        <w:t xml:space="preserve"> strategies, plans and priorities of each country, to increase sustainable public institutional capacity for the sound management of chemicals and wastes throughout their life cycle. </w:t>
      </w:r>
    </w:p>
    <w:p w14:paraId="101CC35F" w14:textId="04DAA9DE"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9911FF">
        <w:rPr>
          <w:lang w:val="en-US"/>
        </w:rPr>
        <w:t>The terms of reference of the Special Programme stipulate eligibility for support from the Programme as follows</w:t>
      </w:r>
      <w:r w:rsidR="009911FF" w:rsidRPr="009911FF">
        <w:rPr>
          <w:lang w:val="en-US"/>
        </w:rPr>
        <w:t xml:space="preserve"> and note that </w:t>
      </w:r>
      <w:r w:rsidR="009911FF">
        <w:rPr>
          <w:lang w:val="en-US"/>
        </w:rPr>
        <w:t>s</w:t>
      </w:r>
      <w:r w:rsidRPr="009911FF">
        <w:rPr>
          <w:lang w:val="en-US"/>
        </w:rPr>
        <w:t xml:space="preserve">upport from the Special Programme will be available for developing countries, taking into account the special needs of least developed countries and small </w:t>
      </w:r>
      <w:r w:rsidRPr="004E6BFC">
        <w:rPr>
          <w:lang w:val="en-GB"/>
        </w:rPr>
        <w:t>island</w:t>
      </w:r>
      <w:r w:rsidRPr="009911FF">
        <w:rPr>
          <w:lang w:val="en-US"/>
        </w:rPr>
        <w:t xml:space="preserve"> developing states, and for countries with economies in transition, with priority given to those with least capacity</w:t>
      </w:r>
      <w:r w:rsidR="009911FF">
        <w:rPr>
          <w:lang w:val="en-US"/>
        </w:rPr>
        <w:t xml:space="preserve">. </w:t>
      </w:r>
      <w:r w:rsidR="00207847">
        <w:rPr>
          <w:lang w:val="en-US"/>
        </w:rPr>
        <w:t>The eligibility and appraisal criteria are set out in the periodic calls for applications for funding</w:t>
      </w:r>
      <w:r w:rsidR="005D4291" w:rsidRPr="00F251CA">
        <w:rPr>
          <w:vertAlign w:val="superscript"/>
        </w:rPr>
        <w:footnoteReference w:id="7"/>
      </w:r>
      <w:r w:rsidR="00207847">
        <w:rPr>
          <w:lang w:val="en-US"/>
        </w:rPr>
        <w:t xml:space="preserve"> issued by the Secretariat. </w:t>
      </w:r>
    </w:p>
    <w:p w14:paraId="3A7FBB99" w14:textId="253DBCB0"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3773B1">
        <w:rPr>
          <w:lang w:val="en-US"/>
        </w:rPr>
        <w:t xml:space="preserve">In March 2022, UNEA adopted resolution 5/7 on chemicals and waste, paragraph 16 of which decided to extend the duration of the Special Programme for a period of five years, in accordance with paragraph 24 of the terms of reference adopted in Environment Assembly resolution, 1/5, and to include the Strategic Approach and the sound management of chemicals and waste beyond 2020 in the Special Programme. </w:t>
      </w:r>
      <w:r w:rsidR="007366A6">
        <w:rPr>
          <w:lang w:val="en-US"/>
        </w:rPr>
        <w:t>As a result</w:t>
      </w:r>
      <w:r w:rsidR="005D4291">
        <w:rPr>
          <w:lang w:val="en-US"/>
        </w:rPr>
        <w:t>,</w:t>
      </w:r>
      <w:r w:rsidR="007366A6">
        <w:rPr>
          <w:lang w:val="en-US"/>
        </w:rPr>
        <w:t xml:space="preserve"> the Special Programme may receive contributions and applications for funding until September 2027 and may disburse funds until March 2030.</w:t>
      </w:r>
      <w:r w:rsidRPr="003773B1">
        <w:rPr>
          <w:lang w:val="en-US"/>
        </w:rPr>
        <w:t xml:space="preserve"> </w:t>
      </w:r>
    </w:p>
    <w:p w14:paraId="514CBD3D" w14:textId="77777777"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3773B1">
        <w:rPr>
          <w:lang w:val="en-US"/>
        </w:rPr>
        <w:t>In February 2024, UNEA in resolution 6/9 requested the Executive Director of UNEP to facilitate coordination between the Global Framework on Chemicals Fund, the Specific International Programme of the Minamata Convention and the Special Programme, within the scope of their respective mandates, in order to enhance complementarity and avoid duplication; and amended the terms of reference of the Special Programme, in order to take into account the Global Framework on Chemicals and its implementation.</w:t>
      </w:r>
    </w:p>
    <w:p w14:paraId="0804B324" w14:textId="4691E6B7"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3773B1">
        <w:rPr>
          <w:lang w:val="en-US"/>
        </w:rPr>
        <w:t>The present document provides information on activities of the Special Programme</w:t>
      </w:r>
      <w:r w:rsidR="00AB696F">
        <w:rPr>
          <w:lang w:val="en-US"/>
        </w:rPr>
        <w:t xml:space="preserve"> since the last</w:t>
      </w:r>
      <w:r w:rsidR="00B21113">
        <w:rPr>
          <w:lang w:val="en-US"/>
        </w:rPr>
        <w:t xml:space="preserve"> Conference of the Parties to the Minamata Convention.</w:t>
      </w:r>
      <w:r w:rsidRPr="003773B1">
        <w:rPr>
          <w:lang w:val="en-US"/>
        </w:rPr>
        <w:t xml:space="preserve"> </w:t>
      </w:r>
    </w:p>
    <w:p w14:paraId="375927B9" w14:textId="12B90418" w:rsidR="003773B1" w:rsidRPr="004E6BFC" w:rsidRDefault="006D3D75" w:rsidP="004E6BFC">
      <w:pPr>
        <w:pStyle w:val="CH2"/>
        <w:tabs>
          <w:tab w:val="clear" w:pos="1814"/>
          <w:tab w:val="clear" w:pos="2381"/>
          <w:tab w:val="clear" w:pos="2948"/>
          <w:tab w:val="clear" w:pos="3515"/>
          <w:tab w:val="clear" w:pos="4082"/>
          <w:tab w:val="left" w:pos="1871"/>
          <w:tab w:val="left" w:pos="2495"/>
          <w:tab w:val="left" w:pos="3119"/>
          <w:tab w:val="left" w:pos="3742"/>
          <w:tab w:val="left" w:pos="4366"/>
        </w:tabs>
        <w:ind w:left="0" w:firstLine="0"/>
        <w:rPr>
          <w:rFonts w:eastAsia="Times New Roman"/>
          <w:sz w:val="28"/>
          <w:szCs w:val="28"/>
          <w:lang w:val="en-GB"/>
        </w:rPr>
      </w:pPr>
      <w:bookmarkStart w:id="1" w:name="_Toc201562562"/>
      <w:bookmarkStart w:id="2" w:name="_Hlk773987"/>
      <w:r>
        <w:rPr>
          <w:rFonts w:eastAsia="Times New Roman"/>
          <w:sz w:val="28"/>
          <w:szCs w:val="28"/>
          <w:lang w:val="en-GB"/>
        </w:rPr>
        <w:tab/>
      </w:r>
      <w:r w:rsidR="003773B1" w:rsidRPr="004E6BFC">
        <w:rPr>
          <w:rFonts w:eastAsia="Times New Roman"/>
          <w:sz w:val="28"/>
          <w:szCs w:val="28"/>
          <w:lang w:val="en-GB"/>
        </w:rPr>
        <w:t>II.</w:t>
      </w:r>
      <w:r w:rsidR="003773B1" w:rsidRPr="004E6BFC">
        <w:rPr>
          <w:rFonts w:eastAsia="Times New Roman"/>
          <w:sz w:val="28"/>
          <w:szCs w:val="28"/>
          <w:lang w:val="en-GB"/>
        </w:rPr>
        <w:tab/>
        <w:t>Key achievements to date</w:t>
      </w:r>
      <w:bookmarkEnd w:id="1"/>
    </w:p>
    <w:p w14:paraId="7255AE29" w14:textId="4C7C7538"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3773B1">
        <w:rPr>
          <w:lang w:val="en-US"/>
        </w:rPr>
        <w:t>Eight rounds of applications for funding have been completed, with the approval of 91 projects in 75 countries having a total requested budget of approximately US</w:t>
      </w:r>
      <w:r w:rsidR="000A0314">
        <w:rPr>
          <w:lang w:val="en-US"/>
        </w:rPr>
        <w:t xml:space="preserve">D </w:t>
      </w:r>
      <w:r w:rsidRPr="003773B1">
        <w:rPr>
          <w:lang w:val="en-US"/>
        </w:rPr>
        <w:t xml:space="preserve">23,9 million. The eighth round </w:t>
      </w:r>
      <w:r w:rsidRPr="003773B1">
        <w:rPr>
          <w:lang w:val="en-US"/>
        </w:rPr>
        <w:lastRenderedPageBreak/>
        <w:t>of funding resulted in eight projects provisionally approved, subject to the availability of funds to support their implementation. Sixteen countries have had more than one project approved for funding under the Special Programme, which indicates that the countries concerned are continuing to build on their success to further strengthen their institutional capacity for the sound management of chemicals and wastes.</w:t>
      </w:r>
    </w:p>
    <w:p w14:paraId="5C073F72" w14:textId="68906049"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2362A0EA">
        <w:rPr>
          <w:lang w:val="en-US"/>
        </w:rPr>
        <w:t xml:space="preserve">Twenty-six Special Programme projects have completed implementation to date and have closed or are in the process of closing. </w:t>
      </w:r>
      <w:r w:rsidR="00A8525D">
        <w:rPr>
          <w:lang w:val="en-US"/>
        </w:rPr>
        <w:t>Summaries of these projects’ achievements are available on the Special Programme webpage</w:t>
      </w:r>
      <w:r w:rsidR="00A8525D">
        <w:rPr>
          <w:rStyle w:val="FootnoteReference"/>
          <w:lang w:val="en-US"/>
        </w:rPr>
        <w:footnoteReference w:id="8"/>
      </w:r>
      <w:r w:rsidR="00A8525D">
        <w:rPr>
          <w:lang w:val="en-US"/>
        </w:rPr>
        <w:t>.</w:t>
      </w:r>
      <w:r w:rsidRPr="2362A0EA">
        <w:rPr>
          <w:lang w:val="en-US"/>
        </w:rPr>
        <w:t xml:space="preserve"> </w:t>
      </w:r>
    </w:p>
    <w:p w14:paraId="1D19EFA1" w14:textId="77777777"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3773B1">
        <w:rPr>
          <w:lang w:val="en-US"/>
        </w:rPr>
        <w:t>Overall, looking at progress reported to date against completed and ongoing Special Programme country projects as of 30 June 2025:</w:t>
      </w:r>
    </w:p>
    <w:p w14:paraId="070AA698" w14:textId="77777777" w:rsidR="003773B1" w:rsidRPr="004E6BFC"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lang w:val="en-GB"/>
        </w:rPr>
      </w:pPr>
      <w:r w:rsidRPr="003773B1">
        <w:rPr>
          <w:lang w:val="en-US"/>
        </w:rPr>
        <w:t xml:space="preserve">22 </w:t>
      </w:r>
      <w:r w:rsidRPr="004E6BFC">
        <w:rPr>
          <w:lang w:val="en-GB"/>
        </w:rPr>
        <w:t>country projects have developed or updated a combined total of 34 chemical and/or waste management-related Policies, Plans or Strategies.</w:t>
      </w:r>
    </w:p>
    <w:p w14:paraId="3EA5C40D" w14:textId="77777777" w:rsidR="003773B1" w:rsidRPr="004E6BFC"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lang w:val="en-GB"/>
        </w:rPr>
      </w:pPr>
      <w:r w:rsidRPr="004E6BFC">
        <w:rPr>
          <w:lang w:val="en-GB"/>
        </w:rPr>
        <w:t>21 country projects have taken steps to establish a range of 27 multi-stakeholder coordination mechanisms for chemicals and waste management.</w:t>
      </w:r>
    </w:p>
    <w:p w14:paraId="785EEE5A" w14:textId="77777777" w:rsidR="003773B1" w:rsidRPr="004E6BFC"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lang w:val="en-GB"/>
        </w:rPr>
      </w:pPr>
      <w:r w:rsidRPr="004E6BFC">
        <w:rPr>
          <w:lang w:val="en-GB"/>
        </w:rPr>
        <w:t>23 country projects have made progress to ensure that the necessary chemicals and waste management expertise is available, including through training, awareness raising, research and analysis and/or tools developed.</w:t>
      </w:r>
    </w:p>
    <w:p w14:paraId="6CEAE568" w14:textId="3271ACF6" w:rsidR="003773B1" w:rsidRPr="004E6BFC"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lang w:val="en-GB"/>
        </w:rPr>
      </w:pPr>
      <w:r w:rsidRPr="004E6BFC">
        <w:rPr>
          <w:lang w:val="en-GB"/>
        </w:rPr>
        <w:t xml:space="preserve">12 country projects have prepared or updated elements of their chemical and/or waste management legal framework in the form a combined total of 19 </w:t>
      </w:r>
      <w:r w:rsidR="004B524F" w:rsidRPr="004E6BFC">
        <w:rPr>
          <w:lang w:val="en-GB"/>
        </w:rPr>
        <w:t xml:space="preserve">pieces of </w:t>
      </w:r>
      <w:r w:rsidRPr="004E6BFC">
        <w:rPr>
          <w:lang w:val="en-GB"/>
        </w:rPr>
        <w:t>primary or secondary legislation.</w:t>
      </w:r>
    </w:p>
    <w:p w14:paraId="0A6FCA95" w14:textId="2F06DA0E" w:rsidR="003773B1" w:rsidRPr="003773B1"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lang w:val="en-US"/>
        </w:rPr>
      </w:pPr>
      <w:r w:rsidRPr="004E6BFC">
        <w:rPr>
          <w:lang w:val="en-GB"/>
        </w:rPr>
        <w:t xml:space="preserve">Three </w:t>
      </w:r>
      <w:r w:rsidRPr="003773B1">
        <w:rPr>
          <w:lang w:val="en-US"/>
        </w:rPr>
        <w:t xml:space="preserve">country projects have ratified or taken steps to ratify the Rotterdam </w:t>
      </w:r>
      <w:r w:rsidR="003720DF" w:rsidRPr="003773B1">
        <w:rPr>
          <w:lang w:val="en-US"/>
        </w:rPr>
        <w:t>Convention,</w:t>
      </w:r>
      <w:r w:rsidRPr="003773B1">
        <w:rPr>
          <w:lang w:val="en-US"/>
        </w:rPr>
        <w:t xml:space="preserve"> and nine country projects have ratified or taken steps to ratify the Minamata Convention.</w:t>
      </w:r>
    </w:p>
    <w:p w14:paraId="7DBB7D15" w14:textId="77777777" w:rsidR="003773B1" w:rsidRPr="003773B1"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lang w:val="en-US"/>
        </w:rPr>
      </w:pPr>
      <w:r w:rsidRPr="004E6BFC">
        <w:rPr>
          <w:lang w:val="en-GB"/>
        </w:rPr>
        <w:t>Seven</w:t>
      </w:r>
      <w:r w:rsidRPr="003773B1">
        <w:rPr>
          <w:lang w:val="en-US"/>
        </w:rPr>
        <w:t xml:space="preserve"> country projects have submitted reports in compliance with their obligations under the relevant multilateral environmental agreements.</w:t>
      </w:r>
    </w:p>
    <w:p w14:paraId="1CBA8F5C" w14:textId="77777777" w:rsidR="003773B1" w:rsidRPr="004E6BFC"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lang w:val="en-GB"/>
        </w:rPr>
      </w:pPr>
      <w:r w:rsidRPr="003773B1">
        <w:rPr>
          <w:lang w:val="en-US"/>
        </w:rPr>
        <w:t xml:space="preserve">Seven country projects have established or taken steps to establish a national chemicals and/or </w:t>
      </w:r>
      <w:r w:rsidRPr="004E6BFC">
        <w:rPr>
          <w:lang w:val="en-GB"/>
        </w:rPr>
        <w:t>waste database and/or online information repository.</w:t>
      </w:r>
    </w:p>
    <w:p w14:paraId="5D9F9816" w14:textId="14CD4505" w:rsidR="003773B1" w:rsidRPr="003E6D0D"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lang w:val="en-US"/>
        </w:rPr>
      </w:pPr>
      <w:r w:rsidRPr="004E6BFC">
        <w:rPr>
          <w:lang w:val="en-GB"/>
        </w:rPr>
        <w:t>Seven</w:t>
      </w:r>
      <w:r w:rsidRPr="003E6D0D">
        <w:rPr>
          <w:lang w:val="en-US"/>
        </w:rPr>
        <w:t xml:space="preserve"> country projects have taken steps to establish a department or entity responsible for the sound management of chemicals and waste.</w:t>
      </w:r>
    </w:p>
    <w:p w14:paraId="4E9A72F6" w14:textId="77777777" w:rsidR="003773B1" w:rsidRPr="00671B16" w:rsidRDefault="003773B1" w:rsidP="004E6BFC">
      <w:pPr>
        <w:pStyle w:val="CH1"/>
        <w:tabs>
          <w:tab w:val="clear" w:pos="1814"/>
          <w:tab w:val="clear" w:pos="2381"/>
          <w:tab w:val="clear" w:pos="2948"/>
          <w:tab w:val="clear" w:pos="3515"/>
          <w:tab w:val="clear" w:pos="4082"/>
          <w:tab w:val="left" w:pos="1871"/>
          <w:tab w:val="left" w:pos="2495"/>
          <w:tab w:val="left" w:pos="3119"/>
          <w:tab w:val="left" w:pos="3742"/>
          <w:tab w:val="left" w:pos="4366"/>
        </w:tabs>
      </w:pPr>
      <w:r w:rsidRPr="00671B16">
        <w:tab/>
      </w:r>
      <w:bookmarkStart w:id="3" w:name="_Toc201562563"/>
      <w:r w:rsidRPr="00671B16">
        <w:t>III.</w:t>
      </w:r>
      <w:r w:rsidRPr="00671B16">
        <w:tab/>
      </w:r>
      <w:r w:rsidRPr="004E6BFC">
        <w:rPr>
          <w:rFonts w:eastAsia="Times New Roman"/>
          <w:lang w:val="en-GB"/>
        </w:rPr>
        <w:t>Governance</w:t>
      </w:r>
      <w:r w:rsidRPr="00671B16">
        <w:t xml:space="preserve"> of the Special Programme</w:t>
      </w:r>
      <w:bookmarkEnd w:id="3"/>
      <w:r w:rsidRPr="00671B16">
        <w:t xml:space="preserve"> </w:t>
      </w:r>
    </w:p>
    <w:bookmarkEnd w:id="2"/>
    <w:p w14:paraId="16392195" w14:textId="77777777"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3773B1">
        <w:rPr>
          <w:lang w:val="en-US"/>
        </w:rPr>
        <w:t>The Executive Board is the decision-making body overseeing the Special Programme with the support of the Secretariat. The term of its representatives is in a two-year rotation. The composition of the Executive Board reflects a balance between donors and recipients as follows:</w:t>
      </w:r>
    </w:p>
    <w:p w14:paraId="28CA1F48" w14:textId="77777777" w:rsidR="003773B1" w:rsidRPr="003773B1"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lang w:val="en-US"/>
        </w:rPr>
      </w:pPr>
      <w:r w:rsidRPr="003773B1">
        <w:rPr>
          <w:lang w:val="en-US"/>
        </w:rPr>
        <w:t xml:space="preserve">Four representatives of recipient countries, reflecting equitable, geographical representation, drawn from the following United Nations regions: Africa, Asia-Pacific, Central and Eastern Europe, and Latin America and the </w:t>
      </w:r>
      <w:proofErr w:type="gramStart"/>
      <w:r w:rsidRPr="003773B1">
        <w:rPr>
          <w:lang w:val="en-US"/>
        </w:rPr>
        <w:t>Caribbean;</w:t>
      </w:r>
      <w:proofErr w:type="gramEnd"/>
    </w:p>
    <w:p w14:paraId="6D1ED1F0" w14:textId="77777777" w:rsidR="003773B1" w:rsidRPr="003773B1"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lang w:val="en-US"/>
        </w:rPr>
      </w:pPr>
      <w:r w:rsidRPr="003773B1">
        <w:rPr>
          <w:lang w:val="en-US"/>
        </w:rPr>
        <w:t>One representative from a least developed country or a small island developing State on a rotational basis;</w:t>
      </w:r>
    </w:p>
    <w:p w14:paraId="5268DAA6" w14:textId="77777777" w:rsidR="003773B1" w:rsidRPr="003773B1"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rFonts w:asciiTheme="majorBidi" w:hAnsiTheme="majorBidi" w:cstheme="majorBidi"/>
          <w:lang w:val="en-US"/>
        </w:rPr>
      </w:pPr>
      <w:r w:rsidRPr="003773B1">
        <w:rPr>
          <w:lang w:val="en-US"/>
        </w:rPr>
        <w:t>Five donor representatives, which are not also recipient countries</w:t>
      </w:r>
      <w:r w:rsidRPr="003773B1">
        <w:rPr>
          <w:rFonts w:asciiTheme="majorBidi" w:hAnsiTheme="majorBidi" w:cstheme="majorBidi"/>
          <w:iCs/>
          <w:lang w:val="en-US"/>
        </w:rPr>
        <w:t>.</w:t>
      </w:r>
    </w:p>
    <w:p w14:paraId="1B98F2E4" w14:textId="77777777"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3773B1">
        <w:rPr>
          <w:lang w:val="en-US"/>
        </w:rPr>
        <w:t>The Rules of Procedure of the Executive Board, as amended in 2021, provide for alternate Board members to be identified for each term. As a result, for most Board seats, the nominations process for the term 2024-2026 included nominations for alternates as well as Board members, as indicated below.</w:t>
      </w:r>
    </w:p>
    <w:p w14:paraId="55AACD79" w14:textId="49935892" w:rsidR="003773B1" w:rsidRPr="003773B1" w:rsidRDefault="006A0885"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Pr>
          <w:lang w:val="en-US"/>
        </w:rPr>
        <w:t>T</w:t>
      </w:r>
      <w:r w:rsidR="003773B1" w:rsidRPr="003773B1">
        <w:rPr>
          <w:lang w:val="en-US"/>
        </w:rPr>
        <w:t>he countries that are serving on the Executive Board during its 2024-2026 term</w:t>
      </w:r>
      <w:r w:rsidR="00A83934">
        <w:rPr>
          <w:lang w:val="en-US"/>
        </w:rPr>
        <w:t xml:space="preserve"> </w:t>
      </w:r>
      <w:r w:rsidR="003773B1" w:rsidRPr="003773B1">
        <w:rPr>
          <w:lang w:val="en-US"/>
        </w:rPr>
        <w:t>are:</w:t>
      </w:r>
    </w:p>
    <w:p w14:paraId="14998116" w14:textId="77777777" w:rsidR="003773B1" w:rsidRPr="004E6BFC"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lang w:val="en-US"/>
        </w:rPr>
      </w:pPr>
      <w:r>
        <w:t xml:space="preserve">Africa: </w:t>
      </w:r>
      <w:r w:rsidRPr="004E6BFC">
        <w:rPr>
          <w:lang w:val="en-US"/>
        </w:rPr>
        <w:t>Nigeria (member and alternate),</w:t>
      </w:r>
    </w:p>
    <w:p w14:paraId="5FF9F292" w14:textId="77777777" w:rsidR="003773B1" w:rsidRPr="003773B1"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lang w:val="en-US"/>
        </w:rPr>
      </w:pPr>
      <w:r w:rsidRPr="003773B1">
        <w:rPr>
          <w:lang w:val="en-US"/>
        </w:rPr>
        <w:t>Asia and Pacific: Thailand (member for the first year, alternate for the second year) and Maldives (alternate for the first year, member for the second year),</w:t>
      </w:r>
    </w:p>
    <w:p w14:paraId="12DBB31E" w14:textId="77777777" w:rsidR="003773B1" w:rsidRPr="004E6BFC"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rPr>
          <w:lang w:val="en-US"/>
        </w:rPr>
      </w:pPr>
      <w:r w:rsidRPr="004E6BFC">
        <w:rPr>
          <w:lang w:val="en-US"/>
        </w:rPr>
        <w:t>Central and Eastern Europe: Georgia (member); Armenia (alternate),</w:t>
      </w:r>
    </w:p>
    <w:p w14:paraId="117344D7" w14:textId="77777777" w:rsidR="003773B1"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pPr>
      <w:r w:rsidRPr="004E6BFC">
        <w:rPr>
          <w:lang w:val="en-US"/>
        </w:rPr>
        <w:lastRenderedPageBreak/>
        <w:t>Latin America</w:t>
      </w:r>
      <w:r>
        <w:rPr>
          <w:spacing w:val="-6"/>
        </w:rPr>
        <w:t xml:space="preserve"> </w:t>
      </w:r>
      <w:r>
        <w:t>and</w:t>
      </w:r>
      <w:r>
        <w:rPr>
          <w:spacing w:val="-6"/>
        </w:rPr>
        <w:t xml:space="preserve"> </w:t>
      </w:r>
      <w:r>
        <w:t>the</w:t>
      </w:r>
      <w:r>
        <w:rPr>
          <w:spacing w:val="-6"/>
        </w:rPr>
        <w:t xml:space="preserve"> </w:t>
      </w:r>
      <w:r>
        <w:rPr>
          <w:spacing w:val="-2"/>
        </w:rPr>
        <w:t>Caribbean: Brazil</w:t>
      </w:r>
      <w:r>
        <w:t xml:space="preserve"> </w:t>
      </w:r>
      <w:r>
        <w:rPr>
          <w:spacing w:val="-2"/>
        </w:rPr>
        <w:t>(member and alternate),</w:t>
      </w:r>
    </w:p>
    <w:p w14:paraId="0E24B5C3" w14:textId="77777777" w:rsidR="003773B1" w:rsidRDefault="003773B1" w:rsidP="004E6BFC">
      <w:pPr>
        <w:pStyle w:val="Normalnumber"/>
        <w:numPr>
          <w:ilvl w:val="1"/>
          <w:numId w:val="1"/>
        </w:numPr>
        <w:tabs>
          <w:tab w:val="clear" w:pos="1134"/>
          <w:tab w:val="clear" w:pos="1247"/>
          <w:tab w:val="clear" w:pos="1814"/>
          <w:tab w:val="clear" w:pos="2381"/>
          <w:tab w:val="clear" w:pos="2948"/>
          <w:tab w:val="clear" w:pos="3515"/>
          <w:tab w:val="clear" w:pos="4082"/>
          <w:tab w:val="num" w:pos="624"/>
        </w:tabs>
        <w:ind w:firstLine="624"/>
      </w:pPr>
      <w:r>
        <w:t>Least</w:t>
      </w:r>
      <w:r w:rsidRPr="00E85289">
        <w:rPr>
          <w:spacing w:val="-8"/>
        </w:rPr>
        <w:t xml:space="preserve"> </w:t>
      </w:r>
      <w:r>
        <w:t>developed</w:t>
      </w:r>
      <w:r w:rsidRPr="00E85289">
        <w:rPr>
          <w:spacing w:val="-7"/>
        </w:rPr>
        <w:t xml:space="preserve"> </w:t>
      </w:r>
      <w:r w:rsidRPr="004E6BFC">
        <w:t>countries</w:t>
      </w:r>
      <w:r>
        <w:rPr>
          <w:spacing w:val="-2"/>
        </w:rPr>
        <w:t>:</w:t>
      </w:r>
      <w:r>
        <w:t xml:space="preserve"> Lesotho</w:t>
      </w:r>
      <w:r w:rsidRPr="00E85289">
        <w:rPr>
          <w:spacing w:val="-8"/>
        </w:rPr>
        <w:t xml:space="preserve"> </w:t>
      </w:r>
      <w:r>
        <w:rPr>
          <w:spacing w:val="-2"/>
        </w:rPr>
        <w:t>(member)</w:t>
      </w:r>
      <w:r w:rsidRPr="00E85289">
        <w:rPr>
          <w:spacing w:val="-2"/>
        </w:rPr>
        <w:t>.</w:t>
      </w:r>
    </w:p>
    <w:p w14:paraId="315DC286" w14:textId="77777777"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3773B1">
        <w:rPr>
          <w:lang w:val="en-US"/>
        </w:rPr>
        <w:t>The</w:t>
      </w:r>
      <w:r w:rsidRPr="003773B1">
        <w:rPr>
          <w:spacing w:val="28"/>
          <w:lang w:val="en-US"/>
        </w:rPr>
        <w:t xml:space="preserve"> </w:t>
      </w:r>
      <w:r w:rsidRPr="003773B1">
        <w:rPr>
          <w:lang w:val="en-US"/>
        </w:rPr>
        <w:t>donor</w:t>
      </w:r>
      <w:r w:rsidRPr="003773B1">
        <w:rPr>
          <w:spacing w:val="28"/>
          <w:lang w:val="en-US"/>
        </w:rPr>
        <w:t xml:space="preserve"> </w:t>
      </w:r>
      <w:r w:rsidRPr="003773B1">
        <w:rPr>
          <w:lang w:val="en-US"/>
        </w:rPr>
        <w:t>representatives</w:t>
      </w:r>
      <w:r w:rsidRPr="003773B1">
        <w:rPr>
          <w:spacing w:val="28"/>
          <w:lang w:val="en-US"/>
        </w:rPr>
        <w:t xml:space="preserve"> </w:t>
      </w:r>
      <w:r w:rsidRPr="003773B1">
        <w:rPr>
          <w:lang w:val="en-US"/>
        </w:rPr>
        <w:t>on</w:t>
      </w:r>
      <w:r w:rsidRPr="003773B1">
        <w:rPr>
          <w:spacing w:val="28"/>
          <w:lang w:val="en-US"/>
        </w:rPr>
        <w:t xml:space="preserve"> </w:t>
      </w:r>
      <w:r w:rsidRPr="003773B1">
        <w:rPr>
          <w:lang w:val="en-US"/>
        </w:rPr>
        <w:t>the</w:t>
      </w:r>
      <w:r w:rsidRPr="003773B1">
        <w:rPr>
          <w:spacing w:val="28"/>
          <w:lang w:val="en-US"/>
        </w:rPr>
        <w:t xml:space="preserve"> </w:t>
      </w:r>
      <w:r w:rsidRPr="003773B1">
        <w:rPr>
          <w:lang w:val="en-US"/>
        </w:rPr>
        <w:t>Executive</w:t>
      </w:r>
      <w:r w:rsidRPr="003773B1">
        <w:rPr>
          <w:spacing w:val="28"/>
          <w:lang w:val="en-US"/>
        </w:rPr>
        <w:t xml:space="preserve"> </w:t>
      </w:r>
      <w:r w:rsidRPr="003773B1">
        <w:rPr>
          <w:lang w:val="en-US"/>
        </w:rPr>
        <w:t>Board</w:t>
      </w:r>
      <w:r w:rsidRPr="003773B1">
        <w:rPr>
          <w:spacing w:val="28"/>
          <w:lang w:val="en-US"/>
        </w:rPr>
        <w:t xml:space="preserve"> </w:t>
      </w:r>
      <w:r w:rsidRPr="003773B1">
        <w:rPr>
          <w:lang w:val="en-US"/>
        </w:rPr>
        <w:t>are</w:t>
      </w:r>
      <w:r w:rsidRPr="003773B1">
        <w:rPr>
          <w:spacing w:val="28"/>
          <w:lang w:val="en-US"/>
        </w:rPr>
        <w:t xml:space="preserve"> </w:t>
      </w:r>
      <w:r w:rsidRPr="003773B1">
        <w:rPr>
          <w:lang w:val="en-US"/>
        </w:rPr>
        <w:t>the</w:t>
      </w:r>
      <w:r w:rsidRPr="003773B1">
        <w:rPr>
          <w:spacing w:val="28"/>
          <w:lang w:val="en-US"/>
        </w:rPr>
        <w:t xml:space="preserve"> </w:t>
      </w:r>
      <w:r w:rsidRPr="003773B1">
        <w:rPr>
          <w:lang w:val="en-US"/>
        </w:rPr>
        <w:t>European</w:t>
      </w:r>
      <w:r w:rsidRPr="003773B1">
        <w:rPr>
          <w:spacing w:val="28"/>
          <w:lang w:val="en-US"/>
        </w:rPr>
        <w:t xml:space="preserve"> </w:t>
      </w:r>
      <w:r w:rsidRPr="003773B1">
        <w:rPr>
          <w:lang w:val="en-US"/>
        </w:rPr>
        <w:t>Union,</w:t>
      </w:r>
      <w:r w:rsidRPr="003773B1">
        <w:rPr>
          <w:spacing w:val="28"/>
          <w:lang w:val="en-US"/>
        </w:rPr>
        <w:t xml:space="preserve"> </w:t>
      </w:r>
      <w:r w:rsidRPr="003773B1">
        <w:rPr>
          <w:lang w:val="en-US"/>
        </w:rPr>
        <w:t>Germany, Sweden, the United Kingdom of Great Britain and Northern Ireland, and the United States of America.</w:t>
      </w:r>
    </w:p>
    <w:p w14:paraId="74FC497F" w14:textId="77777777"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3773B1">
        <w:rPr>
          <w:lang w:val="en-US"/>
        </w:rPr>
        <w:t>At</w:t>
      </w:r>
      <w:r w:rsidRPr="003773B1">
        <w:rPr>
          <w:spacing w:val="-11"/>
          <w:lang w:val="en-US"/>
        </w:rPr>
        <w:t xml:space="preserve"> </w:t>
      </w:r>
      <w:r w:rsidRPr="003773B1">
        <w:rPr>
          <w:lang w:val="en-US"/>
        </w:rPr>
        <w:t>their</w:t>
      </w:r>
      <w:r w:rsidRPr="003773B1">
        <w:rPr>
          <w:spacing w:val="-11"/>
          <w:lang w:val="en-US"/>
        </w:rPr>
        <w:t xml:space="preserve"> </w:t>
      </w:r>
      <w:r w:rsidRPr="003773B1">
        <w:rPr>
          <w:lang w:val="en-US"/>
        </w:rPr>
        <w:t>first</w:t>
      </w:r>
      <w:r w:rsidRPr="003773B1">
        <w:rPr>
          <w:spacing w:val="-11"/>
          <w:lang w:val="en-US"/>
        </w:rPr>
        <w:t xml:space="preserve"> </w:t>
      </w:r>
      <w:r w:rsidRPr="003773B1">
        <w:rPr>
          <w:lang w:val="en-US"/>
        </w:rPr>
        <w:t>meeting held</w:t>
      </w:r>
      <w:r w:rsidRPr="003773B1">
        <w:rPr>
          <w:spacing w:val="-11"/>
          <w:lang w:val="en-US"/>
        </w:rPr>
        <w:t xml:space="preserve"> </w:t>
      </w:r>
      <w:r w:rsidRPr="003773B1">
        <w:rPr>
          <w:lang w:val="en-US"/>
        </w:rPr>
        <w:t>in hybrid format</w:t>
      </w:r>
      <w:r w:rsidRPr="003773B1">
        <w:rPr>
          <w:spacing w:val="-11"/>
          <w:lang w:val="en-US"/>
        </w:rPr>
        <w:t xml:space="preserve"> </w:t>
      </w:r>
      <w:r w:rsidRPr="003773B1">
        <w:rPr>
          <w:lang w:val="en-US"/>
        </w:rPr>
        <w:t>from 8 to 10 April 2024,</w:t>
      </w:r>
      <w:r w:rsidRPr="003773B1">
        <w:rPr>
          <w:spacing w:val="-10"/>
          <w:lang w:val="en-US"/>
        </w:rPr>
        <w:t xml:space="preserve"> </w:t>
      </w:r>
      <w:r w:rsidRPr="003773B1">
        <w:rPr>
          <w:lang w:val="en-US"/>
        </w:rPr>
        <w:t>the</w:t>
      </w:r>
      <w:r w:rsidRPr="003773B1">
        <w:rPr>
          <w:spacing w:val="-11"/>
          <w:lang w:val="en-US"/>
        </w:rPr>
        <w:t xml:space="preserve"> </w:t>
      </w:r>
      <w:r w:rsidRPr="003773B1">
        <w:rPr>
          <w:lang w:val="en-US"/>
        </w:rPr>
        <w:t>Executive</w:t>
      </w:r>
      <w:r w:rsidRPr="003773B1">
        <w:rPr>
          <w:spacing w:val="-11"/>
          <w:lang w:val="en-US"/>
        </w:rPr>
        <w:t xml:space="preserve"> </w:t>
      </w:r>
      <w:r w:rsidRPr="003773B1">
        <w:rPr>
          <w:lang w:val="en-US"/>
        </w:rPr>
        <w:t>Board</w:t>
      </w:r>
      <w:r w:rsidRPr="003773B1">
        <w:rPr>
          <w:spacing w:val="-11"/>
          <w:lang w:val="en-US"/>
        </w:rPr>
        <w:t xml:space="preserve"> </w:t>
      </w:r>
      <w:r w:rsidRPr="003773B1">
        <w:rPr>
          <w:lang w:val="en-US"/>
        </w:rPr>
        <w:t>elected</w:t>
      </w:r>
      <w:r w:rsidRPr="003773B1">
        <w:rPr>
          <w:spacing w:val="-11"/>
          <w:lang w:val="en-US"/>
        </w:rPr>
        <w:t xml:space="preserve"> </w:t>
      </w:r>
      <w:r w:rsidRPr="003773B1">
        <w:rPr>
          <w:lang w:val="en-US"/>
        </w:rPr>
        <w:t>Mr Helges Bandeira (Brazil), representing recipient countries, and Ms Anna Fransson (Sweden), representing donor countries, as co-chairs of the Executive Board.</w:t>
      </w:r>
    </w:p>
    <w:p w14:paraId="0D9C7D88" w14:textId="77777777"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3773B1">
        <w:rPr>
          <w:lang w:val="en-US"/>
        </w:rPr>
        <w:t>The term of the current Executive Board will end on 2 February 2026. The process for nominations for membership of the Executive Board will be launched in August 2025.</w:t>
      </w:r>
    </w:p>
    <w:p w14:paraId="47888F91" w14:textId="77777777" w:rsidR="003773B1" w:rsidRDefault="003773B1" w:rsidP="004E6BFC">
      <w:pPr>
        <w:pStyle w:val="CH1"/>
        <w:tabs>
          <w:tab w:val="clear" w:pos="1814"/>
          <w:tab w:val="clear" w:pos="2381"/>
          <w:tab w:val="clear" w:pos="2948"/>
          <w:tab w:val="clear" w:pos="3515"/>
          <w:tab w:val="clear" w:pos="4082"/>
          <w:tab w:val="left" w:pos="1871"/>
          <w:tab w:val="left" w:pos="2495"/>
          <w:tab w:val="left" w:pos="3119"/>
          <w:tab w:val="left" w:pos="3742"/>
          <w:tab w:val="left" w:pos="4366"/>
        </w:tabs>
      </w:pPr>
      <w:r>
        <w:tab/>
      </w:r>
      <w:bookmarkStart w:id="4" w:name="_Toc201562564"/>
      <w:bookmarkStart w:id="5" w:name="_Hlk774166"/>
      <w:r>
        <w:t>IV.</w:t>
      </w:r>
      <w:r>
        <w:tab/>
        <w:t>Meetings of the Executive Board</w:t>
      </w:r>
      <w:bookmarkEnd w:id="4"/>
      <w:r w:rsidRPr="00D907A7">
        <w:t xml:space="preserve"> </w:t>
      </w:r>
      <w:bookmarkEnd w:id="5"/>
    </w:p>
    <w:p w14:paraId="08CD165C" w14:textId="77777777" w:rsidR="00AB3776" w:rsidRDefault="00AB3776"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bookmarkStart w:id="6" w:name="_Hlk778239"/>
      <w:bookmarkStart w:id="7" w:name="_Hlk778249"/>
      <w:r>
        <w:rPr>
          <w:lang w:val="en-US"/>
        </w:rPr>
        <w:t>The Special Programme Executive Board has met twice since the last Conference of the Parties to the Minamata Convention. Decisions taken on earlier meetings are summarised in information documents provided to earlier COPs.</w:t>
      </w:r>
    </w:p>
    <w:p w14:paraId="1A78325F" w14:textId="54219112" w:rsidR="00427EA7" w:rsidRPr="0030293A" w:rsidRDefault="00427EA7"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30293A">
        <w:rPr>
          <w:lang w:val="en-US"/>
        </w:rPr>
        <w:t>The ninth meeting of the Executive Board</w:t>
      </w:r>
      <w:r w:rsidRPr="00F8724B">
        <w:rPr>
          <w:rStyle w:val="FootnoteReference"/>
          <w:rFonts w:asciiTheme="majorBidi" w:hAnsiTheme="majorBidi" w:cstheme="majorBidi"/>
        </w:rPr>
        <w:footnoteReference w:id="9"/>
      </w:r>
      <w:r w:rsidRPr="0030293A">
        <w:rPr>
          <w:lang w:val="en-US"/>
        </w:rPr>
        <w:t xml:space="preserve"> was held in hybrid format in Geneva, Switzerland, from 8 to 10 April 2024. During the meeting the Board approved eight new projects under the seventh round of funding, with a total budget of up to US</w:t>
      </w:r>
      <w:r w:rsidR="000A0314">
        <w:rPr>
          <w:lang w:val="en-US"/>
        </w:rPr>
        <w:t>D</w:t>
      </w:r>
      <w:r w:rsidRPr="0030293A">
        <w:rPr>
          <w:lang w:val="en-US"/>
        </w:rPr>
        <w:t xml:space="preserve"> 1,9 million</w:t>
      </w:r>
      <w:r w:rsidR="002B7FC7">
        <w:rPr>
          <w:lang w:val="en-US"/>
        </w:rPr>
        <w:t>,</w:t>
      </w:r>
      <w:r w:rsidRPr="0030293A">
        <w:rPr>
          <w:lang w:val="en-US"/>
        </w:rPr>
        <w:t xml:space="preserve"> and endorsed the arrangements for the launch of the eighth round of funding. In doing so the Board adopted some recommendations concerning regional/multi-country applications. </w:t>
      </w:r>
      <w:r w:rsidR="00784ADB">
        <w:rPr>
          <w:lang w:val="en-US"/>
        </w:rPr>
        <w:t xml:space="preserve">The Board also </w:t>
      </w:r>
      <w:r w:rsidRPr="0030293A">
        <w:rPr>
          <w:lang w:val="en-US"/>
        </w:rPr>
        <w:t xml:space="preserve">adopted a risk management framework for the Special Programme and took decisions on three projects. The Board received an update on the operations of the Special Programme including the efforts to ramp up resource mobilization </w:t>
      </w:r>
      <w:r w:rsidR="00784ADB">
        <w:rPr>
          <w:lang w:val="en-US"/>
        </w:rPr>
        <w:t>and</w:t>
      </w:r>
      <w:r w:rsidRPr="0030293A">
        <w:rPr>
          <w:lang w:val="en-US"/>
        </w:rPr>
        <w:t xml:space="preserve"> endorsed the updated communications strategy for the Special Programme. </w:t>
      </w:r>
    </w:p>
    <w:p w14:paraId="030C2528" w14:textId="00FB5CE6" w:rsid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A81873">
        <w:rPr>
          <w:lang w:val="en-US"/>
        </w:rPr>
        <w:t>The tenth meeting of the Executive Board was held in Geneva, Switzerland, from 17-19 March 2025</w:t>
      </w:r>
      <w:r w:rsidR="006A6C23">
        <w:rPr>
          <w:rStyle w:val="FootnoteReference"/>
        </w:rPr>
        <w:footnoteReference w:id="10"/>
      </w:r>
      <w:r w:rsidRPr="00A81873">
        <w:rPr>
          <w:lang w:val="en-US"/>
        </w:rPr>
        <w:t>. During the meeting the Executive Board discussed the financial situation and scenarios outlined by the Secretariat</w:t>
      </w:r>
      <w:r w:rsidR="003D3BD1" w:rsidRPr="00A81873">
        <w:rPr>
          <w:lang w:val="en-US"/>
        </w:rPr>
        <w:t>,</w:t>
      </w:r>
      <w:r w:rsidRPr="00A81873">
        <w:rPr>
          <w:lang w:val="en-US"/>
        </w:rPr>
        <w:t xml:space="preserve"> received an update on the implementation of the country project portfolio and took decisions on a number of projects, including cancellation of two approved projects where there had been significant delay in </w:t>
      </w:r>
      <w:r w:rsidR="008A1EFE" w:rsidRPr="00A81873">
        <w:rPr>
          <w:lang w:val="en-US"/>
        </w:rPr>
        <w:t>finalizing</w:t>
      </w:r>
      <w:r w:rsidRPr="00A81873">
        <w:rPr>
          <w:lang w:val="en-US"/>
        </w:rPr>
        <w:t xml:space="preserve"> the project implementation arrangements and the project agreements.</w:t>
      </w:r>
      <w:r w:rsidR="003D3BD1" w:rsidRPr="00A81873">
        <w:rPr>
          <w:lang w:val="en-US"/>
        </w:rPr>
        <w:t xml:space="preserve"> </w:t>
      </w:r>
      <w:r w:rsidRPr="00A81873">
        <w:rPr>
          <w:lang w:val="en-US"/>
        </w:rPr>
        <w:t>The Board conditionally approved eight new projects for funding</w:t>
      </w:r>
      <w:r w:rsidR="003D3BD1" w:rsidRPr="00A81873">
        <w:rPr>
          <w:lang w:val="en-US"/>
        </w:rPr>
        <w:t xml:space="preserve"> under the eighth round of funding</w:t>
      </w:r>
      <w:r w:rsidRPr="00A81873">
        <w:rPr>
          <w:lang w:val="en-US"/>
        </w:rPr>
        <w:t xml:space="preserve">, </w:t>
      </w:r>
      <w:r w:rsidR="008A1EFE">
        <w:rPr>
          <w:lang w:val="en-US"/>
        </w:rPr>
        <w:t>subject to</w:t>
      </w:r>
      <w:r w:rsidRPr="00A81873">
        <w:rPr>
          <w:lang w:val="en-US"/>
        </w:rPr>
        <w:t xml:space="preserve"> the identification of funds to support their implementation.</w:t>
      </w:r>
      <w:r w:rsidR="003D3BD1" w:rsidRPr="00A81873">
        <w:rPr>
          <w:lang w:val="en-US"/>
        </w:rPr>
        <w:t xml:space="preserve"> </w:t>
      </w:r>
      <w:r w:rsidRPr="00A81873">
        <w:rPr>
          <w:lang w:val="en-US"/>
        </w:rPr>
        <w:t xml:space="preserve">With respect to the ninth funding round, in light of the financial situation the Board decided not to launch a new funding round until sufficient funds were available to support new projects. The Board also adopted an interpretation of paragraph 4 of the Special Programme Terms of Reference that seeks to avoid duplications between Special Programme projects and GEF-funded projects. </w:t>
      </w:r>
      <w:r w:rsidR="00A81873" w:rsidRPr="00A81873">
        <w:rPr>
          <w:lang w:val="en-US"/>
        </w:rPr>
        <w:t xml:space="preserve">Finally, </w:t>
      </w:r>
      <w:r w:rsidR="00A81873">
        <w:rPr>
          <w:lang w:val="en-US"/>
        </w:rPr>
        <w:t>t</w:t>
      </w:r>
      <w:r w:rsidRPr="00A81873">
        <w:rPr>
          <w:lang w:val="en-US"/>
        </w:rPr>
        <w:t xml:space="preserve">he Board welcomed the presentation of the </w:t>
      </w:r>
      <w:r w:rsidR="00A81873">
        <w:rPr>
          <w:lang w:val="en-US"/>
        </w:rPr>
        <w:t xml:space="preserve">second assessment of </w:t>
      </w:r>
      <w:r w:rsidRPr="00A81873">
        <w:rPr>
          <w:lang w:val="en-US"/>
        </w:rPr>
        <w:t>closed projects</w:t>
      </w:r>
      <w:r w:rsidR="00A81873">
        <w:rPr>
          <w:lang w:val="en-US"/>
        </w:rPr>
        <w:t xml:space="preserve">, </w:t>
      </w:r>
      <w:r w:rsidRPr="00A81873">
        <w:rPr>
          <w:lang w:val="en-US"/>
        </w:rPr>
        <w:t>noting the results achieved and their contribution to the Special Programme’s mandate</w:t>
      </w:r>
      <w:r w:rsidR="00A81873">
        <w:rPr>
          <w:lang w:val="en-US"/>
        </w:rPr>
        <w:t xml:space="preserve"> and</w:t>
      </w:r>
      <w:r w:rsidRPr="00A81873">
        <w:rPr>
          <w:lang w:val="en-US"/>
        </w:rPr>
        <w:t xml:space="preserve"> endorsed a new logo for the Special Programme.</w:t>
      </w:r>
    </w:p>
    <w:p w14:paraId="711DA23F" w14:textId="058B2A9F" w:rsidR="007D497E" w:rsidRPr="006661FC" w:rsidRDefault="0075156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Pr>
          <w:lang w:val="en-US"/>
        </w:rPr>
        <w:t>In response to p</w:t>
      </w:r>
      <w:r w:rsidR="00356D48" w:rsidRPr="006661FC">
        <w:rPr>
          <w:lang w:val="en-US"/>
        </w:rPr>
        <w:t xml:space="preserve">aragraph 5 </w:t>
      </w:r>
      <w:r w:rsidR="006661FC" w:rsidRPr="006661FC">
        <w:rPr>
          <w:lang w:val="en-US"/>
        </w:rPr>
        <w:t>of</w:t>
      </w:r>
      <w:r w:rsidR="007D497E" w:rsidRPr="006661FC">
        <w:rPr>
          <w:lang w:val="en-US"/>
        </w:rPr>
        <w:t xml:space="preserve"> UNEA</w:t>
      </w:r>
      <w:r w:rsidR="00356D48" w:rsidRPr="006661FC">
        <w:rPr>
          <w:lang w:val="en-US"/>
        </w:rPr>
        <w:t xml:space="preserve"> resolution 6/9</w:t>
      </w:r>
      <w:r>
        <w:rPr>
          <w:lang w:val="en-US"/>
        </w:rPr>
        <w:t>, UNEP has arranged for two</w:t>
      </w:r>
      <w:r w:rsidR="00024563">
        <w:rPr>
          <w:lang w:val="en-US"/>
        </w:rPr>
        <w:t xml:space="preserve"> informal</w:t>
      </w:r>
      <w:r>
        <w:rPr>
          <w:lang w:val="en-US"/>
        </w:rPr>
        <w:t xml:space="preserve"> meetings</w:t>
      </w:r>
      <w:r w:rsidR="002636E4">
        <w:rPr>
          <w:lang w:val="en-US"/>
        </w:rPr>
        <w:t xml:space="preserve">, held </w:t>
      </w:r>
      <w:r w:rsidR="009F165C">
        <w:rPr>
          <w:lang w:val="en-US"/>
        </w:rPr>
        <w:t>on 9 April 2024 and 19 March 2025 respectively, between</w:t>
      </w:r>
      <w:r w:rsidR="00024563">
        <w:rPr>
          <w:lang w:val="en-US"/>
        </w:rPr>
        <w:t xml:space="preserve"> the Special Programme Executive Board, the Global Framework on Chemicals Fund Executive Board and the Minamata Convention Secretariat representing the Speci</w:t>
      </w:r>
      <w:r w:rsidR="006661FC" w:rsidRPr="006661FC">
        <w:rPr>
          <w:lang w:val="en-US"/>
        </w:rPr>
        <w:t>fic International Programme to Support Capacity-Building and Technical Assistance of the Minamata Convention on Mercury</w:t>
      </w:r>
      <w:r w:rsidR="00024563">
        <w:rPr>
          <w:lang w:val="en-US"/>
        </w:rPr>
        <w:t>. These meetings provided an opportunity for sharing of information and discussion of common issues</w:t>
      </w:r>
      <w:r w:rsidR="006661FC" w:rsidRPr="006661FC">
        <w:rPr>
          <w:lang w:val="en-US"/>
        </w:rPr>
        <w:t xml:space="preserve">, in </w:t>
      </w:r>
      <w:r w:rsidR="00024563">
        <w:rPr>
          <w:lang w:val="en-US"/>
        </w:rPr>
        <w:t xml:space="preserve">an effort to promote </w:t>
      </w:r>
      <w:r w:rsidR="006661FC" w:rsidRPr="006661FC">
        <w:rPr>
          <w:lang w:val="en-US"/>
        </w:rPr>
        <w:t>complementarity and avoid duplication</w:t>
      </w:r>
      <w:r w:rsidR="00024563">
        <w:rPr>
          <w:lang w:val="en-US"/>
        </w:rPr>
        <w:t xml:space="preserve"> among the three funding mechanisms.</w:t>
      </w:r>
    </w:p>
    <w:p w14:paraId="03FA17EC" w14:textId="77777777" w:rsidR="003773B1" w:rsidRDefault="003773B1" w:rsidP="004E6BFC">
      <w:pPr>
        <w:pStyle w:val="CH1"/>
        <w:tabs>
          <w:tab w:val="clear" w:pos="1814"/>
          <w:tab w:val="clear" w:pos="2381"/>
          <w:tab w:val="clear" w:pos="2948"/>
          <w:tab w:val="clear" w:pos="3515"/>
          <w:tab w:val="clear" w:pos="4082"/>
          <w:tab w:val="left" w:pos="1871"/>
          <w:tab w:val="left" w:pos="2495"/>
          <w:tab w:val="left" w:pos="3119"/>
          <w:tab w:val="left" w:pos="3742"/>
          <w:tab w:val="left" w:pos="4366"/>
        </w:tabs>
      </w:pPr>
      <w:bookmarkStart w:id="8" w:name="_Hlk1144387"/>
      <w:bookmarkStart w:id="9" w:name="_Hlk514071457"/>
      <w:bookmarkEnd w:id="6"/>
      <w:bookmarkEnd w:id="7"/>
      <w:r>
        <w:tab/>
      </w:r>
      <w:bookmarkStart w:id="10" w:name="_Toc201562565"/>
      <w:r>
        <w:t>V.</w:t>
      </w:r>
      <w:r>
        <w:tab/>
      </w:r>
      <w:r w:rsidRPr="002728CE">
        <w:t>Status of the Special Programme Trust F</w:t>
      </w:r>
      <w:r>
        <w:t>und</w:t>
      </w:r>
      <w:bookmarkEnd w:id="10"/>
    </w:p>
    <w:bookmarkEnd w:id="8"/>
    <w:p w14:paraId="2C74688B" w14:textId="6CF5C807"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rFonts w:asciiTheme="majorBidi" w:hAnsiTheme="majorBidi" w:cstheme="majorBidi"/>
          <w:lang w:val="en-US"/>
        </w:rPr>
      </w:pPr>
      <w:r w:rsidRPr="003773B1">
        <w:rPr>
          <w:rFonts w:asciiTheme="majorBidi" w:hAnsiTheme="majorBidi" w:cstheme="majorBidi"/>
          <w:lang w:val="en-US"/>
        </w:rPr>
        <w:t xml:space="preserve">The generous contributions of donors to the Special Programme trust fund and its operations continue to be greatly </w:t>
      </w:r>
      <w:r w:rsidRPr="004E6BFC">
        <w:rPr>
          <w:lang w:val="en-US"/>
        </w:rPr>
        <w:t>appreciated</w:t>
      </w:r>
      <w:r w:rsidRPr="003773B1">
        <w:rPr>
          <w:rFonts w:asciiTheme="majorBidi" w:hAnsiTheme="majorBidi" w:cstheme="majorBidi"/>
          <w:lang w:val="en-US"/>
        </w:rPr>
        <w:t xml:space="preserve"> by the recipient countries.</w:t>
      </w:r>
      <w:bookmarkEnd w:id="9"/>
      <w:r w:rsidR="005B1A6E" w:rsidRPr="005B1A6E">
        <w:rPr>
          <w:rFonts w:asciiTheme="majorBidi" w:hAnsiTheme="majorBidi" w:cstheme="majorBidi"/>
          <w:lang w:val="en-US"/>
        </w:rPr>
        <w:t xml:space="preserve"> </w:t>
      </w:r>
      <w:r w:rsidR="005B1A6E" w:rsidRPr="003773B1">
        <w:rPr>
          <w:rFonts w:asciiTheme="majorBidi" w:hAnsiTheme="majorBidi" w:cstheme="majorBidi"/>
          <w:lang w:val="en-US"/>
        </w:rPr>
        <w:t xml:space="preserve">In spite of </w:t>
      </w:r>
      <w:r w:rsidR="005B1A6E">
        <w:rPr>
          <w:rFonts w:asciiTheme="majorBidi" w:hAnsiTheme="majorBidi" w:cstheme="majorBidi"/>
          <w:lang w:val="en-US"/>
        </w:rPr>
        <w:t>this, however,</w:t>
      </w:r>
      <w:r w:rsidR="005B1A6E" w:rsidRPr="003773B1">
        <w:rPr>
          <w:rFonts w:asciiTheme="majorBidi" w:hAnsiTheme="majorBidi" w:cstheme="majorBidi"/>
          <w:lang w:val="en-US"/>
        </w:rPr>
        <w:t xml:space="preserve"> the financial situation of the Trust Fund is becoming concerning, and a significant injection of funds is needed to carry the Special Programme through its extended period of duration.</w:t>
      </w:r>
    </w:p>
    <w:p w14:paraId="08DB62A0" w14:textId="6C53F03C"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rFonts w:asciiTheme="majorBidi" w:hAnsiTheme="majorBidi" w:cstheme="majorBidi"/>
          <w:lang w:val="en-US"/>
        </w:rPr>
      </w:pPr>
      <w:r w:rsidRPr="003773B1">
        <w:rPr>
          <w:rFonts w:asciiTheme="majorBidi" w:hAnsiTheme="majorBidi" w:cstheme="majorBidi"/>
          <w:lang w:val="en-US"/>
        </w:rPr>
        <w:lastRenderedPageBreak/>
        <w:t>An update of donor contributions since the establishment of the Special Programme Trust Fund in September 2015 is shown in table 1 below</w:t>
      </w:r>
      <w:r w:rsidR="00A15B24">
        <w:rPr>
          <w:rFonts w:asciiTheme="majorBidi" w:hAnsiTheme="majorBidi" w:cstheme="majorBidi"/>
          <w:lang w:val="en-US"/>
        </w:rPr>
        <w:t>, amounting to a total of US</w:t>
      </w:r>
      <w:r w:rsidR="007F723A">
        <w:rPr>
          <w:rFonts w:asciiTheme="majorBidi" w:hAnsiTheme="majorBidi" w:cstheme="majorBidi"/>
          <w:lang w:val="en-US"/>
        </w:rPr>
        <w:t>D 35,9</w:t>
      </w:r>
      <w:r w:rsidR="00D002ED">
        <w:rPr>
          <w:rFonts w:asciiTheme="majorBidi" w:hAnsiTheme="majorBidi" w:cstheme="majorBidi"/>
          <w:lang w:val="en-US"/>
        </w:rPr>
        <w:t xml:space="preserve"> </w:t>
      </w:r>
      <w:r w:rsidR="007F723A">
        <w:rPr>
          <w:rFonts w:asciiTheme="majorBidi" w:hAnsiTheme="majorBidi" w:cstheme="majorBidi"/>
          <w:lang w:val="en-US"/>
        </w:rPr>
        <w:t xml:space="preserve">million as at April 2025. </w:t>
      </w:r>
      <w:r w:rsidR="00865644">
        <w:rPr>
          <w:rFonts w:asciiTheme="majorBidi" w:hAnsiTheme="majorBidi" w:cstheme="majorBidi"/>
          <w:lang w:val="en-US"/>
        </w:rPr>
        <w:t>Based</w:t>
      </w:r>
      <w:r w:rsidR="006869B3">
        <w:rPr>
          <w:rFonts w:asciiTheme="majorBidi" w:hAnsiTheme="majorBidi" w:cstheme="majorBidi"/>
          <w:lang w:val="en-US"/>
        </w:rPr>
        <w:t xml:space="preserve"> on figures presented to the Executive Board at its tenth meeting, held in March 2025, the </w:t>
      </w:r>
      <w:r w:rsidR="00FD420F">
        <w:rPr>
          <w:rFonts w:asciiTheme="majorBidi" w:hAnsiTheme="majorBidi" w:cstheme="majorBidi"/>
          <w:lang w:val="en-US"/>
        </w:rPr>
        <w:t xml:space="preserve">balance remaining for all operations of the Special Programme </w:t>
      </w:r>
      <w:r w:rsidR="00690A28">
        <w:rPr>
          <w:rFonts w:asciiTheme="majorBidi" w:hAnsiTheme="majorBidi" w:cstheme="majorBidi"/>
          <w:lang w:val="en-US"/>
        </w:rPr>
        <w:t xml:space="preserve">through to 2030 </w:t>
      </w:r>
      <w:r w:rsidR="00865644">
        <w:rPr>
          <w:rFonts w:asciiTheme="majorBidi" w:hAnsiTheme="majorBidi" w:cstheme="majorBidi"/>
          <w:lang w:val="en-US"/>
        </w:rPr>
        <w:t>stood at USD4,</w:t>
      </w:r>
      <w:r w:rsidR="00F54924">
        <w:rPr>
          <w:rFonts w:asciiTheme="majorBidi" w:hAnsiTheme="majorBidi" w:cstheme="majorBidi"/>
          <w:lang w:val="en-US"/>
        </w:rPr>
        <w:t>2</w:t>
      </w:r>
      <w:r w:rsidR="00865644">
        <w:rPr>
          <w:rFonts w:asciiTheme="majorBidi" w:hAnsiTheme="majorBidi" w:cstheme="majorBidi"/>
          <w:lang w:val="en-US"/>
        </w:rPr>
        <w:t xml:space="preserve"> million. </w:t>
      </w:r>
      <w:r w:rsidR="00D31EE2">
        <w:rPr>
          <w:rFonts w:asciiTheme="majorBidi" w:hAnsiTheme="majorBidi" w:cstheme="majorBidi"/>
          <w:lang w:val="en-US"/>
        </w:rPr>
        <w:t xml:space="preserve">In </w:t>
      </w:r>
      <w:r w:rsidR="00222FB4">
        <w:rPr>
          <w:rFonts w:asciiTheme="majorBidi" w:hAnsiTheme="majorBidi" w:cstheme="majorBidi"/>
          <w:lang w:val="en-US"/>
        </w:rPr>
        <w:t>l</w:t>
      </w:r>
      <w:r w:rsidR="00D31EE2">
        <w:rPr>
          <w:rFonts w:asciiTheme="majorBidi" w:hAnsiTheme="majorBidi" w:cstheme="majorBidi"/>
          <w:lang w:val="en-US"/>
        </w:rPr>
        <w:t xml:space="preserve">ight of this situation the Executive Board </w:t>
      </w:r>
      <w:r w:rsidR="00222FB4">
        <w:rPr>
          <w:rFonts w:asciiTheme="majorBidi" w:hAnsiTheme="majorBidi" w:cstheme="majorBidi"/>
          <w:lang w:val="en-US"/>
        </w:rPr>
        <w:t xml:space="preserve">conditionally approved eight projects under the eighth funding round, subject to the availability of funds, and decided </w:t>
      </w:r>
      <w:r w:rsidR="00D31EE2">
        <w:rPr>
          <w:rFonts w:asciiTheme="majorBidi" w:hAnsiTheme="majorBidi" w:cstheme="majorBidi"/>
          <w:lang w:val="en-US"/>
        </w:rPr>
        <w:t xml:space="preserve">not to launch a new funding round until funds are available to </w:t>
      </w:r>
      <w:r w:rsidR="00222FB4">
        <w:rPr>
          <w:rFonts w:asciiTheme="majorBidi" w:hAnsiTheme="majorBidi" w:cstheme="majorBidi"/>
          <w:lang w:val="en-US"/>
        </w:rPr>
        <w:t>support new projects.</w:t>
      </w:r>
    </w:p>
    <w:p w14:paraId="0DC5357A" w14:textId="7F774881" w:rsidR="003773B1" w:rsidRPr="003773B1" w:rsidRDefault="003773B1" w:rsidP="004E6BFC">
      <w:pPr>
        <w:pStyle w:val="Normalnumber"/>
        <w:tabs>
          <w:tab w:val="left" w:pos="0"/>
          <w:tab w:val="left" w:pos="567"/>
          <w:tab w:val="num" w:pos="1701"/>
        </w:tabs>
        <w:ind w:left="1247"/>
        <w:jc w:val="both"/>
        <w:rPr>
          <w:lang w:val="en-US"/>
        </w:rPr>
      </w:pPr>
      <w:r w:rsidRPr="004E6BFC">
        <w:rPr>
          <w:lang w:val="en-US"/>
        </w:rPr>
        <w:t>Table 1</w:t>
      </w:r>
      <w:r w:rsidR="00671B16" w:rsidRPr="004E6BFC">
        <w:rPr>
          <w:lang w:val="en-US"/>
        </w:rPr>
        <w:t>:</w:t>
      </w:r>
      <w:r w:rsidRPr="003773B1">
        <w:rPr>
          <w:b/>
          <w:bCs/>
          <w:lang w:val="en-US"/>
        </w:rPr>
        <w:t xml:space="preserve"> </w:t>
      </w:r>
      <w:r w:rsidRPr="004E6BFC">
        <w:rPr>
          <w:b/>
          <w:bCs/>
          <w:lang w:val="en-US"/>
        </w:rPr>
        <w:t>Contributions and pledges received 2015 – 2025 (all amounts in US</w:t>
      </w:r>
      <w:r w:rsidR="007F723A" w:rsidRPr="004E6BFC">
        <w:rPr>
          <w:b/>
          <w:bCs/>
          <w:lang w:val="en-US"/>
        </w:rPr>
        <w:t>D</w:t>
      </w:r>
      <w:r w:rsidRPr="004E6BFC">
        <w:rPr>
          <w:b/>
          <w:bCs/>
          <w:lang w:val="en-US"/>
        </w:rPr>
        <w:t xml:space="preserve"> as 10 April 2025)</w:t>
      </w:r>
    </w:p>
    <w:tbl>
      <w:tblPr>
        <w:tblStyle w:val="Tabledocright"/>
        <w:tblW w:w="0" w:type="auto"/>
        <w:jc w:val="left"/>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3179"/>
      </w:tblGrid>
      <w:tr w:rsidR="003773B1" w:rsidRPr="00764525" w14:paraId="3A29D4C4" w14:textId="77777777" w:rsidTr="004E6BFC">
        <w:trPr>
          <w:jc w:val="left"/>
        </w:trPr>
        <w:tc>
          <w:tcPr>
            <w:tcW w:w="0" w:type="auto"/>
            <w:tcBorders>
              <w:bottom w:val="single" w:sz="8" w:space="0" w:color="auto"/>
            </w:tcBorders>
            <w:vAlign w:val="bottom"/>
            <w:hideMark/>
          </w:tcPr>
          <w:p w14:paraId="61A13A3F" w14:textId="77777777" w:rsidR="003773B1" w:rsidRPr="00764525" w:rsidRDefault="003773B1" w:rsidP="00CC7694">
            <w:pPr>
              <w:tabs>
                <w:tab w:val="left" w:pos="567"/>
                <w:tab w:val="left" w:pos="720"/>
              </w:tabs>
              <w:spacing w:before="0" w:after="60"/>
            </w:pPr>
            <w:proofErr w:type="spellStart"/>
            <w:r w:rsidRPr="00764525">
              <w:t>Donor</w:t>
            </w:r>
            <w:proofErr w:type="spellEnd"/>
          </w:p>
        </w:tc>
        <w:tc>
          <w:tcPr>
            <w:tcW w:w="0" w:type="auto"/>
            <w:tcBorders>
              <w:bottom w:val="single" w:sz="8" w:space="0" w:color="auto"/>
            </w:tcBorders>
            <w:vAlign w:val="bottom"/>
            <w:hideMark/>
          </w:tcPr>
          <w:p w14:paraId="0144742F" w14:textId="77777777" w:rsidR="003773B1" w:rsidRPr="003773B1" w:rsidRDefault="003773B1" w:rsidP="00CC7694">
            <w:pPr>
              <w:tabs>
                <w:tab w:val="left" w:pos="567"/>
                <w:tab w:val="left" w:pos="720"/>
              </w:tabs>
              <w:spacing w:before="0" w:after="60"/>
              <w:jc w:val="right"/>
              <w:rPr>
                <w:lang w:val="en-US"/>
              </w:rPr>
            </w:pPr>
            <w:r w:rsidRPr="003773B1">
              <w:rPr>
                <w:lang w:val="en-US"/>
              </w:rPr>
              <w:t>Total amount pledged*/contributed (USD)</w:t>
            </w:r>
          </w:p>
        </w:tc>
      </w:tr>
      <w:tr w:rsidR="003773B1" w:rsidRPr="00764525" w14:paraId="2B11F769" w14:textId="77777777" w:rsidTr="004E6BFC">
        <w:trPr>
          <w:jc w:val="left"/>
        </w:trPr>
        <w:tc>
          <w:tcPr>
            <w:tcW w:w="0" w:type="auto"/>
            <w:tcBorders>
              <w:top w:val="single" w:sz="8" w:space="0" w:color="auto"/>
            </w:tcBorders>
            <w:vAlign w:val="bottom"/>
            <w:hideMark/>
          </w:tcPr>
          <w:p w14:paraId="71D424B0" w14:textId="77777777" w:rsidR="003773B1" w:rsidRPr="00764525" w:rsidRDefault="003773B1" w:rsidP="00CC7694">
            <w:pPr>
              <w:tabs>
                <w:tab w:val="left" w:pos="567"/>
                <w:tab w:val="left" w:pos="720"/>
              </w:tabs>
              <w:spacing w:before="0" w:after="60"/>
            </w:pPr>
            <w:r w:rsidRPr="00764525">
              <w:t>Austria </w:t>
            </w:r>
          </w:p>
        </w:tc>
        <w:tc>
          <w:tcPr>
            <w:tcW w:w="0" w:type="auto"/>
            <w:tcBorders>
              <w:top w:val="single" w:sz="8" w:space="0" w:color="auto"/>
            </w:tcBorders>
            <w:vAlign w:val="bottom"/>
            <w:hideMark/>
          </w:tcPr>
          <w:p w14:paraId="72907629" w14:textId="77777777" w:rsidR="003773B1" w:rsidRPr="00764525" w:rsidRDefault="003773B1" w:rsidP="00CC7694">
            <w:pPr>
              <w:tabs>
                <w:tab w:val="left" w:pos="567"/>
                <w:tab w:val="left" w:pos="720"/>
              </w:tabs>
              <w:spacing w:before="0" w:after="60"/>
              <w:jc w:val="right"/>
            </w:pPr>
            <w:r w:rsidRPr="00764525">
              <w:t>309,444</w:t>
            </w:r>
          </w:p>
        </w:tc>
      </w:tr>
      <w:tr w:rsidR="003773B1" w:rsidRPr="00764525" w14:paraId="65535D7F" w14:textId="77777777" w:rsidTr="00CC7694">
        <w:trPr>
          <w:jc w:val="left"/>
        </w:trPr>
        <w:tc>
          <w:tcPr>
            <w:tcW w:w="0" w:type="auto"/>
            <w:vAlign w:val="bottom"/>
            <w:hideMark/>
          </w:tcPr>
          <w:p w14:paraId="6B4D3C00" w14:textId="77777777" w:rsidR="003773B1" w:rsidRPr="00764525" w:rsidRDefault="003773B1" w:rsidP="00CC7694">
            <w:pPr>
              <w:tabs>
                <w:tab w:val="left" w:pos="567"/>
                <w:tab w:val="left" w:pos="720"/>
              </w:tabs>
              <w:spacing w:before="0" w:after="60"/>
            </w:pPr>
            <w:r w:rsidRPr="00764525">
              <w:t>Belgium </w:t>
            </w:r>
          </w:p>
        </w:tc>
        <w:tc>
          <w:tcPr>
            <w:tcW w:w="0" w:type="auto"/>
            <w:vAlign w:val="bottom"/>
            <w:hideMark/>
          </w:tcPr>
          <w:p w14:paraId="0D03C96F" w14:textId="77777777" w:rsidR="003773B1" w:rsidRPr="00764525" w:rsidRDefault="003773B1" w:rsidP="00CC7694">
            <w:pPr>
              <w:tabs>
                <w:tab w:val="left" w:pos="567"/>
                <w:tab w:val="left" w:pos="720"/>
              </w:tabs>
              <w:spacing w:before="0" w:after="60"/>
              <w:jc w:val="right"/>
            </w:pPr>
            <w:r w:rsidRPr="00764525">
              <w:t>286,590</w:t>
            </w:r>
          </w:p>
        </w:tc>
      </w:tr>
      <w:tr w:rsidR="003773B1" w:rsidRPr="00764525" w14:paraId="597070E7" w14:textId="77777777" w:rsidTr="00CC7694">
        <w:trPr>
          <w:jc w:val="left"/>
        </w:trPr>
        <w:tc>
          <w:tcPr>
            <w:tcW w:w="0" w:type="auto"/>
            <w:vAlign w:val="bottom"/>
            <w:hideMark/>
          </w:tcPr>
          <w:p w14:paraId="4A36B77D" w14:textId="77777777" w:rsidR="003773B1" w:rsidRPr="00764525" w:rsidRDefault="003773B1" w:rsidP="00CC7694">
            <w:pPr>
              <w:tabs>
                <w:tab w:val="left" w:pos="567"/>
                <w:tab w:val="left" w:pos="720"/>
              </w:tabs>
              <w:spacing w:before="0" w:after="60"/>
            </w:pPr>
            <w:proofErr w:type="spellStart"/>
            <w:r w:rsidRPr="00764525">
              <w:t>Denmark</w:t>
            </w:r>
            <w:proofErr w:type="spellEnd"/>
            <w:r w:rsidRPr="00764525">
              <w:t> </w:t>
            </w:r>
          </w:p>
        </w:tc>
        <w:tc>
          <w:tcPr>
            <w:tcW w:w="0" w:type="auto"/>
            <w:vAlign w:val="bottom"/>
            <w:hideMark/>
          </w:tcPr>
          <w:p w14:paraId="302A14E5" w14:textId="77777777" w:rsidR="003773B1" w:rsidRPr="00764525" w:rsidRDefault="003773B1" w:rsidP="00CC7694">
            <w:pPr>
              <w:tabs>
                <w:tab w:val="left" w:pos="567"/>
                <w:tab w:val="left" w:pos="720"/>
              </w:tabs>
              <w:spacing w:before="0" w:after="60"/>
              <w:jc w:val="right"/>
            </w:pPr>
            <w:r w:rsidRPr="00764525">
              <w:t>2,068,114</w:t>
            </w:r>
          </w:p>
        </w:tc>
      </w:tr>
      <w:tr w:rsidR="003773B1" w:rsidRPr="00764525" w14:paraId="22297BD4" w14:textId="77777777" w:rsidTr="00CC7694">
        <w:trPr>
          <w:jc w:val="left"/>
        </w:trPr>
        <w:tc>
          <w:tcPr>
            <w:tcW w:w="0" w:type="auto"/>
            <w:vAlign w:val="bottom"/>
            <w:hideMark/>
          </w:tcPr>
          <w:p w14:paraId="49A83458" w14:textId="77777777" w:rsidR="003773B1" w:rsidRPr="00764525" w:rsidRDefault="003773B1" w:rsidP="00CC7694">
            <w:pPr>
              <w:tabs>
                <w:tab w:val="left" w:pos="567"/>
                <w:tab w:val="left" w:pos="720"/>
              </w:tabs>
              <w:spacing w:before="0" w:after="60"/>
            </w:pPr>
            <w:r w:rsidRPr="00764525">
              <w:t>European Commission</w:t>
            </w:r>
          </w:p>
        </w:tc>
        <w:tc>
          <w:tcPr>
            <w:tcW w:w="0" w:type="auto"/>
            <w:vAlign w:val="bottom"/>
            <w:hideMark/>
          </w:tcPr>
          <w:p w14:paraId="54ECF96C" w14:textId="77777777" w:rsidR="003773B1" w:rsidRPr="00764525" w:rsidRDefault="003773B1" w:rsidP="00CC7694">
            <w:pPr>
              <w:tabs>
                <w:tab w:val="left" w:pos="567"/>
                <w:tab w:val="left" w:pos="720"/>
              </w:tabs>
              <w:spacing w:before="0" w:after="60"/>
              <w:jc w:val="right"/>
            </w:pPr>
            <w:r w:rsidRPr="00764525">
              <w:t>18,880,200</w:t>
            </w:r>
          </w:p>
        </w:tc>
      </w:tr>
      <w:tr w:rsidR="003773B1" w:rsidRPr="00764525" w14:paraId="563323E3" w14:textId="77777777" w:rsidTr="00CC7694">
        <w:trPr>
          <w:jc w:val="left"/>
        </w:trPr>
        <w:tc>
          <w:tcPr>
            <w:tcW w:w="0" w:type="auto"/>
            <w:vAlign w:val="bottom"/>
            <w:hideMark/>
          </w:tcPr>
          <w:p w14:paraId="2C803475" w14:textId="77777777" w:rsidR="003773B1" w:rsidRPr="00764525" w:rsidRDefault="003773B1" w:rsidP="00CC7694">
            <w:pPr>
              <w:tabs>
                <w:tab w:val="left" w:pos="567"/>
                <w:tab w:val="left" w:pos="720"/>
              </w:tabs>
              <w:spacing w:before="0" w:after="60"/>
            </w:pPr>
            <w:r w:rsidRPr="00764525">
              <w:t>Finland </w:t>
            </w:r>
          </w:p>
        </w:tc>
        <w:tc>
          <w:tcPr>
            <w:tcW w:w="0" w:type="auto"/>
            <w:vAlign w:val="bottom"/>
            <w:hideMark/>
          </w:tcPr>
          <w:p w14:paraId="4D692812" w14:textId="77777777" w:rsidR="003773B1" w:rsidRPr="00764525" w:rsidRDefault="003773B1" w:rsidP="00CC7694">
            <w:pPr>
              <w:tabs>
                <w:tab w:val="left" w:pos="567"/>
                <w:tab w:val="left" w:pos="720"/>
              </w:tabs>
              <w:spacing w:before="0" w:after="60"/>
              <w:jc w:val="right"/>
            </w:pPr>
            <w:r w:rsidRPr="00764525">
              <w:t>360,732</w:t>
            </w:r>
          </w:p>
        </w:tc>
      </w:tr>
      <w:tr w:rsidR="003773B1" w:rsidRPr="00764525" w14:paraId="6FC04378" w14:textId="77777777" w:rsidTr="00CC7694">
        <w:trPr>
          <w:jc w:val="left"/>
        </w:trPr>
        <w:tc>
          <w:tcPr>
            <w:tcW w:w="0" w:type="auto"/>
            <w:vAlign w:val="bottom"/>
            <w:hideMark/>
          </w:tcPr>
          <w:p w14:paraId="02F4A425" w14:textId="77777777" w:rsidR="003773B1" w:rsidRPr="00764525" w:rsidRDefault="003773B1" w:rsidP="00CC7694">
            <w:pPr>
              <w:tabs>
                <w:tab w:val="left" w:pos="567"/>
                <w:tab w:val="left" w:pos="720"/>
              </w:tabs>
              <w:spacing w:before="0" w:after="60"/>
            </w:pPr>
            <w:r w:rsidRPr="00764525">
              <w:t>Germany </w:t>
            </w:r>
          </w:p>
        </w:tc>
        <w:tc>
          <w:tcPr>
            <w:tcW w:w="0" w:type="auto"/>
            <w:vAlign w:val="bottom"/>
            <w:hideMark/>
          </w:tcPr>
          <w:p w14:paraId="7E49C966" w14:textId="77777777" w:rsidR="003773B1" w:rsidRPr="00764525" w:rsidRDefault="003773B1" w:rsidP="00CC7694">
            <w:pPr>
              <w:tabs>
                <w:tab w:val="left" w:pos="567"/>
                <w:tab w:val="left" w:pos="720"/>
              </w:tabs>
              <w:spacing w:before="0" w:after="60"/>
              <w:jc w:val="right"/>
            </w:pPr>
            <w:r w:rsidRPr="00764525">
              <w:t>3,175,255</w:t>
            </w:r>
          </w:p>
        </w:tc>
      </w:tr>
      <w:tr w:rsidR="003773B1" w:rsidRPr="00764525" w14:paraId="3DFF11FF" w14:textId="77777777" w:rsidTr="00CC7694">
        <w:trPr>
          <w:jc w:val="left"/>
        </w:trPr>
        <w:tc>
          <w:tcPr>
            <w:tcW w:w="0" w:type="auto"/>
            <w:vAlign w:val="bottom"/>
            <w:hideMark/>
          </w:tcPr>
          <w:p w14:paraId="3DE93546" w14:textId="77777777" w:rsidR="003773B1" w:rsidRPr="00764525" w:rsidRDefault="003773B1" w:rsidP="00CC7694">
            <w:pPr>
              <w:tabs>
                <w:tab w:val="left" w:pos="567"/>
                <w:tab w:val="left" w:pos="720"/>
              </w:tabs>
              <w:spacing w:before="0" w:after="60"/>
            </w:pPr>
            <w:proofErr w:type="spellStart"/>
            <w:r w:rsidRPr="00764525">
              <w:t>Netherlands</w:t>
            </w:r>
            <w:proofErr w:type="spellEnd"/>
            <w:r w:rsidRPr="00764525">
              <w:t> </w:t>
            </w:r>
          </w:p>
        </w:tc>
        <w:tc>
          <w:tcPr>
            <w:tcW w:w="0" w:type="auto"/>
            <w:vAlign w:val="bottom"/>
            <w:hideMark/>
          </w:tcPr>
          <w:p w14:paraId="36ADA0D0" w14:textId="77777777" w:rsidR="003773B1" w:rsidRPr="00764525" w:rsidRDefault="003773B1" w:rsidP="00CC7694">
            <w:pPr>
              <w:tabs>
                <w:tab w:val="left" w:pos="567"/>
                <w:tab w:val="left" w:pos="720"/>
              </w:tabs>
              <w:spacing w:before="0" w:after="60"/>
              <w:jc w:val="right"/>
            </w:pPr>
            <w:r w:rsidRPr="00764525">
              <w:t>762,755</w:t>
            </w:r>
          </w:p>
        </w:tc>
      </w:tr>
      <w:tr w:rsidR="003773B1" w:rsidRPr="00764525" w14:paraId="33114A3F" w14:textId="77777777" w:rsidTr="00CC7694">
        <w:trPr>
          <w:jc w:val="left"/>
        </w:trPr>
        <w:tc>
          <w:tcPr>
            <w:tcW w:w="0" w:type="auto"/>
            <w:vAlign w:val="bottom"/>
            <w:hideMark/>
          </w:tcPr>
          <w:p w14:paraId="7D623395" w14:textId="77777777" w:rsidR="003773B1" w:rsidRPr="00764525" w:rsidRDefault="003773B1" w:rsidP="00CC7694">
            <w:pPr>
              <w:tabs>
                <w:tab w:val="left" w:pos="567"/>
                <w:tab w:val="left" w:pos="720"/>
              </w:tabs>
              <w:spacing w:before="0" w:after="60"/>
            </w:pPr>
            <w:r w:rsidRPr="00764525">
              <w:t>Norway </w:t>
            </w:r>
          </w:p>
        </w:tc>
        <w:tc>
          <w:tcPr>
            <w:tcW w:w="0" w:type="auto"/>
            <w:vAlign w:val="bottom"/>
            <w:hideMark/>
          </w:tcPr>
          <w:p w14:paraId="3B61D410" w14:textId="77777777" w:rsidR="003773B1" w:rsidRPr="00764525" w:rsidRDefault="003773B1" w:rsidP="00CC7694">
            <w:pPr>
              <w:tabs>
                <w:tab w:val="left" w:pos="567"/>
                <w:tab w:val="left" w:pos="720"/>
              </w:tabs>
              <w:spacing w:before="0" w:after="60"/>
              <w:jc w:val="right"/>
            </w:pPr>
            <w:r w:rsidRPr="00764525">
              <w:t>2,155,967</w:t>
            </w:r>
          </w:p>
        </w:tc>
      </w:tr>
      <w:tr w:rsidR="003773B1" w:rsidRPr="00764525" w14:paraId="0B3E97B5" w14:textId="77777777" w:rsidTr="00CC7694">
        <w:trPr>
          <w:jc w:val="left"/>
        </w:trPr>
        <w:tc>
          <w:tcPr>
            <w:tcW w:w="0" w:type="auto"/>
            <w:vAlign w:val="bottom"/>
            <w:hideMark/>
          </w:tcPr>
          <w:p w14:paraId="395A23F6" w14:textId="77777777" w:rsidR="003773B1" w:rsidRPr="00764525" w:rsidRDefault="003773B1" w:rsidP="00CC7694">
            <w:pPr>
              <w:tabs>
                <w:tab w:val="left" w:pos="567"/>
                <w:tab w:val="left" w:pos="720"/>
              </w:tabs>
              <w:spacing w:before="0" w:after="60"/>
            </w:pPr>
            <w:r w:rsidRPr="00764525">
              <w:t>Sweden </w:t>
            </w:r>
          </w:p>
        </w:tc>
        <w:tc>
          <w:tcPr>
            <w:tcW w:w="0" w:type="auto"/>
            <w:vAlign w:val="bottom"/>
            <w:hideMark/>
          </w:tcPr>
          <w:p w14:paraId="52225C5F" w14:textId="77777777" w:rsidR="003773B1" w:rsidRPr="00764525" w:rsidRDefault="003773B1" w:rsidP="00CC7694">
            <w:pPr>
              <w:tabs>
                <w:tab w:val="left" w:pos="567"/>
                <w:tab w:val="left" w:pos="720"/>
              </w:tabs>
              <w:spacing w:before="0" w:after="60"/>
              <w:jc w:val="right"/>
            </w:pPr>
            <w:r w:rsidRPr="00764525">
              <w:t>4,250,479</w:t>
            </w:r>
          </w:p>
        </w:tc>
      </w:tr>
      <w:tr w:rsidR="003773B1" w:rsidRPr="00764525" w14:paraId="385F614C" w14:textId="77777777" w:rsidTr="00CC7694">
        <w:trPr>
          <w:jc w:val="left"/>
        </w:trPr>
        <w:tc>
          <w:tcPr>
            <w:tcW w:w="0" w:type="auto"/>
            <w:vAlign w:val="bottom"/>
            <w:hideMark/>
          </w:tcPr>
          <w:p w14:paraId="7B4EC382" w14:textId="77777777" w:rsidR="003773B1" w:rsidRPr="00764525" w:rsidRDefault="003773B1" w:rsidP="00CC7694">
            <w:pPr>
              <w:tabs>
                <w:tab w:val="left" w:pos="567"/>
                <w:tab w:val="left" w:pos="720"/>
              </w:tabs>
              <w:spacing w:before="0" w:after="60"/>
            </w:pPr>
            <w:r w:rsidRPr="00764525">
              <w:t>Switzerland </w:t>
            </w:r>
          </w:p>
        </w:tc>
        <w:tc>
          <w:tcPr>
            <w:tcW w:w="0" w:type="auto"/>
            <w:vAlign w:val="bottom"/>
            <w:hideMark/>
          </w:tcPr>
          <w:p w14:paraId="17AF3A61" w14:textId="77777777" w:rsidR="003773B1" w:rsidRPr="00764525" w:rsidRDefault="003773B1" w:rsidP="00CC7694">
            <w:pPr>
              <w:tabs>
                <w:tab w:val="left" w:pos="567"/>
                <w:tab w:val="left" w:pos="720"/>
              </w:tabs>
              <w:spacing w:before="0" w:after="60"/>
              <w:jc w:val="right"/>
            </w:pPr>
            <w:r w:rsidRPr="00764525">
              <w:t>430,353</w:t>
            </w:r>
          </w:p>
        </w:tc>
      </w:tr>
      <w:tr w:rsidR="003773B1" w:rsidRPr="00764525" w14:paraId="0C4B6F77" w14:textId="77777777" w:rsidTr="00CC7694">
        <w:trPr>
          <w:jc w:val="left"/>
        </w:trPr>
        <w:tc>
          <w:tcPr>
            <w:tcW w:w="0" w:type="auto"/>
            <w:vAlign w:val="bottom"/>
            <w:hideMark/>
          </w:tcPr>
          <w:p w14:paraId="3E247414" w14:textId="77777777" w:rsidR="003773B1" w:rsidRPr="00764525" w:rsidRDefault="003773B1" w:rsidP="00CC7694">
            <w:pPr>
              <w:tabs>
                <w:tab w:val="left" w:pos="567"/>
                <w:tab w:val="left" w:pos="720"/>
              </w:tabs>
              <w:spacing w:before="0" w:after="60"/>
            </w:pPr>
            <w:r w:rsidRPr="00764525">
              <w:t xml:space="preserve">United </w:t>
            </w:r>
            <w:proofErr w:type="spellStart"/>
            <w:r w:rsidRPr="00764525">
              <w:t>Kingdom</w:t>
            </w:r>
            <w:proofErr w:type="spellEnd"/>
            <w:r w:rsidRPr="00764525">
              <w:t> </w:t>
            </w:r>
          </w:p>
        </w:tc>
        <w:tc>
          <w:tcPr>
            <w:tcW w:w="0" w:type="auto"/>
            <w:vAlign w:val="bottom"/>
            <w:hideMark/>
          </w:tcPr>
          <w:p w14:paraId="17860A72" w14:textId="77777777" w:rsidR="003773B1" w:rsidRPr="00764525" w:rsidRDefault="003773B1" w:rsidP="00CC7694">
            <w:pPr>
              <w:tabs>
                <w:tab w:val="left" w:pos="567"/>
                <w:tab w:val="left" w:pos="720"/>
              </w:tabs>
              <w:spacing w:before="0" w:after="60"/>
              <w:jc w:val="right"/>
            </w:pPr>
            <w:r w:rsidRPr="00764525">
              <w:t>1,215,073</w:t>
            </w:r>
          </w:p>
        </w:tc>
      </w:tr>
      <w:tr w:rsidR="003773B1" w:rsidRPr="00764525" w14:paraId="12438E6D" w14:textId="77777777" w:rsidTr="00CC7694">
        <w:trPr>
          <w:jc w:val="left"/>
        </w:trPr>
        <w:tc>
          <w:tcPr>
            <w:tcW w:w="0" w:type="auto"/>
            <w:vAlign w:val="bottom"/>
            <w:hideMark/>
          </w:tcPr>
          <w:p w14:paraId="44FFD69C" w14:textId="77777777" w:rsidR="003773B1" w:rsidRPr="00764525" w:rsidRDefault="003773B1" w:rsidP="00CC7694">
            <w:pPr>
              <w:tabs>
                <w:tab w:val="left" w:pos="567"/>
                <w:tab w:val="left" w:pos="720"/>
              </w:tabs>
              <w:spacing w:before="0" w:after="60"/>
            </w:pPr>
            <w:r w:rsidRPr="00764525">
              <w:t>United States of America</w:t>
            </w:r>
          </w:p>
        </w:tc>
        <w:tc>
          <w:tcPr>
            <w:tcW w:w="0" w:type="auto"/>
            <w:vAlign w:val="bottom"/>
            <w:hideMark/>
          </w:tcPr>
          <w:p w14:paraId="25D90939" w14:textId="77777777" w:rsidR="003773B1" w:rsidRPr="00764525" w:rsidRDefault="003773B1" w:rsidP="00CC7694">
            <w:pPr>
              <w:tabs>
                <w:tab w:val="left" w:pos="567"/>
                <w:tab w:val="left" w:pos="720"/>
              </w:tabs>
              <w:spacing w:before="0" w:after="60"/>
              <w:jc w:val="right"/>
            </w:pPr>
            <w:r w:rsidRPr="00764525">
              <w:t>2,048,000</w:t>
            </w:r>
          </w:p>
        </w:tc>
      </w:tr>
      <w:tr w:rsidR="003773B1" w:rsidRPr="00E02D20" w14:paraId="326F81EF" w14:textId="77777777" w:rsidTr="00CC7694">
        <w:trPr>
          <w:jc w:val="left"/>
        </w:trPr>
        <w:tc>
          <w:tcPr>
            <w:tcW w:w="0" w:type="auto"/>
            <w:vAlign w:val="bottom"/>
            <w:hideMark/>
          </w:tcPr>
          <w:p w14:paraId="44BBA059" w14:textId="77777777" w:rsidR="003773B1" w:rsidRPr="00764525" w:rsidRDefault="003773B1" w:rsidP="00CC7694">
            <w:pPr>
              <w:tabs>
                <w:tab w:val="left" w:pos="567"/>
                <w:tab w:val="left" w:pos="720"/>
              </w:tabs>
              <w:spacing w:before="0" w:after="60"/>
              <w:rPr>
                <w:b/>
                <w:bCs/>
              </w:rPr>
            </w:pPr>
            <w:r w:rsidRPr="00764525">
              <w:rPr>
                <w:b/>
                <w:bCs/>
              </w:rPr>
              <w:t>Total  </w:t>
            </w:r>
          </w:p>
        </w:tc>
        <w:tc>
          <w:tcPr>
            <w:tcW w:w="0" w:type="auto"/>
            <w:vAlign w:val="bottom"/>
            <w:hideMark/>
          </w:tcPr>
          <w:p w14:paraId="6D034B60" w14:textId="77777777" w:rsidR="003773B1" w:rsidRPr="0063477D" w:rsidRDefault="003773B1" w:rsidP="00CC7694">
            <w:pPr>
              <w:tabs>
                <w:tab w:val="left" w:pos="567"/>
                <w:tab w:val="left" w:pos="720"/>
              </w:tabs>
              <w:spacing w:before="0" w:after="60"/>
              <w:jc w:val="right"/>
              <w:rPr>
                <w:b/>
                <w:bCs/>
              </w:rPr>
            </w:pPr>
            <w:r w:rsidRPr="00764525">
              <w:rPr>
                <w:b/>
                <w:bCs/>
              </w:rPr>
              <w:t>35,942,963</w:t>
            </w:r>
          </w:p>
        </w:tc>
      </w:tr>
    </w:tbl>
    <w:p w14:paraId="02427F79" w14:textId="72CFC2F3" w:rsidR="00024044" w:rsidRPr="004E6BFC" w:rsidRDefault="003773B1" w:rsidP="004E6BFC">
      <w:pPr>
        <w:pStyle w:val="Titlefigure"/>
        <w:keepNext w:val="0"/>
        <w:keepLines w:val="0"/>
        <w:widowControl w:val="0"/>
        <w:tabs>
          <w:tab w:val="clear" w:pos="1247"/>
          <w:tab w:val="left" w:pos="567"/>
        </w:tabs>
        <w:suppressAutoHyphens w:val="0"/>
        <w:spacing w:before="120" w:after="240"/>
        <w:jc w:val="both"/>
        <w:rPr>
          <w:rFonts w:asciiTheme="majorBidi" w:hAnsiTheme="majorBidi" w:cstheme="majorBidi"/>
          <w:b w:val="0"/>
          <w:bCs/>
          <w:i/>
          <w:iCs/>
          <w:sz w:val="18"/>
          <w:szCs w:val="18"/>
        </w:rPr>
      </w:pPr>
      <w:r w:rsidRPr="004E6BFC">
        <w:rPr>
          <w:rFonts w:asciiTheme="majorBidi" w:hAnsiTheme="majorBidi" w:cstheme="majorBidi"/>
          <w:b w:val="0"/>
          <w:bCs/>
          <w:i/>
          <w:iCs/>
          <w:sz w:val="18"/>
          <w:szCs w:val="18"/>
        </w:rPr>
        <w:t>*Pledge amounts will be adjusted with the exchange rate on the day of receipt</w:t>
      </w:r>
      <w:bookmarkStart w:id="11" w:name="_Hlk514071623"/>
    </w:p>
    <w:p w14:paraId="5F15DF39" w14:textId="6B1AE7FB" w:rsidR="003773B1" w:rsidRP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rFonts w:asciiTheme="majorBidi" w:hAnsiTheme="majorBidi" w:cstheme="majorBidi"/>
          <w:lang w:val="en-US"/>
        </w:rPr>
      </w:pPr>
      <w:r w:rsidRPr="003773B1">
        <w:rPr>
          <w:rFonts w:asciiTheme="majorBidi" w:hAnsiTheme="majorBidi" w:cstheme="majorBidi"/>
          <w:lang w:val="en-US"/>
        </w:rPr>
        <w:t xml:space="preserve">In line with </w:t>
      </w:r>
      <w:r w:rsidRPr="004E6BFC">
        <w:rPr>
          <w:lang w:val="en-US"/>
        </w:rPr>
        <w:t>the</w:t>
      </w:r>
      <w:r w:rsidRPr="003773B1">
        <w:rPr>
          <w:rFonts w:asciiTheme="majorBidi" w:hAnsiTheme="majorBidi" w:cstheme="majorBidi"/>
          <w:lang w:val="en-US"/>
        </w:rPr>
        <w:t xml:space="preserve"> Special Programme terms of reference, all signatories and parties to the conventions and other Governments with the capacity to do so, as well as from the private sector, including industry, foundations and non-governmental organizations and other stakeholders, are encouraged to contribute to the Special Programme Trust Fund.</w:t>
      </w:r>
      <w:bookmarkEnd w:id="11"/>
      <w:r w:rsidRPr="003773B1">
        <w:rPr>
          <w:rFonts w:asciiTheme="majorBidi" w:hAnsiTheme="majorBidi" w:cstheme="majorBidi"/>
          <w:lang w:val="en-US"/>
        </w:rPr>
        <w:t xml:space="preserve"> </w:t>
      </w:r>
    </w:p>
    <w:p w14:paraId="652172EF" w14:textId="1840FB29" w:rsidR="003773B1" w:rsidRPr="00930F1C" w:rsidRDefault="00671B16" w:rsidP="004E6BFC">
      <w:pPr>
        <w:pStyle w:val="CH1"/>
        <w:tabs>
          <w:tab w:val="clear" w:pos="1814"/>
          <w:tab w:val="clear" w:pos="2381"/>
          <w:tab w:val="clear" w:pos="2948"/>
          <w:tab w:val="clear" w:pos="3515"/>
          <w:tab w:val="clear" w:pos="4082"/>
          <w:tab w:val="left" w:pos="1871"/>
          <w:tab w:val="left" w:pos="2495"/>
          <w:tab w:val="left" w:pos="3119"/>
          <w:tab w:val="left" w:pos="3742"/>
          <w:tab w:val="left" w:pos="4366"/>
        </w:tabs>
      </w:pPr>
      <w:bookmarkStart w:id="12" w:name="_Toc201562566"/>
      <w:r>
        <w:tab/>
      </w:r>
      <w:r w:rsidR="003773B1" w:rsidRPr="00930F1C">
        <w:t>V</w:t>
      </w:r>
      <w:r w:rsidR="003773B1">
        <w:t>I</w:t>
      </w:r>
      <w:r w:rsidR="003773B1" w:rsidRPr="00930F1C">
        <w:t>.</w:t>
      </w:r>
      <w:r w:rsidR="003773B1" w:rsidRPr="00930F1C">
        <w:tab/>
        <w:t>Status of the Implementation of Special Programme Funded projects</w:t>
      </w:r>
      <w:bookmarkEnd w:id="12"/>
    </w:p>
    <w:p w14:paraId="0AE665E9" w14:textId="73CD645E" w:rsidR="00671B16" w:rsidRPr="004E6BFC" w:rsidRDefault="003773B1" w:rsidP="00671B16">
      <w:pPr>
        <w:pStyle w:val="Normalnumber"/>
        <w:numPr>
          <w:ilvl w:val="0"/>
          <w:numId w:val="1"/>
        </w:numPr>
        <w:tabs>
          <w:tab w:val="clear" w:pos="1134"/>
          <w:tab w:val="clear" w:pos="1247"/>
          <w:tab w:val="clear" w:pos="1814"/>
          <w:tab w:val="clear" w:pos="2381"/>
          <w:tab w:val="clear" w:pos="2948"/>
          <w:tab w:val="clear" w:pos="3515"/>
          <w:tab w:val="clear" w:pos="4082"/>
          <w:tab w:val="num" w:pos="624"/>
        </w:tabs>
        <w:rPr>
          <w:lang w:val="en-US"/>
        </w:rPr>
      </w:pPr>
      <w:r w:rsidRPr="008B49E6">
        <w:rPr>
          <w:rFonts w:asciiTheme="majorBidi" w:hAnsiTheme="majorBidi" w:cstheme="majorBidi"/>
          <w:lang w:val="en-US"/>
        </w:rPr>
        <w:t xml:space="preserve">The Special Programme has to date completed eight rounds of applications for funding, bringing the total number of approved projects to 91, with eight new projects having been conditionally approved under the eighth round in March 2025, subject to the </w:t>
      </w:r>
      <w:r w:rsidRPr="004E6BFC">
        <w:rPr>
          <w:lang w:val="en-US"/>
        </w:rPr>
        <w:t>identification</w:t>
      </w:r>
      <w:r w:rsidRPr="008B49E6">
        <w:rPr>
          <w:rFonts w:asciiTheme="majorBidi" w:hAnsiTheme="majorBidi" w:cstheme="majorBidi"/>
          <w:lang w:val="en-US"/>
        </w:rPr>
        <w:t xml:space="preserve"> of funding to support their implementation. Information on the project portfolio is available in the Special Programme’s </w:t>
      </w:r>
      <w:r w:rsidR="008B49E6" w:rsidRPr="008B49E6">
        <w:rPr>
          <w:rFonts w:asciiTheme="majorBidi" w:hAnsiTheme="majorBidi" w:cstheme="majorBidi"/>
          <w:lang w:val="en-US"/>
        </w:rPr>
        <w:t>webpage</w:t>
      </w:r>
      <w:r w:rsidR="008B49E6">
        <w:rPr>
          <w:rStyle w:val="FootnoteReference"/>
          <w:rFonts w:cstheme="majorBidi"/>
          <w:lang w:val="en-US"/>
        </w:rPr>
        <w:footnoteReference w:id="11"/>
      </w:r>
      <w:r w:rsidR="008B49E6" w:rsidRPr="008B49E6">
        <w:rPr>
          <w:rFonts w:asciiTheme="majorBidi" w:hAnsiTheme="majorBidi" w:cstheme="majorBidi"/>
          <w:lang w:val="en-US"/>
        </w:rPr>
        <w:t xml:space="preserve"> and </w:t>
      </w:r>
      <w:r w:rsidRPr="008B49E6">
        <w:rPr>
          <w:rFonts w:asciiTheme="majorBidi" w:hAnsiTheme="majorBidi" w:cstheme="majorBidi"/>
          <w:lang w:val="en-US"/>
        </w:rPr>
        <w:t>PowerBI dashboard</w:t>
      </w:r>
      <w:r w:rsidRPr="00D014E0">
        <w:rPr>
          <w:rFonts w:asciiTheme="majorBidi" w:hAnsiTheme="majorBidi" w:cstheme="majorBidi"/>
          <w:vertAlign w:val="superscript"/>
        </w:rPr>
        <w:footnoteReference w:id="12"/>
      </w:r>
      <w:r w:rsidR="008B49E6" w:rsidRPr="008B49E6">
        <w:rPr>
          <w:rFonts w:asciiTheme="majorBidi" w:hAnsiTheme="majorBidi" w:cstheme="majorBidi"/>
          <w:lang w:val="en-US"/>
        </w:rPr>
        <w:t>.</w:t>
      </w:r>
      <w:r w:rsidR="00721A43" w:rsidRPr="008B49E6">
        <w:rPr>
          <w:rFonts w:asciiTheme="majorBidi" w:hAnsiTheme="majorBidi" w:cstheme="majorBidi"/>
          <w:lang w:val="en-US"/>
        </w:rPr>
        <w:t xml:space="preserve"> </w:t>
      </w:r>
      <w:r w:rsidRPr="008B49E6">
        <w:rPr>
          <w:rFonts w:asciiTheme="majorBidi" w:hAnsiTheme="majorBidi" w:cstheme="majorBidi"/>
          <w:lang w:val="en-US"/>
        </w:rPr>
        <w:t xml:space="preserve">A summary of the </w:t>
      </w:r>
      <w:r w:rsidR="00FB68F3">
        <w:rPr>
          <w:rFonts w:asciiTheme="majorBidi" w:hAnsiTheme="majorBidi" w:cstheme="majorBidi"/>
          <w:lang w:val="en-US"/>
        </w:rPr>
        <w:t xml:space="preserve">status of </w:t>
      </w:r>
      <w:r w:rsidRPr="008B49E6">
        <w:rPr>
          <w:rFonts w:asciiTheme="majorBidi" w:hAnsiTheme="majorBidi" w:cstheme="majorBidi"/>
          <w:lang w:val="en-US"/>
        </w:rPr>
        <w:t xml:space="preserve">projects approved per round is provided in table 2 below. </w:t>
      </w:r>
    </w:p>
    <w:p w14:paraId="5DC4152D" w14:textId="299062A3" w:rsidR="003773B1" w:rsidRPr="004E6BFC" w:rsidRDefault="003773B1" w:rsidP="004E6BFC">
      <w:pPr>
        <w:pStyle w:val="Normalnumber"/>
        <w:tabs>
          <w:tab w:val="clear" w:pos="1247"/>
          <w:tab w:val="clear" w:pos="1814"/>
          <w:tab w:val="clear" w:pos="2381"/>
          <w:tab w:val="clear" w:pos="2948"/>
          <w:tab w:val="clear" w:pos="3515"/>
          <w:tab w:val="clear" w:pos="4082"/>
        </w:tabs>
        <w:ind w:left="1247"/>
        <w:rPr>
          <w:b/>
          <w:bCs/>
          <w:lang w:val="en-US"/>
        </w:rPr>
      </w:pPr>
      <w:r w:rsidRPr="004E6BFC">
        <w:rPr>
          <w:lang w:val="en-US"/>
        </w:rPr>
        <w:t xml:space="preserve">Table </w:t>
      </w:r>
      <w:r w:rsidR="00671B16" w:rsidRPr="004E6BFC">
        <w:rPr>
          <w:lang w:val="en-US"/>
        </w:rPr>
        <w:t>2:</w:t>
      </w:r>
      <w:r w:rsidR="00671B16" w:rsidRPr="00671B16">
        <w:rPr>
          <w:b/>
          <w:bCs/>
          <w:lang w:val="en-US"/>
        </w:rPr>
        <w:t xml:space="preserve"> </w:t>
      </w:r>
      <w:r w:rsidRPr="004E6BFC">
        <w:rPr>
          <w:b/>
          <w:bCs/>
          <w:lang w:val="en-US"/>
        </w:rPr>
        <w:t>Summary of projects per round of funding</w:t>
      </w:r>
    </w:p>
    <w:tbl>
      <w:tblPr>
        <w:tblStyle w:val="TableGrid"/>
        <w:tblW w:w="0" w:type="auto"/>
        <w:tblInd w:w="1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917"/>
        <w:gridCol w:w="1255"/>
        <w:gridCol w:w="3321"/>
        <w:gridCol w:w="396"/>
      </w:tblGrid>
      <w:tr w:rsidR="003773B1" w:rsidRPr="007D7C1F" w14:paraId="2242549D" w14:textId="77777777" w:rsidTr="004E6BFC">
        <w:tc>
          <w:tcPr>
            <w:tcW w:w="0" w:type="auto"/>
            <w:tcBorders>
              <w:bottom w:val="single" w:sz="4" w:space="0" w:color="auto"/>
            </w:tcBorders>
            <w:vAlign w:val="center"/>
          </w:tcPr>
          <w:p w14:paraId="466D4028" w14:textId="77777777" w:rsidR="003773B1" w:rsidRPr="007D7C1F" w:rsidRDefault="003773B1" w:rsidP="000F3AB7">
            <w:pPr>
              <w:pStyle w:val="Normalnumber"/>
              <w:tabs>
                <w:tab w:val="left" w:pos="0"/>
                <w:tab w:val="left" w:pos="567"/>
                <w:tab w:val="num" w:pos="1701"/>
              </w:tabs>
              <w:spacing w:after="0"/>
              <w:jc w:val="center"/>
              <w:rPr>
                <w:rFonts w:asciiTheme="majorBidi" w:hAnsiTheme="majorBidi" w:cstheme="majorBidi"/>
                <w:b/>
                <w:bCs/>
                <w:sz w:val="18"/>
                <w:szCs w:val="18"/>
              </w:rPr>
            </w:pPr>
            <w:proofErr w:type="spellStart"/>
            <w:r w:rsidRPr="007D7C1F">
              <w:rPr>
                <w:rFonts w:asciiTheme="majorBidi" w:hAnsiTheme="majorBidi" w:cstheme="majorBidi"/>
                <w:b/>
                <w:bCs/>
                <w:sz w:val="18"/>
                <w:szCs w:val="18"/>
              </w:rPr>
              <w:t>Funding</w:t>
            </w:r>
            <w:proofErr w:type="spellEnd"/>
            <w:r w:rsidRPr="007D7C1F">
              <w:rPr>
                <w:rFonts w:asciiTheme="majorBidi" w:hAnsiTheme="majorBidi" w:cstheme="majorBidi"/>
                <w:b/>
                <w:bCs/>
                <w:sz w:val="18"/>
                <w:szCs w:val="18"/>
              </w:rPr>
              <w:t xml:space="preserve"> round</w:t>
            </w:r>
          </w:p>
        </w:tc>
        <w:tc>
          <w:tcPr>
            <w:tcW w:w="0" w:type="auto"/>
            <w:tcBorders>
              <w:bottom w:val="single" w:sz="4" w:space="0" w:color="auto"/>
            </w:tcBorders>
            <w:vAlign w:val="center"/>
          </w:tcPr>
          <w:p w14:paraId="68430C14" w14:textId="77777777" w:rsidR="003773B1" w:rsidRPr="007D7C1F" w:rsidRDefault="003773B1" w:rsidP="000F3AB7">
            <w:pPr>
              <w:pStyle w:val="Normalnumber"/>
              <w:tabs>
                <w:tab w:val="left" w:pos="0"/>
                <w:tab w:val="left" w:pos="567"/>
                <w:tab w:val="num" w:pos="1701"/>
              </w:tabs>
              <w:spacing w:after="0"/>
              <w:jc w:val="center"/>
              <w:rPr>
                <w:rFonts w:asciiTheme="majorBidi" w:hAnsiTheme="majorBidi" w:cstheme="majorBidi"/>
                <w:b/>
                <w:bCs/>
                <w:sz w:val="18"/>
                <w:szCs w:val="18"/>
                <w:lang w:val="en-US"/>
              </w:rPr>
            </w:pPr>
            <w:r w:rsidRPr="007D7C1F">
              <w:rPr>
                <w:rFonts w:asciiTheme="majorBidi" w:hAnsiTheme="majorBidi" w:cstheme="majorBidi"/>
                <w:b/>
                <w:bCs/>
                <w:sz w:val="18"/>
                <w:szCs w:val="18"/>
                <w:lang w:val="en-US"/>
              </w:rPr>
              <w:t>Total applications received</w:t>
            </w:r>
          </w:p>
          <w:p w14:paraId="6F335B64" w14:textId="77777777" w:rsidR="003773B1" w:rsidRPr="007D7C1F" w:rsidRDefault="003773B1" w:rsidP="000F3AB7">
            <w:pPr>
              <w:pStyle w:val="Normalnumber"/>
              <w:tabs>
                <w:tab w:val="left" w:pos="0"/>
                <w:tab w:val="left" w:pos="567"/>
                <w:tab w:val="num" w:pos="1701"/>
              </w:tabs>
              <w:spacing w:after="0"/>
              <w:jc w:val="center"/>
              <w:rPr>
                <w:rFonts w:asciiTheme="majorBidi" w:hAnsiTheme="majorBidi" w:cstheme="majorBidi"/>
                <w:b/>
                <w:bCs/>
                <w:sz w:val="18"/>
                <w:szCs w:val="18"/>
                <w:lang w:val="en-US"/>
              </w:rPr>
            </w:pPr>
            <w:r w:rsidRPr="007D7C1F">
              <w:rPr>
                <w:rFonts w:asciiTheme="majorBidi" w:hAnsiTheme="majorBidi" w:cstheme="majorBidi"/>
                <w:b/>
                <w:bCs/>
                <w:sz w:val="18"/>
                <w:szCs w:val="18"/>
                <w:lang w:val="en-US"/>
              </w:rPr>
              <w:t>(from total countries)</w:t>
            </w:r>
          </w:p>
        </w:tc>
        <w:tc>
          <w:tcPr>
            <w:tcW w:w="0" w:type="auto"/>
            <w:tcBorders>
              <w:bottom w:val="single" w:sz="4" w:space="0" w:color="auto"/>
            </w:tcBorders>
            <w:vAlign w:val="center"/>
          </w:tcPr>
          <w:p w14:paraId="2045FC66" w14:textId="77777777" w:rsidR="003773B1" w:rsidRPr="007D7C1F" w:rsidRDefault="003773B1" w:rsidP="000F3AB7">
            <w:pPr>
              <w:pStyle w:val="Normalnumber"/>
              <w:tabs>
                <w:tab w:val="left" w:pos="0"/>
                <w:tab w:val="left" w:pos="567"/>
                <w:tab w:val="num" w:pos="1701"/>
              </w:tabs>
              <w:spacing w:after="0"/>
              <w:jc w:val="center"/>
              <w:rPr>
                <w:rFonts w:asciiTheme="majorBidi" w:hAnsiTheme="majorBidi" w:cstheme="majorBidi"/>
                <w:b/>
                <w:bCs/>
                <w:sz w:val="18"/>
                <w:szCs w:val="18"/>
              </w:rPr>
            </w:pPr>
            <w:r w:rsidRPr="007D7C1F">
              <w:rPr>
                <w:rFonts w:asciiTheme="majorBidi" w:hAnsiTheme="majorBidi" w:cstheme="majorBidi"/>
                <w:b/>
                <w:bCs/>
                <w:sz w:val="18"/>
                <w:szCs w:val="18"/>
              </w:rPr>
              <w:t xml:space="preserve">Total </w:t>
            </w:r>
            <w:proofErr w:type="spellStart"/>
            <w:r w:rsidRPr="007D7C1F">
              <w:rPr>
                <w:rFonts w:asciiTheme="majorBidi" w:hAnsiTheme="majorBidi" w:cstheme="majorBidi"/>
                <w:b/>
                <w:bCs/>
                <w:sz w:val="18"/>
                <w:szCs w:val="18"/>
              </w:rPr>
              <w:t>approved</w:t>
            </w:r>
            <w:proofErr w:type="spellEnd"/>
          </w:p>
        </w:tc>
        <w:tc>
          <w:tcPr>
            <w:tcW w:w="0" w:type="auto"/>
            <w:gridSpan w:val="2"/>
            <w:tcBorders>
              <w:bottom w:val="single" w:sz="4" w:space="0" w:color="auto"/>
            </w:tcBorders>
            <w:vAlign w:val="center"/>
          </w:tcPr>
          <w:p w14:paraId="37F08C47" w14:textId="77777777" w:rsidR="003773B1" w:rsidRPr="007D7C1F" w:rsidRDefault="003773B1" w:rsidP="000F3AB7">
            <w:pPr>
              <w:pStyle w:val="Normalnumber"/>
              <w:tabs>
                <w:tab w:val="left" w:pos="0"/>
                <w:tab w:val="left" w:pos="567"/>
                <w:tab w:val="num" w:pos="1701"/>
              </w:tabs>
              <w:spacing w:after="0"/>
              <w:jc w:val="center"/>
              <w:rPr>
                <w:rFonts w:asciiTheme="majorBidi" w:hAnsiTheme="majorBidi" w:cstheme="majorBidi"/>
                <w:b/>
                <w:bCs/>
                <w:sz w:val="18"/>
                <w:szCs w:val="18"/>
              </w:rPr>
            </w:pPr>
            <w:proofErr w:type="spellStart"/>
            <w:r w:rsidRPr="007D7C1F">
              <w:rPr>
                <w:rFonts w:asciiTheme="majorBidi" w:hAnsiTheme="majorBidi" w:cstheme="majorBidi"/>
                <w:b/>
                <w:bCs/>
                <w:sz w:val="18"/>
                <w:szCs w:val="18"/>
              </w:rPr>
              <w:t>Status</w:t>
            </w:r>
            <w:proofErr w:type="spellEnd"/>
          </w:p>
        </w:tc>
      </w:tr>
      <w:tr w:rsidR="003773B1" w:rsidRPr="007D7C1F" w14:paraId="28AE88DF" w14:textId="77777777" w:rsidTr="004E6BFC">
        <w:tc>
          <w:tcPr>
            <w:tcW w:w="0" w:type="auto"/>
            <w:tcBorders>
              <w:top w:val="single" w:sz="4" w:space="0" w:color="auto"/>
              <w:left w:val="dashed" w:sz="4" w:space="0" w:color="auto"/>
              <w:bottom w:val="dashed" w:sz="4" w:space="0" w:color="auto"/>
              <w:right w:val="dashed" w:sz="4" w:space="0" w:color="auto"/>
            </w:tcBorders>
          </w:tcPr>
          <w:p w14:paraId="65B4D630" w14:textId="77777777" w:rsidR="003773B1" w:rsidRPr="007D7C1F" w:rsidRDefault="003773B1" w:rsidP="00CC7694">
            <w:pPr>
              <w:pStyle w:val="Normalnumber"/>
              <w:tabs>
                <w:tab w:val="left" w:pos="0"/>
                <w:tab w:val="left" w:pos="567"/>
                <w:tab w:val="num" w:pos="1701"/>
              </w:tabs>
              <w:spacing w:after="0"/>
              <w:jc w:val="both"/>
              <w:rPr>
                <w:rFonts w:asciiTheme="majorBidi" w:hAnsiTheme="majorBidi" w:cstheme="majorBidi"/>
                <w:b/>
                <w:bCs/>
                <w:sz w:val="18"/>
                <w:szCs w:val="18"/>
              </w:rPr>
            </w:pPr>
            <w:r w:rsidRPr="007D7C1F">
              <w:rPr>
                <w:rFonts w:asciiTheme="majorBidi" w:hAnsiTheme="majorBidi" w:cstheme="majorBidi"/>
                <w:b/>
                <w:bCs/>
                <w:sz w:val="18"/>
                <w:szCs w:val="18"/>
              </w:rPr>
              <w:t>First (pilot) - 2016</w:t>
            </w:r>
          </w:p>
        </w:tc>
        <w:tc>
          <w:tcPr>
            <w:tcW w:w="0" w:type="auto"/>
            <w:tcBorders>
              <w:top w:val="single" w:sz="4" w:space="0" w:color="auto"/>
              <w:left w:val="dashed" w:sz="4" w:space="0" w:color="auto"/>
              <w:bottom w:val="dashed" w:sz="4" w:space="0" w:color="auto"/>
              <w:right w:val="dashed" w:sz="4" w:space="0" w:color="auto"/>
            </w:tcBorders>
          </w:tcPr>
          <w:p w14:paraId="6589D065"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54 (45)</w:t>
            </w:r>
          </w:p>
        </w:tc>
        <w:tc>
          <w:tcPr>
            <w:tcW w:w="0" w:type="auto"/>
            <w:tcBorders>
              <w:top w:val="single" w:sz="4" w:space="0" w:color="auto"/>
              <w:left w:val="dashed" w:sz="4" w:space="0" w:color="auto"/>
              <w:bottom w:val="dashed" w:sz="4" w:space="0" w:color="auto"/>
              <w:right w:val="dashed" w:sz="4" w:space="0" w:color="auto"/>
            </w:tcBorders>
          </w:tcPr>
          <w:p w14:paraId="730C8E2D"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7</w:t>
            </w:r>
          </w:p>
        </w:tc>
        <w:tc>
          <w:tcPr>
            <w:tcW w:w="0" w:type="auto"/>
            <w:tcBorders>
              <w:top w:val="single" w:sz="4" w:space="0" w:color="auto"/>
              <w:left w:val="dashed" w:sz="4" w:space="0" w:color="auto"/>
              <w:bottom w:val="dashed" w:sz="4" w:space="0" w:color="auto"/>
              <w:right w:val="dashed" w:sz="4" w:space="0" w:color="auto"/>
            </w:tcBorders>
          </w:tcPr>
          <w:p w14:paraId="43B74C3C"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lang w:val="en-US"/>
              </w:rPr>
            </w:pPr>
            <w:r w:rsidRPr="007D7C1F">
              <w:rPr>
                <w:rFonts w:asciiTheme="majorBidi" w:hAnsiTheme="majorBidi" w:cstheme="majorBidi"/>
                <w:sz w:val="18"/>
                <w:szCs w:val="18"/>
                <w:lang w:val="en-US"/>
              </w:rPr>
              <w:t>Completed and closed/closing:</w:t>
            </w:r>
          </w:p>
          <w:p w14:paraId="69F4653F"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lang w:val="en-US"/>
              </w:rPr>
            </w:pPr>
            <w:r w:rsidRPr="007D7C1F">
              <w:rPr>
                <w:rFonts w:asciiTheme="majorBidi" w:hAnsiTheme="majorBidi" w:cstheme="majorBidi"/>
                <w:sz w:val="18"/>
                <w:szCs w:val="18"/>
                <w:lang w:val="en-US"/>
              </w:rPr>
              <w:t>Not completed, closed:</w:t>
            </w:r>
          </w:p>
          <w:p w14:paraId="5FDD1EB7"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proofErr w:type="spellStart"/>
            <w:r w:rsidRPr="007D7C1F">
              <w:rPr>
                <w:rFonts w:asciiTheme="majorBidi" w:hAnsiTheme="majorBidi" w:cstheme="majorBidi"/>
                <w:sz w:val="18"/>
                <w:szCs w:val="18"/>
              </w:rPr>
              <w:t>Cancelled</w:t>
            </w:r>
            <w:proofErr w:type="spellEnd"/>
            <w:r w:rsidRPr="007D7C1F">
              <w:rPr>
                <w:rFonts w:asciiTheme="majorBidi" w:hAnsiTheme="majorBidi" w:cstheme="majorBidi"/>
                <w:sz w:val="18"/>
                <w:szCs w:val="18"/>
              </w:rPr>
              <w:t>:</w:t>
            </w:r>
          </w:p>
        </w:tc>
        <w:tc>
          <w:tcPr>
            <w:tcW w:w="0" w:type="auto"/>
            <w:tcBorders>
              <w:top w:val="single" w:sz="4" w:space="0" w:color="auto"/>
              <w:left w:val="dashed" w:sz="4" w:space="0" w:color="auto"/>
              <w:bottom w:val="dashed" w:sz="4" w:space="0" w:color="auto"/>
              <w:right w:val="dashed" w:sz="4" w:space="0" w:color="auto"/>
            </w:tcBorders>
          </w:tcPr>
          <w:p w14:paraId="40F043D9"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5</w:t>
            </w:r>
          </w:p>
          <w:p w14:paraId="5C67AEDA"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1</w:t>
            </w:r>
          </w:p>
          <w:p w14:paraId="10ABC4EE"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1</w:t>
            </w:r>
          </w:p>
        </w:tc>
      </w:tr>
      <w:tr w:rsidR="003773B1" w:rsidRPr="007D7C1F" w14:paraId="1E170F3C" w14:textId="77777777" w:rsidTr="004E6BFC">
        <w:tc>
          <w:tcPr>
            <w:tcW w:w="0" w:type="auto"/>
            <w:tcBorders>
              <w:top w:val="dashed" w:sz="4" w:space="0" w:color="auto"/>
              <w:left w:val="dashed" w:sz="4" w:space="0" w:color="auto"/>
              <w:bottom w:val="dashed" w:sz="4" w:space="0" w:color="auto"/>
              <w:right w:val="dashed" w:sz="4" w:space="0" w:color="auto"/>
            </w:tcBorders>
          </w:tcPr>
          <w:p w14:paraId="4AC5A582" w14:textId="77777777" w:rsidR="003773B1" w:rsidRPr="007D7C1F" w:rsidRDefault="003773B1" w:rsidP="00CC7694">
            <w:pPr>
              <w:pStyle w:val="Normalnumber"/>
              <w:tabs>
                <w:tab w:val="left" w:pos="0"/>
                <w:tab w:val="left" w:pos="567"/>
                <w:tab w:val="num" w:pos="1701"/>
              </w:tabs>
              <w:spacing w:after="0"/>
              <w:jc w:val="both"/>
              <w:rPr>
                <w:rFonts w:asciiTheme="majorBidi" w:hAnsiTheme="majorBidi" w:cstheme="majorBidi"/>
                <w:b/>
                <w:bCs/>
                <w:sz w:val="18"/>
                <w:szCs w:val="18"/>
              </w:rPr>
            </w:pPr>
            <w:r w:rsidRPr="007D7C1F">
              <w:rPr>
                <w:rFonts w:asciiTheme="majorBidi" w:hAnsiTheme="majorBidi" w:cstheme="majorBidi"/>
                <w:b/>
                <w:bCs/>
                <w:sz w:val="18"/>
                <w:szCs w:val="18"/>
              </w:rPr>
              <w:t>Second - 2017</w:t>
            </w:r>
          </w:p>
        </w:tc>
        <w:tc>
          <w:tcPr>
            <w:tcW w:w="0" w:type="auto"/>
            <w:tcBorders>
              <w:top w:val="dashed" w:sz="4" w:space="0" w:color="auto"/>
              <w:left w:val="dashed" w:sz="4" w:space="0" w:color="auto"/>
              <w:bottom w:val="dashed" w:sz="4" w:space="0" w:color="auto"/>
              <w:right w:val="dashed" w:sz="4" w:space="0" w:color="auto"/>
            </w:tcBorders>
          </w:tcPr>
          <w:p w14:paraId="1B6B458B"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43 (37)</w:t>
            </w:r>
          </w:p>
        </w:tc>
        <w:tc>
          <w:tcPr>
            <w:tcW w:w="0" w:type="auto"/>
            <w:tcBorders>
              <w:top w:val="dashed" w:sz="4" w:space="0" w:color="auto"/>
              <w:left w:val="dashed" w:sz="4" w:space="0" w:color="auto"/>
              <w:bottom w:val="dashed" w:sz="4" w:space="0" w:color="auto"/>
              <w:right w:val="dashed" w:sz="4" w:space="0" w:color="auto"/>
            </w:tcBorders>
          </w:tcPr>
          <w:p w14:paraId="7D57ACC0"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17</w:t>
            </w:r>
          </w:p>
        </w:tc>
        <w:tc>
          <w:tcPr>
            <w:tcW w:w="0" w:type="auto"/>
            <w:tcBorders>
              <w:top w:val="dashed" w:sz="4" w:space="0" w:color="auto"/>
              <w:left w:val="dashed" w:sz="4" w:space="0" w:color="auto"/>
              <w:bottom w:val="dashed" w:sz="4" w:space="0" w:color="auto"/>
              <w:right w:val="dashed" w:sz="4" w:space="0" w:color="auto"/>
            </w:tcBorders>
          </w:tcPr>
          <w:p w14:paraId="278B37FD"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lang w:val="en-US"/>
              </w:rPr>
            </w:pPr>
            <w:r w:rsidRPr="007D7C1F">
              <w:rPr>
                <w:rFonts w:asciiTheme="majorBidi" w:hAnsiTheme="majorBidi" w:cstheme="majorBidi"/>
                <w:sz w:val="18"/>
                <w:szCs w:val="18"/>
                <w:lang w:val="en-US"/>
              </w:rPr>
              <w:t>Completed and closed/closing:</w:t>
            </w:r>
          </w:p>
          <w:p w14:paraId="22EFB0AA"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lang w:val="en-US"/>
              </w:rPr>
            </w:pPr>
            <w:r w:rsidRPr="007D7C1F">
              <w:rPr>
                <w:rFonts w:asciiTheme="majorBidi" w:hAnsiTheme="majorBidi" w:cstheme="majorBidi"/>
                <w:sz w:val="18"/>
                <w:szCs w:val="18"/>
                <w:lang w:val="en-US"/>
              </w:rPr>
              <w:t>Ongoing:</w:t>
            </w:r>
          </w:p>
        </w:tc>
        <w:tc>
          <w:tcPr>
            <w:tcW w:w="0" w:type="auto"/>
            <w:tcBorders>
              <w:top w:val="dashed" w:sz="4" w:space="0" w:color="auto"/>
              <w:left w:val="dashed" w:sz="4" w:space="0" w:color="auto"/>
              <w:bottom w:val="dashed" w:sz="4" w:space="0" w:color="auto"/>
              <w:right w:val="dashed" w:sz="4" w:space="0" w:color="auto"/>
            </w:tcBorders>
          </w:tcPr>
          <w:p w14:paraId="605935BC"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12</w:t>
            </w:r>
          </w:p>
          <w:p w14:paraId="596F4E2E"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5</w:t>
            </w:r>
          </w:p>
        </w:tc>
      </w:tr>
      <w:tr w:rsidR="003773B1" w:rsidRPr="007D7C1F" w14:paraId="79E1301D" w14:textId="77777777" w:rsidTr="004E6BFC">
        <w:tc>
          <w:tcPr>
            <w:tcW w:w="0" w:type="auto"/>
            <w:tcBorders>
              <w:top w:val="dashed" w:sz="4" w:space="0" w:color="auto"/>
              <w:left w:val="dashed" w:sz="4" w:space="0" w:color="auto"/>
              <w:bottom w:val="dashed" w:sz="4" w:space="0" w:color="auto"/>
              <w:right w:val="dashed" w:sz="4" w:space="0" w:color="auto"/>
            </w:tcBorders>
          </w:tcPr>
          <w:p w14:paraId="75B02013" w14:textId="77777777" w:rsidR="003773B1" w:rsidRPr="007D7C1F" w:rsidRDefault="003773B1" w:rsidP="00CC7694">
            <w:pPr>
              <w:pStyle w:val="Normalnumber"/>
              <w:tabs>
                <w:tab w:val="left" w:pos="0"/>
                <w:tab w:val="left" w:pos="567"/>
                <w:tab w:val="num" w:pos="1701"/>
              </w:tabs>
              <w:spacing w:after="0"/>
              <w:jc w:val="both"/>
              <w:rPr>
                <w:rFonts w:asciiTheme="majorBidi" w:hAnsiTheme="majorBidi" w:cstheme="majorBidi"/>
                <w:b/>
                <w:bCs/>
                <w:sz w:val="18"/>
                <w:szCs w:val="18"/>
              </w:rPr>
            </w:pPr>
            <w:proofErr w:type="spellStart"/>
            <w:r w:rsidRPr="007D7C1F">
              <w:rPr>
                <w:rFonts w:asciiTheme="majorBidi" w:hAnsiTheme="majorBidi" w:cstheme="majorBidi"/>
                <w:b/>
                <w:bCs/>
                <w:sz w:val="18"/>
                <w:szCs w:val="18"/>
              </w:rPr>
              <w:t>Third</w:t>
            </w:r>
            <w:proofErr w:type="spellEnd"/>
            <w:r w:rsidRPr="007D7C1F">
              <w:rPr>
                <w:rFonts w:asciiTheme="majorBidi" w:hAnsiTheme="majorBidi" w:cstheme="majorBidi"/>
                <w:b/>
                <w:bCs/>
                <w:sz w:val="18"/>
                <w:szCs w:val="18"/>
              </w:rPr>
              <w:t xml:space="preserve"> - 2019</w:t>
            </w:r>
          </w:p>
        </w:tc>
        <w:tc>
          <w:tcPr>
            <w:tcW w:w="0" w:type="auto"/>
            <w:tcBorders>
              <w:top w:val="dashed" w:sz="4" w:space="0" w:color="auto"/>
              <w:left w:val="dashed" w:sz="4" w:space="0" w:color="auto"/>
              <w:bottom w:val="dashed" w:sz="4" w:space="0" w:color="auto"/>
              <w:right w:val="dashed" w:sz="4" w:space="0" w:color="auto"/>
            </w:tcBorders>
          </w:tcPr>
          <w:p w14:paraId="00CB6A59"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37 (34)</w:t>
            </w:r>
          </w:p>
        </w:tc>
        <w:tc>
          <w:tcPr>
            <w:tcW w:w="0" w:type="auto"/>
            <w:tcBorders>
              <w:top w:val="dashed" w:sz="4" w:space="0" w:color="auto"/>
              <w:left w:val="dashed" w:sz="4" w:space="0" w:color="auto"/>
              <w:bottom w:val="dashed" w:sz="4" w:space="0" w:color="auto"/>
              <w:right w:val="dashed" w:sz="4" w:space="0" w:color="auto"/>
            </w:tcBorders>
          </w:tcPr>
          <w:p w14:paraId="16BB8C1C"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18</w:t>
            </w:r>
          </w:p>
        </w:tc>
        <w:tc>
          <w:tcPr>
            <w:tcW w:w="0" w:type="auto"/>
            <w:tcBorders>
              <w:top w:val="dashed" w:sz="4" w:space="0" w:color="auto"/>
              <w:left w:val="dashed" w:sz="4" w:space="0" w:color="auto"/>
              <w:bottom w:val="dashed" w:sz="4" w:space="0" w:color="auto"/>
              <w:right w:val="dashed" w:sz="4" w:space="0" w:color="auto"/>
            </w:tcBorders>
          </w:tcPr>
          <w:p w14:paraId="33FAD55B"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lang w:val="en-US"/>
              </w:rPr>
            </w:pPr>
            <w:r w:rsidRPr="007D7C1F">
              <w:rPr>
                <w:rFonts w:asciiTheme="majorBidi" w:hAnsiTheme="majorBidi" w:cstheme="majorBidi"/>
                <w:sz w:val="18"/>
                <w:szCs w:val="18"/>
                <w:lang w:val="en-US"/>
              </w:rPr>
              <w:t>Completed and closed/closing:</w:t>
            </w:r>
          </w:p>
          <w:p w14:paraId="38D7D877"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lang w:val="en-US"/>
              </w:rPr>
            </w:pPr>
            <w:r w:rsidRPr="007D7C1F">
              <w:rPr>
                <w:rFonts w:asciiTheme="majorBidi" w:hAnsiTheme="majorBidi" w:cstheme="majorBidi"/>
                <w:sz w:val="18"/>
                <w:szCs w:val="18"/>
                <w:lang w:val="en-US"/>
              </w:rPr>
              <w:t>Not completed, closing:</w:t>
            </w:r>
          </w:p>
          <w:p w14:paraId="4B982B9A"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proofErr w:type="spellStart"/>
            <w:r w:rsidRPr="007D7C1F">
              <w:rPr>
                <w:rFonts w:asciiTheme="majorBidi" w:hAnsiTheme="majorBidi" w:cstheme="majorBidi"/>
                <w:sz w:val="18"/>
                <w:szCs w:val="18"/>
              </w:rPr>
              <w:t>Ongoing</w:t>
            </w:r>
            <w:proofErr w:type="spellEnd"/>
            <w:r w:rsidRPr="007D7C1F">
              <w:rPr>
                <w:rFonts w:asciiTheme="majorBidi" w:hAnsiTheme="majorBidi" w:cstheme="majorBidi"/>
                <w:sz w:val="18"/>
                <w:szCs w:val="18"/>
              </w:rPr>
              <w:t>:</w:t>
            </w:r>
          </w:p>
        </w:tc>
        <w:tc>
          <w:tcPr>
            <w:tcW w:w="0" w:type="auto"/>
            <w:tcBorders>
              <w:top w:val="dashed" w:sz="4" w:space="0" w:color="auto"/>
              <w:left w:val="dashed" w:sz="4" w:space="0" w:color="auto"/>
              <w:bottom w:val="dashed" w:sz="4" w:space="0" w:color="auto"/>
              <w:right w:val="dashed" w:sz="4" w:space="0" w:color="auto"/>
            </w:tcBorders>
          </w:tcPr>
          <w:p w14:paraId="27CD975A"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9</w:t>
            </w:r>
          </w:p>
          <w:p w14:paraId="15341A76"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1</w:t>
            </w:r>
          </w:p>
          <w:p w14:paraId="0AE7CE47"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8</w:t>
            </w:r>
          </w:p>
        </w:tc>
      </w:tr>
      <w:tr w:rsidR="003773B1" w:rsidRPr="007D7C1F" w14:paraId="48A19123" w14:textId="77777777" w:rsidTr="004E6BFC">
        <w:tc>
          <w:tcPr>
            <w:tcW w:w="0" w:type="auto"/>
            <w:tcBorders>
              <w:top w:val="dashed" w:sz="4" w:space="0" w:color="auto"/>
              <w:left w:val="dashed" w:sz="4" w:space="0" w:color="auto"/>
              <w:bottom w:val="dashed" w:sz="4" w:space="0" w:color="auto"/>
              <w:right w:val="dashed" w:sz="4" w:space="0" w:color="auto"/>
            </w:tcBorders>
          </w:tcPr>
          <w:p w14:paraId="4EFFBCD3" w14:textId="77777777" w:rsidR="003773B1" w:rsidRPr="007D7C1F" w:rsidRDefault="003773B1" w:rsidP="00CC7694">
            <w:pPr>
              <w:pStyle w:val="Normalnumber"/>
              <w:tabs>
                <w:tab w:val="left" w:pos="0"/>
                <w:tab w:val="left" w:pos="567"/>
                <w:tab w:val="num" w:pos="1701"/>
              </w:tabs>
              <w:spacing w:after="0"/>
              <w:jc w:val="both"/>
              <w:rPr>
                <w:rFonts w:asciiTheme="majorBidi" w:hAnsiTheme="majorBidi" w:cstheme="majorBidi"/>
                <w:b/>
                <w:bCs/>
                <w:sz w:val="18"/>
                <w:szCs w:val="18"/>
              </w:rPr>
            </w:pPr>
            <w:proofErr w:type="spellStart"/>
            <w:r w:rsidRPr="007D7C1F">
              <w:rPr>
                <w:rFonts w:asciiTheme="majorBidi" w:hAnsiTheme="majorBidi" w:cstheme="majorBidi"/>
                <w:b/>
                <w:bCs/>
                <w:sz w:val="18"/>
                <w:szCs w:val="18"/>
              </w:rPr>
              <w:lastRenderedPageBreak/>
              <w:t>Fourth</w:t>
            </w:r>
            <w:proofErr w:type="spellEnd"/>
            <w:r w:rsidRPr="007D7C1F">
              <w:rPr>
                <w:rFonts w:asciiTheme="majorBidi" w:hAnsiTheme="majorBidi" w:cstheme="majorBidi"/>
                <w:b/>
                <w:bCs/>
                <w:sz w:val="18"/>
                <w:szCs w:val="18"/>
              </w:rPr>
              <w:t xml:space="preserve"> - 2021</w:t>
            </w:r>
          </w:p>
        </w:tc>
        <w:tc>
          <w:tcPr>
            <w:tcW w:w="0" w:type="auto"/>
            <w:tcBorders>
              <w:top w:val="dashed" w:sz="4" w:space="0" w:color="auto"/>
              <w:left w:val="dashed" w:sz="4" w:space="0" w:color="auto"/>
              <w:bottom w:val="dashed" w:sz="4" w:space="0" w:color="auto"/>
              <w:right w:val="dashed" w:sz="4" w:space="0" w:color="auto"/>
            </w:tcBorders>
          </w:tcPr>
          <w:p w14:paraId="43FBC0E5"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34 (35)</w:t>
            </w:r>
          </w:p>
        </w:tc>
        <w:tc>
          <w:tcPr>
            <w:tcW w:w="0" w:type="auto"/>
            <w:tcBorders>
              <w:top w:val="dashed" w:sz="4" w:space="0" w:color="auto"/>
              <w:left w:val="dashed" w:sz="4" w:space="0" w:color="auto"/>
              <w:bottom w:val="dashed" w:sz="4" w:space="0" w:color="auto"/>
              <w:right w:val="dashed" w:sz="4" w:space="0" w:color="auto"/>
            </w:tcBorders>
          </w:tcPr>
          <w:p w14:paraId="2C23EDA8"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15</w:t>
            </w:r>
          </w:p>
        </w:tc>
        <w:tc>
          <w:tcPr>
            <w:tcW w:w="0" w:type="auto"/>
            <w:tcBorders>
              <w:top w:val="dashed" w:sz="4" w:space="0" w:color="auto"/>
              <w:left w:val="dashed" w:sz="4" w:space="0" w:color="auto"/>
              <w:bottom w:val="dashed" w:sz="4" w:space="0" w:color="auto"/>
              <w:right w:val="dashed" w:sz="4" w:space="0" w:color="auto"/>
            </w:tcBorders>
          </w:tcPr>
          <w:p w14:paraId="7960FF0C"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proofErr w:type="spellStart"/>
            <w:r w:rsidRPr="007D7C1F">
              <w:rPr>
                <w:rFonts w:asciiTheme="majorBidi" w:hAnsiTheme="majorBidi" w:cstheme="majorBidi"/>
                <w:sz w:val="18"/>
                <w:szCs w:val="18"/>
              </w:rPr>
              <w:t>Ongoing</w:t>
            </w:r>
            <w:proofErr w:type="spellEnd"/>
            <w:r w:rsidRPr="007D7C1F">
              <w:rPr>
                <w:rFonts w:asciiTheme="majorBidi" w:hAnsiTheme="majorBidi" w:cstheme="majorBidi"/>
                <w:sz w:val="18"/>
                <w:szCs w:val="18"/>
              </w:rPr>
              <w:t>:</w:t>
            </w:r>
          </w:p>
          <w:p w14:paraId="19257855"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proofErr w:type="spellStart"/>
            <w:r w:rsidRPr="007D7C1F">
              <w:rPr>
                <w:rFonts w:asciiTheme="majorBidi" w:hAnsiTheme="majorBidi" w:cstheme="majorBidi"/>
                <w:sz w:val="18"/>
                <w:szCs w:val="18"/>
              </w:rPr>
              <w:t>Cancelled</w:t>
            </w:r>
            <w:proofErr w:type="spellEnd"/>
            <w:r w:rsidRPr="007D7C1F">
              <w:rPr>
                <w:rFonts w:asciiTheme="majorBidi" w:hAnsiTheme="majorBidi" w:cstheme="majorBidi"/>
                <w:sz w:val="18"/>
                <w:szCs w:val="18"/>
              </w:rPr>
              <w:t>:</w:t>
            </w:r>
          </w:p>
        </w:tc>
        <w:tc>
          <w:tcPr>
            <w:tcW w:w="0" w:type="auto"/>
            <w:tcBorders>
              <w:top w:val="dashed" w:sz="4" w:space="0" w:color="auto"/>
              <w:left w:val="dashed" w:sz="4" w:space="0" w:color="auto"/>
              <w:bottom w:val="dashed" w:sz="4" w:space="0" w:color="auto"/>
              <w:right w:val="dashed" w:sz="4" w:space="0" w:color="auto"/>
            </w:tcBorders>
          </w:tcPr>
          <w:p w14:paraId="4D8609DA"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14</w:t>
            </w:r>
          </w:p>
          <w:p w14:paraId="2A34DA25"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1</w:t>
            </w:r>
          </w:p>
        </w:tc>
      </w:tr>
      <w:tr w:rsidR="003773B1" w:rsidRPr="007D7C1F" w14:paraId="1D941D51" w14:textId="77777777" w:rsidTr="004E6BFC">
        <w:tc>
          <w:tcPr>
            <w:tcW w:w="0" w:type="auto"/>
            <w:tcBorders>
              <w:top w:val="dashed" w:sz="4" w:space="0" w:color="auto"/>
              <w:left w:val="dashed" w:sz="4" w:space="0" w:color="auto"/>
              <w:bottom w:val="dashed" w:sz="4" w:space="0" w:color="auto"/>
              <w:right w:val="dashed" w:sz="4" w:space="0" w:color="auto"/>
            </w:tcBorders>
          </w:tcPr>
          <w:p w14:paraId="7949C16E" w14:textId="77777777" w:rsidR="003773B1" w:rsidRPr="007D7C1F" w:rsidRDefault="003773B1" w:rsidP="00CC7694">
            <w:pPr>
              <w:pStyle w:val="Normalnumber"/>
              <w:tabs>
                <w:tab w:val="left" w:pos="0"/>
                <w:tab w:val="left" w:pos="567"/>
                <w:tab w:val="num" w:pos="1701"/>
              </w:tabs>
              <w:spacing w:after="0"/>
              <w:jc w:val="both"/>
              <w:rPr>
                <w:rFonts w:asciiTheme="majorBidi" w:hAnsiTheme="majorBidi" w:cstheme="majorBidi"/>
                <w:b/>
                <w:bCs/>
                <w:sz w:val="18"/>
                <w:szCs w:val="18"/>
              </w:rPr>
            </w:pPr>
            <w:proofErr w:type="spellStart"/>
            <w:r w:rsidRPr="007D7C1F">
              <w:rPr>
                <w:rFonts w:asciiTheme="majorBidi" w:hAnsiTheme="majorBidi" w:cstheme="majorBidi"/>
                <w:b/>
                <w:bCs/>
                <w:sz w:val="18"/>
                <w:szCs w:val="18"/>
              </w:rPr>
              <w:t>Fifth</w:t>
            </w:r>
            <w:proofErr w:type="spellEnd"/>
            <w:r w:rsidRPr="007D7C1F">
              <w:rPr>
                <w:rFonts w:asciiTheme="majorBidi" w:hAnsiTheme="majorBidi" w:cstheme="majorBidi"/>
                <w:b/>
                <w:bCs/>
                <w:sz w:val="18"/>
                <w:szCs w:val="18"/>
              </w:rPr>
              <w:t xml:space="preserve"> - 2022</w:t>
            </w:r>
          </w:p>
        </w:tc>
        <w:tc>
          <w:tcPr>
            <w:tcW w:w="0" w:type="auto"/>
            <w:tcBorders>
              <w:top w:val="dashed" w:sz="4" w:space="0" w:color="auto"/>
              <w:left w:val="dashed" w:sz="4" w:space="0" w:color="auto"/>
              <w:bottom w:val="dashed" w:sz="4" w:space="0" w:color="auto"/>
              <w:right w:val="dashed" w:sz="4" w:space="0" w:color="auto"/>
            </w:tcBorders>
          </w:tcPr>
          <w:p w14:paraId="1D8E9160"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22 (22)</w:t>
            </w:r>
          </w:p>
        </w:tc>
        <w:tc>
          <w:tcPr>
            <w:tcW w:w="0" w:type="auto"/>
            <w:tcBorders>
              <w:top w:val="dashed" w:sz="4" w:space="0" w:color="auto"/>
              <w:left w:val="dashed" w:sz="4" w:space="0" w:color="auto"/>
              <w:bottom w:val="dashed" w:sz="4" w:space="0" w:color="auto"/>
              <w:right w:val="dashed" w:sz="4" w:space="0" w:color="auto"/>
            </w:tcBorders>
          </w:tcPr>
          <w:p w14:paraId="016BBF75"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9</w:t>
            </w:r>
          </w:p>
        </w:tc>
        <w:tc>
          <w:tcPr>
            <w:tcW w:w="0" w:type="auto"/>
            <w:tcBorders>
              <w:top w:val="dashed" w:sz="4" w:space="0" w:color="auto"/>
              <w:left w:val="dashed" w:sz="4" w:space="0" w:color="auto"/>
              <w:bottom w:val="dashed" w:sz="4" w:space="0" w:color="auto"/>
              <w:right w:val="dashed" w:sz="4" w:space="0" w:color="auto"/>
            </w:tcBorders>
          </w:tcPr>
          <w:p w14:paraId="1D9CAC18"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proofErr w:type="spellStart"/>
            <w:r w:rsidRPr="007D7C1F">
              <w:rPr>
                <w:rFonts w:asciiTheme="majorBidi" w:hAnsiTheme="majorBidi" w:cstheme="majorBidi"/>
                <w:sz w:val="18"/>
                <w:szCs w:val="18"/>
              </w:rPr>
              <w:t>Ongoing</w:t>
            </w:r>
            <w:proofErr w:type="spellEnd"/>
            <w:r w:rsidRPr="007D7C1F">
              <w:rPr>
                <w:rStyle w:val="FootnoteReference"/>
                <w:rFonts w:asciiTheme="majorBidi" w:hAnsiTheme="majorBidi" w:cstheme="majorBidi"/>
                <w:sz w:val="18"/>
              </w:rPr>
              <w:footnoteReference w:id="13"/>
            </w:r>
            <w:r w:rsidRPr="007D7C1F">
              <w:rPr>
                <w:rFonts w:asciiTheme="majorBidi" w:hAnsiTheme="majorBidi" w:cstheme="majorBidi"/>
                <w:sz w:val="18"/>
                <w:szCs w:val="18"/>
              </w:rPr>
              <w:t>:</w:t>
            </w:r>
          </w:p>
        </w:tc>
        <w:tc>
          <w:tcPr>
            <w:tcW w:w="0" w:type="auto"/>
            <w:tcBorders>
              <w:top w:val="dashed" w:sz="4" w:space="0" w:color="auto"/>
              <w:left w:val="dashed" w:sz="4" w:space="0" w:color="auto"/>
              <w:bottom w:val="dashed" w:sz="4" w:space="0" w:color="auto"/>
              <w:right w:val="dashed" w:sz="4" w:space="0" w:color="auto"/>
            </w:tcBorders>
          </w:tcPr>
          <w:p w14:paraId="1E82DE3A"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9</w:t>
            </w:r>
          </w:p>
        </w:tc>
      </w:tr>
      <w:tr w:rsidR="003773B1" w:rsidRPr="007D7C1F" w14:paraId="10BDAE83" w14:textId="77777777" w:rsidTr="004E6BFC">
        <w:tc>
          <w:tcPr>
            <w:tcW w:w="0" w:type="auto"/>
            <w:tcBorders>
              <w:top w:val="dashed" w:sz="4" w:space="0" w:color="auto"/>
              <w:left w:val="dashed" w:sz="4" w:space="0" w:color="auto"/>
              <w:bottom w:val="dashed" w:sz="4" w:space="0" w:color="auto"/>
              <w:right w:val="dashed" w:sz="4" w:space="0" w:color="auto"/>
            </w:tcBorders>
          </w:tcPr>
          <w:p w14:paraId="56357E22" w14:textId="77777777" w:rsidR="003773B1" w:rsidRPr="007D7C1F" w:rsidRDefault="003773B1" w:rsidP="00CC7694">
            <w:pPr>
              <w:pStyle w:val="Normalnumber"/>
              <w:tabs>
                <w:tab w:val="left" w:pos="0"/>
                <w:tab w:val="left" w:pos="567"/>
                <w:tab w:val="num" w:pos="1701"/>
              </w:tabs>
              <w:spacing w:after="0"/>
              <w:jc w:val="both"/>
              <w:rPr>
                <w:rFonts w:asciiTheme="majorBidi" w:hAnsiTheme="majorBidi" w:cstheme="majorBidi"/>
                <w:b/>
                <w:bCs/>
                <w:sz w:val="18"/>
                <w:szCs w:val="18"/>
              </w:rPr>
            </w:pPr>
            <w:proofErr w:type="spellStart"/>
            <w:r w:rsidRPr="007D7C1F">
              <w:rPr>
                <w:rFonts w:asciiTheme="majorBidi" w:hAnsiTheme="majorBidi" w:cstheme="majorBidi"/>
                <w:b/>
                <w:bCs/>
                <w:sz w:val="18"/>
                <w:szCs w:val="18"/>
              </w:rPr>
              <w:t>Sixth</w:t>
            </w:r>
            <w:proofErr w:type="spellEnd"/>
            <w:r w:rsidRPr="007D7C1F">
              <w:rPr>
                <w:rFonts w:asciiTheme="majorBidi" w:hAnsiTheme="majorBidi" w:cstheme="majorBidi"/>
                <w:b/>
                <w:bCs/>
                <w:sz w:val="18"/>
                <w:szCs w:val="18"/>
              </w:rPr>
              <w:t xml:space="preserve"> - 2023</w:t>
            </w:r>
          </w:p>
        </w:tc>
        <w:tc>
          <w:tcPr>
            <w:tcW w:w="0" w:type="auto"/>
            <w:tcBorders>
              <w:top w:val="dashed" w:sz="4" w:space="0" w:color="auto"/>
              <w:left w:val="dashed" w:sz="4" w:space="0" w:color="auto"/>
              <w:bottom w:val="dashed" w:sz="4" w:space="0" w:color="auto"/>
              <w:right w:val="dashed" w:sz="4" w:space="0" w:color="auto"/>
            </w:tcBorders>
          </w:tcPr>
          <w:p w14:paraId="5D34CE68"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19 (18)</w:t>
            </w:r>
          </w:p>
        </w:tc>
        <w:tc>
          <w:tcPr>
            <w:tcW w:w="0" w:type="auto"/>
            <w:tcBorders>
              <w:top w:val="dashed" w:sz="4" w:space="0" w:color="auto"/>
              <w:left w:val="dashed" w:sz="4" w:space="0" w:color="auto"/>
              <w:bottom w:val="dashed" w:sz="4" w:space="0" w:color="auto"/>
              <w:right w:val="dashed" w:sz="4" w:space="0" w:color="auto"/>
            </w:tcBorders>
          </w:tcPr>
          <w:p w14:paraId="4DDF4B17"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9</w:t>
            </w:r>
          </w:p>
        </w:tc>
        <w:tc>
          <w:tcPr>
            <w:tcW w:w="0" w:type="auto"/>
            <w:tcBorders>
              <w:top w:val="dashed" w:sz="4" w:space="0" w:color="auto"/>
              <w:left w:val="dashed" w:sz="4" w:space="0" w:color="auto"/>
              <w:bottom w:val="dashed" w:sz="4" w:space="0" w:color="auto"/>
              <w:right w:val="dashed" w:sz="4" w:space="0" w:color="auto"/>
            </w:tcBorders>
          </w:tcPr>
          <w:p w14:paraId="0A508CFF"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proofErr w:type="spellStart"/>
            <w:r w:rsidRPr="007D7C1F">
              <w:rPr>
                <w:rFonts w:asciiTheme="majorBidi" w:hAnsiTheme="majorBidi" w:cstheme="majorBidi"/>
                <w:sz w:val="18"/>
                <w:szCs w:val="18"/>
              </w:rPr>
              <w:t>Ongoing</w:t>
            </w:r>
            <w:proofErr w:type="spellEnd"/>
            <w:r w:rsidRPr="007D7C1F">
              <w:rPr>
                <w:rFonts w:asciiTheme="majorBidi" w:hAnsiTheme="majorBidi" w:cstheme="majorBidi"/>
                <w:sz w:val="18"/>
                <w:szCs w:val="18"/>
              </w:rPr>
              <w:t>:</w:t>
            </w:r>
          </w:p>
        </w:tc>
        <w:tc>
          <w:tcPr>
            <w:tcW w:w="0" w:type="auto"/>
            <w:tcBorders>
              <w:top w:val="dashed" w:sz="4" w:space="0" w:color="auto"/>
              <w:left w:val="dashed" w:sz="4" w:space="0" w:color="auto"/>
              <w:bottom w:val="dashed" w:sz="4" w:space="0" w:color="auto"/>
              <w:right w:val="dashed" w:sz="4" w:space="0" w:color="auto"/>
            </w:tcBorders>
          </w:tcPr>
          <w:p w14:paraId="4F3DCBBB"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9</w:t>
            </w:r>
          </w:p>
        </w:tc>
      </w:tr>
      <w:tr w:rsidR="003773B1" w:rsidRPr="007D7C1F" w14:paraId="2FCE5F57" w14:textId="77777777" w:rsidTr="004E6BFC">
        <w:tc>
          <w:tcPr>
            <w:tcW w:w="0" w:type="auto"/>
            <w:tcBorders>
              <w:top w:val="dashed" w:sz="4" w:space="0" w:color="auto"/>
              <w:left w:val="dashed" w:sz="4" w:space="0" w:color="auto"/>
              <w:bottom w:val="dashed" w:sz="4" w:space="0" w:color="auto"/>
              <w:right w:val="dashed" w:sz="4" w:space="0" w:color="auto"/>
            </w:tcBorders>
          </w:tcPr>
          <w:p w14:paraId="57DC8871" w14:textId="77777777" w:rsidR="003773B1" w:rsidRPr="007D7C1F" w:rsidRDefault="003773B1" w:rsidP="00CC7694">
            <w:pPr>
              <w:pStyle w:val="Normalnumber"/>
              <w:tabs>
                <w:tab w:val="left" w:pos="0"/>
                <w:tab w:val="left" w:pos="567"/>
                <w:tab w:val="num" w:pos="1701"/>
              </w:tabs>
              <w:spacing w:after="0"/>
              <w:jc w:val="both"/>
              <w:rPr>
                <w:rFonts w:asciiTheme="majorBidi" w:hAnsiTheme="majorBidi" w:cstheme="majorBidi"/>
                <w:b/>
                <w:bCs/>
                <w:sz w:val="18"/>
                <w:szCs w:val="18"/>
              </w:rPr>
            </w:pPr>
            <w:proofErr w:type="spellStart"/>
            <w:r w:rsidRPr="007D7C1F">
              <w:rPr>
                <w:rFonts w:asciiTheme="majorBidi" w:hAnsiTheme="majorBidi" w:cstheme="majorBidi"/>
                <w:b/>
                <w:bCs/>
                <w:sz w:val="18"/>
                <w:szCs w:val="18"/>
              </w:rPr>
              <w:t>Seventh</w:t>
            </w:r>
            <w:proofErr w:type="spellEnd"/>
            <w:r w:rsidRPr="007D7C1F">
              <w:rPr>
                <w:rFonts w:asciiTheme="majorBidi" w:hAnsiTheme="majorBidi" w:cstheme="majorBidi"/>
                <w:b/>
                <w:bCs/>
                <w:sz w:val="18"/>
                <w:szCs w:val="18"/>
              </w:rPr>
              <w:t xml:space="preserve"> - 2024</w:t>
            </w:r>
          </w:p>
        </w:tc>
        <w:tc>
          <w:tcPr>
            <w:tcW w:w="0" w:type="auto"/>
            <w:tcBorders>
              <w:top w:val="dashed" w:sz="4" w:space="0" w:color="auto"/>
              <w:left w:val="dashed" w:sz="4" w:space="0" w:color="auto"/>
              <w:bottom w:val="dashed" w:sz="4" w:space="0" w:color="auto"/>
              <w:right w:val="dashed" w:sz="4" w:space="0" w:color="auto"/>
            </w:tcBorders>
          </w:tcPr>
          <w:p w14:paraId="426B4160"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17 (16)</w:t>
            </w:r>
          </w:p>
        </w:tc>
        <w:tc>
          <w:tcPr>
            <w:tcW w:w="0" w:type="auto"/>
            <w:tcBorders>
              <w:top w:val="dashed" w:sz="4" w:space="0" w:color="auto"/>
              <w:left w:val="dashed" w:sz="4" w:space="0" w:color="auto"/>
              <w:bottom w:val="dashed" w:sz="4" w:space="0" w:color="auto"/>
              <w:right w:val="dashed" w:sz="4" w:space="0" w:color="auto"/>
            </w:tcBorders>
          </w:tcPr>
          <w:p w14:paraId="27B7D00D"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8</w:t>
            </w:r>
          </w:p>
        </w:tc>
        <w:tc>
          <w:tcPr>
            <w:tcW w:w="0" w:type="auto"/>
            <w:tcBorders>
              <w:top w:val="dashed" w:sz="4" w:space="0" w:color="auto"/>
              <w:left w:val="dashed" w:sz="4" w:space="0" w:color="auto"/>
              <w:bottom w:val="dashed" w:sz="4" w:space="0" w:color="auto"/>
              <w:right w:val="dashed" w:sz="4" w:space="0" w:color="auto"/>
            </w:tcBorders>
          </w:tcPr>
          <w:p w14:paraId="51B543D6"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proofErr w:type="spellStart"/>
            <w:r w:rsidRPr="007D7C1F">
              <w:rPr>
                <w:rFonts w:asciiTheme="majorBidi" w:hAnsiTheme="majorBidi" w:cstheme="majorBidi"/>
                <w:sz w:val="18"/>
                <w:szCs w:val="18"/>
              </w:rPr>
              <w:t>Ongoing</w:t>
            </w:r>
            <w:proofErr w:type="spellEnd"/>
            <w:r w:rsidRPr="007D7C1F">
              <w:rPr>
                <w:rFonts w:asciiTheme="majorBidi" w:hAnsiTheme="majorBidi" w:cstheme="majorBidi"/>
                <w:sz w:val="18"/>
                <w:szCs w:val="18"/>
              </w:rPr>
              <w:t>:</w:t>
            </w:r>
          </w:p>
          <w:p w14:paraId="31F83CAA"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proofErr w:type="spellStart"/>
            <w:r w:rsidRPr="007D7C1F">
              <w:rPr>
                <w:rFonts w:asciiTheme="majorBidi" w:hAnsiTheme="majorBidi" w:cstheme="majorBidi"/>
                <w:sz w:val="18"/>
                <w:szCs w:val="18"/>
              </w:rPr>
              <w:t>Pending</w:t>
            </w:r>
            <w:proofErr w:type="spellEnd"/>
            <w:r w:rsidRPr="007D7C1F">
              <w:rPr>
                <w:rFonts w:asciiTheme="majorBidi" w:hAnsiTheme="majorBidi" w:cstheme="majorBidi"/>
                <w:sz w:val="18"/>
                <w:szCs w:val="18"/>
              </w:rPr>
              <w:t xml:space="preserve"> signature:</w:t>
            </w:r>
          </w:p>
          <w:p w14:paraId="1B3C0A05"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proofErr w:type="spellStart"/>
            <w:r w:rsidRPr="007D7C1F">
              <w:rPr>
                <w:rFonts w:asciiTheme="majorBidi" w:hAnsiTheme="majorBidi" w:cstheme="majorBidi"/>
                <w:sz w:val="18"/>
                <w:szCs w:val="18"/>
              </w:rPr>
              <w:t>Cancelled</w:t>
            </w:r>
            <w:proofErr w:type="spellEnd"/>
            <w:r w:rsidRPr="007D7C1F">
              <w:rPr>
                <w:rFonts w:asciiTheme="majorBidi" w:hAnsiTheme="majorBidi" w:cstheme="majorBidi"/>
                <w:sz w:val="18"/>
                <w:szCs w:val="18"/>
              </w:rPr>
              <w:t>:</w:t>
            </w:r>
          </w:p>
        </w:tc>
        <w:tc>
          <w:tcPr>
            <w:tcW w:w="0" w:type="auto"/>
            <w:tcBorders>
              <w:top w:val="dashed" w:sz="4" w:space="0" w:color="auto"/>
              <w:left w:val="dashed" w:sz="4" w:space="0" w:color="auto"/>
              <w:bottom w:val="dashed" w:sz="4" w:space="0" w:color="auto"/>
              <w:right w:val="dashed" w:sz="4" w:space="0" w:color="auto"/>
            </w:tcBorders>
          </w:tcPr>
          <w:p w14:paraId="6959277F"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5</w:t>
            </w:r>
          </w:p>
          <w:p w14:paraId="1C4D307F"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1</w:t>
            </w:r>
          </w:p>
          <w:p w14:paraId="584A2731"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2</w:t>
            </w:r>
          </w:p>
        </w:tc>
      </w:tr>
      <w:tr w:rsidR="003773B1" w:rsidRPr="007D7C1F" w14:paraId="226139B2" w14:textId="77777777" w:rsidTr="004E6BFC">
        <w:tc>
          <w:tcPr>
            <w:tcW w:w="0" w:type="auto"/>
            <w:tcBorders>
              <w:top w:val="dashed" w:sz="4" w:space="0" w:color="auto"/>
              <w:left w:val="dashed" w:sz="4" w:space="0" w:color="auto"/>
              <w:bottom w:val="single" w:sz="4" w:space="0" w:color="auto"/>
              <w:right w:val="dashed" w:sz="4" w:space="0" w:color="auto"/>
            </w:tcBorders>
          </w:tcPr>
          <w:p w14:paraId="1B2C4C99" w14:textId="77777777" w:rsidR="003773B1" w:rsidRPr="007D7C1F" w:rsidRDefault="003773B1" w:rsidP="00CC7694">
            <w:pPr>
              <w:pStyle w:val="Normalnumber"/>
              <w:tabs>
                <w:tab w:val="left" w:pos="0"/>
                <w:tab w:val="left" w:pos="567"/>
                <w:tab w:val="num" w:pos="1701"/>
              </w:tabs>
              <w:spacing w:after="0"/>
              <w:jc w:val="both"/>
              <w:rPr>
                <w:rFonts w:asciiTheme="majorBidi" w:hAnsiTheme="majorBidi" w:cstheme="majorBidi"/>
                <w:b/>
                <w:bCs/>
                <w:sz w:val="18"/>
                <w:szCs w:val="18"/>
              </w:rPr>
            </w:pPr>
            <w:proofErr w:type="spellStart"/>
            <w:r w:rsidRPr="007D7C1F">
              <w:rPr>
                <w:rFonts w:asciiTheme="majorBidi" w:hAnsiTheme="majorBidi" w:cstheme="majorBidi"/>
                <w:b/>
                <w:bCs/>
                <w:sz w:val="18"/>
                <w:szCs w:val="18"/>
              </w:rPr>
              <w:t>Eighth</w:t>
            </w:r>
            <w:proofErr w:type="spellEnd"/>
            <w:r w:rsidRPr="007D7C1F">
              <w:rPr>
                <w:rFonts w:asciiTheme="majorBidi" w:hAnsiTheme="majorBidi" w:cstheme="majorBidi"/>
                <w:b/>
                <w:bCs/>
                <w:sz w:val="18"/>
                <w:szCs w:val="18"/>
              </w:rPr>
              <w:t xml:space="preserve"> - 2025</w:t>
            </w:r>
          </w:p>
        </w:tc>
        <w:tc>
          <w:tcPr>
            <w:tcW w:w="0" w:type="auto"/>
            <w:tcBorders>
              <w:top w:val="dashed" w:sz="4" w:space="0" w:color="auto"/>
              <w:left w:val="dashed" w:sz="4" w:space="0" w:color="auto"/>
              <w:bottom w:val="single" w:sz="4" w:space="0" w:color="auto"/>
              <w:right w:val="dashed" w:sz="4" w:space="0" w:color="auto"/>
            </w:tcBorders>
          </w:tcPr>
          <w:p w14:paraId="0D8341B5"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26 (26)</w:t>
            </w:r>
          </w:p>
        </w:tc>
        <w:tc>
          <w:tcPr>
            <w:tcW w:w="0" w:type="auto"/>
            <w:tcBorders>
              <w:top w:val="dashed" w:sz="4" w:space="0" w:color="auto"/>
              <w:left w:val="dashed" w:sz="4" w:space="0" w:color="auto"/>
              <w:bottom w:val="single" w:sz="4" w:space="0" w:color="auto"/>
              <w:right w:val="dashed" w:sz="4" w:space="0" w:color="auto"/>
            </w:tcBorders>
          </w:tcPr>
          <w:p w14:paraId="7F7C7219"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sz w:val="18"/>
                <w:szCs w:val="18"/>
              </w:rPr>
            </w:pPr>
            <w:r w:rsidRPr="007D7C1F">
              <w:rPr>
                <w:rFonts w:asciiTheme="majorBidi" w:hAnsiTheme="majorBidi" w:cstheme="majorBidi"/>
                <w:sz w:val="18"/>
                <w:szCs w:val="18"/>
              </w:rPr>
              <w:t>8</w:t>
            </w:r>
          </w:p>
        </w:tc>
        <w:tc>
          <w:tcPr>
            <w:tcW w:w="0" w:type="auto"/>
            <w:tcBorders>
              <w:top w:val="dashed" w:sz="4" w:space="0" w:color="auto"/>
              <w:left w:val="dashed" w:sz="4" w:space="0" w:color="auto"/>
              <w:bottom w:val="single" w:sz="4" w:space="0" w:color="auto"/>
              <w:right w:val="dashed" w:sz="4" w:space="0" w:color="auto"/>
            </w:tcBorders>
          </w:tcPr>
          <w:p w14:paraId="643235DF"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lang w:val="en-US"/>
              </w:rPr>
            </w:pPr>
            <w:r w:rsidRPr="007D7C1F">
              <w:rPr>
                <w:rFonts w:asciiTheme="majorBidi" w:hAnsiTheme="majorBidi" w:cstheme="majorBidi"/>
                <w:sz w:val="18"/>
                <w:szCs w:val="18"/>
                <w:lang w:val="en-US"/>
              </w:rPr>
              <w:t>All provisionally approved pending availability of funds</w:t>
            </w:r>
          </w:p>
        </w:tc>
        <w:tc>
          <w:tcPr>
            <w:tcW w:w="0" w:type="auto"/>
            <w:tcBorders>
              <w:top w:val="dashed" w:sz="4" w:space="0" w:color="auto"/>
              <w:left w:val="dashed" w:sz="4" w:space="0" w:color="auto"/>
              <w:bottom w:val="single" w:sz="4" w:space="0" w:color="auto"/>
              <w:right w:val="dashed" w:sz="4" w:space="0" w:color="auto"/>
            </w:tcBorders>
          </w:tcPr>
          <w:p w14:paraId="75499189"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sz w:val="18"/>
                <w:szCs w:val="18"/>
              </w:rPr>
            </w:pPr>
            <w:r w:rsidRPr="007D7C1F">
              <w:rPr>
                <w:rFonts w:asciiTheme="majorBidi" w:hAnsiTheme="majorBidi" w:cstheme="majorBidi"/>
                <w:sz w:val="18"/>
                <w:szCs w:val="18"/>
              </w:rPr>
              <w:t>8</w:t>
            </w:r>
          </w:p>
        </w:tc>
      </w:tr>
      <w:tr w:rsidR="003773B1" w:rsidRPr="00E40FEE" w14:paraId="62BD0D30" w14:textId="77777777" w:rsidTr="004E6BFC">
        <w:tc>
          <w:tcPr>
            <w:tcW w:w="0" w:type="auto"/>
            <w:tcBorders>
              <w:top w:val="single" w:sz="4" w:space="0" w:color="auto"/>
              <w:left w:val="dashed" w:sz="4" w:space="0" w:color="auto"/>
              <w:bottom w:val="single" w:sz="4" w:space="0" w:color="auto"/>
              <w:right w:val="dashed" w:sz="4" w:space="0" w:color="auto"/>
            </w:tcBorders>
          </w:tcPr>
          <w:p w14:paraId="06EF1E23" w14:textId="77777777" w:rsidR="003773B1" w:rsidRPr="007D7C1F" w:rsidRDefault="003773B1" w:rsidP="00CC7694">
            <w:pPr>
              <w:pStyle w:val="Normalnumber"/>
              <w:tabs>
                <w:tab w:val="left" w:pos="0"/>
                <w:tab w:val="left" w:pos="567"/>
                <w:tab w:val="num" w:pos="1701"/>
              </w:tabs>
              <w:spacing w:after="0"/>
              <w:jc w:val="both"/>
              <w:rPr>
                <w:rFonts w:asciiTheme="majorBidi" w:hAnsiTheme="majorBidi" w:cstheme="majorBidi"/>
                <w:b/>
                <w:bCs/>
                <w:sz w:val="18"/>
                <w:szCs w:val="18"/>
              </w:rPr>
            </w:pPr>
            <w:r w:rsidRPr="007D7C1F">
              <w:rPr>
                <w:rFonts w:asciiTheme="majorBidi" w:hAnsiTheme="majorBidi" w:cstheme="majorBidi"/>
                <w:b/>
                <w:bCs/>
                <w:sz w:val="18"/>
                <w:szCs w:val="18"/>
              </w:rPr>
              <w:t>Total</w:t>
            </w:r>
          </w:p>
        </w:tc>
        <w:tc>
          <w:tcPr>
            <w:tcW w:w="0" w:type="auto"/>
            <w:tcBorders>
              <w:top w:val="single" w:sz="4" w:space="0" w:color="auto"/>
              <w:left w:val="dashed" w:sz="4" w:space="0" w:color="auto"/>
              <w:bottom w:val="single" w:sz="4" w:space="0" w:color="auto"/>
              <w:right w:val="dashed" w:sz="4" w:space="0" w:color="auto"/>
            </w:tcBorders>
          </w:tcPr>
          <w:p w14:paraId="1E63C83C"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b/>
                <w:bCs/>
                <w:sz w:val="18"/>
                <w:szCs w:val="18"/>
              </w:rPr>
            </w:pPr>
            <w:r w:rsidRPr="007D7C1F">
              <w:rPr>
                <w:rFonts w:asciiTheme="majorBidi" w:hAnsiTheme="majorBidi" w:cstheme="majorBidi"/>
                <w:b/>
                <w:bCs/>
                <w:sz w:val="18"/>
                <w:szCs w:val="18"/>
              </w:rPr>
              <w:t>252</w:t>
            </w:r>
          </w:p>
        </w:tc>
        <w:tc>
          <w:tcPr>
            <w:tcW w:w="0" w:type="auto"/>
            <w:tcBorders>
              <w:top w:val="single" w:sz="4" w:space="0" w:color="auto"/>
              <w:left w:val="dashed" w:sz="4" w:space="0" w:color="auto"/>
              <w:bottom w:val="single" w:sz="4" w:space="0" w:color="auto"/>
              <w:right w:val="dashed" w:sz="4" w:space="0" w:color="auto"/>
            </w:tcBorders>
          </w:tcPr>
          <w:p w14:paraId="75055D04" w14:textId="77777777" w:rsidR="003773B1" w:rsidRPr="007D7C1F" w:rsidRDefault="003773B1" w:rsidP="00CC7694">
            <w:pPr>
              <w:pStyle w:val="Normalnumber"/>
              <w:tabs>
                <w:tab w:val="left" w:pos="0"/>
                <w:tab w:val="left" w:pos="567"/>
                <w:tab w:val="num" w:pos="1701"/>
              </w:tabs>
              <w:spacing w:after="0"/>
              <w:jc w:val="center"/>
              <w:rPr>
                <w:rFonts w:asciiTheme="majorBidi" w:hAnsiTheme="majorBidi" w:cstheme="majorBidi"/>
                <w:b/>
                <w:bCs/>
                <w:sz w:val="18"/>
                <w:szCs w:val="18"/>
              </w:rPr>
            </w:pPr>
            <w:r w:rsidRPr="007D7C1F">
              <w:rPr>
                <w:rFonts w:asciiTheme="majorBidi" w:hAnsiTheme="majorBidi" w:cstheme="majorBidi"/>
                <w:b/>
                <w:bCs/>
                <w:sz w:val="18"/>
                <w:szCs w:val="18"/>
              </w:rPr>
              <w:t>91</w:t>
            </w:r>
          </w:p>
        </w:tc>
        <w:tc>
          <w:tcPr>
            <w:tcW w:w="0" w:type="auto"/>
            <w:tcBorders>
              <w:top w:val="single" w:sz="4" w:space="0" w:color="auto"/>
              <w:left w:val="dashed" w:sz="4" w:space="0" w:color="auto"/>
              <w:bottom w:val="single" w:sz="4" w:space="0" w:color="auto"/>
              <w:right w:val="dashed" w:sz="4" w:space="0" w:color="auto"/>
            </w:tcBorders>
          </w:tcPr>
          <w:p w14:paraId="69CE5DA2" w14:textId="77777777" w:rsidR="003773B1" w:rsidRPr="007D7C1F" w:rsidRDefault="003773B1" w:rsidP="00CC7694">
            <w:pPr>
              <w:tabs>
                <w:tab w:val="left" w:pos="0"/>
                <w:tab w:val="left" w:pos="567"/>
                <w:tab w:val="left" w:pos="624"/>
                <w:tab w:val="num" w:pos="1134"/>
                <w:tab w:val="num" w:pos="1701"/>
              </w:tabs>
              <w:jc w:val="right"/>
              <w:rPr>
                <w:rFonts w:asciiTheme="majorBidi" w:hAnsiTheme="majorBidi" w:cstheme="majorBidi"/>
                <w:b/>
                <w:bCs/>
                <w:sz w:val="18"/>
                <w:szCs w:val="18"/>
              </w:rPr>
            </w:pPr>
            <w:r w:rsidRPr="007D7C1F">
              <w:rPr>
                <w:rFonts w:asciiTheme="majorBidi" w:hAnsiTheme="majorBidi" w:cstheme="majorBidi"/>
                <w:b/>
                <w:bCs/>
                <w:sz w:val="18"/>
                <w:szCs w:val="18"/>
              </w:rPr>
              <w:t>Completed and closed/closing:</w:t>
            </w:r>
          </w:p>
          <w:p w14:paraId="2CEB015F" w14:textId="77777777" w:rsidR="003773B1" w:rsidRPr="007D7C1F" w:rsidRDefault="003773B1" w:rsidP="00CC7694">
            <w:pPr>
              <w:tabs>
                <w:tab w:val="left" w:pos="0"/>
                <w:tab w:val="left" w:pos="567"/>
                <w:tab w:val="left" w:pos="624"/>
                <w:tab w:val="num" w:pos="1134"/>
                <w:tab w:val="num" w:pos="1701"/>
              </w:tabs>
              <w:jc w:val="right"/>
              <w:rPr>
                <w:rFonts w:asciiTheme="majorBidi" w:hAnsiTheme="majorBidi" w:cstheme="majorBidi"/>
                <w:b/>
                <w:bCs/>
                <w:sz w:val="18"/>
                <w:szCs w:val="18"/>
              </w:rPr>
            </w:pPr>
            <w:r w:rsidRPr="007D7C1F">
              <w:rPr>
                <w:rFonts w:asciiTheme="majorBidi" w:hAnsiTheme="majorBidi" w:cstheme="majorBidi"/>
                <w:b/>
                <w:bCs/>
                <w:sz w:val="18"/>
                <w:szCs w:val="18"/>
              </w:rPr>
              <w:t>Not completed, closed/closing:</w:t>
            </w:r>
          </w:p>
          <w:p w14:paraId="4EA0541B" w14:textId="77777777" w:rsidR="003773B1" w:rsidRPr="007D7C1F" w:rsidRDefault="003773B1" w:rsidP="00CC7694">
            <w:pPr>
              <w:tabs>
                <w:tab w:val="left" w:pos="0"/>
                <w:tab w:val="left" w:pos="567"/>
                <w:tab w:val="left" w:pos="624"/>
                <w:tab w:val="num" w:pos="1134"/>
                <w:tab w:val="num" w:pos="1701"/>
              </w:tabs>
              <w:jc w:val="right"/>
              <w:rPr>
                <w:rFonts w:asciiTheme="majorBidi" w:hAnsiTheme="majorBidi" w:cstheme="majorBidi"/>
                <w:b/>
                <w:bCs/>
                <w:sz w:val="18"/>
                <w:szCs w:val="18"/>
              </w:rPr>
            </w:pPr>
            <w:r w:rsidRPr="007D7C1F">
              <w:rPr>
                <w:rFonts w:asciiTheme="majorBidi" w:hAnsiTheme="majorBidi" w:cstheme="majorBidi"/>
                <w:b/>
                <w:bCs/>
                <w:sz w:val="18"/>
                <w:szCs w:val="18"/>
              </w:rPr>
              <w:t>Pending signature:</w:t>
            </w:r>
          </w:p>
          <w:p w14:paraId="77C76B4B" w14:textId="77777777" w:rsidR="003773B1" w:rsidRPr="007D7C1F" w:rsidRDefault="003773B1" w:rsidP="00CC7694">
            <w:pPr>
              <w:tabs>
                <w:tab w:val="left" w:pos="0"/>
                <w:tab w:val="left" w:pos="567"/>
                <w:tab w:val="left" w:pos="624"/>
                <w:tab w:val="num" w:pos="1134"/>
                <w:tab w:val="num" w:pos="1701"/>
              </w:tabs>
              <w:jc w:val="right"/>
              <w:rPr>
                <w:rFonts w:asciiTheme="majorBidi" w:hAnsiTheme="majorBidi" w:cstheme="majorBidi"/>
                <w:b/>
                <w:bCs/>
                <w:sz w:val="18"/>
                <w:szCs w:val="18"/>
              </w:rPr>
            </w:pPr>
            <w:r w:rsidRPr="007D7C1F">
              <w:rPr>
                <w:rFonts w:asciiTheme="majorBidi" w:hAnsiTheme="majorBidi" w:cstheme="majorBidi"/>
                <w:b/>
                <w:bCs/>
                <w:sz w:val="18"/>
                <w:szCs w:val="18"/>
              </w:rPr>
              <w:t xml:space="preserve">Pending availability of funds: </w:t>
            </w:r>
          </w:p>
          <w:p w14:paraId="386C1422" w14:textId="77777777" w:rsidR="003773B1" w:rsidRPr="007D7C1F" w:rsidRDefault="003773B1" w:rsidP="00CC7694">
            <w:pPr>
              <w:tabs>
                <w:tab w:val="left" w:pos="0"/>
                <w:tab w:val="left" w:pos="567"/>
                <w:tab w:val="left" w:pos="624"/>
                <w:tab w:val="num" w:pos="1134"/>
                <w:tab w:val="num" w:pos="1701"/>
              </w:tabs>
              <w:jc w:val="right"/>
              <w:rPr>
                <w:rFonts w:asciiTheme="majorBidi" w:hAnsiTheme="majorBidi" w:cstheme="majorBidi"/>
                <w:b/>
                <w:bCs/>
                <w:sz w:val="18"/>
                <w:szCs w:val="18"/>
              </w:rPr>
            </w:pPr>
            <w:r w:rsidRPr="007D7C1F">
              <w:rPr>
                <w:rFonts w:asciiTheme="majorBidi" w:hAnsiTheme="majorBidi" w:cstheme="majorBidi"/>
                <w:b/>
                <w:bCs/>
                <w:sz w:val="18"/>
                <w:szCs w:val="18"/>
              </w:rPr>
              <w:t xml:space="preserve">Ongoing: </w:t>
            </w:r>
          </w:p>
          <w:p w14:paraId="254D27CE" w14:textId="77777777" w:rsidR="003773B1" w:rsidRPr="007D7C1F" w:rsidRDefault="003773B1" w:rsidP="00CC7694">
            <w:pPr>
              <w:pStyle w:val="Normalnumber"/>
              <w:tabs>
                <w:tab w:val="left" w:pos="0"/>
                <w:tab w:val="left" w:pos="567"/>
                <w:tab w:val="num" w:pos="1701"/>
              </w:tabs>
              <w:spacing w:after="0"/>
              <w:jc w:val="right"/>
              <w:rPr>
                <w:rFonts w:asciiTheme="majorBidi" w:hAnsiTheme="majorBidi" w:cstheme="majorBidi"/>
                <w:b/>
                <w:bCs/>
                <w:sz w:val="18"/>
                <w:szCs w:val="18"/>
              </w:rPr>
            </w:pPr>
            <w:proofErr w:type="spellStart"/>
            <w:r w:rsidRPr="007D7C1F">
              <w:rPr>
                <w:rFonts w:asciiTheme="majorBidi" w:hAnsiTheme="majorBidi" w:cstheme="majorBidi"/>
                <w:b/>
                <w:bCs/>
                <w:sz w:val="18"/>
                <w:szCs w:val="18"/>
              </w:rPr>
              <w:t>Cancelled</w:t>
            </w:r>
            <w:proofErr w:type="spellEnd"/>
            <w:r w:rsidRPr="007D7C1F">
              <w:rPr>
                <w:rFonts w:asciiTheme="majorBidi" w:hAnsiTheme="majorBidi" w:cstheme="majorBidi"/>
                <w:b/>
                <w:bCs/>
                <w:sz w:val="18"/>
                <w:szCs w:val="18"/>
              </w:rPr>
              <w:t xml:space="preserve">: </w:t>
            </w:r>
          </w:p>
        </w:tc>
        <w:tc>
          <w:tcPr>
            <w:tcW w:w="0" w:type="auto"/>
            <w:tcBorders>
              <w:top w:val="single" w:sz="4" w:space="0" w:color="auto"/>
              <w:left w:val="dashed" w:sz="4" w:space="0" w:color="auto"/>
              <w:bottom w:val="single" w:sz="4" w:space="0" w:color="auto"/>
              <w:right w:val="dashed" w:sz="4" w:space="0" w:color="auto"/>
            </w:tcBorders>
          </w:tcPr>
          <w:p w14:paraId="1BFCE04E" w14:textId="77777777" w:rsidR="003773B1" w:rsidRPr="007D7C1F" w:rsidRDefault="003773B1" w:rsidP="00CC7694">
            <w:pPr>
              <w:tabs>
                <w:tab w:val="left" w:pos="0"/>
                <w:tab w:val="left" w:pos="567"/>
                <w:tab w:val="left" w:pos="624"/>
                <w:tab w:val="num" w:pos="1134"/>
                <w:tab w:val="num" w:pos="1701"/>
              </w:tabs>
              <w:jc w:val="right"/>
              <w:rPr>
                <w:rFonts w:asciiTheme="majorBidi" w:hAnsiTheme="majorBidi" w:cstheme="majorBidi"/>
                <w:b/>
                <w:bCs/>
                <w:sz w:val="18"/>
                <w:szCs w:val="18"/>
              </w:rPr>
            </w:pPr>
            <w:r w:rsidRPr="007D7C1F">
              <w:rPr>
                <w:rFonts w:asciiTheme="majorBidi" w:hAnsiTheme="majorBidi" w:cstheme="majorBidi"/>
                <w:b/>
                <w:bCs/>
                <w:sz w:val="18"/>
                <w:szCs w:val="18"/>
              </w:rPr>
              <w:t>26</w:t>
            </w:r>
          </w:p>
          <w:p w14:paraId="4F35DB57" w14:textId="77777777" w:rsidR="003773B1" w:rsidRPr="007D7C1F" w:rsidRDefault="003773B1" w:rsidP="00CC7694">
            <w:pPr>
              <w:tabs>
                <w:tab w:val="left" w:pos="0"/>
                <w:tab w:val="left" w:pos="567"/>
                <w:tab w:val="left" w:pos="624"/>
                <w:tab w:val="num" w:pos="1134"/>
                <w:tab w:val="num" w:pos="1701"/>
              </w:tabs>
              <w:jc w:val="right"/>
              <w:rPr>
                <w:rFonts w:asciiTheme="majorBidi" w:hAnsiTheme="majorBidi" w:cstheme="majorBidi"/>
                <w:b/>
                <w:bCs/>
                <w:sz w:val="18"/>
                <w:szCs w:val="18"/>
              </w:rPr>
            </w:pPr>
            <w:r w:rsidRPr="007D7C1F">
              <w:rPr>
                <w:rFonts w:asciiTheme="majorBidi" w:hAnsiTheme="majorBidi" w:cstheme="majorBidi"/>
                <w:b/>
                <w:bCs/>
                <w:sz w:val="18"/>
                <w:szCs w:val="18"/>
              </w:rPr>
              <w:t>2</w:t>
            </w:r>
          </w:p>
          <w:p w14:paraId="602C6BA0" w14:textId="77777777" w:rsidR="003773B1" w:rsidRPr="007D7C1F" w:rsidRDefault="003773B1" w:rsidP="00CC7694">
            <w:pPr>
              <w:tabs>
                <w:tab w:val="left" w:pos="0"/>
                <w:tab w:val="left" w:pos="567"/>
                <w:tab w:val="left" w:pos="624"/>
                <w:tab w:val="num" w:pos="1134"/>
                <w:tab w:val="num" w:pos="1701"/>
              </w:tabs>
              <w:jc w:val="right"/>
              <w:rPr>
                <w:rFonts w:asciiTheme="majorBidi" w:hAnsiTheme="majorBidi" w:cstheme="majorBidi"/>
                <w:b/>
                <w:bCs/>
                <w:sz w:val="18"/>
                <w:szCs w:val="18"/>
              </w:rPr>
            </w:pPr>
            <w:r w:rsidRPr="007D7C1F">
              <w:rPr>
                <w:rFonts w:asciiTheme="majorBidi" w:hAnsiTheme="majorBidi" w:cstheme="majorBidi"/>
                <w:b/>
                <w:bCs/>
                <w:sz w:val="18"/>
                <w:szCs w:val="18"/>
              </w:rPr>
              <w:t>1</w:t>
            </w:r>
          </w:p>
          <w:p w14:paraId="2329BCDB" w14:textId="77777777" w:rsidR="003773B1" w:rsidRPr="007D7C1F" w:rsidRDefault="003773B1" w:rsidP="00CC7694">
            <w:pPr>
              <w:tabs>
                <w:tab w:val="left" w:pos="0"/>
                <w:tab w:val="left" w:pos="567"/>
                <w:tab w:val="left" w:pos="624"/>
                <w:tab w:val="num" w:pos="1134"/>
                <w:tab w:val="num" w:pos="1701"/>
              </w:tabs>
              <w:jc w:val="right"/>
              <w:rPr>
                <w:rFonts w:asciiTheme="majorBidi" w:hAnsiTheme="majorBidi" w:cstheme="majorBidi"/>
                <w:b/>
                <w:bCs/>
                <w:sz w:val="18"/>
                <w:szCs w:val="18"/>
              </w:rPr>
            </w:pPr>
            <w:r w:rsidRPr="007D7C1F">
              <w:rPr>
                <w:rFonts w:asciiTheme="majorBidi" w:hAnsiTheme="majorBidi" w:cstheme="majorBidi"/>
                <w:b/>
                <w:bCs/>
                <w:sz w:val="18"/>
                <w:szCs w:val="18"/>
              </w:rPr>
              <w:t>8</w:t>
            </w:r>
          </w:p>
          <w:p w14:paraId="133EEE56" w14:textId="77777777" w:rsidR="003773B1" w:rsidRPr="007D7C1F" w:rsidRDefault="003773B1" w:rsidP="00CC7694">
            <w:pPr>
              <w:tabs>
                <w:tab w:val="left" w:pos="0"/>
                <w:tab w:val="left" w:pos="567"/>
                <w:tab w:val="left" w:pos="624"/>
                <w:tab w:val="num" w:pos="1134"/>
                <w:tab w:val="num" w:pos="1701"/>
              </w:tabs>
              <w:jc w:val="right"/>
              <w:rPr>
                <w:rFonts w:asciiTheme="majorBidi" w:hAnsiTheme="majorBidi" w:cstheme="majorBidi"/>
                <w:b/>
                <w:bCs/>
                <w:sz w:val="18"/>
                <w:szCs w:val="18"/>
              </w:rPr>
            </w:pPr>
            <w:r w:rsidRPr="007D7C1F">
              <w:rPr>
                <w:rFonts w:asciiTheme="majorBidi" w:hAnsiTheme="majorBidi" w:cstheme="majorBidi"/>
                <w:b/>
                <w:bCs/>
                <w:sz w:val="18"/>
                <w:szCs w:val="18"/>
              </w:rPr>
              <w:t>50</w:t>
            </w:r>
          </w:p>
          <w:p w14:paraId="704A055F" w14:textId="77777777" w:rsidR="003773B1" w:rsidRPr="00A7795C" w:rsidRDefault="003773B1" w:rsidP="00CC7694">
            <w:pPr>
              <w:tabs>
                <w:tab w:val="left" w:pos="0"/>
                <w:tab w:val="left" w:pos="567"/>
                <w:tab w:val="left" w:pos="624"/>
                <w:tab w:val="num" w:pos="1134"/>
                <w:tab w:val="num" w:pos="1701"/>
              </w:tabs>
              <w:jc w:val="right"/>
              <w:rPr>
                <w:rFonts w:asciiTheme="majorBidi" w:hAnsiTheme="majorBidi" w:cstheme="majorBidi"/>
                <w:b/>
                <w:bCs/>
                <w:sz w:val="18"/>
                <w:szCs w:val="18"/>
              </w:rPr>
            </w:pPr>
            <w:r w:rsidRPr="007D7C1F">
              <w:rPr>
                <w:rFonts w:asciiTheme="majorBidi" w:hAnsiTheme="majorBidi" w:cstheme="majorBidi"/>
                <w:b/>
                <w:bCs/>
                <w:sz w:val="18"/>
                <w:szCs w:val="18"/>
              </w:rPr>
              <w:t>4</w:t>
            </w:r>
          </w:p>
        </w:tc>
      </w:tr>
    </w:tbl>
    <w:p w14:paraId="09AFD810" w14:textId="77777777" w:rsidR="003773B1" w:rsidRPr="00F8724B" w:rsidRDefault="003773B1" w:rsidP="003773B1">
      <w:pPr>
        <w:pStyle w:val="Normalnumber"/>
        <w:tabs>
          <w:tab w:val="left" w:pos="0"/>
          <w:tab w:val="left" w:pos="567"/>
          <w:tab w:val="num" w:pos="1701"/>
        </w:tabs>
        <w:jc w:val="both"/>
        <w:rPr>
          <w:rFonts w:asciiTheme="majorBidi" w:hAnsiTheme="majorBidi" w:cstheme="majorBidi"/>
        </w:rPr>
      </w:pPr>
    </w:p>
    <w:p w14:paraId="4D9D43AC" w14:textId="77777777" w:rsidR="003773B1" w:rsidRDefault="003773B1" w:rsidP="004E6BFC">
      <w:pPr>
        <w:pStyle w:val="Normalnumber"/>
        <w:numPr>
          <w:ilvl w:val="0"/>
          <w:numId w:val="1"/>
        </w:numPr>
        <w:tabs>
          <w:tab w:val="clear" w:pos="1134"/>
          <w:tab w:val="clear" w:pos="1247"/>
          <w:tab w:val="clear" w:pos="1814"/>
          <w:tab w:val="clear" w:pos="2381"/>
          <w:tab w:val="clear" w:pos="2948"/>
          <w:tab w:val="clear" w:pos="3515"/>
          <w:tab w:val="clear" w:pos="4082"/>
          <w:tab w:val="num" w:pos="624"/>
        </w:tabs>
        <w:rPr>
          <w:rFonts w:asciiTheme="majorBidi" w:hAnsiTheme="majorBidi" w:cstheme="majorBidi"/>
          <w:lang w:val="en-US"/>
        </w:rPr>
      </w:pPr>
      <w:r w:rsidRPr="003773B1">
        <w:rPr>
          <w:rFonts w:asciiTheme="majorBidi" w:hAnsiTheme="majorBidi" w:cstheme="majorBidi"/>
          <w:lang w:val="en-US"/>
        </w:rPr>
        <w:t>In 2022 the Secretariat undertook an assessment of closed projects to establish to what extent the projects achieved their respective logframes and to consider, retrospectively, how these projects addressed the Special Programme Core Indicators. The Secretariat repeated this exercise in 2024 for a second tranche of projects that have completed implementation or are close to completion</w:t>
      </w:r>
      <w:r w:rsidRPr="001E1C81">
        <w:rPr>
          <w:vertAlign w:val="superscript"/>
        </w:rPr>
        <w:footnoteReference w:id="14"/>
      </w:r>
      <w:r w:rsidRPr="003773B1">
        <w:rPr>
          <w:rFonts w:asciiTheme="majorBidi" w:hAnsiTheme="majorBidi" w:cstheme="majorBidi"/>
          <w:lang w:val="en-US"/>
        </w:rPr>
        <w:t>. Lessons learned from that exercise have been incorporated into the Special Programme’s ongoing work, including by means of a compendium of lessons learned that is made available as part of the application packages for each funding round from the seventh round onwards.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2"/>
        <w:gridCol w:w="3162"/>
      </w:tblGrid>
      <w:tr w:rsidR="00DC3CE3" w14:paraId="7934AC95" w14:textId="77777777" w:rsidTr="00646088">
        <w:tc>
          <w:tcPr>
            <w:tcW w:w="3162" w:type="dxa"/>
            <w:tcBorders>
              <w:bottom w:val="nil"/>
            </w:tcBorders>
          </w:tcPr>
          <w:p w14:paraId="4A9DDC4C" w14:textId="77777777" w:rsidR="00DC3CE3" w:rsidRDefault="00DC3CE3" w:rsidP="004E6BFC">
            <w:pPr>
              <w:pStyle w:val="Normalnumber"/>
              <w:tabs>
                <w:tab w:val="clear" w:pos="1247"/>
                <w:tab w:val="clear" w:pos="1814"/>
                <w:tab w:val="clear" w:pos="2381"/>
                <w:tab w:val="clear" w:pos="2948"/>
                <w:tab w:val="clear" w:pos="3515"/>
                <w:tab w:val="clear" w:pos="4082"/>
                <w:tab w:val="left" w:pos="0"/>
                <w:tab w:val="left" w:pos="567"/>
              </w:tabs>
              <w:spacing w:before="360"/>
              <w:jc w:val="both"/>
              <w:rPr>
                <w:rFonts w:asciiTheme="majorBidi" w:hAnsiTheme="majorBidi" w:cstheme="majorBidi"/>
                <w:lang w:val="en-US"/>
              </w:rPr>
            </w:pPr>
          </w:p>
        </w:tc>
        <w:tc>
          <w:tcPr>
            <w:tcW w:w="3162" w:type="dxa"/>
          </w:tcPr>
          <w:p w14:paraId="25191EE3" w14:textId="77777777" w:rsidR="00DC3CE3" w:rsidRDefault="00DC3CE3" w:rsidP="004E6BFC">
            <w:pPr>
              <w:pStyle w:val="Normalnumber"/>
              <w:tabs>
                <w:tab w:val="clear" w:pos="1247"/>
                <w:tab w:val="clear" w:pos="1814"/>
                <w:tab w:val="clear" w:pos="2381"/>
                <w:tab w:val="clear" w:pos="2948"/>
                <w:tab w:val="clear" w:pos="3515"/>
                <w:tab w:val="clear" w:pos="4082"/>
                <w:tab w:val="left" w:pos="0"/>
                <w:tab w:val="left" w:pos="567"/>
              </w:tabs>
              <w:spacing w:before="360"/>
              <w:jc w:val="both"/>
              <w:rPr>
                <w:rFonts w:asciiTheme="majorBidi" w:hAnsiTheme="majorBidi" w:cstheme="majorBidi"/>
                <w:lang w:val="en-US"/>
              </w:rPr>
            </w:pPr>
          </w:p>
        </w:tc>
        <w:tc>
          <w:tcPr>
            <w:tcW w:w="3162" w:type="dxa"/>
            <w:tcBorders>
              <w:bottom w:val="nil"/>
            </w:tcBorders>
          </w:tcPr>
          <w:p w14:paraId="4FC2A4AF" w14:textId="77777777" w:rsidR="00DC3CE3" w:rsidRDefault="00DC3CE3" w:rsidP="004E6BFC">
            <w:pPr>
              <w:pStyle w:val="Normalnumber"/>
              <w:tabs>
                <w:tab w:val="clear" w:pos="1247"/>
                <w:tab w:val="clear" w:pos="1814"/>
                <w:tab w:val="clear" w:pos="2381"/>
                <w:tab w:val="clear" w:pos="2948"/>
                <w:tab w:val="clear" w:pos="3515"/>
                <w:tab w:val="clear" w:pos="4082"/>
                <w:tab w:val="left" w:pos="0"/>
                <w:tab w:val="left" w:pos="567"/>
              </w:tabs>
              <w:spacing w:before="360"/>
              <w:jc w:val="both"/>
              <w:rPr>
                <w:rFonts w:asciiTheme="majorBidi" w:hAnsiTheme="majorBidi" w:cstheme="majorBidi"/>
                <w:lang w:val="en-US"/>
              </w:rPr>
            </w:pPr>
          </w:p>
        </w:tc>
      </w:tr>
    </w:tbl>
    <w:p w14:paraId="3CE5B03E" w14:textId="77777777" w:rsidR="00DC3CE3" w:rsidRPr="003773B1" w:rsidRDefault="00DC3CE3" w:rsidP="00DC3CE3">
      <w:pPr>
        <w:pStyle w:val="Normalnumber"/>
        <w:tabs>
          <w:tab w:val="clear" w:pos="1247"/>
          <w:tab w:val="clear" w:pos="1814"/>
          <w:tab w:val="clear" w:pos="2381"/>
          <w:tab w:val="clear" w:pos="2948"/>
          <w:tab w:val="clear" w:pos="3515"/>
          <w:tab w:val="clear" w:pos="4082"/>
          <w:tab w:val="left" w:pos="0"/>
          <w:tab w:val="left" w:pos="567"/>
        </w:tabs>
        <w:jc w:val="both"/>
        <w:rPr>
          <w:rFonts w:asciiTheme="majorBidi" w:hAnsiTheme="majorBidi" w:cstheme="majorBidi"/>
          <w:lang w:val="en-US"/>
        </w:rPr>
      </w:pPr>
    </w:p>
    <w:sectPr w:rsidR="00DC3CE3" w:rsidRPr="003773B1" w:rsidSect="000F5001">
      <w:headerReference w:type="even" r:id="rId13"/>
      <w:headerReference w:type="default" r:id="rId14"/>
      <w:footerReference w:type="even" r:id="rId15"/>
      <w:footerReference w:type="default" r:id="rId16"/>
      <w:headerReference w:type="first" r:id="rId17"/>
      <w:footerReference w:type="first" r:id="rId18"/>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ABB3" w14:textId="77777777" w:rsidR="00F55DB4" w:rsidRDefault="00F55DB4">
      <w:r>
        <w:separator/>
      </w:r>
    </w:p>
  </w:endnote>
  <w:endnote w:type="continuationSeparator" w:id="0">
    <w:p w14:paraId="5F76AFE7" w14:textId="77777777" w:rsidR="00F55DB4" w:rsidRDefault="00F55DB4">
      <w:r>
        <w:continuationSeparator/>
      </w:r>
    </w:p>
  </w:endnote>
  <w:endnote w:type="continuationNotice" w:id="1">
    <w:p w14:paraId="2F31BB16" w14:textId="77777777" w:rsidR="00F55DB4" w:rsidRDefault="00F55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C83" w14:textId="77777777" w:rsidR="00123699" w:rsidRPr="00F96910" w:rsidRDefault="00123699"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F5F" w14:textId="77777777" w:rsidR="00123699" w:rsidRPr="0015442E" w:rsidRDefault="00123699"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6BAB" w14:textId="7ACAFBF5" w:rsidR="0015442E" w:rsidRDefault="005114D5" w:rsidP="0015442E">
    <w:pPr>
      <w:pStyle w:val="Normal-pool"/>
    </w:pPr>
    <w:r>
      <w:tab/>
      <w:t>2708</w:t>
    </w:r>
    <w:r w:rsidR="0015442E">
      <w:t>2</w:t>
    </w:r>
    <w:r w:rsidR="00587F7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E9900" w14:textId="77777777" w:rsidR="00F55DB4" w:rsidRPr="0072353B" w:rsidRDefault="00F55DB4" w:rsidP="0072353B">
      <w:pPr>
        <w:tabs>
          <w:tab w:val="left" w:pos="624"/>
        </w:tabs>
        <w:spacing w:before="60"/>
        <w:ind w:left="624"/>
        <w:rPr>
          <w:sz w:val="18"/>
          <w:szCs w:val="18"/>
        </w:rPr>
      </w:pPr>
      <w:r w:rsidRPr="0072353B">
        <w:rPr>
          <w:sz w:val="18"/>
          <w:szCs w:val="18"/>
        </w:rPr>
        <w:separator/>
      </w:r>
    </w:p>
  </w:footnote>
  <w:footnote w:type="continuationSeparator" w:id="0">
    <w:p w14:paraId="68CB1080" w14:textId="77777777" w:rsidR="00F55DB4" w:rsidRDefault="00F55DB4">
      <w:r>
        <w:continuationSeparator/>
      </w:r>
    </w:p>
  </w:footnote>
  <w:footnote w:type="continuationNotice" w:id="1">
    <w:p w14:paraId="59F86A18" w14:textId="77777777" w:rsidR="00F55DB4" w:rsidRDefault="00F55DB4"/>
  </w:footnote>
  <w:footnote w:id="2">
    <w:p w14:paraId="7BD0C3DA" w14:textId="3BAB3726" w:rsidR="00880CCB" w:rsidRPr="004E6BFC" w:rsidRDefault="00880CCB">
      <w:pPr>
        <w:pStyle w:val="FootnoteText"/>
        <w:rPr>
          <w:szCs w:val="18"/>
          <w:lang w:val="en-US"/>
        </w:rPr>
      </w:pPr>
      <w:r w:rsidRPr="004E6BFC">
        <w:rPr>
          <w:rStyle w:val="FootnoteReference"/>
          <w:sz w:val="18"/>
          <w:vertAlign w:val="baseline"/>
          <w:lang w:val="en-US"/>
        </w:rPr>
        <w:t>*</w:t>
      </w:r>
      <w:r w:rsidRPr="004E6BFC">
        <w:rPr>
          <w:szCs w:val="18"/>
          <w:lang w:val="en-US"/>
        </w:rPr>
        <w:t xml:space="preserve"> </w:t>
      </w:r>
      <w:r w:rsidR="00AC7FD3" w:rsidRPr="004E6BFC">
        <w:rPr>
          <w:szCs w:val="18"/>
          <w:lang w:val="en-US"/>
        </w:rPr>
        <w:t>UNEP/MC/COP.6/1</w:t>
      </w:r>
      <w:r w:rsidR="005114D5">
        <w:rPr>
          <w:szCs w:val="18"/>
          <w:lang w:val="en-US"/>
        </w:rPr>
        <w:t>/Rev.1</w:t>
      </w:r>
      <w:r w:rsidR="00AC7FD3" w:rsidRPr="004E6BFC">
        <w:rPr>
          <w:szCs w:val="18"/>
          <w:lang w:val="en-US"/>
        </w:rPr>
        <w:t>.</w:t>
      </w:r>
    </w:p>
  </w:footnote>
  <w:footnote w:id="3">
    <w:p w14:paraId="08549DCB" w14:textId="77777777" w:rsidR="009B13B8" w:rsidRPr="005D77C3" w:rsidRDefault="009B13B8" w:rsidP="009B13B8">
      <w:pPr>
        <w:pStyle w:val="FootnoteText"/>
        <w:rPr>
          <w:szCs w:val="18"/>
          <w:lang w:val="en-GB"/>
        </w:rPr>
      </w:pPr>
      <w:r w:rsidRPr="005114D5">
        <w:rPr>
          <w:rStyle w:val="FootnoteReference"/>
          <w:sz w:val="18"/>
          <w:vertAlign w:val="baseline"/>
          <w:lang w:val="en-GB"/>
        </w:rPr>
        <w:t>**</w:t>
      </w:r>
      <w:r w:rsidRPr="005114D5">
        <w:rPr>
          <w:szCs w:val="18"/>
          <w:lang w:val="en-GB"/>
        </w:rPr>
        <w:t xml:space="preserve"> This document has not been formally edited.</w:t>
      </w:r>
    </w:p>
  </w:footnote>
  <w:footnote w:id="4">
    <w:p w14:paraId="78F04984" w14:textId="77777777" w:rsidR="003773B1" w:rsidRPr="006D3D75" w:rsidRDefault="003773B1" w:rsidP="004E6BFC">
      <w:pPr>
        <w:pStyle w:val="Normalnumber"/>
        <w:spacing w:before="20" w:after="40"/>
        <w:ind w:left="1247"/>
        <w:rPr>
          <w:sz w:val="18"/>
          <w:szCs w:val="18"/>
          <w:lang w:val="en-US"/>
        </w:rPr>
      </w:pPr>
      <w:r w:rsidRPr="004E6BFC">
        <w:rPr>
          <w:rStyle w:val="FootnoteReference"/>
          <w:sz w:val="18"/>
        </w:rPr>
        <w:footnoteRef/>
      </w:r>
      <w:r w:rsidRPr="006D3D75">
        <w:rPr>
          <w:sz w:val="18"/>
          <w:szCs w:val="18"/>
          <w:lang w:val="en-US"/>
        </w:rPr>
        <w:t xml:space="preserve"> </w:t>
      </w:r>
      <w:r w:rsidRPr="006D3D75">
        <w:rPr>
          <w:sz w:val="18"/>
          <w:szCs w:val="18"/>
          <w:lang w:val="en-US" w:eastAsia="zh-CN"/>
        </w:rPr>
        <w:t>For the purposes of the Special Programme, institutional strengthening is defined as enhancing the sustainable institutional capacity of Governments to develop, adopt, monitor and enforce policy, legislation and regulation, as well as to gain access to financial and other resources for effective frameworks for the implementation of the Instruments for the sound management of chemicals and wastes throughout their life cycle.</w:t>
      </w:r>
    </w:p>
  </w:footnote>
  <w:footnote w:id="5">
    <w:p w14:paraId="3541424B" w14:textId="77777777" w:rsidR="003773B1" w:rsidRPr="006D3D75" w:rsidRDefault="003773B1" w:rsidP="004E6BFC">
      <w:pPr>
        <w:pStyle w:val="FootnoteText"/>
        <w:tabs>
          <w:tab w:val="clear" w:pos="1247"/>
          <w:tab w:val="left" w:pos="567"/>
          <w:tab w:val="left" w:pos="624"/>
        </w:tabs>
        <w:rPr>
          <w:szCs w:val="18"/>
          <w:lang w:val="en-US"/>
        </w:rPr>
      </w:pPr>
      <w:r w:rsidRPr="004E6BFC">
        <w:rPr>
          <w:rStyle w:val="FootnoteReference"/>
          <w:sz w:val="18"/>
        </w:rPr>
        <w:footnoteRef/>
      </w:r>
      <w:r w:rsidRPr="006D3D75">
        <w:rPr>
          <w:szCs w:val="18"/>
          <w:lang w:val="en-US"/>
        </w:rPr>
        <w:t xml:space="preserve"> Available at </w:t>
      </w:r>
      <w:r w:rsidRPr="004E6BFC">
        <w:rPr>
          <w:szCs w:val="18"/>
          <w:lang w:val="en-US"/>
        </w:rPr>
        <w:t>https://wedocs.unep.org/bitstream/handle/20.500.11822/17285/K1402364.pdf?sequence=3&amp;isAllowed=y.</w:t>
      </w:r>
      <w:r w:rsidRPr="006D3D75">
        <w:rPr>
          <w:szCs w:val="18"/>
          <w:lang w:val="en-US"/>
        </w:rPr>
        <w:t xml:space="preserve"> </w:t>
      </w:r>
    </w:p>
  </w:footnote>
  <w:footnote w:id="6">
    <w:p w14:paraId="48E6FE41" w14:textId="6C781E6C" w:rsidR="00DA0F4F" w:rsidRPr="004E6BFC" w:rsidRDefault="00DA0F4F" w:rsidP="004E6BFC">
      <w:pPr>
        <w:pStyle w:val="FootnoteText"/>
        <w:rPr>
          <w:szCs w:val="18"/>
          <w:lang w:val="en-US"/>
        </w:rPr>
      </w:pPr>
      <w:r w:rsidRPr="004E6BFC">
        <w:rPr>
          <w:rStyle w:val="FootnoteReference"/>
          <w:sz w:val="18"/>
        </w:rPr>
        <w:footnoteRef/>
      </w:r>
      <w:r w:rsidRPr="004E6BFC">
        <w:rPr>
          <w:szCs w:val="18"/>
          <w:lang w:val="en-US"/>
        </w:rPr>
        <w:t xml:space="preserve"> Available at https://docs.un.org/en/UNEP/EA.6/Res.9</w:t>
      </w:r>
    </w:p>
  </w:footnote>
  <w:footnote w:id="7">
    <w:p w14:paraId="53B34E70" w14:textId="016B652E" w:rsidR="005D4291" w:rsidRPr="005D4291" w:rsidRDefault="005D4291" w:rsidP="004E6BFC">
      <w:pPr>
        <w:pStyle w:val="FootnoteText"/>
        <w:rPr>
          <w:lang w:val="en-US"/>
        </w:rPr>
      </w:pPr>
      <w:r w:rsidRPr="004E6BFC">
        <w:rPr>
          <w:rStyle w:val="FootnoteReference"/>
          <w:sz w:val="18"/>
        </w:rPr>
        <w:footnoteRef/>
      </w:r>
      <w:r w:rsidRPr="004E6BFC">
        <w:rPr>
          <w:szCs w:val="18"/>
          <w:lang w:val="en-US"/>
        </w:rPr>
        <w:t xml:space="preserve"> See https://www.unep.org/topics/chemicals-and-pollution-action/chemicals-management/special-programme/applying-funding</w:t>
      </w:r>
    </w:p>
  </w:footnote>
  <w:footnote w:id="8">
    <w:p w14:paraId="3607994E" w14:textId="66883402" w:rsidR="00A8525D" w:rsidRPr="004E6BFC" w:rsidRDefault="00A8525D" w:rsidP="00D329F4">
      <w:pPr>
        <w:pStyle w:val="FootnoteText"/>
        <w:rPr>
          <w:szCs w:val="18"/>
          <w:lang w:val="en-US"/>
        </w:rPr>
      </w:pPr>
      <w:r w:rsidRPr="004E6BFC">
        <w:rPr>
          <w:rStyle w:val="FootnoteReference"/>
          <w:sz w:val="18"/>
        </w:rPr>
        <w:footnoteRef/>
      </w:r>
      <w:r w:rsidRPr="004E6BFC">
        <w:rPr>
          <w:szCs w:val="18"/>
          <w:lang w:val="en-US"/>
        </w:rPr>
        <w:t xml:space="preserve"> See https://www.unep.org/topics/chemicals-and-pollution-action/chemicals-management/special-programme/special-programme-7</w:t>
      </w:r>
    </w:p>
  </w:footnote>
  <w:footnote w:id="9">
    <w:p w14:paraId="4D6BDA79" w14:textId="77777777" w:rsidR="00427EA7" w:rsidRPr="0041434A" w:rsidRDefault="00427EA7" w:rsidP="00D329F4">
      <w:pPr>
        <w:pStyle w:val="FootnoteText"/>
        <w:rPr>
          <w:rFonts w:asciiTheme="majorBidi" w:hAnsiTheme="majorBidi" w:cstheme="majorBidi"/>
          <w:szCs w:val="18"/>
          <w:lang w:val="en-US"/>
        </w:rPr>
      </w:pPr>
      <w:r w:rsidRPr="004E6BFC">
        <w:rPr>
          <w:rStyle w:val="FootnoteReference"/>
          <w:rFonts w:asciiTheme="majorBidi" w:hAnsiTheme="majorBidi" w:cstheme="majorBidi"/>
          <w:sz w:val="18"/>
        </w:rPr>
        <w:footnoteRef/>
      </w:r>
      <w:r w:rsidRPr="0041434A">
        <w:rPr>
          <w:rFonts w:asciiTheme="majorBidi" w:hAnsiTheme="majorBidi" w:cstheme="majorBidi"/>
          <w:szCs w:val="18"/>
          <w:lang w:val="en-US"/>
        </w:rPr>
        <w:t xml:space="preserve"> The report of the ninth meeting of the Executive Board is available on the Special Programme website at the following link: https://www.unep.org/events/unep-event/ninth-special-programme-executive-board-meeting-support-institutional</w:t>
      </w:r>
    </w:p>
  </w:footnote>
  <w:footnote w:id="10">
    <w:p w14:paraId="7ECD49A2" w14:textId="77777777" w:rsidR="006A6C23" w:rsidRPr="007E5ED4" w:rsidRDefault="006A6C23" w:rsidP="00D329F4">
      <w:pPr>
        <w:pStyle w:val="FootnoteText"/>
        <w:rPr>
          <w:lang w:val="en-US"/>
        </w:rPr>
      </w:pPr>
      <w:r w:rsidRPr="004E6BFC">
        <w:rPr>
          <w:rStyle w:val="FootnoteReference"/>
          <w:sz w:val="18"/>
        </w:rPr>
        <w:footnoteRef/>
      </w:r>
      <w:r w:rsidRPr="004E6BFC">
        <w:rPr>
          <w:szCs w:val="18"/>
          <w:lang w:val="en-US"/>
        </w:rPr>
        <w:t xml:space="preserve"> </w:t>
      </w:r>
      <w:r w:rsidRPr="00D329F4">
        <w:rPr>
          <w:rFonts w:asciiTheme="majorBidi" w:hAnsiTheme="majorBidi" w:cstheme="majorBidi"/>
          <w:szCs w:val="18"/>
          <w:lang w:val="en-US"/>
        </w:rPr>
        <w:t>Advance</w:t>
      </w:r>
      <w:r w:rsidRPr="004E6BFC">
        <w:rPr>
          <w:szCs w:val="18"/>
          <w:lang w:val="en-US"/>
        </w:rPr>
        <w:t xml:space="preserve"> report </w:t>
      </w:r>
      <w:r w:rsidRPr="00670863">
        <w:rPr>
          <w:rFonts w:asciiTheme="majorBidi" w:hAnsiTheme="majorBidi" w:cstheme="majorBidi"/>
          <w:szCs w:val="18"/>
          <w:lang w:val="en-US"/>
        </w:rPr>
        <w:t>of</w:t>
      </w:r>
      <w:r w:rsidRPr="004E6BFC">
        <w:rPr>
          <w:szCs w:val="18"/>
          <w:lang w:val="en-US"/>
        </w:rPr>
        <w:t xml:space="preserve"> the meeting available at </w:t>
      </w:r>
      <w:hyperlink r:id="rId1" w:history="1">
        <w:r w:rsidRPr="004E6BFC">
          <w:rPr>
            <w:rStyle w:val="Hyperlink"/>
            <w:sz w:val="18"/>
            <w:szCs w:val="18"/>
          </w:rPr>
          <w:t>https://wedocs.unep.org/handle/20.500.11822/47599;jsessionid=E7A64EC6BC85F059A49C58427BB10EFB</w:t>
        </w:r>
      </w:hyperlink>
      <w:r>
        <w:rPr>
          <w:lang w:val="en-US"/>
        </w:rPr>
        <w:t xml:space="preserve"> </w:t>
      </w:r>
    </w:p>
  </w:footnote>
  <w:footnote w:id="11">
    <w:p w14:paraId="5F7F373F" w14:textId="77777777" w:rsidR="008B49E6" w:rsidRPr="004E6BFC" w:rsidRDefault="008B49E6" w:rsidP="004E6BFC">
      <w:pPr>
        <w:pStyle w:val="FootnoteText"/>
        <w:tabs>
          <w:tab w:val="clear" w:pos="1247"/>
          <w:tab w:val="left" w:pos="1134"/>
        </w:tabs>
        <w:rPr>
          <w:szCs w:val="18"/>
          <w:lang w:val="en-US"/>
        </w:rPr>
      </w:pPr>
      <w:r w:rsidRPr="004E6BFC">
        <w:rPr>
          <w:rStyle w:val="FootnoteReference"/>
          <w:sz w:val="18"/>
        </w:rPr>
        <w:footnoteRef/>
      </w:r>
      <w:r w:rsidRPr="004E6BFC">
        <w:rPr>
          <w:szCs w:val="18"/>
          <w:lang w:val="en-US"/>
        </w:rPr>
        <w:t xml:space="preserve"> </w:t>
      </w:r>
      <w:r w:rsidRPr="004E6BFC">
        <w:rPr>
          <w:rFonts w:eastAsia="Times New Roman"/>
          <w:szCs w:val="18"/>
          <w:lang w:val="en-GB"/>
        </w:rPr>
        <w:t>See</w:t>
      </w:r>
      <w:r w:rsidRPr="004E6BFC">
        <w:rPr>
          <w:szCs w:val="18"/>
          <w:lang w:val="en-US"/>
        </w:rPr>
        <w:t xml:space="preserve"> project details at https://www.unep.org/topics/chemicals-and-pollution-action/chemicals-management/special-programme/special-programme-7</w:t>
      </w:r>
    </w:p>
  </w:footnote>
  <w:footnote w:id="12">
    <w:p w14:paraId="2398FC1B" w14:textId="77777777" w:rsidR="003773B1" w:rsidRPr="002749A8" w:rsidRDefault="003773B1" w:rsidP="004E6BFC">
      <w:pPr>
        <w:pStyle w:val="FootnoteText"/>
        <w:tabs>
          <w:tab w:val="clear" w:pos="1247"/>
        </w:tabs>
        <w:rPr>
          <w:rFonts w:asciiTheme="majorBidi" w:hAnsiTheme="majorBidi" w:cstheme="majorBidi"/>
          <w:szCs w:val="18"/>
          <w:lang w:val="en-US"/>
        </w:rPr>
      </w:pPr>
      <w:r w:rsidRPr="004E6BFC">
        <w:rPr>
          <w:rStyle w:val="FootnoteReference"/>
          <w:rFonts w:asciiTheme="majorBidi" w:hAnsiTheme="majorBidi" w:cstheme="majorBidi"/>
          <w:sz w:val="18"/>
        </w:rPr>
        <w:footnoteRef/>
      </w:r>
      <w:r w:rsidRPr="00EF52F2">
        <w:rPr>
          <w:rFonts w:asciiTheme="majorBidi" w:hAnsiTheme="majorBidi" w:cstheme="majorBidi"/>
          <w:szCs w:val="18"/>
          <w:lang w:val="en-US"/>
        </w:rPr>
        <w:t xml:space="preserve"> https://www.unep.org/explore-topics/chemicals-waste/what-we-do/special-programme/special-programme-projects-database.</w:t>
      </w:r>
    </w:p>
  </w:footnote>
  <w:footnote w:id="13">
    <w:p w14:paraId="3F0C6EE0" w14:textId="77777777" w:rsidR="003773B1" w:rsidRPr="004E6BFC" w:rsidRDefault="003773B1" w:rsidP="004E6BFC">
      <w:pPr>
        <w:pStyle w:val="FootnoteText"/>
        <w:tabs>
          <w:tab w:val="clear" w:pos="1247"/>
          <w:tab w:val="left" w:pos="993"/>
        </w:tabs>
        <w:rPr>
          <w:szCs w:val="18"/>
          <w:lang w:val="en-GB"/>
        </w:rPr>
      </w:pPr>
      <w:r w:rsidRPr="004E6BFC">
        <w:rPr>
          <w:rStyle w:val="FootnoteReference"/>
          <w:sz w:val="18"/>
          <w:lang w:val="en-GB"/>
        </w:rPr>
        <w:footnoteRef/>
      </w:r>
      <w:r w:rsidRPr="004E6BFC">
        <w:rPr>
          <w:szCs w:val="18"/>
          <w:lang w:val="en-GB"/>
        </w:rPr>
        <w:t xml:space="preserve"> During its tenth meeting the Board authorised the Secretariat to suspend two projects that had not demonstrated sufficient engagement or progress in implementation. Following the meeting the Secretariat issued formal notices of suspension in line with the provisions of the respective project cooperation agreements. The partners concerned have since responded with sufficient engagement to allow the suspensions to be lifted, although the projects remain under close monitoring by the Secretariat.</w:t>
      </w:r>
    </w:p>
  </w:footnote>
  <w:footnote w:id="14">
    <w:p w14:paraId="5B0663C3" w14:textId="77777777" w:rsidR="003773B1" w:rsidRPr="004E6BFC" w:rsidRDefault="003773B1" w:rsidP="004E6BFC">
      <w:pPr>
        <w:pStyle w:val="FootnoteText"/>
        <w:tabs>
          <w:tab w:val="clear" w:pos="1247"/>
        </w:tabs>
        <w:rPr>
          <w:rStyle w:val="FootnoteReference"/>
          <w:sz w:val="18"/>
          <w:vertAlign w:val="baseline"/>
          <w:lang w:val="en-GB"/>
        </w:rPr>
      </w:pPr>
      <w:r w:rsidRPr="004E6BFC">
        <w:rPr>
          <w:rStyle w:val="FootnoteReference"/>
          <w:rFonts w:asciiTheme="majorBidi" w:hAnsiTheme="majorBidi" w:cstheme="majorBidi"/>
          <w:sz w:val="18"/>
          <w:lang w:val="en-GB"/>
        </w:rPr>
        <w:footnoteRef/>
      </w:r>
      <w:r w:rsidRPr="004E6BFC">
        <w:rPr>
          <w:rStyle w:val="FootnoteReference"/>
          <w:sz w:val="18"/>
          <w:lang w:val="en-GB"/>
        </w:rPr>
        <w:t xml:space="preserve"> </w:t>
      </w:r>
      <w:r w:rsidRPr="004E6BFC">
        <w:rPr>
          <w:rStyle w:val="FootnoteReference"/>
          <w:sz w:val="18"/>
          <w:vertAlign w:val="baseline"/>
          <w:lang w:val="en-GB"/>
        </w:rPr>
        <w:t xml:space="preserve">The first assessment of closed projects was undertaken during 2022 and presented to the Executive Board at its eighth meeting, in February 2023. The report is available at the following link: </w:t>
      </w:r>
      <w:hyperlink r:id="rId2" w:history="1">
        <w:r w:rsidRPr="004E6BFC">
          <w:rPr>
            <w:rStyle w:val="FootnoteReference"/>
            <w:sz w:val="18"/>
            <w:vertAlign w:val="baseline"/>
            <w:lang w:val="en-GB"/>
          </w:rPr>
          <w:t>https://wedocs.unep.org/handle/20.500.11822/42168</w:t>
        </w:r>
      </w:hyperlink>
      <w:r w:rsidRPr="004E6BFC">
        <w:rPr>
          <w:rStyle w:val="FootnoteReference"/>
          <w:sz w:val="18"/>
          <w:vertAlign w:val="baseline"/>
          <w:lang w:val="en-GB"/>
        </w:rPr>
        <w:t>. Country fact sheets considering the findings for the countries involved have been made available on the Special Programme webpage.</w:t>
      </w:r>
    </w:p>
    <w:p w14:paraId="1F2E0842" w14:textId="77777777" w:rsidR="003773B1" w:rsidRPr="00323B86" w:rsidRDefault="003773B1" w:rsidP="004E6BFC">
      <w:pPr>
        <w:pStyle w:val="FootnoteText"/>
        <w:tabs>
          <w:tab w:val="clear" w:pos="1247"/>
        </w:tabs>
        <w:rPr>
          <w:rStyle w:val="FootnoteReference"/>
          <w:rFonts w:asciiTheme="majorBidi" w:hAnsiTheme="majorBidi" w:cstheme="majorBidi"/>
          <w:lang w:val="en-US"/>
        </w:rPr>
      </w:pPr>
      <w:r w:rsidRPr="004E6BFC">
        <w:rPr>
          <w:rStyle w:val="FootnoteReference"/>
          <w:rFonts w:asciiTheme="majorBidi" w:hAnsiTheme="majorBidi"/>
          <w:sz w:val="18"/>
          <w:vertAlign w:val="baseline"/>
          <w:lang w:val="en-GB"/>
        </w:rPr>
        <w:t xml:space="preserve">The second assessment </w:t>
      </w:r>
      <w:r w:rsidRPr="004E6BFC">
        <w:rPr>
          <w:rStyle w:val="FootnoteReference"/>
          <w:sz w:val="18"/>
          <w:vertAlign w:val="baseline"/>
          <w:lang w:val="en-GB"/>
        </w:rPr>
        <w:t>was undertaken during 202</w:t>
      </w:r>
      <w:r w:rsidRPr="004E6BFC">
        <w:rPr>
          <w:szCs w:val="18"/>
          <w:lang w:val="en-GB"/>
        </w:rPr>
        <w:t>4</w:t>
      </w:r>
      <w:r w:rsidRPr="004E6BFC">
        <w:rPr>
          <w:rStyle w:val="FootnoteReference"/>
          <w:sz w:val="18"/>
          <w:vertAlign w:val="baseline"/>
          <w:lang w:val="en-GB"/>
        </w:rPr>
        <w:t xml:space="preserve"> and presented to the Executive Board at its tent</w:t>
      </w:r>
      <w:r w:rsidRPr="004E6BFC">
        <w:rPr>
          <w:szCs w:val="18"/>
          <w:lang w:val="en-GB"/>
        </w:rPr>
        <w:t>h</w:t>
      </w:r>
      <w:r w:rsidRPr="004E6BFC">
        <w:rPr>
          <w:rStyle w:val="FootnoteReference"/>
          <w:sz w:val="18"/>
          <w:vertAlign w:val="baseline"/>
          <w:lang w:val="en-GB"/>
        </w:rPr>
        <w:t xml:space="preserve"> meeting, in Ma</w:t>
      </w:r>
      <w:r w:rsidRPr="004E6BFC">
        <w:rPr>
          <w:szCs w:val="18"/>
          <w:lang w:val="en-GB"/>
        </w:rPr>
        <w:t xml:space="preserve">rch 2025 </w:t>
      </w:r>
      <w:r w:rsidRPr="004E6BFC">
        <w:rPr>
          <w:rStyle w:val="FootnoteReference"/>
          <w:rFonts w:asciiTheme="majorBidi" w:hAnsiTheme="majorBidi"/>
          <w:sz w:val="18"/>
          <w:vertAlign w:val="baseline"/>
          <w:lang w:val="en-GB"/>
        </w:rPr>
        <w:t xml:space="preserve">considered the following 11 projects: Angola, Gambia, Ghana, Kenya, Nigeria, South Africa, India, Iran, Kazakhstan, North Macedonia and Tajikistan. The report is available at </w:t>
      </w:r>
      <w:r w:rsidRPr="004E6BFC">
        <w:rPr>
          <w:rStyle w:val="FootnoteReference"/>
          <w:rFonts w:asciiTheme="majorBidi" w:hAnsiTheme="majorBidi" w:cstheme="majorBidi"/>
          <w:sz w:val="18"/>
          <w:vertAlign w:val="baseline"/>
          <w:lang w:val="en-GB"/>
        </w:rPr>
        <w:t>https://wedocs.unep.org/handle/20.500.11822/46882.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6A89" w14:textId="2DF3E31F" w:rsidR="00123699" w:rsidRPr="00F96910" w:rsidRDefault="00F96910" w:rsidP="00F96910">
    <w:pPr>
      <w:pStyle w:val="Header-pool"/>
    </w:pPr>
    <w:r w:rsidRPr="00F96910">
      <w:t>UNEP/MC</w:t>
    </w:r>
    <w:r w:rsidR="00EA2CF9">
      <w:t>/</w:t>
    </w:r>
    <w:r w:rsidRPr="00F96910">
      <w:t>COP.</w:t>
    </w:r>
    <w:r w:rsidR="003140A7">
      <w:t>6</w:t>
    </w:r>
    <w:r w:rsidRPr="00F96910">
      <w:t>/</w:t>
    </w:r>
    <w:r w:rsidR="006D1C7C">
      <w:t>INF/</w:t>
    </w:r>
    <w:r w:rsidR="000F4462">
      <w:t>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AFE" w14:textId="124BB8BF" w:rsidR="00123699" w:rsidRPr="00392F9C" w:rsidRDefault="00F96910" w:rsidP="00F96910">
    <w:pPr>
      <w:pStyle w:val="Header-pool"/>
      <w:jc w:val="right"/>
      <w:rPr>
        <w:szCs w:val="18"/>
      </w:rPr>
    </w:pPr>
    <w:r w:rsidRPr="00F96910">
      <w:t>UNEP/MC</w:t>
    </w:r>
    <w:r w:rsidR="00EA2CF9">
      <w:t>/</w:t>
    </w:r>
    <w:r w:rsidRPr="00F96910">
      <w:t>COP.</w:t>
    </w:r>
    <w:r w:rsidR="000F4462">
      <w:t>6</w:t>
    </w:r>
    <w:r w:rsidRPr="00F96910">
      <w:t>/</w:t>
    </w:r>
    <w:r w:rsidR="000F4462">
      <w:t>INF/16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81FC" w14:textId="77777777" w:rsidR="00C059F0" w:rsidRPr="00F7542C" w:rsidRDefault="00C059F0"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7A2A"/>
    <w:multiLevelType w:val="multilevel"/>
    <w:tmpl w:val="48241D10"/>
    <w:lvl w:ilvl="0">
      <w:start w:val="1"/>
      <w:numFmt w:val="decimal"/>
      <w:lvlText w:val="%1."/>
      <w:lvlJc w:val="left"/>
      <w:pPr>
        <w:tabs>
          <w:tab w:val="num" w:pos="567"/>
        </w:tabs>
        <w:ind w:left="1247" w:firstLine="0"/>
      </w:pPr>
    </w:lvl>
    <w:lvl w:ilvl="1">
      <w:start w:val="1"/>
      <w:numFmt w:val="lowerLetter"/>
      <w:lvlText w:val="(%2)"/>
      <w:lvlJc w:val="left"/>
      <w:pPr>
        <w:tabs>
          <w:tab w:val="num" w:pos="567"/>
        </w:tabs>
        <w:ind w:left="1247" w:firstLine="567"/>
      </w:pPr>
    </w:lvl>
    <w:lvl w:ilvl="2">
      <w:start w:val="1"/>
      <w:numFmt w:val="lowerRoman"/>
      <w:lvlText w:val="(%3)"/>
      <w:lvlJc w:val="left"/>
      <w:pPr>
        <w:tabs>
          <w:tab w:val="num" w:pos="567"/>
        </w:tabs>
        <w:ind w:left="2948" w:hanging="567"/>
      </w:pPr>
    </w:lvl>
    <w:lvl w:ilvl="3">
      <w:start w:val="1"/>
      <w:numFmt w:val="lowerLetter"/>
      <w:lvlText w:val="%4."/>
      <w:lvlJc w:val="left"/>
      <w:pPr>
        <w:tabs>
          <w:tab w:val="num" w:pos="567"/>
        </w:tabs>
        <w:ind w:left="3515" w:hanging="567"/>
      </w:pPr>
    </w:lvl>
    <w:lvl w:ilvl="4">
      <w:start w:val="1"/>
      <w:numFmt w:val="lowerLetter"/>
      <w:lvlText w:val="%5."/>
      <w:lvlJc w:val="left"/>
      <w:pPr>
        <w:tabs>
          <w:tab w:val="num" w:pos="6548"/>
        </w:tabs>
        <w:ind w:left="6548" w:hanging="360"/>
      </w:pPr>
    </w:lvl>
    <w:lvl w:ilvl="5">
      <w:start w:val="1"/>
      <w:numFmt w:val="lowerRoman"/>
      <w:lvlText w:val="%6."/>
      <w:lvlJc w:val="right"/>
      <w:pPr>
        <w:tabs>
          <w:tab w:val="num" w:pos="7268"/>
        </w:tabs>
        <w:ind w:left="7268" w:hanging="180"/>
      </w:pPr>
    </w:lvl>
    <w:lvl w:ilvl="6">
      <w:start w:val="1"/>
      <w:numFmt w:val="decimal"/>
      <w:lvlText w:val="%7."/>
      <w:lvlJc w:val="left"/>
      <w:pPr>
        <w:tabs>
          <w:tab w:val="num" w:pos="7988"/>
        </w:tabs>
        <w:ind w:left="7988" w:hanging="360"/>
      </w:pPr>
    </w:lvl>
    <w:lvl w:ilvl="7">
      <w:start w:val="1"/>
      <w:numFmt w:val="lowerLetter"/>
      <w:lvlText w:val="%8."/>
      <w:lvlJc w:val="left"/>
      <w:pPr>
        <w:tabs>
          <w:tab w:val="num" w:pos="8708"/>
        </w:tabs>
        <w:ind w:left="8708" w:hanging="360"/>
      </w:pPr>
    </w:lvl>
    <w:lvl w:ilvl="8">
      <w:start w:val="1"/>
      <w:numFmt w:val="lowerRoman"/>
      <w:lvlText w:val="%9."/>
      <w:lvlJc w:val="right"/>
      <w:pPr>
        <w:tabs>
          <w:tab w:val="num" w:pos="9428"/>
        </w:tabs>
        <w:ind w:left="9428" w:hanging="180"/>
      </w:pPr>
    </w:lvl>
  </w:abstractNum>
  <w:abstractNum w:abstractNumId="1" w15:restartNumberingAfterBreak="0">
    <w:nsid w:val="1D074985"/>
    <w:multiLevelType w:val="multilevel"/>
    <w:tmpl w:val="48241D10"/>
    <w:lvl w:ilvl="0">
      <w:start w:val="1"/>
      <w:numFmt w:val="decimal"/>
      <w:lvlText w:val="%1."/>
      <w:lvlJc w:val="left"/>
      <w:pPr>
        <w:tabs>
          <w:tab w:val="num" w:pos="567"/>
        </w:tabs>
        <w:ind w:left="1247" w:firstLine="0"/>
      </w:pPr>
    </w:lvl>
    <w:lvl w:ilvl="1">
      <w:start w:val="1"/>
      <w:numFmt w:val="lowerLetter"/>
      <w:lvlText w:val="(%2)"/>
      <w:lvlJc w:val="left"/>
      <w:pPr>
        <w:tabs>
          <w:tab w:val="num" w:pos="567"/>
        </w:tabs>
        <w:ind w:left="1247" w:firstLine="567"/>
      </w:pPr>
    </w:lvl>
    <w:lvl w:ilvl="2">
      <w:start w:val="1"/>
      <w:numFmt w:val="lowerRoman"/>
      <w:lvlText w:val="(%3)"/>
      <w:lvlJc w:val="left"/>
      <w:pPr>
        <w:tabs>
          <w:tab w:val="num" w:pos="567"/>
        </w:tabs>
        <w:ind w:left="2948" w:hanging="567"/>
      </w:pPr>
    </w:lvl>
    <w:lvl w:ilvl="3">
      <w:start w:val="1"/>
      <w:numFmt w:val="lowerLetter"/>
      <w:lvlText w:val="%4."/>
      <w:lvlJc w:val="left"/>
      <w:pPr>
        <w:tabs>
          <w:tab w:val="num" w:pos="567"/>
        </w:tabs>
        <w:ind w:left="3515" w:hanging="567"/>
      </w:pPr>
    </w:lvl>
    <w:lvl w:ilvl="4">
      <w:start w:val="1"/>
      <w:numFmt w:val="lowerLetter"/>
      <w:lvlText w:val="%5."/>
      <w:lvlJc w:val="left"/>
      <w:pPr>
        <w:tabs>
          <w:tab w:val="num" w:pos="6548"/>
        </w:tabs>
        <w:ind w:left="6548" w:hanging="360"/>
      </w:pPr>
    </w:lvl>
    <w:lvl w:ilvl="5">
      <w:start w:val="1"/>
      <w:numFmt w:val="lowerRoman"/>
      <w:lvlText w:val="%6."/>
      <w:lvlJc w:val="right"/>
      <w:pPr>
        <w:tabs>
          <w:tab w:val="num" w:pos="7268"/>
        </w:tabs>
        <w:ind w:left="7268" w:hanging="180"/>
      </w:pPr>
    </w:lvl>
    <w:lvl w:ilvl="6">
      <w:start w:val="1"/>
      <w:numFmt w:val="decimal"/>
      <w:lvlText w:val="%7."/>
      <w:lvlJc w:val="left"/>
      <w:pPr>
        <w:tabs>
          <w:tab w:val="num" w:pos="7988"/>
        </w:tabs>
        <w:ind w:left="7988" w:hanging="360"/>
      </w:pPr>
    </w:lvl>
    <w:lvl w:ilvl="7">
      <w:start w:val="1"/>
      <w:numFmt w:val="lowerLetter"/>
      <w:lvlText w:val="%8."/>
      <w:lvlJc w:val="left"/>
      <w:pPr>
        <w:tabs>
          <w:tab w:val="num" w:pos="8708"/>
        </w:tabs>
        <w:ind w:left="8708" w:hanging="360"/>
      </w:pPr>
    </w:lvl>
    <w:lvl w:ilvl="8">
      <w:start w:val="1"/>
      <w:numFmt w:val="lowerRoman"/>
      <w:lvlText w:val="%9."/>
      <w:lvlJc w:val="right"/>
      <w:pPr>
        <w:tabs>
          <w:tab w:val="num" w:pos="9428"/>
        </w:tabs>
        <w:ind w:left="9428" w:hanging="180"/>
      </w:pPr>
    </w:lvl>
  </w:abstractNum>
  <w:abstractNum w:abstractNumId="2" w15:restartNumberingAfterBreak="0">
    <w:nsid w:val="2734360C"/>
    <w:multiLevelType w:val="hybridMultilevel"/>
    <w:tmpl w:val="FFFFFFFF"/>
    <w:lvl w:ilvl="0" w:tplc="FFFFFFFF">
      <w:start w:val="1"/>
      <w:numFmt w:val="decimal"/>
      <w:lvlText w:val="%1."/>
      <w:lvlJc w:val="left"/>
      <w:pPr>
        <w:ind w:left="720" w:hanging="360"/>
      </w:pPr>
    </w:lvl>
    <w:lvl w:ilvl="1" w:tplc="4D02B2EE">
      <w:start w:val="1"/>
      <w:numFmt w:val="lowerLetter"/>
      <w:lvlText w:val="%2."/>
      <w:lvlJc w:val="left"/>
      <w:pPr>
        <w:ind w:left="1440" w:hanging="360"/>
      </w:pPr>
    </w:lvl>
    <w:lvl w:ilvl="2" w:tplc="DECCD972">
      <w:start w:val="1"/>
      <w:numFmt w:val="lowerRoman"/>
      <w:lvlText w:val="%3."/>
      <w:lvlJc w:val="right"/>
      <w:pPr>
        <w:ind w:left="2160" w:hanging="180"/>
      </w:pPr>
    </w:lvl>
    <w:lvl w:ilvl="3" w:tplc="A8380FA4">
      <w:start w:val="1"/>
      <w:numFmt w:val="decimal"/>
      <w:lvlText w:val="%4."/>
      <w:lvlJc w:val="left"/>
      <w:pPr>
        <w:ind w:left="2880" w:hanging="360"/>
      </w:pPr>
    </w:lvl>
    <w:lvl w:ilvl="4" w:tplc="6C1848EE">
      <w:start w:val="1"/>
      <w:numFmt w:val="lowerLetter"/>
      <w:lvlText w:val="%5."/>
      <w:lvlJc w:val="left"/>
      <w:pPr>
        <w:ind w:left="3600" w:hanging="360"/>
      </w:pPr>
    </w:lvl>
    <w:lvl w:ilvl="5" w:tplc="6A6067AA">
      <w:start w:val="1"/>
      <w:numFmt w:val="lowerRoman"/>
      <w:lvlText w:val="%6."/>
      <w:lvlJc w:val="right"/>
      <w:pPr>
        <w:ind w:left="4320" w:hanging="180"/>
      </w:pPr>
    </w:lvl>
    <w:lvl w:ilvl="6" w:tplc="7EB0A888">
      <w:start w:val="1"/>
      <w:numFmt w:val="decimal"/>
      <w:lvlText w:val="%7."/>
      <w:lvlJc w:val="left"/>
      <w:pPr>
        <w:ind w:left="5040" w:hanging="360"/>
      </w:pPr>
    </w:lvl>
    <w:lvl w:ilvl="7" w:tplc="D8F6CCB0">
      <w:start w:val="1"/>
      <w:numFmt w:val="lowerLetter"/>
      <w:lvlText w:val="%8."/>
      <w:lvlJc w:val="left"/>
      <w:pPr>
        <w:ind w:left="5760" w:hanging="360"/>
      </w:pPr>
    </w:lvl>
    <w:lvl w:ilvl="8" w:tplc="29088D7A">
      <w:start w:val="1"/>
      <w:numFmt w:val="lowerRoman"/>
      <w:lvlText w:val="%9."/>
      <w:lvlJc w:val="right"/>
      <w:pPr>
        <w:ind w:left="6480" w:hanging="180"/>
      </w:pPr>
    </w:lvl>
  </w:abstractNum>
  <w:abstractNum w:abstractNumId="3" w15:restartNumberingAfterBreak="0">
    <w:nsid w:val="2F003D0C"/>
    <w:multiLevelType w:val="multilevel"/>
    <w:tmpl w:val="7C9848CA"/>
    <w:styleLink w:val="WWNum25"/>
    <w:lvl w:ilvl="0">
      <w:start w:val="1"/>
      <w:numFmt w:val="decimal"/>
      <w:lvlText w:val="%1."/>
      <w:lvlJc w:val="left"/>
      <w:pPr>
        <w:ind w:left="1247" w:firstLine="0"/>
      </w:pPr>
      <w:rPr>
        <w:i w:val="0"/>
      </w:rPr>
    </w:lvl>
    <w:lvl w:ilvl="1">
      <w:start w:val="1"/>
      <w:numFmt w:val="lowerLetter"/>
      <w:lvlText w:val="(%2)"/>
      <w:lvlJc w:val="left"/>
      <w:pPr>
        <w:ind w:left="1247" w:firstLine="567"/>
      </w:pPr>
    </w:lvl>
    <w:lvl w:ilvl="2">
      <w:start w:val="1"/>
      <w:numFmt w:val="lowerRoman"/>
      <w:lvlText w:val="(%1.%2.%3)"/>
      <w:lvlJc w:val="left"/>
      <w:pPr>
        <w:ind w:left="2948" w:hanging="567"/>
      </w:pPr>
    </w:lvl>
    <w:lvl w:ilvl="3">
      <w:start w:val="1"/>
      <w:numFmt w:val="lowerLetter"/>
      <w:lvlText w:val="%1.%2.%3.%4."/>
      <w:lvlJc w:val="left"/>
      <w:pPr>
        <w:ind w:left="3515" w:hanging="567"/>
      </w:pPr>
    </w:lvl>
    <w:lvl w:ilvl="4">
      <w:start w:val="1"/>
      <w:numFmt w:val="lowerLetter"/>
      <w:lvlText w:val="%1.%2.%3.%4.%5."/>
      <w:lvlJc w:val="left"/>
      <w:pPr>
        <w:ind w:left="6548" w:hanging="360"/>
      </w:pPr>
    </w:lvl>
    <w:lvl w:ilvl="5">
      <w:start w:val="1"/>
      <w:numFmt w:val="lowerRoman"/>
      <w:lvlText w:val="%1.%2.%3.%4.%5.%6."/>
      <w:lvlJc w:val="right"/>
      <w:pPr>
        <w:ind w:left="7268" w:hanging="180"/>
      </w:pPr>
    </w:lvl>
    <w:lvl w:ilvl="6">
      <w:start w:val="1"/>
      <w:numFmt w:val="decimal"/>
      <w:lvlText w:val="%1.%2.%3.%4.%5.%6.%7."/>
      <w:lvlJc w:val="left"/>
      <w:pPr>
        <w:ind w:left="7988" w:hanging="360"/>
      </w:pPr>
    </w:lvl>
    <w:lvl w:ilvl="7">
      <w:start w:val="1"/>
      <w:numFmt w:val="lowerLetter"/>
      <w:lvlText w:val="%1.%2.%3.%4.%5.%6.%7.%8."/>
      <w:lvlJc w:val="left"/>
      <w:pPr>
        <w:ind w:left="8708" w:hanging="360"/>
      </w:pPr>
    </w:lvl>
    <w:lvl w:ilvl="8">
      <w:start w:val="1"/>
      <w:numFmt w:val="lowerRoman"/>
      <w:lvlText w:val="%1.%2.%3.%4.%5.%6.%7.%8.%9."/>
      <w:lvlJc w:val="right"/>
      <w:pPr>
        <w:ind w:left="9428" w:hanging="180"/>
      </w:pPr>
    </w:lvl>
  </w:abstractNum>
  <w:abstractNum w:abstractNumId="4" w15:restartNumberingAfterBreak="0">
    <w:nsid w:val="45A217B9"/>
    <w:multiLevelType w:val="hybridMultilevel"/>
    <w:tmpl w:val="9ED27720"/>
    <w:lvl w:ilvl="0" w:tplc="A8EE1C58">
      <w:start w:val="1"/>
      <w:numFmt w:val="decimal"/>
      <w:pStyle w:val="MainParagraphwith"/>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66A9D"/>
    <w:multiLevelType w:val="multilevel"/>
    <w:tmpl w:val="C0FC335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6" w15:restartNumberingAfterBreak="0">
    <w:nsid w:val="53D02865"/>
    <w:multiLevelType w:val="multilevel"/>
    <w:tmpl w:val="48241D10"/>
    <w:lvl w:ilvl="0">
      <w:start w:val="1"/>
      <w:numFmt w:val="decimal"/>
      <w:lvlText w:val="%1."/>
      <w:lvlJc w:val="left"/>
      <w:pPr>
        <w:tabs>
          <w:tab w:val="num" w:pos="567"/>
        </w:tabs>
        <w:ind w:left="1247" w:firstLine="0"/>
      </w:pPr>
    </w:lvl>
    <w:lvl w:ilvl="1">
      <w:start w:val="1"/>
      <w:numFmt w:val="lowerLetter"/>
      <w:lvlText w:val="(%2)"/>
      <w:lvlJc w:val="left"/>
      <w:pPr>
        <w:tabs>
          <w:tab w:val="num" w:pos="567"/>
        </w:tabs>
        <w:ind w:left="1247" w:firstLine="567"/>
      </w:pPr>
    </w:lvl>
    <w:lvl w:ilvl="2">
      <w:start w:val="1"/>
      <w:numFmt w:val="lowerRoman"/>
      <w:lvlText w:val="(%3)"/>
      <w:lvlJc w:val="left"/>
      <w:pPr>
        <w:tabs>
          <w:tab w:val="num" w:pos="567"/>
        </w:tabs>
        <w:ind w:left="2948" w:hanging="567"/>
      </w:pPr>
    </w:lvl>
    <w:lvl w:ilvl="3">
      <w:start w:val="1"/>
      <w:numFmt w:val="lowerLetter"/>
      <w:lvlText w:val="%4."/>
      <w:lvlJc w:val="left"/>
      <w:pPr>
        <w:tabs>
          <w:tab w:val="num" w:pos="567"/>
        </w:tabs>
        <w:ind w:left="3515" w:hanging="567"/>
      </w:pPr>
    </w:lvl>
    <w:lvl w:ilvl="4">
      <w:start w:val="1"/>
      <w:numFmt w:val="lowerLetter"/>
      <w:lvlText w:val="%5."/>
      <w:lvlJc w:val="left"/>
      <w:pPr>
        <w:tabs>
          <w:tab w:val="num" w:pos="6548"/>
        </w:tabs>
        <w:ind w:left="6548" w:hanging="360"/>
      </w:pPr>
    </w:lvl>
    <w:lvl w:ilvl="5">
      <w:start w:val="1"/>
      <w:numFmt w:val="lowerRoman"/>
      <w:lvlText w:val="%6."/>
      <w:lvlJc w:val="right"/>
      <w:pPr>
        <w:tabs>
          <w:tab w:val="num" w:pos="7268"/>
        </w:tabs>
        <w:ind w:left="7268" w:hanging="180"/>
      </w:pPr>
    </w:lvl>
    <w:lvl w:ilvl="6">
      <w:start w:val="1"/>
      <w:numFmt w:val="decimal"/>
      <w:lvlText w:val="%7."/>
      <w:lvlJc w:val="left"/>
      <w:pPr>
        <w:tabs>
          <w:tab w:val="num" w:pos="7988"/>
        </w:tabs>
        <w:ind w:left="7988" w:hanging="360"/>
      </w:pPr>
    </w:lvl>
    <w:lvl w:ilvl="7">
      <w:start w:val="1"/>
      <w:numFmt w:val="lowerLetter"/>
      <w:lvlText w:val="%8."/>
      <w:lvlJc w:val="left"/>
      <w:pPr>
        <w:tabs>
          <w:tab w:val="num" w:pos="8708"/>
        </w:tabs>
        <w:ind w:left="8708" w:hanging="360"/>
      </w:pPr>
    </w:lvl>
    <w:lvl w:ilvl="8">
      <w:start w:val="1"/>
      <w:numFmt w:val="lowerRoman"/>
      <w:lvlText w:val="%9."/>
      <w:lvlJc w:val="right"/>
      <w:pPr>
        <w:tabs>
          <w:tab w:val="num" w:pos="9428"/>
        </w:tabs>
        <w:ind w:left="9428" w:hanging="180"/>
      </w:pPr>
    </w:lvl>
  </w:abstractNum>
  <w:abstractNum w:abstractNumId="7" w15:restartNumberingAfterBreak="0">
    <w:nsid w:val="5AF237E7"/>
    <w:multiLevelType w:val="hybridMultilevel"/>
    <w:tmpl w:val="7D50DD6E"/>
    <w:lvl w:ilvl="0" w:tplc="BC327BF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AD95E7D"/>
    <w:multiLevelType w:val="hybridMultilevel"/>
    <w:tmpl w:val="AB545AF2"/>
    <w:lvl w:ilvl="0" w:tplc="FFFFFFFF">
      <w:start w:val="1"/>
      <w:numFmt w:val="lowerLetter"/>
      <w:lvlText w:val="(%1)"/>
      <w:lvlJc w:val="left"/>
      <w:pPr>
        <w:tabs>
          <w:tab w:val="num" w:pos="1239"/>
        </w:tabs>
        <w:ind w:left="1239" w:firstLine="0"/>
      </w:pPr>
      <w:rPr>
        <w:rFonts w:hint="default"/>
        <w:b/>
        <w:i w:val="0"/>
        <w:sz w:val="24"/>
        <w:szCs w:val="24"/>
      </w:rPr>
    </w:lvl>
    <w:lvl w:ilvl="1" w:tplc="FFFFFFFF">
      <w:start w:val="1"/>
      <w:numFmt w:val="lowerLetter"/>
      <w:lvlText w:val="%2."/>
      <w:lvlJc w:val="left"/>
      <w:pPr>
        <w:tabs>
          <w:tab w:val="num" w:pos="3155"/>
        </w:tabs>
        <w:ind w:left="3155" w:hanging="360"/>
      </w:pPr>
    </w:lvl>
    <w:lvl w:ilvl="2" w:tplc="FFFFFFFF" w:tentative="1">
      <w:start w:val="1"/>
      <w:numFmt w:val="lowerRoman"/>
      <w:lvlText w:val="%3."/>
      <w:lvlJc w:val="right"/>
      <w:pPr>
        <w:tabs>
          <w:tab w:val="num" w:pos="3875"/>
        </w:tabs>
        <w:ind w:left="3875" w:hanging="180"/>
      </w:pPr>
    </w:lvl>
    <w:lvl w:ilvl="3" w:tplc="FFFFFFFF" w:tentative="1">
      <w:start w:val="1"/>
      <w:numFmt w:val="decimal"/>
      <w:lvlText w:val="%4."/>
      <w:lvlJc w:val="left"/>
      <w:pPr>
        <w:tabs>
          <w:tab w:val="num" w:pos="4595"/>
        </w:tabs>
        <w:ind w:left="4595" w:hanging="360"/>
      </w:pPr>
    </w:lvl>
    <w:lvl w:ilvl="4" w:tplc="FFFFFFFF" w:tentative="1">
      <w:start w:val="1"/>
      <w:numFmt w:val="lowerLetter"/>
      <w:lvlText w:val="%5."/>
      <w:lvlJc w:val="left"/>
      <w:pPr>
        <w:tabs>
          <w:tab w:val="num" w:pos="5315"/>
        </w:tabs>
        <w:ind w:left="5315" w:hanging="360"/>
      </w:pPr>
    </w:lvl>
    <w:lvl w:ilvl="5" w:tplc="FFFFFFFF" w:tentative="1">
      <w:start w:val="1"/>
      <w:numFmt w:val="lowerRoman"/>
      <w:lvlText w:val="%6."/>
      <w:lvlJc w:val="right"/>
      <w:pPr>
        <w:tabs>
          <w:tab w:val="num" w:pos="6035"/>
        </w:tabs>
        <w:ind w:left="6035" w:hanging="180"/>
      </w:pPr>
    </w:lvl>
    <w:lvl w:ilvl="6" w:tplc="FFFFFFFF" w:tentative="1">
      <w:start w:val="1"/>
      <w:numFmt w:val="decimal"/>
      <w:lvlText w:val="%7."/>
      <w:lvlJc w:val="left"/>
      <w:pPr>
        <w:tabs>
          <w:tab w:val="num" w:pos="6755"/>
        </w:tabs>
        <w:ind w:left="6755" w:hanging="360"/>
      </w:pPr>
    </w:lvl>
    <w:lvl w:ilvl="7" w:tplc="FFFFFFFF" w:tentative="1">
      <w:start w:val="1"/>
      <w:numFmt w:val="lowerLetter"/>
      <w:lvlText w:val="%8."/>
      <w:lvlJc w:val="left"/>
      <w:pPr>
        <w:tabs>
          <w:tab w:val="num" w:pos="7475"/>
        </w:tabs>
        <w:ind w:left="7475" w:hanging="360"/>
      </w:pPr>
    </w:lvl>
    <w:lvl w:ilvl="8" w:tplc="FFFFFFFF" w:tentative="1">
      <w:start w:val="1"/>
      <w:numFmt w:val="lowerRoman"/>
      <w:lvlText w:val="%9."/>
      <w:lvlJc w:val="right"/>
      <w:pPr>
        <w:tabs>
          <w:tab w:val="num" w:pos="8195"/>
        </w:tabs>
        <w:ind w:left="8195" w:hanging="180"/>
      </w:pPr>
    </w:lvl>
  </w:abstractNum>
  <w:abstractNum w:abstractNumId="9" w15:restartNumberingAfterBreak="0">
    <w:nsid w:val="7F5401DB"/>
    <w:multiLevelType w:val="hybridMultilevel"/>
    <w:tmpl w:val="124C42D0"/>
    <w:lvl w:ilvl="0" w:tplc="79A29868">
      <w:start w:val="1"/>
      <w:numFmt w:val="decimal"/>
      <w:lvlText w:val="%1."/>
      <w:lvlJc w:val="left"/>
      <w:pPr>
        <w:ind w:left="6598" w:hanging="360"/>
      </w:pPr>
      <w:rPr>
        <w:b w:val="0"/>
        <w:bCs w:val="0"/>
        <w:i w:val="0"/>
        <w:iCs w:val="0"/>
        <w:sz w:val="22"/>
        <w:szCs w:val="22"/>
      </w:rPr>
    </w:lvl>
    <w:lvl w:ilvl="1" w:tplc="892E4B50">
      <w:start w:val="1"/>
      <w:numFmt w:val="lowerLetter"/>
      <w:lvlText w:val="%2)"/>
      <w:lvlJc w:val="left"/>
      <w:pPr>
        <w:ind w:left="720" w:hanging="360"/>
      </w:pPr>
      <w:rPr>
        <w:b w:val="0"/>
        <w:bCs w:val="0"/>
      </w:rPr>
    </w:lvl>
    <w:lvl w:ilvl="2" w:tplc="842295C0">
      <w:start w:val="1"/>
      <w:numFmt w:val="lowerRoman"/>
      <w:lvlText w:val="%3)"/>
      <w:lvlJc w:val="left"/>
      <w:pPr>
        <w:ind w:left="1080" w:hanging="360"/>
      </w:pPr>
    </w:lvl>
    <w:lvl w:ilvl="3" w:tplc="4DCCF6E2">
      <w:start w:val="1"/>
      <w:numFmt w:val="decimal"/>
      <w:lvlText w:val="(%4)"/>
      <w:lvlJc w:val="left"/>
      <w:pPr>
        <w:ind w:left="1440" w:hanging="360"/>
      </w:pPr>
    </w:lvl>
    <w:lvl w:ilvl="4" w:tplc="DF1E0A76">
      <w:start w:val="1"/>
      <w:numFmt w:val="lowerLetter"/>
      <w:lvlText w:val="(%5)"/>
      <w:lvlJc w:val="left"/>
      <w:pPr>
        <w:ind w:left="1800" w:hanging="360"/>
      </w:pPr>
    </w:lvl>
    <w:lvl w:ilvl="5" w:tplc="C302C3D6">
      <w:start w:val="1"/>
      <w:numFmt w:val="lowerRoman"/>
      <w:lvlText w:val="(%6)"/>
      <w:lvlJc w:val="left"/>
      <w:pPr>
        <w:ind w:left="2160" w:hanging="360"/>
      </w:pPr>
    </w:lvl>
    <w:lvl w:ilvl="6" w:tplc="8E642456">
      <w:start w:val="1"/>
      <w:numFmt w:val="decimal"/>
      <w:lvlText w:val="%7."/>
      <w:lvlJc w:val="left"/>
      <w:pPr>
        <w:ind w:left="2520" w:hanging="360"/>
      </w:pPr>
    </w:lvl>
    <w:lvl w:ilvl="7" w:tplc="7CAEA940">
      <w:start w:val="1"/>
      <w:numFmt w:val="lowerLetter"/>
      <w:lvlText w:val="%8."/>
      <w:lvlJc w:val="left"/>
      <w:pPr>
        <w:ind w:left="2880" w:hanging="360"/>
      </w:pPr>
    </w:lvl>
    <w:lvl w:ilvl="8" w:tplc="91A4C36E">
      <w:start w:val="1"/>
      <w:numFmt w:val="lowerRoman"/>
      <w:lvlText w:val="%9."/>
      <w:lvlJc w:val="left"/>
      <w:pPr>
        <w:ind w:left="3240" w:hanging="360"/>
      </w:pPr>
    </w:lvl>
  </w:abstractNum>
  <w:num w:numId="1" w16cid:durableId="667565261">
    <w:abstractNumId w:val="5"/>
    <w:lvlOverride w:ilvl="0">
      <w:lvl w:ilvl="0">
        <w:start w:val="1"/>
        <w:numFmt w:val="decimal"/>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 w16cid:durableId="1494448980">
    <w:abstractNumId w:val="5"/>
  </w:num>
  <w:num w:numId="3" w16cid:durableId="1473330341">
    <w:abstractNumId w:val="4"/>
  </w:num>
  <w:num w:numId="4" w16cid:durableId="1271888085">
    <w:abstractNumId w:val="3"/>
  </w:num>
  <w:num w:numId="5" w16cid:durableId="880821395">
    <w:abstractNumId w:val="6"/>
  </w:num>
  <w:num w:numId="6" w16cid:durableId="555508504">
    <w:abstractNumId w:val="2"/>
  </w:num>
  <w:num w:numId="7" w16cid:durableId="855851600">
    <w:abstractNumId w:val="0"/>
  </w:num>
  <w:num w:numId="8" w16cid:durableId="807555644">
    <w:abstractNumId w:val="8"/>
  </w:num>
  <w:num w:numId="9" w16cid:durableId="1810518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1053883">
    <w:abstractNumId w:val="1"/>
  </w:num>
  <w:num w:numId="11" w16cid:durableId="317998940">
    <w:abstractNumId w:val="5"/>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2" w16cid:durableId="18838577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8"/>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00138"/>
    <w:rsid w:val="000149E6"/>
    <w:rsid w:val="00024044"/>
    <w:rsid w:val="00024563"/>
    <w:rsid w:val="000247B0"/>
    <w:rsid w:val="00026997"/>
    <w:rsid w:val="00033E0B"/>
    <w:rsid w:val="00035EDE"/>
    <w:rsid w:val="00044340"/>
    <w:rsid w:val="00044C2D"/>
    <w:rsid w:val="000509B4"/>
    <w:rsid w:val="0006035B"/>
    <w:rsid w:val="00071886"/>
    <w:rsid w:val="000742BC"/>
    <w:rsid w:val="00082A0C"/>
    <w:rsid w:val="00083504"/>
    <w:rsid w:val="00086E4E"/>
    <w:rsid w:val="000941E5"/>
    <w:rsid w:val="0009640C"/>
    <w:rsid w:val="000A0314"/>
    <w:rsid w:val="000A2F4F"/>
    <w:rsid w:val="000B22A2"/>
    <w:rsid w:val="000B5BC8"/>
    <w:rsid w:val="000C0F46"/>
    <w:rsid w:val="000C2A52"/>
    <w:rsid w:val="000C4236"/>
    <w:rsid w:val="000C4332"/>
    <w:rsid w:val="000C43F1"/>
    <w:rsid w:val="000D0733"/>
    <w:rsid w:val="000D33C0"/>
    <w:rsid w:val="000D68D2"/>
    <w:rsid w:val="000D6941"/>
    <w:rsid w:val="000F3AB7"/>
    <w:rsid w:val="000F4462"/>
    <w:rsid w:val="000F5001"/>
    <w:rsid w:val="00101F11"/>
    <w:rsid w:val="00103655"/>
    <w:rsid w:val="00117EA5"/>
    <w:rsid w:val="001202E3"/>
    <w:rsid w:val="00123699"/>
    <w:rsid w:val="00123AD2"/>
    <w:rsid w:val="0012644F"/>
    <w:rsid w:val="0013059D"/>
    <w:rsid w:val="00141087"/>
    <w:rsid w:val="00141A55"/>
    <w:rsid w:val="001446A3"/>
    <w:rsid w:val="00145960"/>
    <w:rsid w:val="00146100"/>
    <w:rsid w:val="0015442E"/>
    <w:rsid w:val="00155395"/>
    <w:rsid w:val="00155CF6"/>
    <w:rsid w:val="00156903"/>
    <w:rsid w:val="00160D74"/>
    <w:rsid w:val="00167D02"/>
    <w:rsid w:val="00180B0F"/>
    <w:rsid w:val="00181EC8"/>
    <w:rsid w:val="00184349"/>
    <w:rsid w:val="001861C0"/>
    <w:rsid w:val="0019316C"/>
    <w:rsid w:val="00193DC9"/>
    <w:rsid w:val="00195E9F"/>
    <w:rsid w:val="00195F33"/>
    <w:rsid w:val="001A7D16"/>
    <w:rsid w:val="001B1617"/>
    <w:rsid w:val="001B504B"/>
    <w:rsid w:val="001B7D42"/>
    <w:rsid w:val="001C3EEC"/>
    <w:rsid w:val="001D3874"/>
    <w:rsid w:val="001D7E75"/>
    <w:rsid w:val="001E56D2"/>
    <w:rsid w:val="001E7D56"/>
    <w:rsid w:val="001F51C8"/>
    <w:rsid w:val="001F75DE"/>
    <w:rsid w:val="00200D58"/>
    <w:rsid w:val="002013BE"/>
    <w:rsid w:val="002063A4"/>
    <w:rsid w:val="00207847"/>
    <w:rsid w:val="0021145B"/>
    <w:rsid w:val="00222FB4"/>
    <w:rsid w:val="0023242F"/>
    <w:rsid w:val="00234B59"/>
    <w:rsid w:val="00243D36"/>
    <w:rsid w:val="00247707"/>
    <w:rsid w:val="00250B6D"/>
    <w:rsid w:val="002525C0"/>
    <w:rsid w:val="00257E5F"/>
    <w:rsid w:val="0026018E"/>
    <w:rsid w:val="00260799"/>
    <w:rsid w:val="00262AF5"/>
    <w:rsid w:val="002636E4"/>
    <w:rsid w:val="00271793"/>
    <w:rsid w:val="00275DA1"/>
    <w:rsid w:val="002768BA"/>
    <w:rsid w:val="00286740"/>
    <w:rsid w:val="002929D8"/>
    <w:rsid w:val="002A1C1C"/>
    <w:rsid w:val="002A237D"/>
    <w:rsid w:val="002A4C53"/>
    <w:rsid w:val="002B0672"/>
    <w:rsid w:val="002B247F"/>
    <w:rsid w:val="002B7FC7"/>
    <w:rsid w:val="002C050E"/>
    <w:rsid w:val="002C145D"/>
    <w:rsid w:val="002C2C3E"/>
    <w:rsid w:val="002C533E"/>
    <w:rsid w:val="002C79E4"/>
    <w:rsid w:val="002C7A45"/>
    <w:rsid w:val="002C7AC1"/>
    <w:rsid w:val="002D027F"/>
    <w:rsid w:val="002D5861"/>
    <w:rsid w:val="002D7A85"/>
    <w:rsid w:val="002D7B60"/>
    <w:rsid w:val="002E55DB"/>
    <w:rsid w:val="002F4761"/>
    <w:rsid w:val="002F5C79"/>
    <w:rsid w:val="003019E2"/>
    <w:rsid w:val="0030293A"/>
    <w:rsid w:val="003140A7"/>
    <w:rsid w:val="0031413F"/>
    <w:rsid w:val="003148BB"/>
    <w:rsid w:val="00317976"/>
    <w:rsid w:val="00323B86"/>
    <w:rsid w:val="00324B1A"/>
    <w:rsid w:val="00325A36"/>
    <w:rsid w:val="00346524"/>
    <w:rsid w:val="00352C05"/>
    <w:rsid w:val="00355EA9"/>
    <w:rsid w:val="00355EC7"/>
    <w:rsid w:val="00356D48"/>
    <w:rsid w:val="003578DE"/>
    <w:rsid w:val="003605A0"/>
    <w:rsid w:val="00362047"/>
    <w:rsid w:val="00362877"/>
    <w:rsid w:val="0036669D"/>
    <w:rsid w:val="00370195"/>
    <w:rsid w:val="003720DF"/>
    <w:rsid w:val="00372781"/>
    <w:rsid w:val="003773B1"/>
    <w:rsid w:val="00383423"/>
    <w:rsid w:val="00386AB0"/>
    <w:rsid w:val="0039169B"/>
    <w:rsid w:val="00391B5C"/>
    <w:rsid w:val="00392F9C"/>
    <w:rsid w:val="00396257"/>
    <w:rsid w:val="003963DF"/>
    <w:rsid w:val="00397EB8"/>
    <w:rsid w:val="003A1C5B"/>
    <w:rsid w:val="003A39CA"/>
    <w:rsid w:val="003A4FD0"/>
    <w:rsid w:val="003A69D1"/>
    <w:rsid w:val="003A7705"/>
    <w:rsid w:val="003A77F1"/>
    <w:rsid w:val="003B1545"/>
    <w:rsid w:val="003B5FFF"/>
    <w:rsid w:val="003C409D"/>
    <w:rsid w:val="003C41CC"/>
    <w:rsid w:val="003C5BA6"/>
    <w:rsid w:val="003D104A"/>
    <w:rsid w:val="003D3BD1"/>
    <w:rsid w:val="003E6D0D"/>
    <w:rsid w:val="003E6F41"/>
    <w:rsid w:val="003E7DE3"/>
    <w:rsid w:val="003F06BB"/>
    <w:rsid w:val="003F0960"/>
    <w:rsid w:val="003F0E85"/>
    <w:rsid w:val="00405A53"/>
    <w:rsid w:val="00406F8E"/>
    <w:rsid w:val="00410C55"/>
    <w:rsid w:val="00411BFB"/>
    <w:rsid w:val="0041434A"/>
    <w:rsid w:val="00415216"/>
    <w:rsid w:val="00416854"/>
    <w:rsid w:val="00417725"/>
    <w:rsid w:val="00422C1F"/>
    <w:rsid w:val="00427EA7"/>
    <w:rsid w:val="004341AF"/>
    <w:rsid w:val="00435FD9"/>
    <w:rsid w:val="00437F26"/>
    <w:rsid w:val="00442D59"/>
    <w:rsid w:val="00444097"/>
    <w:rsid w:val="00445487"/>
    <w:rsid w:val="00450F39"/>
    <w:rsid w:val="00454769"/>
    <w:rsid w:val="00466991"/>
    <w:rsid w:val="0047064C"/>
    <w:rsid w:val="004747C7"/>
    <w:rsid w:val="00485FE2"/>
    <w:rsid w:val="0048721E"/>
    <w:rsid w:val="004938DF"/>
    <w:rsid w:val="00494164"/>
    <w:rsid w:val="004A42E1"/>
    <w:rsid w:val="004B0CFA"/>
    <w:rsid w:val="004B162C"/>
    <w:rsid w:val="004B524F"/>
    <w:rsid w:val="004B614E"/>
    <w:rsid w:val="004C3DBE"/>
    <w:rsid w:val="004C5C96"/>
    <w:rsid w:val="004C770E"/>
    <w:rsid w:val="004D06A4"/>
    <w:rsid w:val="004D2FA3"/>
    <w:rsid w:val="004D7070"/>
    <w:rsid w:val="004E2F78"/>
    <w:rsid w:val="004E6BFC"/>
    <w:rsid w:val="004F1A81"/>
    <w:rsid w:val="004F29A5"/>
    <w:rsid w:val="004F6369"/>
    <w:rsid w:val="0050030C"/>
    <w:rsid w:val="0050052E"/>
    <w:rsid w:val="005114D5"/>
    <w:rsid w:val="005218D9"/>
    <w:rsid w:val="005318B3"/>
    <w:rsid w:val="00536186"/>
    <w:rsid w:val="005369CB"/>
    <w:rsid w:val="00537579"/>
    <w:rsid w:val="00543BE3"/>
    <w:rsid w:val="00544CBB"/>
    <w:rsid w:val="00545860"/>
    <w:rsid w:val="00551104"/>
    <w:rsid w:val="00561676"/>
    <w:rsid w:val="00562867"/>
    <w:rsid w:val="00565938"/>
    <w:rsid w:val="00566B59"/>
    <w:rsid w:val="005706D5"/>
    <w:rsid w:val="00570873"/>
    <w:rsid w:val="0057315F"/>
    <w:rsid w:val="00576104"/>
    <w:rsid w:val="00580E5B"/>
    <w:rsid w:val="0058703C"/>
    <w:rsid w:val="00587F77"/>
    <w:rsid w:val="00592C7D"/>
    <w:rsid w:val="00593348"/>
    <w:rsid w:val="005950A5"/>
    <w:rsid w:val="005B1A6E"/>
    <w:rsid w:val="005B42A6"/>
    <w:rsid w:val="005B6AB1"/>
    <w:rsid w:val="005C3135"/>
    <w:rsid w:val="005C67C8"/>
    <w:rsid w:val="005D0249"/>
    <w:rsid w:val="005D1DA1"/>
    <w:rsid w:val="005D392B"/>
    <w:rsid w:val="005D4291"/>
    <w:rsid w:val="005D6E8C"/>
    <w:rsid w:val="005E4B62"/>
    <w:rsid w:val="005E5EAA"/>
    <w:rsid w:val="005F0273"/>
    <w:rsid w:val="005F100C"/>
    <w:rsid w:val="005F68DA"/>
    <w:rsid w:val="005F7D5C"/>
    <w:rsid w:val="006017C3"/>
    <w:rsid w:val="0060773B"/>
    <w:rsid w:val="006124BE"/>
    <w:rsid w:val="006157B5"/>
    <w:rsid w:val="0062206D"/>
    <w:rsid w:val="00622D02"/>
    <w:rsid w:val="00626FC6"/>
    <w:rsid w:val="006303B4"/>
    <w:rsid w:val="00633D3D"/>
    <w:rsid w:val="00641703"/>
    <w:rsid w:val="006431A6"/>
    <w:rsid w:val="00644900"/>
    <w:rsid w:val="006459F6"/>
    <w:rsid w:val="00646088"/>
    <w:rsid w:val="006501AD"/>
    <w:rsid w:val="00651BFA"/>
    <w:rsid w:val="006520E8"/>
    <w:rsid w:val="00654475"/>
    <w:rsid w:val="006562BF"/>
    <w:rsid w:val="00665A4B"/>
    <w:rsid w:val="00665A4E"/>
    <w:rsid w:val="006661FC"/>
    <w:rsid w:val="00667363"/>
    <w:rsid w:val="00670863"/>
    <w:rsid w:val="006717E6"/>
    <w:rsid w:val="00671B16"/>
    <w:rsid w:val="00673665"/>
    <w:rsid w:val="00680611"/>
    <w:rsid w:val="006810B7"/>
    <w:rsid w:val="006869B3"/>
    <w:rsid w:val="00690A28"/>
    <w:rsid w:val="00692E2A"/>
    <w:rsid w:val="006A0885"/>
    <w:rsid w:val="006A0D90"/>
    <w:rsid w:val="006A6C23"/>
    <w:rsid w:val="006A76F2"/>
    <w:rsid w:val="006A7FF9"/>
    <w:rsid w:val="006D1C7C"/>
    <w:rsid w:val="006D3D75"/>
    <w:rsid w:val="006D4F04"/>
    <w:rsid w:val="006D7EFB"/>
    <w:rsid w:val="006E3C57"/>
    <w:rsid w:val="006E6672"/>
    <w:rsid w:val="006E6722"/>
    <w:rsid w:val="006F144C"/>
    <w:rsid w:val="006F5276"/>
    <w:rsid w:val="007027B9"/>
    <w:rsid w:val="0071476D"/>
    <w:rsid w:val="00714C9C"/>
    <w:rsid w:val="00715E88"/>
    <w:rsid w:val="00721A43"/>
    <w:rsid w:val="0072353B"/>
    <w:rsid w:val="0072596A"/>
    <w:rsid w:val="0072697E"/>
    <w:rsid w:val="00727122"/>
    <w:rsid w:val="00734CAA"/>
    <w:rsid w:val="007366A6"/>
    <w:rsid w:val="00741B20"/>
    <w:rsid w:val="00742E92"/>
    <w:rsid w:val="00750BA0"/>
    <w:rsid w:val="00751150"/>
    <w:rsid w:val="00751561"/>
    <w:rsid w:val="00751C7B"/>
    <w:rsid w:val="00754F55"/>
    <w:rsid w:val="0075533C"/>
    <w:rsid w:val="00757581"/>
    <w:rsid w:val="007611A0"/>
    <w:rsid w:val="0076147A"/>
    <w:rsid w:val="007621FC"/>
    <w:rsid w:val="00765500"/>
    <w:rsid w:val="007828A5"/>
    <w:rsid w:val="007841F5"/>
    <w:rsid w:val="00784ADB"/>
    <w:rsid w:val="00786738"/>
    <w:rsid w:val="0079019B"/>
    <w:rsid w:val="00796D3F"/>
    <w:rsid w:val="007A1683"/>
    <w:rsid w:val="007A5C12"/>
    <w:rsid w:val="007A7CB0"/>
    <w:rsid w:val="007B24F8"/>
    <w:rsid w:val="007B68A3"/>
    <w:rsid w:val="007C2541"/>
    <w:rsid w:val="007C521D"/>
    <w:rsid w:val="007C5BC9"/>
    <w:rsid w:val="007C5CDF"/>
    <w:rsid w:val="007D497E"/>
    <w:rsid w:val="007D66A8"/>
    <w:rsid w:val="007D7C1F"/>
    <w:rsid w:val="007E003F"/>
    <w:rsid w:val="007E191D"/>
    <w:rsid w:val="007E3BE1"/>
    <w:rsid w:val="007F723A"/>
    <w:rsid w:val="00811E10"/>
    <w:rsid w:val="00812FB0"/>
    <w:rsid w:val="008164F2"/>
    <w:rsid w:val="00816B5F"/>
    <w:rsid w:val="008201A2"/>
    <w:rsid w:val="00821395"/>
    <w:rsid w:val="00824FC7"/>
    <w:rsid w:val="00830A5E"/>
    <w:rsid w:val="00830E26"/>
    <w:rsid w:val="00837AD8"/>
    <w:rsid w:val="0084113F"/>
    <w:rsid w:val="00843576"/>
    <w:rsid w:val="00843B64"/>
    <w:rsid w:val="008440A9"/>
    <w:rsid w:val="008478FC"/>
    <w:rsid w:val="0086518B"/>
    <w:rsid w:val="00865644"/>
    <w:rsid w:val="00867BFF"/>
    <w:rsid w:val="00876B4A"/>
    <w:rsid w:val="00880CCB"/>
    <w:rsid w:val="0088480A"/>
    <w:rsid w:val="0088757A"/>
    <w:rsid w:val="008957DD"/>
    <w:rsid w:val="00897D98"/>
    <w:rsid w:val="008A1EFE"/>
    <w:rsid w:val="008A3441"/>
    <w:rsid w:val="008A6DF2"/>
    <w:rsid w:val="008A7807"/>
    <w:rsid w:val="008B4456"/>
    <w:rsid w:val="008B49E6"/>
    <w:rsid w:val="008B4CC9"/>
    <w:rsid w:val="008C53CE"/>
    <w:rsid w:val="008D7C99"/>
    <w:rsid w:val="008E0FCB"/>
    <w:rsid w:val="008F201B"/>
    <w:rsid w:val="008F5D00"/>
    <w:rsid w:val="0092178C"/>
    <w:rsid w:val="0092184C"/>
    <w:rsid w:val="00922026"/>
    <w:rsid w:val="00924DE9"/>
    <w:rsid w:val="00930B88"/>
    <w:rsid w:val="00930E68"/>
    <w:rsid w:val="0094095A"/>
    <w:rsid w:val="00940DCC"/>
    <w:rsid w:val="0094179A"/>
    <w:rsid w:val="0094459E"/>
    <w:rsid w:val="00944DBC"/>
    <w:rsid w:val="009473C6"/>
    <w:rsid w:val="00950977"/>
    <w:rsid w:val="00951A7B"/>
    <w:rsid w:val="009564A6"/>
    <w:rsid w:val="00962471"/>
    <w:rsid w:val="00967621"/>
    <w:rsid w:val="00967E6A"/>
    <w:rsid w:val="00984069"/>
    <w:rsid w:val="00985CFA"/>
    <w:rsid w:val="009911FF"/>
    <w:rsid w:val="00992DE3"/>
    <w:rsid w:val="009A1637"/>
    <w:rsid w:val="009A3EEB"/>
    <w:rsid w:val="009B13B8"/>
    <w:rsid w:val="009B3E06"/>
    <w:rsid w:val="009B4A0F"/>
    <w:rsid w:val="009C11D2"/>
    <w:rsid w:val="009C6C70"/>
    <w:rsid w:val="009D055B"/>
    <w:rsid w:val="009D0B63"/>
    <w:rsid w:val="009D7B82"/>
    <w:rsid w:val="009D7DFF"/>
    <w:rsid w:val="009E24BE"/>
    <w:rsid w:val="009E2F3F"/>
    <w:rsid w:val="009E307E"/>
    <w:rsid w:val="009F165C"/>
    <w:rsid w:val="00A001C6"/>
    <w:rsid w:val="00A022DB"/>
    <w:rsid w:val="00A03B6E"/>
    <w:rsid w:val="00A07870"/>
    <w:rsid w:val="00A07F19"/>
    <w:rsid w:val="00A11B9F"/>
    <w:rsid w:val="00A1348D"/>
    <w:rsid w:val="00A142E9"/>
    <w:rsid w:val="00A15B24"/>
    <w:rsid w:val="00A15F10"/>
    <w:rsid w:val="00A175E5"/>
    <w:rsid w:val="00A232EE"/>
    <w:rsid w:val="00A32F74"/>
    <w:rsid w:val="00A33CB7"/>
    <w:rsid w:val="00A3546E"/>
    <w:rsid w:val="00A35EA7"/>
    <w:rsid w:val="00A4175F"/>
    <w:rsid w:val="00A44411"/>
    <w:rsid w:val="00A469FA"/>
    <w:rsid w:val="00A55B01"/>
    <w:rsid w:val="00A56B5B"/>
    <w:rsid w:val="00A603FF"/>
    <w:rsid w:val="00A63B48"/>
    <w:rsid w:val="00A657DD"/>
    <w:rsid w:val="00A666A6"/>
    <w:rsid w:val="00A675FD"/>
    <w:rsid w:val="00A706CF"/>
    <w:rsid w:val="00A71EFB"/>
    <w:rsid w:val="00A72437"/>
    <w:rsid w:val="00A80611"/>
    <w:rsid w:val="00A81873"/>
    <w:rsid w:val="00A83934"/>
    <w:rsid w:val="00A84ED1"/>
    <w:rsid w:val="00A8525D"/>
    <w:rsid w:val="00A909A8"/>
    <w:rsid w:val="00A94604"/>
    <w:rsid w:val="00A96846"/>
    <w:rsid w:val="00AB3776"/>
    <w:rsid w:val="00AB5340"/>
    <w:rsid w:val="00AB696F"/>
    <w:rsid w:val="00AC0A89"/>
    <w:rsid w:val="00AC16DF"/>
    <w:rsid w:val="00AC4070"/>
    <w:rsid w:val="00AC5CBF"/>
    <w:rsid w:val="00AC7C96"/>
    <w:rsid w:val="00AC7FD3"/>
    <w:rsid w:val="00AE237D"/>
    <w:rsid w:val="00AE2EFF"/>
    <w:rsid w:val="00AE502A"/>
    <w:rsid w:val="00AE6AB6"/>
    <w:rsid w:val="00AF62B5"/>
    <w:rsid w:val="00AF7C07"/>
    <w:rsid w:val="00B11663"/>
    <w:rsid w:val="00B12787"/>
    <w:rsid w:val="00B12B35"/>
    <w:rsid w:val="00B21113"/>
    <w:rsid w:val="00B22C93"/>
    <w:rsid w:val="00B27589"/>
    <w:rsid w:val="00B405B7"/>
    <w:rsid w:val="00B40CD8"/>
    <w:rsid w:val="00B4162D"/>
    <w:rsid w:val="00B52222"/>
    <w:rsid w:val="00B52657"/>
    <w:rsid w:val="00B53F9F"/>
    <w:rsid w:val="00B5428A"/>
    <w:rsid w:val="00B54847"/>
    <w:rsid w:val="00B54FE7"/>
    <w:rsid w:val="00B66901"/>
    <w:rsid w:val="00B71E6D"/>
    <w:rsid w:val="00B72070"/>
    <w:rsid w:val="00B72141"/>
    <w:rsid w:val="00B737E9"/>
    <w:rsid w:val="00B779E1"/>
    <w:rsid w:val="00B849E3"/>
    <w:rsid w:val="00B84D51"/>
    <w:rsid w:val="00B91EE1"/>
    <w:rsid w:val="00B925AB"/>
    <w:rsid w:val="00B95E84"/>
    <w:rsid w:val="00BA0090"/>
    <w:rsid w:val="00BA0141"/>
    <w:rsid w:val="00BA1A67"/>
    <w:rsid w:val="00BA4BC6"/>
    <w:rsid w:val="00BA7128"/>
    <w:rsid w:val="00BA76FC"/>
    <w:rsid w:val="00BB7E4C"/>
    <w:rsid w:val="00BC27D2"/>
    <w:rsid w:val="00BE5B5F"/>
    <w:rsid w:val="00BF0D1A"/>
    <w:rsid w:val="00BF17E5"/>
    <w:rsid w:val="00BF2E3F"/>
    <w:rsid w:val="00BF3624"/>
    <w:rsid w:val="00C059F0"/>
    <w:rsid w:val="00C0725D"/>
    <w:rsid w:val="00C10269"/>
    <w:rsid w:val="00C228DB"/>
    <w:rsid w:val="00C23C8F"/>
    <w:rsid w:val="00C26F55"/>
    <w:rsid w:val="00C30C63"/>
    <w:rsid w:val="00C35E52"/>
    <w:rsid w:val="00C36B8B"/>
    <w:rsid w:val="00C415C1"/>
    <w:rsid w:val="00C47DBF"/>
    <w:rsid w:val="00C52911"/>
    <w:rsid w:val="00C52AC2"/>
    <w:rsid w:val="00C552FF"/>
    <w:rsid w:val="00C558DA"/>
    <w:rsid w:val="00C55AF3"/>
    <w:rsid w:val="00C769BA"/>
    <w:rsid w:val="00C81F5A"/>
    <w:rsid w:val="00C84178"/>
    <w:rsid w:val="00C84759"/>
    <w:rsid w:val="00C86D73"/>
    <w:rsid w:val="00CA4922"/>
    <w:rsid w:val="00CA6C7F"/>
    <w:rsid w:val="00CB6FEA"/>
    <w:rsid w:val="00CC10A6"/>
    <w:rsid w:val="00CC2FDC"/>
    <w:rsid w:val="00CC38D6"/>
    <w:rsid w:val="00CC7694"/>
    <w:rsid w:val="00CC7F63"/>
    <w:rsid w:val="00CD2FCD"/>
    <w:rsid w:val="00CD5EB8"/>
    <w:rsid w:val="00CD7044"/>
    <w:rsid w:val="00CE08B9"/>
    <w:rsid w:val="00CE3103"/>
    <w:rsid w:val="00CE524C"/>
    <w:rsid w:val="00CF141F"/>
    <w:rsid w:val="00CF156B"/>
    <w:rsid w:val="00CF4777"/>
    <w:rsid w:val="00CF626E"/>
    <w:rsid w:val="00D002ED"/>
    <w:rsid w:val="00D04189"/>
    <w:rsid w:val="00D04DF1"/>
    <w:rsid w:val="00D067BB"/>
    <w:rsid w:val="00D07EDB"/>
    <w:rsid w:val="00D1352A"/>
    <w:rsid w:val="00D13873"/>
    <w:rsid w:val="00D169AF"/>
    <w:rsid w:val="00D22352"/>
    <w:rsid w:val="00D25249"/>
    <w:rsid w:val="00D25ED8"/>
    <w:rsid w:val="00D31EE2"/>
    <w:rsid w:val="00D329F4"/>
    <w:rsid w:val="00D33365"/>
    <w:rsid w:val="00D34DE9"/>
    <w:rsid w:val="00D35635"/>
    <w:rsid w:val="00D35F94"/>
    <w:rsid w:val="00D44172"/>
    <w:rsid w:val="00D61FBB"/>
    <w:rsid w:val="00D63B8C"/>
    <w:rsid w:val="00D63D88"/>
    <w:rsid w:val="00D65163"/>
    <w:rsid w:val="00D739CC"/>
    <w:rsid w:val="00D76E06"/>
    <w:rsid w:val="00D77B0B"/>
    <w:rsid w:val="00D8093D"/>
    <w:rsid w:val="00D8108C"/>
    <w:rsid w:val="00D81F96"/>
    <w:rsid w:val="00D842AE"/>
    <w:rsid w:val="00D9211C"/>
    <w:rsid w:val="00D922FD"/>
    <w:rsid w:val="00D92DE0"/>
    <w:rsid w:val="00D92FEF"/>
    <w:rsid w:val="00D93A0F"/>
    <w:rsid w:val="00D9476B"/>
    <w:rsid w:val="00D956CB"/>
    <w:rsid w:val="00DA0077"/>
    <w:rsid w:val="00DA0F4F"/>
    <w:rsid w:val="00DA1BCA"/>
    <w:rsid w:val="00DA3569"/>
    <w:rsid w:val="00DA606E"/>
    <w:rsid w:val="00DC3CE3"/>
    <w:rsid w:val="00DC46FF"/>
    <w:rsid w:val="00DC5254"/>
    <w:rsid w:val="00DD1A4F"/>
    <w:rsid w:val="00DD3107"/>
    <w:rsid w:val="00DD5AD2"/>
    <w:rsid w:val="00DD7C2C"/>
    <w:rsid w:val="00DE260E"/>
    <w:rsid w:val="00DF2AB6"/>
    <w:rsid w:val="00DF70BF"/>
    <w:rsid w:val="00E04FF0"/>
    <w:rsid w:val="00E06797"/>
    <w:rsid w:val="00E072CC"/>
    <w:rsid w:val="00E1265B"/>
    <w:rsid w:val="00E1357D"/>
    <w:rsid w:val="00E13B48"/>
    <w:rsid w:val="00E1404F"/>
    <w:rsid w:val="00E16444"/>
    <w:rsid w:val="00E21C83"/>
    <w:rsid w:val="00E24063"/>
    <w:rsid w:val="00E244CE"/>
    <w:rsid w:val="00E24ADA"/>
    <w:rsid w:val="00E253AF"/>
    <w:rsid w:val="00E276A4"/>
    <w:rsid w:val="00E30A0C"/>
    <w:rsid w:val="00E32F59"/>
    <w:rsid w:val="00E3329D"/>
    <w:rsid w:val="00E35165"/>
    <w:rsid w:val="00E3591B"/>
    <w:rsid w:val="00E46D9A"/>
    <w:rsid w:val="00E565FF"/>
    <w:rsid w:val="00E62621"/>
    <w:rsid w:val="00E65388"/>
    <w:rsid w:val="00E70178"/>
    <w:rsid w:val="00E726A7"/>
    <w:rsid w:val="00E85B7D"/>
    <w:rsid w:val="00E9121B"/>
    <w:rsid w:val="00E9168B"/>
    <w:rsid w:val="00E91D53"/>
    <w:rsid w:val="00E942CC"/>
    <w:rsid w:val="00E95AA9"/>
    <w:rsid w:val="00E96288"/>
    <w:rsid w:val="00E96DA8"/>
    <w:rsid w:val="00EA0AE2"/>
    <w:rsid w:val="00EA2CF9"/>
    <w:rsid w:val="00EA39E5"/>
    <w:rsid w:val="00EA7FAD"/>
    <w:rsid w:val="00EC2A59"/>
    <w:rsid w:val="00EC5A46"/>
    <w:rsid w:val="00EC63E2"/>
    <w:rsid w:val="00ED155C"/>
    <w:rsid w:val="00ED1A8F"/>
    <w:rsid w:val="00EE0374"/>
    <w:rsid w:val="00EF22B3"/>
    <w:rsid w:val="00EF52F2"/>
    <w:rsid w:val="00F007D0"/>
    <w:rsid w:val="00F03B69"/>
    <w:rsid w:val="00F05C85"/>
    <w:rsid w:val="00F06797"/>
    <w:rsid w:val="00F07A50"/>
    <w:rsid w:val="00F113DA"/>
    <w:rsid w:val="00F116A8"/>
    <w:rsid w:val="00F11AC1"/>
    <w:rsid w:val="00F23D2F"/>
    <w:rsid w:val="00F251CA"/>
    <w:rsid w:val="00F25544"/>
    <w:rsid w:val="00F34719"/>
    <w:rsid w:val="00F37DC8"/>
    <w:rsid w:val="00F402F3"/>
    <w:rsid w:val="00F439B3"/>
    <w:rsid w:val="00F54924"/>
    <w:rsid w:val="00F55DB4"/>
    <w:rsid w:val="00F608E1"/>
    <w:rsid w:val="00F650C3"/>
    <w:rsid w:val="00F65D85"/>
    <w:rsid w:val="00F7542C"/>
    <w:rsid w:val="00F77078"/>
    <w:rsid w:val="00F8091E"/>
    <w:rsid w:val="00F839A2"/>
    <w:rsid w:val="00F8615C"/>
    <w:rsid w:val="00F873F8"/>
    <w:rsid w:val="00F8759F"/>
    <w:rsid w:val="00F91572"/>
    <w:rsid w:val="00F92E48"/>
    <w:rsid w:val="00F95FA4"/>
    <w:rsid w:val="00F96910"/>
    <w:rsid w:val="00F969E5"/>
    <w:rsid w:val="00FA6BB0"/>
    <w:rsid w:val="00FB0BB9"/>
    <w:rsid w:val="00FB49C6"/>
    <w:rsid w:val="00FB68F3"/>
    <w:rsid w:val="00FB7DD2"/>
    <w:rsid w:val="00FC17FC"/>
    <w:rsid w:val="00FD420F"/>
    <w:rsid w:val="00FD5860"/>
    <w:rsid w:val="00FE352D"/>
    <w:rsid w:val="00FE40EB"/>
    <w:rsid w:val="00FE4D02"/>
    <w:rsid w:val="00FE7D62"/>
    <w:rsid w:val="00FF3819"/>
    <w:rsid w:val="00FF5C9E"/>
    <w:rsid w:val="030F7F6C"/>
    <w:rsid w:val="073A1155"/>
    <w:rsid w:val="1091CB52"/>
    <w:rsid w:val="2362A0EA"/>
    <w:rsid w:val="25E0BAE5"/>
    <w:rsid w:val="30F30D03"/>
    <w:rsid w:val="472C7443"/>
    <w:rsid w:val="4822B234"/>
    <w:rsid w:val="699FD745"/>
    <w:rsid w:val="77B94962"/>
    <w:rsid w:val="7DA71A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Default Paragraph Font" w:uiPriority="1"/>
    <w:lsdException w:name="Body Text" w:uiPriority="1" w:qFormat="1"/>
    <w:lsdException w:name="Subtitle" w:qFormat="1"/>
    <w:lsdException w:name="Date" w:uiPriority="99"/>
    <w:lsdException w:name="Hyperlink" w:uiPriority="99"/>
    <w:lsdException w:name="FollowedHyperlink" w:uiPriority="99"/>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eastAsia="zh-CN"/>
    </w:rPr>
  </w:style>
  <w:style w:type="paragraph" w:styleId="Heading1">
    <w:name w:val="heading 1"/>
    <w:basedOn w:val="Normal"/>
    <w:next w:val="Normalnumber"/>
    <w:link w:val="Heading1Char"/>
    <w:qFormat/>
    <w:rsid w:val="0015442E"/>
    <w:pPr>
      <w:keepNext/>
      <w:spacing w:before="240" w:after="120"/>
      <w:ind w:left="1247" w:hanging="680"/>
      <w:outlineLvl w:val="0"/>
    </w:pPr>
    <w:rPr>
      <w:b/>
      <w:sz w:val="28"/>
    </w:rPr>
  </w:style>
  <w:style w:type="paragraph" w:styleId="Heading2">
    <w:name w:val="heading 2"/>
    <w:basedOn w:val="Normal"/>
    <w:next w:val="Normalnumber"/>
    <w:link w:val="Heading2Char"/>
    <w:qFormat/>
    <w:rsid w:val="0015442E"/>
    <w:pPr>
      <w:keepNext/>
      <w:spacing w:before="240" w:after="120"/>
      <w:ind w:left="1247" w:hanging="680"/>
      <w:outlineLvl w:val="1"/>
    </w:pPr>
    <w:rPr>
      <w:b/>
      <w:sz w:val="24"/>
      <w:szCs w:val="24"/>
    </w:rPr>
  </w:style>
  <w:style w:type="paragraph" w:styleId="Heading3">
    <w:name w:val="heading 3"/>
    <w:basedOn w:val="Normal"/>
    <w:next w:val="Normalnumber"/>
    <w:link w:val="Heading3Char"/>
    <w:qFormat/>
    <w:rsid w:val="0015442E"/>
    <w:pPr>
      <w:spacing w:after="120"/>
      <w:ind w:left="1247" w:hanging="680"/>
      <w:outlineLvl w:val="2"/>
    </w:pPr>
    <w:rPr>
      <w:b/>
    </w:rPr>
  </w:style>
  <w:style w:type="paragraph" w:styleId="Heading4">
    <w:name w:val="heading 4"/>
    <w:basedOn w:val="Heading3"/>
    <w:next w:val="Normalnumber"/>
    <w:link w:val="Heading4Char"/>
    <w:qFormat/>
    <w:rsid w:val="0015442E"/>
    <w:pPr>
      <w:keepNext/>
      <w:outlineLvl w:val="3"/>
    </w:pPr>
  </w:style>
  <w:style w:type="paragraph" w:styleId="Heading5">
    <w:name w:val="heading 5"/>
    <w:basedOn w:val="Normal"/>
    <w:next w:val="Normal"/>
    <w:link w:val="Heading5Char"/>
    <w:qFormat/>
    <w:rsid w:val="0015442E"/>
    <w:pPr>
      <w:keepNext/>
      <w:outlineLvl w:val="4"/>
    </w:pPr>
    <w:rPr>
      <w:rFonts w:ascii="Univers" w:hAnsi="Univers"/>
      <w:b/>
      <w:sz w:val="24"/>
    </w:rPr>
  </w:style>
  <w:style w:type="paragraph" w:styleId="Heading6">
    <w:name w:val="heading 6"/>
    <w:basedOn w:val="Normal"/>
    <w:next w:val="Normal"/>
    <w:link w:val="Heading6Char"/>
    <w:qFormat/>
    <w:rsid w:val="0015442E"/>
    <w:pPr>
      <w:keepNext/>
      <w:ind w:left="578"/>
      <w:outlineLvl w:val="5"/>
    </w:pPr>
    <w:rPr>
      <w:b/>
      <w:bCs/>
      <w:sz w:val="24"/>
    </w:rPr>
  </w:style>
  <w:style w:type="paragraph" w:styleId="Heading7">
    <w:name w:val="heading 7"/>
    <w:basedOn w:val="Normal"/>
    <w:next w:val="Normal"/>
    <w:link w:val="Heading7Char"/>
    <w:qFormat/>
    <w:rsid w:val="0015442E"/>
    <w:pPr>
      <w:keepNext/>
      <w:widowControl w:val="0"/>
      <w:jc w:val="center"/>
      <w:outlineLvl w:val="6"/>
    </w:pPr>
    <w:rPr>
      <w:snapToGrid w:val="0"/>
      <w:u w:val="single"/>
    </w:rPr>
  </w:style>
  <w:style w:type="paragraph" w:styleId="Heading8">
    <w:name w:val="heading 8"/>
    <w:basedOn w:val="Normal"/>
    <w:next w:val="Normal"/>
    <w:link w:val="Heading8Char"/>
    <w:qFormat/>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link w:val="Heading9Char"/>
    <w:qFormat/>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link w:val="NormalpoolChar"/>
    <w:autoRedefine/>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iPriority w:val="99"/>
    <w:qFormat/>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15442E"/>
    <w:pPr>
      <w:tabs>
        <w:tab w:val="clear" w:pos="4082"/>
      </w:tabs>
      <w:spacing w:before="120" w:after="120"/>
      <w:ind w:right="4536"/>
    </w:pPr>
  </w:style>
  <w:style w:type="paragraph" w:customStyle="1" w:styleId="BBTitle">
    <w:name w:val="BB_Title"/>
    <w:basedOn w:val="Normal-pool"/>
    <w:link w:val="BBTitleChar"/>
    <w:qFormat/>
    <w:rsid w:val="0015442E"/>
    <w:pPr>
      <w:keepNext/>
      <w:keepLines/>
      <w:suppressAutoHyphens/>
      <w:spacing w:before="320" w:after="240"/>
      <w:ind w:left="1247" w:right="567"/>
    </w:pPr>
    <w:rPr>
      <w:b/>
      <w:sz w:val="28"/>
      <w:szCs w:val="28"/>
    </w:rPr>
  </w:style>
  <w:style w:type="paragraph" w:styleId="Footer">
    <w:name w:val="footer"/>
    <w:basedOn w:val="Normal"/>
    <w:link w:val="FooterChar"/>
    <w:uiPriority w:val="99"/>
    <w:rsid w:val="0015442E"/>
    <w:pPr>
      <w:tabs>
        <w:tab w:val="center" w:pos="4320"/>
        <w:tab w:val="right" w:pos="8640"/>
      </w:tabs>
      <w:spacing w:before="60" w:after="120"/>
    </w:pPr>
    <w:rPr>
      <w:sz w:val="18"/>
    </w:rPr>
  </w:style>
  <w:style w:type="paragraph" w:styleId="Header">
    <w:name w:val="header"/>
    <w:basedOn w:val="Normal"/>
    <w:link w:val="HeaderChar"/>
    <w:rsid w:val="0015442E"/>
    <w:pPr>
      <w:pBdr>
        <w:bottom w:val="single" w:sz="4" w:space="1" w:color="auto"/>
      </w:pBdr>
      <w:tabs>
        <w:tab w:val="center" w:pos="4536"/>
        <w:tab w:val="right" w:pos="9072"/>
      </w:tabs>
      <w:spacing w:after="120"/>
    </w:pPr>
    <w:rPr>
      <w:b/>
      <w:sz w:val="18"/>
    </w:rPr>
  </w:style>
  <w:style w:type="character" w:styleId="Hyperlink">
    <w:name w:val="Hyperlink"/>
    <w:uiPriority w:val="99"/>
    <w:unhideWhenUsed/>
    <w:rsid w:val="0015442E"/>
    <w:rPr>
      <w:rFonts w:ascii="Times New Roman" w:hAnsi="Times New Roman"/>
      <w:color w:val="auto"/>
      <w:sz w:val="20"/>
      <w:szCs w:val="20"/>
      <w:u w:val="none"/>
      <w:lang w:val="en-US"/>
    </w:rPr>
  </w:style>
  <w:style w:type="numbering" w:customStyle="1" w:styleId="Normallist">
    <w:name w:val="Normal_list"/>
    <w:basedOn w:val="NoList"/>
    <w:rsid w:val="0015442E"/>
    <w:pPr>
      <w:numPr>
        <w:numId w:val="2"/>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basedOn w:val="Normalpool"/>
    <w:link w:val="NormalnumberChar"/>
    <w:qFormat/>
    <w:rsid w:val="0015442E"/>
    <w:p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iPriority w:val="39"/>
    <w:unhideWhenUsed/>
    <w:rsid w:val="0015442E"/>
    <w:pPr>
      <w:tabs>
        <w:tab w:val="right" w:leader="dot" w:pos="9486"/>
      </w:tabs>
      <w:spacing w:before="240"/>
      <w:ind w:left="1814" w:hanging="567"/>
    </w:pPr>
    <w:rPr>
      <w:bCs/>
    </w:rPr>
  </w:style>
  <w:style w:type="paragraph" w:styleId="TOC2">
    <w:name w:val="toc 2"/>
    <w:basedOn w:val="Normal-pool"/>
    <w:next w:val="Normal-pool"/>
    <w:uiPriority w:val="39"/>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link w:val="ZZAnxheaderChar"/>
    <w:rsid w:val="0015442E"/>
    <w:rPr>
      <w:b/>
      <w:bCs/>
      <w:sz w:val="28"/>
      <w:szCs w:val="22"/>
    </w:rPr>
  </w:style>
  <w:style w:type="paragraph" w:customStyle="1" w:styleId="ZZAnxtitle">
    <w:name w:val="ZZ_Anx_title"/>
    <w:basedOn w:val="Normal-pool"/>
    <w:link w:val="ZZAnxtitleChar"/>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uiPriority w:val="99"/>
    <w:rsid w:val="003E6F41"/>
    <w:rPr>
      <w:sz w:val="16"/>
      <w:szCs w:val="16"/>
    </w:rPr>
  </w:style>
  <w:style w:type="paragraph" w:styleId="CommentText">
    <w:name w:val="annotation text"/>
    <w:basedOn w:val="Normal"/>
    <w:link w:val="CommentTextChar"/>
    <w:uiPriority w:val="99"/>
    <w:rsid w:val="003E6F41"/>
    <w:rPr>
      <w:sz w:val="24"/>
      <w:szCs w:val="24"/>
      <w:lang w:eastAsia="en-GB"/>
    </w:rPr>
  </w:style>
  <w:style w:type="character" w:customStyle="1" w:styleId="CommentTextChar">
    <w:name w:val="Comment Text Char"/>
    <w:basedOn w:val="DefaultParagraphFont"/>
    <w:link w:val="CommentText"/>
    <w:uiPriority w:val="99"/>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link w:val="FootnoteText"/>
    <w:uiPriority w:val="99"/>
    <w:qFormat/>
    <w:locked/>
    <w:rsid w:val="0012644F"/>
    <w:rPr>
      <w:rFonts w:eastAsia="SimSun"/>
      <w:sz w:val="18"/>
      <w:lang w:val="fr-CA" w:eastAsia="en-US"/>
    </w:rPr>
  </w:style>
  <w:style w:type="paragraph" w:styleId="ListParagraph">
    <w:name w:val="List Paragraph"/>
    <w:aliases w:val="Paragraphe de liste 1,Citation List,본문(내용),List Paragraph (numbered (a)),Colorful List - Accent 11,Use Case List Paragraph,Bullets,References,Numbered Paragraph,Main numbered paragraph,Numbered List Paragraph,123 List Paragraph,Liste 1"/>
    <w:basedOn w:val="Normal"/>
    <w:link w:val="ListParagraphChar"/>
    <w:uiPriority w:val="34"/>
    <w:qFormat/>
    <w:rsid w:val="00D07EDB"/>
    <w:pPr>
      <w:ind w:left="720"/>
      <w:contextualSpacing/>
    </w:pPr>
  </w:style>
  <w:style w:type="character" w:styleId="FootnoteReference">
    <w:name w:val="footnote reference"/>
    <w:aliases w:val="16 Point,Superscript 6 Point,ftref,(Ref. de nota al pie),number,SUPERS,Footnote Reference Superscript,Superscript 6 Point + 11 pt,Appel note de bas de page,-E Fußnotenzeichen,(Diplomarbeit FZ),(Diplomarbeit FZ)1,(Diplomarbeit FZ)2,Ref"/>
    <w:link w:val="BVIfnrChar"/>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uiPriority w:val="59"/>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
    <w:name w:val="Footnote-Text"/>
    <w:basedOn w:val="Normal-pool"/>
    <w:rsid w:val="00F402F3"/>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40"/>
      <w:ind w:left="1247"/>
    </w:pPr>
    <w:rPr>
      <w:rFonts w:eastAsia="Times New Roman"/>
      <w:sz w:val="18"/>
    </w:rPr>
  </w:style>
  <w:style w:type="character" w:customStyle="1" w:styleId="NormalnumberChar">
    <w:name w:val="Normal_number Char"/>
    <w:link w:val="Normalnumber"/>
    <w:qFormat/>
    <w:rsid w:val="00D922FD"/>
    <w:rPr>
      <w:lang w:val="fr-CA" w:eastAsia="en-US"/>
    </w:rPr>
  </w:style>
  <w:style w:type="character" w:customStyle="1" w:styleId="BBTitleChar">
    <w:name w:val="BB_Title Char"/>
    <w:link w:val="BBTitle"/>
    <w:rsid w:val="00F007D0"/>
    <w:rPr>
      <w:rFonts w:eastAsia="SimSun"/>
      <w:b/>
      <w:sz w:val="28"/>
      <w:szCs w:val="28"/>
      <w:lang w:val="en-US" w:eastAsia="en-US"/>
    </w:rPr>
  </w:style>
  <w:style w:type="character" w:customStyle="1" w:styleId="CH2Char">
    <w:name w:val="CH2 Char"/>
    <w:link w:val="CH2"/>
    <w:rsid w:val="00F007D0"/>
    <w:rPr>
      <w:rFonts w:eastAsia="SimSun"/>
      <w:b/>
      <w:sz w:val="24"/>
      <w:szCs w:val="24"/>
      <w:lang w:val="en-US" w:eastAsia="en-US"/>
    </w:rPr>
  </w:style>
  <w:style w:type="character" w:customStyle="1" w:styleId="Normal-poolChar">
    <w:name w:val="Normal-pool Char"/>
    <w:link w:val="Normal-pool"/>
    <w:rsid w:val="00F007D0"/>
    <w:rPr>
      <w:rFonts w:eastAsia="SimSun"/>
      <w:lang w:val="en-US" w:eastAsia="en-US"/>
    </w:rPr>
  </w:style>
  <w:style w:type="character" w:customStyle="1" w:styleId="Heading1Char">
    <w:name w:val="Heading 1 Char"/>
    <w:basedOn w:val="DefaultParagraphFont"/>
    <w:link w:val="Heading1"/>
    <w:rsid w:val="003773B1"/>
    <w:rPr>
      <w:rFonts w:eastAsia="SimSun"/>
      <w:b/>
      <w:sz w:val="28"/>
      <w:lang w:eastAsia="zh-CN"/>
    </w:rPr>
  </w:style>
  <w:style w:type="character" w:customStyle="1" w:styleId="Heading2Char">
    <w:name w:val="Heading 2 Char"/>
    <w:basedOn w:val="DefaultParagraphFont"/>
    <w:link w:val="Heading2"/>
    <w:rsid w:val="003773B1"/>
    <w:rPr>
      <w:rFonts w:eastAsia="SimSun"/>
      <w:b/>
      <w:sz w:val="24"/>
      <w:szCs w:val="24"/>
      <w:lang w:eastAsia="zh-CN"/>
    </w:rPr>
  </w:style>
  <w:style w:type="character" w:customStyle="1" w:styleId="Heading3Char">
    <w:name w:val="Heading 3 Char"/>
    <w:basedOn w:val="DefaultParagraphFont"/>
    <w:link w:val="Heading3"/>
    <w:rsid w:val="003773B1"/>
    <w:rPr>
      <w:rFonts w:eastAsia="SimSun"/>
      <w:b/>
      <w:lang w:eastAsia="zh-CN"/>
    </w:rPr>
  </w:style>
  <w:style w:type="character" w:customStyle="1" w:styleId="Heading4Char">
    <w:name w:val="Heading 4 Char"/>
    <w:basedOn w:val="DefaultParagraphFont"/>
    <w:link w:val="Heading4"/>
    <w:rsid w:val="003773B1"/>
    <w:rPr>
      <w:rFonts w:eastAsia="SimSun"/>
      <w:b/>
      <w:lang w:eastAsia="zh-CN"/>
    </w:rPr>
  </w:style>
  <w:style w:type="character" w:customStyle="1" w:styleId="Heading5Char">
    <w:name w:val="Heading 5 Char"/>
    <w:basedOn w:val="DefaultParagraphFont"/>
    <w:link w:val="Heading5"/>
    <w:rsid w:val="003773B1"/>
    <w:rPr>
      <w:rFonts w:ascii="Univers" w:eastAsia="SimSun" w:hAnsi="Univers"/>
      <w:b/>
      <w:sz w:val="24"/>
      <w:lang w:eastAsia="zh-CN"/>
    </w:rPr>
  </w:style>
  <w:style w:type="character" w:customStyle="1" w:styleId="Heading6Char">
    <w:name w:val="Heading 6 Char"/>
    <w:basedOn w:val="DefaultParagraphFont"/>
    <w:link w:val="Heading6"/>
    <w:rsid w:val="003773B1"/>
    <w:rPr>
      <w:rFonts w:eastAsia="SimSun"/>
      <w:b/>
      <w:bCs/>
      <w:sz w:val="24"/>
      <w:lang w:eastAsia="zh-CN"/>
    </w:rPr>
  </w:style>
  <w:style w:type="character" w:customStyle="1" w:styleId="Heading7Char">
    <w:name w:val="Heading 7 Char"/>
    <w:basedOn w:val="DefaultParagraphFont"/>
    <w:link w:val="Heading7"/>
    <w:rsid w:val="003773B1"/>
    <w:rPr>
      <w:rFonts w:eastAsia="SimSun"/>
      <w:snapToGrid w:val="0"/>
      <w:u w:val="single"/>
      <w:lang w:eastAsia="zh-CN"/>
    </w:rPr>
  </w:style>
  <w:style w:type="character" w:customStyle="1" w:styleId="Heading8Char">
    <w:name w:val="Heading 8 Char"/>
    <w:basedOn w:val="DefaultParagraphFont"/>
    <w:link w:val="Heading8"/>
    <w:rsid w:val="003773B1"/>
    <w:rPr>
      <w:rFonts w:eastAsia="SimSun"/>
      <w:snapToGrid w:val="0"/>
      <w:u w:val="single"/>
      <w:lang w:eastAsia="zh-CN"/>
    </w:rPr>
  </w:style>
  <w:style w:type="character" w:customStyle="1" w:styleId="Heading9Char">
    <w:name w:val="Heading 9 Char"/>
    <w:basedOn w:val="DefaultParagraphFont"/>
    <w:link w:val="Heading9"/>
    <w:rsid w:val="003773B1"/>
    <w:rPr>
      <w:rFonts w:eastAsia="SimSun"/>
      <w:snapToGrid w:val="0"/>
      <w:u w:val="single"/>
      <w:lang w:eastAsia="zh-CN"/>
    </w:rPr>
  </w:style>
  <w:style w:type="character" w:customStyle="1" w:styleId="FooterChar">
    <w:name w:val="Footer Char"/>
    <w:basedOn w:val="DefaultParagraphFont"/>
    <w:link w:val="Footer"/>
    <w:uiPriority w:val="99"/>
    <w:rsid w:val="003773B1"/>
    <w:rPr>
      <w:rFonts w:eastAsia="SimSun"/>
      <w:sz w:val="18"/>
      <w:lang w:eastAsia="zh-CN"/>
    </w:rPr>
  </w:style>
  <w:style w:type="paragraph" w:styleId="Revision">
    <w:name w:val="Revision"/>
    <w:hidden/>
    <w:uiPriority w:val="99"/>
    <w:semiHidden/>
    <w:rsid w:val="003773B1"/>
    <w:rPr>
      <w:lang w:eastAsia="en-US"/>
    </w:rPr>
  </w:style>
  <w:style w:type="character" w:styleId="Emphasis">
    <w:name w:val="Emphasis"/>
    <w:basedOn w:val="DefaultParagraphFont"/>
    <w:qFormat/>
    <w:rsid w:val="003773B1"/>
    <w:rPr>
      <w:i/>
      <w:iCs/>
    </w:rPr>
  </w:style>
  <w:style w:type="character" w:customStyle="1" w:styleId="ZZAnxtitleChar">
    <w:name w:val="ZZ_Anx_title Char"/>
    <w:link w:val="ZZAnxtitle"/>
    <w:rsid w:val="003773B1"/>
    <w:rPr>
      <w:rFonts w:eastAsia="SimSun"/>
      <w:b/>
      <w:bCs/>
      <w:sz w:val="28"/>
      <w:szCs w:val="26"/>
      <w:lang w:val="en-US" w:eastAsia="en-US"/>
    </w:rPr>
  </w:style>
  <w:style w:type="character" w:customStyle="1" w:styleId="ZZAnxheaderChar">
    <w:name w:val="ZZ_Anx_header Char"/>
    <w:link w:val="ZZAnxheader"/>
    <w:rsid w:val="003773B1"/>
    <w:rPr>
      <w:rFonts w:eastAsia="SimSun"/>
      <w:b/>
      <w:bCs/>
      <w:sz w:val="28"/>
      <w:szCs w:val="22"/>
      <w:lang w:val="en-US" w:eastAsia="en-US"/>
    </w:rPr>
  </w:style>
  <w:style w:type="paragraph" w:customStyle="1" w:styleId="MainParagraphwith">
    <w:name w:val="Main Paragraph with #"/>
    <w:basedOn w:val="ListParagraph"/>
    <w:next w:val="Normal"/>
    <w:link w:val="MainParagraphwithChar"/>
    <w:autoRedefine/>
    <w:qFormat/>
    <w:rsid w:val="003773B1"/>
    <w:pPr>
      <w:numPr>
        <w:numId w:val="3"/>
      </w:numPr>
      <w:tabs>
        <w:tab w:val="num" w:pos="360"/>
      </w:tabs>
      <w:adjustRightInd w:val="0"/>
      <w:spacing w:before="240" w:after="240"/>
      <w:ind w:left="0" w:firstLine="0"/>
      <w:contextualSpacing w:val="0"/>
    </w:pPr>
    <w:rPr>
      <w:rFonts w:asciiTheme="minorHAnsi" w:eastAsiaTheme="minorEastAsia" w:hAnsiTheme="minorHAnsi" w:cs="Verdana"/>
      <w:bCs/>
      <w:color w:val="000000"/>
      <w:sz w:val="24"/>
      <w:szCs w:val="24"/>
      <w:lang w:val="en-US"/>
    </w:rPr>
  </w:style>
  <w:style w:type="character" w:customStyle="1" w:styleId="MainParagraphwithChar">
    <w:name w:val="Main Paragraph with # Char"/>
    <w:basedOn w:val="DefaultParagraphFont"/>
    <w:link w:val="MainParagraphwith"/>
    <w:rsid w:val="003773B1"/>
    <w:rPr>
      <w:rFonts w:asciiTheme="minorHAnsi" w:eastAsiaTheme="minorEastAsia" w:hAnsiTheme="minorHAnsi" w:cs="Verdana"/>
      <w:bCs/>
      <w:color w:val="000000"/>
      <w:sz w:val="24"/>
      <w:szCs w:val="24"/>
      <w:lang w:val="en-US" w:eastAsia="zh-CN"/>
    </w:rPr>
  </w:style>
  <w:style w:type="paragraph" w:styleId="BodyText">
    <w:name w:val="Body Text"/>
    <w:basedOn w:val="Normal"/>
    <w:link w:val="BodyTextChar"/>
    <w:uiPriority w:val="1"/>
    <w:qFormat/>
    <w:rsid w:val="003773B1"/>
    <w:rPr>
      <w:rFonts w:eastAsia="Times New Roman"/>
      <w:sz w:val="24"/>
      <w:szCs w:val="24"/>
      <w:lang w:val="en-US" w:eastAsia="en-US"/>
    </w:rPr>
  </w:style>
  <w:style w:type="character" w:customStyle="1" w:styleId="BodyTextChar">
    <w:name w:val="Body Text Char"/>
    <w:basedOn w:val="DefaultParagraphFont"/>
    <w:link w:val="BodyText"/>
    <w:uiPriority w:val="1"/>
    <w:rsid w:val="003773B1"/>
    <w:rPr>
      <w:sz w:val="24"/>
      <w:szCs w:val="24"/>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BVI fnr Char"/>
    <w:basedOn w:val="Normal"/>
    <w:link w:val="FootnoteReference"/>
    <w:rsid w:val="003773B1"/>
    <w:pPr>
      <w:spacing w:after="160" w:line="240" w:lineRule="exact"/>
    </w:pPr>
    <w:rPr>
      <w:rFonts w:eastAsia="Times New Roman"/>
      <w:szCs w:val="18"/>
      <w:vertAlign w:val="superscript"/>
      <w:lang w:eastAsia="en-GB"/>
    </w:rPr>
  </w:style>
  <w:style w:type="character" w:customStyle="1" w:styleId="job-value">
    <w:name w:val="job-value"/>
    <w:basedOn w:val="DefaultParagraphFont"/>
    <w:rsid w:val="003773B1"/>
  </w:style>
  <w:style w:type="numbering" w:customStyle="1" w:styleId="WWNum25">
    <w:name w:val="WWNum25"/>
    <w:rsid w:val="003773B1"/>
    <w:pPr>
      <w:numPr>
        <w:numId w:val="4"/>
      </w:numPr>
    </w:pPr>
  </w:style>
  <w:style w:type="character" w:customStyle="1" w:styleId="NormalpoolChar">
    <w:name w:val="Normal_pool Char"/>
    <w:link w:val="Normalpool"/>
    <w:locked/>
    <w:rsid w:val="003773B1"/>
    <w:rPr>
      <w:rFonts w:eastAsia="SimSun"/>
      <w:lang w:val="fr-CA" w:eastAsia="en-US"/>
    </w:rPr>
  </w:style>
  <w:style w:type="table" w:styleId="PlainTable1">
    <w:name w:val="Plain Table 1"/>
    <w:basedOn w:val="TableNormal"/>
    <w:uiPriority w:val="41"/>
    <w:rsid w:val="003773B1"/>
    <w:rPr>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3773B1"/>
    <w:rPr>
      <w:lang w:val="en-US" w:eastAsia="zh-C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stTable6Colorful">
    <w:name w:val="List Table 6 Colorful"/>
    <w:basedOn w:val="TableNormal"/>
    <w:uiPriority w:val="51"/>
    <w:rsid w:val="003773B1"/>
    <w:rPr>
      <w:color w:val="000000" w:themeColor="text1"/>
      <w:lang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Paragraphe de liste 1 Char,Citation List Char,본문(내용) Char,List Paragraph (numbered (a)) Char,Colorful List - Accent 11 Char,Use Case List Paragraph Char,Bullets Char,References Char,Numbered Paragraph Char,123 List Paragraph Char"/>
    <w:link w:val="ListParagraph"/>
    <w:uiPriority w:val="34"/>
    <w:qFormat/>
    <w:locked/>
    <w:rsid w:val="003773B1"/>
    <w:rPr>
      <w:rFonts w:eastAsia="SimSun"/>
      <w:lang w:eastAsia="zh-CN"/>
    </w:rPr>
  </w:style>
  <w:style w:type="character" w:styleId="FollowedHyperlink">
    <w:name w:val="FollowedHyperlink"/>
    <w:basedOn w:val="DefaultParagraphFont"/>
    <w:uiPriority w:val="99"/>
    <w:unhideWhenUsed/>
    <w:rsid w:val="003773B1"/>
    <w:rPr>
      <w:color w:val="954F72" w:themeColor="followedHyperlink"/>
      <w:u w:val="single"/>
    </w:rPr>
  </w:style>
  <w:style w:type="paragraph" w:customStyle="1" w:styleId="c8">
    <w:name w:val="c8"/>
    <w:basedOn w:val="Normal"/>
    <w:rsid w:val="003773B1"/>
    <w:pPr>
      <w:widowControl w:val="0"/>
      <w:autoSpaceDE w:val="0"/>
      <w:autoSpaceDN w:val="0"/>
      <w:adjustRightInd w:val="0"/>
      <w:jc w:val="center"/>
    </w:pPr>
    <w:rPr>
      <w:rFonts w:eastAsia="Times New Roman"/>
      <w:sz w:val="24"/>
      <w:szCs w:val="24"/>
      <w:lang w:val="en-US" w:eastAsia="en-US"/>
    </w:rPr>
  </w:style>
  <w:style w:type="table" w:customStyle="1" w:styleId="PlainTable11">
    <w:name w:val="Plain Table 11"/>
    <w:basedOn w:val="TableNormal"/>
    <w:next w:val="PlainTable1"/>
    <w:uiPriority w:val="41"/>
    <w:rsid w:val="003773B1"/>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Date">
    <w:name w:val="Date"/>
    <w:basedOn w:val="Normal"/>
    <w:next w:val="Normal"/>
    <w:link w:val="DateChar"/>
    <w:uiPriority w:val="99"/>
    <w:unhideWhenUsed/>
    <w:rsid w:val="003773B1"/>
    <w:pPr>
      <w:tabs>
        <w:tab w:val="left" w:pos="1247"/>
        <w:tab w:val="left" w:pos="1814"/>
        <w:tab w:val="left" w:pos="2381"/>
        <w:tab w:val="left" w:pos="2948"/>
        <w:tab w:val="left" w:pos="3515"/>
      </w:tabs>
    </w:pPr>
    <w:rPr>
      <w:rFonts w:eastAsia="Times New Roman"/>
      <w:lang w:eastAsia="en-US"/>
    </w:rPr>
  </w:style>
  <w:style w:type="character" w:customStyle="1" w:styleId="DateChar">
    <w:name w:val="Date Char"/>
    <w:basedOn w:val="DefaultParagraphFont"/>
    <w:link w:val="Date"/>
    <w:uiPriority w:val="99"/>
    <w:rsid w:val="003773B1"/>
    <w:rPr>
      <w:lang w:eastAsia="en-US"/>
    </w:rPr>
  </w:style>
  <w:style w:type="character" w:customStyle="1" w:styleId="cf01">
    <w:name w:val="cf01"/>
    <w:basedOn w:val="DefaultParagraphFont"/>
    <w:rsid w:val="003773B1"/>
    <w:rPr>
      <w:rFonts w:ascii="Segoe UI" w:hAnsi="Segoe UI" w:cs="Segoe UI" w:hint="default"/>
      <w:sz w:val="18"/>
      <w:szCs w:val="18"/>
    </w:rPr>
  </w:style>
  <w:style w:type="paragraph" w:customStyle="1" w:styleId="BVIfnrCharCharCharChar">
    <w:name w:val="BVI fnr Char Char Char Char"/>
    <w:aliases w:val="BVI fnr Car Car Char Char Char Char,BVI fnr Car Char Char Char Char,BVI fnr Car Car Car Car Char Char Char Char,BVI fnr Car Car Car Car Char Char Char1 Char Char, BVI fnr Car Car Char Char Char Char"/>
    <w:basedOn w:val="Normal"/>
    <w:semiHidden/>
    <w:rsid w:val="003773B1"/>
    <w:pPr>
      <w:spacing w:before="120" w:after="160" w:line="240" w:lineRule="exact"/>
    </w:pPr>
    <w:rPr>
      <w:rFonts w:eastAsia="Times New Roman"/>
      <w:szCs w:val="18"/>
      <w:vertAlign w:val="superscript"/>
      <w:lang w:val="en-US" w:eastAsia="en-US"/>
    </w:rPr>
  </w:style>
  <w:style w:type="paragraph" w:styleId="TOCHeading">
    <w:name w:val="TOC Heading"/>
    <w:basedOn w:val="Heading1"/>
    <w:next w:val="Normal"/>
    <w:uiPriority w:val="39"/>
    <w:unhideWhenUsed/>
    <w:qFormat/>
    <w:rsid w:val="003773B1"/>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character" w:styleId="UnresolvedMention">
    <w:name w:val="Unresolved Mention"/>
    <w:basedOn w:val="DefaultParagraphFont"/>
    <w:uiPriority w:val="99"/>
    <w:semiHidden/>
    <w:unhideWhenUsed/>
    <w:rsid w:val="003773B1"/>
    <w:rPr>
      <w:color w:val="605E5C"/>
      <w:shd w:val="clear" w:color="auto" w:fill="E1DFDD"/>
    </w:rPr>
  </w:style>
  <w:style w:type="paragraph" w:customStyle="1" w:styleId="Default">
    <w:name w:val="Default"/>
    <w:rsid w:val="003773B1"/>
    <w:pPr>
      <w:autoSpaceDE w:val="0"/>
      <w:autoSpaceDN w:val="0"/>
      <w:adjustRightInd w:val="0"/>
    </w:pPr>
    <w:rPr>
      <w:rFonts w:eastAsia="SimSun"/>
      <w:color w:val="000000"/>
      <w:sz w:val="24"/>
      <w:szCs w:val="24"/>
      <w:lang w:val="en-US" w:eastAsia="zh-CN"/>
    </w:rPr>
  </w:style>
  <w:style w:type="character" w:styleId="Mention">
    <w:name w:val="Mention"/>
    <w:basedOn w:val="DefaultParagraphFont"/>
    <w:uiPriority w:val="99"/>
    <w:unhideWhenUsed/>
    <w:rsid w:val="00405A53"/>
    <w:rPr>
      <w:color w:val="2B579A"/>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9B13B8"/>
    <w:pPr>
      <w:spacing w:after="160" w:line="240" w:lineRule="exact"/>
    </w:pPr>
    <w:rPr>
      <w:rFonts w:eastAsiaTheme="minorEastAsia"/>
      <w:szCs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edocs.unep.org/handle/20.500.11822/42168" TargetMode="External"/><Relationship Id="rId1" Type="http://schemas.openxmlformats.org/officeDocument/2006/relationships/hyperlink" Target="https://wedocs.unep.org/handle/20.500.11822/47599;jsessionid=E7A64EC6BC85F059A49C58427BB10EF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Claudia ten Have</DisplayName>
        <AccountId>12</AccountId>
        <AccountType/>
      </UserInfo>
      <UserInfo>
        <DisplayName>My Linh Doan</DisplayName>
        <AccountId>73</AccountId>
        <AccountType/>
      </UserInfo>
    </SharedWithUsers>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AF087-97B0-45AB-9C00-780281143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FB87E-D080-4E18-ACBA-AA8FD538ABFA}">
  <ds:schemaRefs>
    <ds:schemaRef ds:uri="http://schemas.openxmlformats.org/officeDocument/2006/bibliography"/>
  </ds:schemaRefs>
</ds:datastoreItem>
</file>

<file path=customXml/itemProps3.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822da31b-d518-49e2-88cd-1351ccd720a8"/>
    <ds:schemaRef ds:uri="8e99bad0-3155-475a-8063-b4d93685c2ad"/>
  </ds:schemaRefs>
</ds:datastoreItem>
</file>

<file path=customXml/itemProps4.xml><?xml version="1.0" encoding="utf-8"?>
<ds:datastoreItem xmlns:ds="http://schemas.openxmlformats.org/officeDocument/2006/customXml" ds:itemID="{9F1DA343-F8C2-4EE4-9F56-9973669BF703}">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UNEP-MC-COP_EN-CORR.dotm</Template>
  <TotalTime>0</TotalTime>
  <Pages>6</Pages>
  <Words>2356</Words>
  <Characters>13435</Characters>
  <Application>Microsoft Office Word</Application>
  <DocSecurity>0</DocSecurity>
  <Lines>111</Lines>
  <Paragraphs>31</Paragraphs>
  <ScaleCrop>false</ScaleCrop>
  <Company/>
  <LinksUpToDate>false</LinksUpToDate>
  <CharactersWithSpaces>15760</CharactersWithSpaces>
  <SharedDoc>false</SharedDoc>
  <HLinks>
    <vt:vector size="12" baseType="variant">
      <vt:variant>
        <vt:i4>4259910</vt:i4>
      </vt:variant>
      <vt:variant>
        <vt:i4>3</vt:i4>
      </vt:variant>
      <vt:variant>
        <vt:i4>0</vt:i4>
      </vt:variant>
      <vt:variant>
        <vt:i4>5</vt:i4>
      </vt:variant>
      <vt:variant>
        <vt:lpwstr>https://wedocs.unep.org/handle/20.500.11822/42168</vt:lpwstr>
      </vt:variant>
      <vt:variant>
        <vt:lpwstr/>
      </vt:variant>
      <vt:variant>
        <vt:i4>1245274</vt:i4>
      </vt:variant>
      <vt:variant>
        <vt:i4>0</vt:i4>
      </vt:variant>
      <vt:variant>
        <vt:i4>0</vt:i4>
      </vt:variant>
      <vt:variant>
        <vt:i4>5</vt:i4>
      </vt:variant>
      <vt:variant>
        <vt:lpwstr>https://wedocs.unep.org/handle/20.500.11822/47599;jsessionid=E7A64EC6BC85F059A49C58427BB10EFB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2025-08-16T13:18:00Z</dcterms:created>
  <dcterms:modified xsi:type="dcterms:W3CDTF">2025-08-28T07:53:00Z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GrammarlyDocumentId">
    <vt:lpwstr>1aa345f5233833bf8aa3408a6e0af90074b5fe99df0c30d1bbd9e61a2eb4330c</vt:lpwstr>
  </property>
  <property fmtid="{D5CDD505-2E9C-101B-9397-08002B2CF9AE}" pid="4" name="MediaServiceImageTags">
    <vt:lpwstr/>
  </property>
</Properties>
</file>