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right"/>
        <w:tblLayout w:type="fixed"/>
        <w:tblLook w:val="0000" w:firstRow="0" w:lastRow="0" w:firstColumn="0" w:lastColumn="0" w:noHBand="0" w:noVBand="0"/>
      </w:tblPr>
      <w:tblGrid>
        <w:gridCol w:w="1613"/>
        <w:gridCol w:w="2073"/>
        <w:gridCol w:w="2734"/>
        <w:gridCol w:w="1660"/>
        <w:gridCol w:w="1416"/>
      </w:tblGrid>
      <w:tr w:rsidR="0015442E" w:rsidRPr="00C8604E" w14:paraId="46CE94F1" w14:textId="77777777" w:rsidTr="00EA1B7E">
        <w:trPr>
          <w:trHeight w:val="57"/>
          <w:jc w:val="right"/>
        </w:trPr>
        <w:tc>
          <w:tcPr>
            <w:tcW w:w="1613" w:type="dxa"/>
          </w:tcPr>
          <w:p w14:paraId="16AF4AD7" w14:textId="77777777" w:rsidR="0015442E" w:rsidRPr="00C8604E" w:rsidRDefault="0015442E" w:rsidP="00EA1B7E">
            <w:pPr>
              <w:rPr>
                <w:rFonts w:ascii="Arial" w:hAnsi="Arial" w:cs="Arial"/>
                <w:b/>
                <w:bCs/>
                <w:sz w:val="27"/>
                <w:szCs w:val="27"/>
                <w:lang w:val="en-GB"/>
              </w:rPr>
            </w:pPr>
            <w:r w:rsidRPr="00C8604E">
              <w:rPr>
                <w:rFonts w:ascii="Arial" w:hAnsi="Arial" w:cs="Arial"/>
                <w:b/>
                <w:bCs/>
                <w:sz w:val="27"/>
                <w:szCs w:val="27"/>
                <w:lang w:val="en-GB"/>
              </w:rPr>
              <w:t xml:space="preserve">UNITED </w:t>
            </w:r>
            <w:r w:rsidRPr="00C8604E">
              <w:rPr>
                <w:rFonts w:ascii="Arial" w:hAnsi="Arial" w:cs="Arial"/>
                <w:b/>
                <w:bCs/>
                <w:sz w:val="27"/>
                <w:szCs w:val="27"/>
                <w:lang w:val="en-GB"/>
              </w:rPr>
              <w:br/>
              <w:t>NATIONS</w:t>
            </w:r>
          </w:p>
        </w:tc>
        <w:tc>
          <w:tcPr>
            <w:tcW w:w="6467" w:type="dxa"/>
            <w:gridSpan w:val="3"/>
          </w:tcPr>
          <w:p w14:paraId="5DD6D0F4" w14:textId="77777777" w:rsidR="0015442E" w:rsidRPr="00C8604E" w:rsidRDefault="0015442E" w:rsidP="00EA1B7E">
            <w:pPr>
              <w:spacing w:before="20"/>
              <w:rPr>
                <w:lang w:val="en-GB"/>
              </w:rPr>
            </w:pPr>
            <w:r w:rsidRPr="00C8604E">
              <w:rPr>
                <w:noProof/>
                <w:lang w:val="en-GB"/>
              </w:rPr>
              <w:drawing>
                <wp:inline distT="0" distB="0" distL="0" distR="0" wp14:anchorId="2C1B12D4" wp14:editId="25AE20EA">
                  <wp:extent cx="1267200" cy="549573"/>
                  <wp:effectExtent l="0" t="0" r="0" b="3175"/>
                  <wp:docPr id="1" name="Picture 1" descr="P2C2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2C2T1#yIS1"/>
                          <pic:cNvPicPr/>
                        </pic:nvPicPr>
                        <pic:blipFill>
                          <a:blip r:embed="rId11"/>
                          <a:stretch>
                            <a:fillRect/>
                          </a:stretch>
                        </pic:blipFill>
                        <pic:spPr>
                          <a:xfrm>
                            <a:off x="0" y="0"/>
                            <a:ext cx="1267200" cy="549573"/>
                          </a:xfrm>
                          <a:prstGeom prst="rect">
                            <a:avLst/>
                          </a:prstGeom>
                        </pic:spPr>
                      </pic:pic>
                    </a:graphicData>
                  </a:graphic>
                </wp:inline>
              </w:drawing>
            </w:r>
          </w:p>
        </w:tc>
        <w:tc>
          <w:tcPr>
            <w:tcW w:w="1416" w:type="dxa"/>
          </w:tcPr>
          <w:p w14:paraId="151AF8FC" w14:textId="77777777" w:rsidR="0015442E" w:rsidRPr="00C8604E" w:rsidRDefault="00E3329D" w:rsidP="00EA1B7E">
            <w:pPr>
              <w:jc w:val="right"/>
              <w:rPr>
                <w:rFonts w:ascii="Arial" w:hAnsi="Arial" w:cs="Arial"/>
                <w:b/>
                <w:bCs/>
                <w:sz w:val="64"/>
                <w:szCs w:val="64"/>
                <w:lang w:val="en-GB"/>
              </w:rPr>
            </w:pPr>
            <w:r w:rsidRPr="00C8604E">
              <w:rPr>
                <w:rFonts w:ascii="Arial" w:hAnsi="Arial" w:cs="Arial"/>
                <w:b/>
                <w:bCs/>
                <w:sz w:val="64"/>
                <w:szCs w:val="64"/>
                <w:lang w:val="en-GB"/>
              </w:rPr>
              <w:t>M</w:t>
            </w:r>
            <w:r w:rsidR="0015442E" w:rsidRPr="00C8604E">
              <w:rPr>
                <w:rFonts w:ascii="Arial" w:hAnsi="Arial" w:cs="Arial"/>
                <w:b/>
                <w:bCs/>
                <w:sz w:val="64"/>
                <w:szCs w:val="64"/>
                <w:lang w:val="en-GB"/>
              </w:rPr>
              <w:t>C</w:t>
            </w:r>
          </w:p>
        </w:tc>
      </w:tr>
      <w:tr w:rsidR="0015442E" w:rsidRPr="00C8604E" w14:paraId="09E4F2C0" w14:textId="77777777" w:rsidTr="00F96910">
        <w:trPr>
          <w:trHeight w:val="57"/>
          <w:jc w:val="right"/>
        </w:trPr>
        <w:tc>
          <w:tcPr>
            <w:tcW w:w="1613" w:type="dxa"/>
            <w:tcBorders>
              <w:bottom w:val="single" w:sz="4" w:space="0" w:color="auto"/>
            </w:tcBorders>
          </w:tcPr>
          <w:p w14:paraId="7E34C0A2" w14:textId="77777777" w:rsidR="0015442E" w:rsidRPr="00C8604E" w:rsidRDefault="0015442E" w:rsidP="00EA1B7E">
            <w:pPr>
              <w:rPr>
                <w:lang w:val="en-GB"/>
              </w:rPr>
            </w:pPr>
          </w:p>
        </w:tc>
        <w:tc>
          <w:tcPr>
            <w:tcW w:w="4807" w:type="dxa"/>
            <w:gridSpan w:val="2"/>
            <w:tcBorders>
              <w:bottom w:val="single" w:sz="4" w:space="0" w:color="auto"/>
            </w:tcBorders>
          </w:tcPr>
          <w:p w14:paraId="48CEF3F2" w14:textId="77777777" w:rsidR="0015442E" w:rsidRPr="00C8604E" w:rsidRDefault="0015442E" w:rsidP="00EA1B7E">
            <w:pPr>
              <w:rPr>
                <w:lang w:val="en-GB"/>
              </w:rPr>
            </w:pPr>
          </w:p>
        </w:tc>
        <w:tc>
          <w:tcPr>
            <w:tcW w:w="3076" w:type="dxa"/>
            <w:gridSpan w:val="2"/>
            <w:tcBorders>
              <w:bottom w:val="single" w:sz="4" w:space="0" w:color="auto"/>
            </w:tcBorders>
          </w:tcPr>
          <w:p w14:paraId="467176BC" w14:textId="339130BD" w:rsidR="0015442E" w:rsidRPr="00C8604E" w:rsidRDefault="0015442E" w:rsidP="00EA1B7E">
            <w:pPr>
              <w:rPr>
                <w:lang w:val="en-GB"/>
              </w:rPr>
            </w:pPr>
            <w:r w:rsidRPr="008A2AB0">
              <w:rPr>
                <w:b/>
                <w:bCs/>
                <w:sz w:val="28"/>
                <w:szCs w:val="28"/>
                <w:lang w:val="en-GB"/>
              </w:rPr>
              <w:t>UNEP</w:t>
            </w:r>
            <w:r w:rsidRPr="008A2AB0">
              <w:rPr>
                <w:lang w:val="en-GB"/>
              </w:rPr>
              <w:t>/</w:t>
            </w:r>
            <w:r w:rsidR="00962471" w:rsidRPr="008A2AB0">
              <w:rPr>
                <w:lang w:val="en-GB"/>
              </w:rPr>
              <w:t>MC</w:t>
            </w:r>
            <w:r w:rsidR="006A7C4A" w:rsidRPr="008A2AB0">
              <w:rPr>
                <w:lang w:val="en-GB"/>
              </w:rPr>
              <w:t>/</w:t>
            </w:r>
            <w:r w:rsidR="00962471" w:rsidRPr="008A2AB0">
              <w:rPr>
                <w:lang w:val="en-GB"/>
              </w:rPr>
              <w:t>COP.</w:t>
            </w:r>
            <w:r w:rsidR="00811D54">
              <w:rPr>
                <w:lang w:val="en-GB"/>
              </w:rPr>
              <w:t>6</w:t>
            </w:r>
            <w:r w:rsidRPr="00C8604E">
              <w:rPr>
                <w:lang w:val="en-GB"/>
              </w:rPr>
              <w:t>/</w:t>
            </w:r>
            <w:r w:rsidR="00306B81">
              <w:rPr>
                <w:lang w:val="en-GB"/>
              </w:rPr>
              <w:t>INF/12</w:t>
            </w:r>
          </w:p>
        </w:tc>
      </w:tr>
      <w:tr w:rsidR="0015442E" w:rsidRPr="00C8604E" w14:paraId="367EB409" w14:textId="77777777" w:rsidTr="009D7B82">
        <w:trPr>
          <w:trHeight w:val="57"/>
          <w:jc w:val="right"/>
        </w:trPr>
        <w:tc>
          <w:tcPr>
            <w:tcW w:w="3686" w:type="dxa"/>
            <w:gridSpan w:val="2"/>
            <w:tcBorders>
              <w:top w:val="single" w:sz="4" w:space="0" w:color="auto"/>
              <w:bottom w:val="single" w:sz="18" w:space="0" w:color="auto"/>
            </w:tcBorders>
          </w:tcPr>
          <w:p w14:paraId="2F416B2B" w14:textId="77777777" w:rsidR="0015442E" w:rsidRPr="00C8604E" w:rsidRDefault="009D7B82" w:rsidP="006520E8">
            <w:pPr>
              <w:spacing w:before="120" w:after="240"/>
              <w:ind w:left="-85"/>
              <w:rPr>
                <w:sz w:val="22"/>
                <w:lang w:val="en-GB"/>
              </w:rPr>
            </w:pPr>
            <w:r w:rsidRPr="00C8604E">
              <w:rPr>
                <w:noProof/>
                <w:sz w:val="22"/>
                <w:lang w:val="en-GB"/>
              </w:rPr>
              <w:drawing>
                <wp:inline distT="0" distB="0" distL="0" distR="0" wp14:anchorId="243178F1" wp14:editId="18F9776A">
                  <wp:extent cx="2204961" cy="1029600"/>
                  <wp:effectExtent l="0" t="0" r="5080" b="0"/>
                  <wp:docPr id="2" name="Picture 2" descr="P9C7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9C7T1#yI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4961" cy="1029600"/>
                          </a:xfrm>
                          <a:prstGeom prst="rect">
                            <a:avLst/>
                          </a:prstGeom>
                        </pic:spPr>
                      </pic:pic>
                    </a:graphicData>
                  </a:graphic>
                </wp:inline>
              </w:drawing>
            </w:r>
          </w:p>
        </w:tc>
        <w:tc>
          <w:tcPr>
            <w:tcW w:w="2734" w:type="dxa"/>
            <w:tcBorders>
              <w:top w:val="single" w:sz="4" w:space="0" w:color="auto"/>
              <w:bottom w:val="single" w:sz="18" w:space="0" w:color="auto"/>
            </w:tcBorders>
          </w:tcPr>
          <w:p w14:paraId="7BB92C08" w14:textId="77777777" w:rsidR="0015442E" w:rsidRPr="00C8604E" w:rsidRDefault="0015442E" w:rsidP="00962471">
            <w:pPr>
              <w:spacing w:before="240" w:after="480"/>
              <w:rPr>
                <w:rFonts w:ascii="Arial" w:hAnsi="Arial" w:cs="Arial"/>
                <w:b/>
                <w:bCs/>
                <w:sz w:val="28"/>
                <w:szCs w:val="28"/>
                <w:lang w:val="en-GB"/>
              </w:rPr>
            </w:pPr>
          </w:p>
        </w:tc>
        <w:tc>
          <w:tcPr>
            <w:tcW w:w="3076" w:type="dxa"/>
            <w:gridSpan w:val="2"/>
            <w:tcBorders>
              <w:top w:val="single" w:sz="4" w:space="0" w:color="auto"/>
              <w:bottom w:val="single" w:sz="18" w:space="0" w:color="auto"/>
            </w:tcBorders>
          </w:tcPr>
          <w:p w14:paraId="09DB1FD4" w14:textId="3B28449D" w:rsidR="0015442E" w:rsidRPr="00C8604E" w:rsidRDefault="0015442E" w:rsidP="00EA1B7E">
            <w:pPr>
              <w:spacing w:before="120"/>
              <w:rPr>
                <w:iCs/>
                <w:lang w:val="en-GB"/>
              </w:rPr>
            </w:pPr>
            <w:r w:rsidRPr="00C8604E">
              <w:rPr>
                <w:lang w:val="en-GB"/>
              </w:rPr>
              <w:t xml:space="preserve">Distr.: General </w:t>
            </w:r>
            <w:r w:rsidRPr="00C8604E">
              <w:rPr>
                <w:lang w:val="en-GB"/>
              </w:rPr>
              <w:br/>
            </w:r>
            <w:r w:rsidR="001566FA" w:rsidRPr="00315D7A">
              <w:rPr>
                <w:iCs/>
                <w:lang w:val="en-GB"/>
              </w:rPr>
              <w:t>1</w:t>
            </w:r>
            <w:r w:rsidR="00DB399E" w:rsidRPr="00315D7A">
              <w:rPr>
                <w:iCs/>
                <w:lang w:val="en-GB"/>
              </w:rPr>
              <w:t>2</w:t>
            </w:r>
            <w:r w:rsidR="001566FA" w:rsidRPr="00315D7A">
              <w:rPr>
                <w:iCs/>
                <w:lang w:val="en-GB"/>
              </w:rPr>
              <w:t xml:space="preserve"> June</w:t>
            </w:r>
            <w:r w:rsidR="00811D54" w:rsidRPr="00315D7A">
              <w:rPr>
                <w:iCs/>
                <w:lang w:val="en-GB"/>
              </w:rPr>
              <w:t xml:space="preserve"> 2025</w:t>
            </w:r>
          </w:p>
          <w:p w14:paraId="3660B14D" w14:textId="12DD0DC2" w:rsidR="0015442E" w:rsidRPr="00C8604E" w:rsidRDefault="0015442E" w:rsidP="00EA1B7E">
            <w:pPr>
              <w:spacing w:before="120"/>
              <w:rPr>
                <w:sz w:val="22"/>
                <w:lang w:val="en-GB"/>
              </w:rPr>
            </w:pPr>
            <w:r w:rsidRPr="00C8604E">
              <w:rPr>
                <w:lang w:val="en-GB"/>
              </w:rPr>
              <w:t>English</w:t>
            </w:r>
            <w:r w:rsidR="003E4CBC">
              <w:rPr>
                <w:lang w:val="en-GB"/>
              </w:rPr>
              <w:t xml:space="preserve"> only</w:t>
            </w:r>
          </w:p>
        </w:tc>
      </w:tr>
    </w:tbl>
    <w:p w14:paraId="35CD87AD" w14:textId="4C9A2D92" w:rsidR="00962471" w:rsidRPr="00C8604E" w:rsidRDefault="00962471" w:rsidP="00962471">
      <w:pPr>
        <w:pStyle w:val="AATitle"/>
        <w:rPr>
          <w:lang w:val="en-GB"/>
        </w:rPr>
      </w:pPr>
      <w:r w:rsidRPr="00C8604E">
        <w:rPr>
          <w:lang w:val="en-GB"/>
        </w:rPr>
        <w:t xml:space="preserve">Conference of the Parties to the </w:t>
      </w:r>
      <w:r w:rsidRPr="00C8604E">
        <w:rPr>
          <w:lang w:val="en-GB"/>
        </w:rPr>
        <w:br/>
        <w:t>Minamata Convention on Mercury</w:t>
      </w:r>
    </w:p>
    <w:p w14:paraId="51D30F3B" w14:textId="32844E23" w:rsidR="001E06A7" w:rsidRPr="00C8604E" w:rsidRDefault="00811D54" w:rsidP="00962471">
      <w:pPr>
        <w:pStyle w:val="AATitle"/>
        <w:rPr>
          <w:lang w:val="en-GB"/>
        </w:rPr>
      </w:pPr>
      <w:r>
        <w:rPr>
          <w:lang w:val="en-GB"/>
        </w:rPr>
        <w:t>Sixth</w:t>
      </w:r>
      <w:r w:rsidR="001E06A7" w:rsidRPr="00C8604E">
        <w:rPr>
          <w:lang w:val="en-GB"/>
        </w:rPr>
        <w:t xml:space="preserve"> Meeting</w:t>
      </w:r>
    </w:p>
    <w:p w14:paraId="6A0AA861" w14:textId="7B4BFBF1" w:rsidR="005369CB" w:rsidRPr="00C8604E" w:rsidRDefault="00811D54" w:rsidP="001E06A7">
      <w:pPr>
        <w:pStyle w:val="AATitle"/>
        <w:rPr>
          <w:b w:val="0"/>
          <w:bCs/>
          <w:lang w:val="en-GB"/>
        </w:rPr>
      </w:pPr>
      <w:r>
        <w:rPr>
          <w:b w:val="0"/>
          <w:bCs/>
          <w:lang w:val="en-GB"/>
        </w:rPr>
        <w:t>Geneva</w:t>
      </w:r>
      <w:r w:rsidR="001E06A7" w:rsidRPr="00C8604E">
        <w:rPr>
          <w:b w:val="0"/>
          <w:bCs/>
          <w:lang w:val="en-GB"/>
        </w:rPr>
        <w:t xml:space="preserve">, </w:t>
      </w:r>
      <w:r>
        <w:rPr>
          <w:b w:val="0"/>
          <w:bCs/>
          <w:lang w:val="en-GB"/>
        </w:rPr>
        <w:t xml:space="preserve">3–7 </w:t>
      </w:r>
      <w:r w:rsidR="001E06A7" w:rsidRPr="00C8604E">
        <w:rPr>
          <w:b w:val="0"/>
          <w:bCs/>
          <w:lang w:val="en-GB"/>
        </w:rPr>
        <w:t>November 202</w:t>
      </w:r>
      <w:r>
        <w:rPr>
          <w:b w:val="0"/>
          <w:bCs/>
          <w:lang w:val="en-GB"/>
        </w:rPr>
        <w:t>5</w:t>
      </w:r>
    </w:p>
    <w:p w14:paraId="40F0F607" w14:textId="7F933DA1" w:rsidR="00455095" w:rsidRDefault="00455095" w:rsidP="00315D7A">
      <w:pPr>
        <w:pStyle w:val="AATitle1"/>
        <w:rPr>
          <w:lang w:val="en-GB"/>
        </w:rPr>
      </w:pPr>
      <w:r w:rsidRPr="00C8604E">
        <w:rPr>
          <w:lang w:val="en-GB"/>
        </w:rPr>
        <w:t xml:space="preserve">Item </w:t>
      </w:r>
      <w:r w:rsidR="00911F59">
        <w:rPr>
          <w:lang w:val="en-GB"/>
        </w:rPr>
        <w:t>4</w:t>
      </w:r>
      <w:r w:rsidR="00474AFB">
        <w:rPr>
          <w:lang w:val="en-GB"/>
        </w:rPr>
        <w:t xml:space="preserve"> </w:t>
      </w:r>
      <w:r w:rsidR="00911F59">
        <w:rPr>
          <w:lang w:val="en-GB"/>
        </w:rPr>
        <w:t>(</w:t>
      </w:r>
      <w:r w:rsidR="00B61F79">
        <w:rPr>
          <w:lang w:val="en-GB"/>
        </w:rPr>
        <w:t>d</w:t>
      </w:r>
      <w:r w:rsidR="00911F59">
        <w:rPr>
          <w:lang w:val="en-GB"/>
        </w:rPr>
        <w:t>)</w:t>
      </w:r>
      <w:r w:rsidRPr="00C8604E">
        <w:rPr>
          <w:lang w:val="en-GB"/>
        </w:rPr>
        <w:t xml:space="preserve"> of the provisional agenda</w:t>
      </w:r>
      <w:r w:rsidR="00830693">
        <w:rPr>
          <w:rFonts w:ascii="ZWAdobeF" w:hAnsi="ZWAdobeF" w:cs="ZWAdobeF"/>
          <w:sz w:val="2"/>
          <w:szCs w:val="2"/>
          <w:lang w:val="en-GB"/>
        </w:rPr>
        <w:t>0F</w:t>
      </w:r>
      <w:r w:rsidR="0096739E" w:rsidRPr="00895ED9">
        <w:rPr>
          <w:rStyle w:val="FootnoteReference"/>
          <w:vertAlign w:val="baseline"/>
          <w:lang w:val="en-GB"/>
        </w:rPr>
        <w:footnoteReference w:customMarkFollows="1" w:id="2"/>
        <w:t>*</w:t>
      </w:r>
    </w:p>
    <w:p w14:paraId="3F6E7E8D" w14:textId="0D9AA113" w:rsidR="00760D3C" w:rsidRPr="00760D3C" w:rsidRDefault="00474AFB" w:rsidP="002D6417">
      <w:pPr>
        <w:keepNext/>
        <w:keepLines/>
        <w:tabs>
          <w:tab w:val="left" w:pos="4082"/>
        </w:tabs>
        <w:suppressAutoHyphens/>
        <w:spacing w:before="120" w:after="120"/>
        <w:ind w:right="4932"/>
        <w:rPr>
          <w:b/>
          <w:bCs/>
          <w:lang w:val="en-GB"/>
        </w:rPr>
      </w:pPr>
      <w:r>
        <w:rPr>
          <w:rFonts w:eastAsia="Times New Roman"/>
          <w:b/>
          <w:lang w:val="en-GB" w:eastAsia="en-US"/>
        </w:rPr>
        <w:t xml:space="preserve">Matters for consideration </w:t>
      </w:r>
      <w:r w:rsidR="002D6417">
        <w:rPr>
          <w:rFonts w:eastAsia="Times New Roman"/>
          <w:b/>
          <w:lang w:val="en-GB" w:eastAsia="en-US"/>
        </w:rPr>
        <w:t>or</w:t>
      </w:r>
      <w:r>
        <w:rPr>
          <w:rFonts w:eastAsia="Times New Roman"/>
          <w:b/>
          <w:lang w:val="en-GB" w:eastAsia="en-US"/>
        </w:rPr>
        <w:t xml:space="preserve"> action by the Conference of </w:t>
      </w:r>
      <w:r w:rsidR="002D6417">
        <w:rPr>
          <w:rFonts w:eastAsia="Times New Roman"/>
          <w:b/>
          <w:lang w:val="en-GB" w:eastAsia="en-US"/>
        </w:rPr>
        <w:t>Parties: m</w:t>
      </w:r>
      <w:r w:rsidR="00760D3C" w:rsidRPr="00315D7A">
        <w:rPr>
          <w:rFonts w:eastAsia="Times New Roman"/>
          <w:b/>
          <w:lang w:val="en-GB" w:eastAsia="en-US"/>
        </w:rPr>
        <w:t>ercury</w:t>
      </w:r>
      <w:r w:rsidR="00B61F79">
        <w:rPr>
          <w:b/>
          <w:bCs/>
          <w:lang w:val="en-GB"/>
        </w:rPr>
        <w:t xml:space="preserve"> w</w:t>
      </w:r>
      <w:r w:rsidR="007F658A">
        <w:rPr>
          <w:b/>
          <w:bCs/>
          <w:lang w:val="en-GB"/>
        </w:rPr>
        <w:t>aste</w:t>
      </w:r>
    </w:p>
    <w:p w14:paraId="02DA4E5C" w14:textId="3587232B" w:rsidR="00AF4FDB" w:rsidRPr="00C8604E" w:rsidRDefault="00276A37" w:rsidP="00AF4FDB">
      <w:pPr>
        <w:pStyle w:val="BBTitle"/>
        <w:rPr>
          <w:lang w:val="en-GB"/>
        </w:rPr>
      </w:pPr>
      <w:r w:rsidRPr="00276A37">
        <w:rPr>
          <w:lang w:val="en-GB"/>
        </w:rPr>
        <w:t>Information submitted by parties regarding their waste management regulations and programmes</w:t>
      </w:r>
      <w:r w:rsidR="00830693">
        <w:rPr>
          <w:rFonts w:ascii="ZWAdobeF" w:hAnsi="ZWAdobeF" w:cs="ZWAdobeF"/>
          <w:b w:val="0"/>
          <w:sz w:val="2"/>
          <w:szCs w:val="2"/>
          <w:lang w:val="en-GB"/>
        </w:rPr>
        <w:t>1F</w:t>
      </w:r>
      <w:r w:rsidR="00FD1BB5" w:rsidRPr="00315D7A">
        <w:rPr>
          <w:rStyle w:val="FootnoteReference"/>
          <w:sz w:val="28"/>
          <w:szCs w:val="28"/>
          <w:vertAlign w:val="baseline"/>
        </w:rPr>
        <w:footnoteReference w:customMarkFollows="1" w:id="3"/>
        <w:t>**</w:t>
      </w:r>
    </w:p>
    <w:p w14:paraId="40D08567" w14:textId="01A6C4C6" w:rsidR="00364839" w:rsidRPr="00620A83" w:rsidRDefault="00AF4FDB" w:rsidP="00620A83">
      <w:pPr>
        <w:pStyle w:val="CH2"/>
        <w:rPr>
          <w:lang w:val="en-GB"/>
        </w:rPr>
      </w:pPr>
      <w:r w:rsidRPr="00C8604E">
        <w:rPr>
          <w:lang w:val="en-GB"/>
        </w:rPr>
        <w:tab/>
      </w:r>
      <w:r w:rsidRPr="00C8604E">
        <w:rPr>
          <w:lang w:val="en-GB"/>
        </w:rPr>
        <w:tab/>
        <w:t>Note by the secretariat</w:t>
      </w:r>
    </w:p>
    <w:p w14:paraId="747FE4D7" w14:textId="1C5D0130" w:rsidR="009C5536" w:rsidRDefault="002934CD" w:rsidP="00315D7A">
      <w:pPr>
        <w:pStyle w:val="Normalnumber"/>
        <w:ind w:left="1247"/>
        <w:rPr>
          <w:noProof/>
          <w:lang w:val="en-GB"/>
        </w:rPr>
      </w:pPr>
      <w:r w:rsidRPr="00427693">
        <w:rPr>
          <w:noProof/>
          <w:lang w:val="en-GB"/>
        </w:rPr>
        <w:t xml:space="preserve">The Conference of the Parties, </w:t>
      </w:r>
      <w:r w:rsidR="00732FB8" w:rsidRPr="00427693">
        <w:rPr>
          <w:noProof/>
          <w:lang w:val="en-GB"/>
        </w:rPr>
        <w:t xml:space="preserve">in decision MC-5/10, </w:t>
      </w:r>
      <w:r w:rsidR="00EC3EE3" w:rsidRPr="00427693">
        <w:rPr>
          <w:noProof/>
          <w:lang w:val="en-GB"/>
        </w:rPr>
        <w:t>invite</w:t>
      </w:r>
      <w:r w:rsidR="685F6A48" w:rsidRPr="00427693">
        <w:rPr>
          <w:noProof/>
          <w:lang w:val="en-GB"/>
        </w:rPr>
        <w:t>d</w:t>
      </w:r>
      <w:r w:rsidR="00EC3EE3" w:rsidRPr="00427693">
        <w:rPr>
          <w:noProof/>
          <w:lang w:val="en-GB"/>
        </w:rPr>
        <w:t xml:space="preserve"> parties to submit to the secretariat</w:t>
      </w:r>
      <w:r w:rsidR="00F1083D" w:rsidRPr="00427693">
        <w:rPr>
          <w:rFonts w:eastAsiaTheme="minorEastAsia" w:hint="eastAsia"/>
          <w:noProof/>
          <w:lang w:val="en-GB" w:eastAsia="ja-JP"/>
        </w:rPr>
        <w:t>,</w:t>
      </w:r>
      <w:r w:rsidR="00EC3EE3" w:rsidRPr="00427693">
        <w:rPr>
          <w:noProof/>
          <w:lang w:val="en-GB"/>
        </w:rPr>
        <w:t xml:space="preserve"> by 31 October 2024</w:t>
      </w:r>
      <w:r w:rsidR="00F1083D" w:rsidRPr="00427693">
        <w:rPr>
          <w:rFonts w:eastAsiaTheme="minorEastAsia" w:hint="eastAsia"/>
          <w:noProof/>
          <w:lang w:val="en-GB" w:eastAsia="ja-JP"/>
        </w:rPr>
        <w:t>,</w:t>
      </w:r>
      <w:r w:rsidR="00EC3EE3" w:rsidRPr="00427693">
        <w:rPr>
          <w:noProof/>
          <w:lang w:val="en-GB"/>
        </w:rPr>
        <w:t xml:space="preserve"> information regarding their waste management regulations and programmes as mentioned in subparagraph 3 (a) of article 11, with a focus on matters not addressed by the technical guidelines on the environmentally sound management of wastes consisting of, containing or contaminated with mercury or mercury compounds</w:t>
      </w:r>
      <w:r w:rsidR="00830693">
        <w:rPr>
          <w:rFonts w:ascii="ZWAdobeF" w:hAnsi="ZWAdobeF" w:cs="ZWAdobeF"/>
          <w:noProof/>
          <w:sz w:val="2"/>
          <w:szCs w:val="2"/>
          <w:lang w:val="en-GB"/>
        </w:rPr>
        <w:t>2F</w:t>
      </w:r>
      <w:r w:rsidR="00804F74" w:rsidRPr="00315D7A">
        <w:rPr>
          <w:rStyle w:val="FootnoteReference"/>
          <w:szCs w:val="20"/>
          <w:lang w:val="en-GB"/>
        </w:rPr>
        <w:footnoteReference w:id="4"/>
      </w:r>
      <w:r w:rsidR="00EC3EE3" w:rsidRPr="00427693">
        <w:rPr>
          <w:noProof/>
          <w:lang w:val="en-GB"/>
        </w:rPr>
        <w:t xml:space="preserve">. </w:t>
      </w:r>
      <w:r w:rsidR="00696A36" w:rsidRPr="00427693">
        <w:rPr>
          <w:noProof/>
          <w:lang w:val="en-GB"/>
        </w:rPr>
        <w:t xml:space="preserve">Information was submitted by Argentina, Costa Rica, the European Union and its member states, Japan, Kuwait, Saudi Arabia, </w:t>
      </w:r>
      <w:r w:rsidR="00644D5F" w:rsidRPr="00427693">
        <w:rPr>
          <w:noProof/>
          <w:lang w:val="en-GB"/>
        </w:rPr>
        <w:t xml:space="preserve">Thailand and Uganda. </w:t>
      </w:r>
      <w:r w:rsidR="00F40FCC" w:rsidRPr="00427693">
        <w:rPr>
          <w:noProof/>
          <w:lang w:val="en-GB"/>
        </w:rPr>
        <w:t xml:space="preserve">The submitted information is summarised </w:t>
      </w:r>
      <w:r w:rsidR="00AC5724" w:rsidRPr="00427693">
        <w:rPr>
          <w:noProof/>
          <w:lang w:val="en-GB"/>
        </w:rPr>
        <w:t xml:space="preserve">in UNEP/MC/COP.6/8. </w:t>
      </w:r>
      <w:r w:rsidR="00BB2BB0" w:rsidRPr="006B1669">
        <w:rPr>
          <w:noProof/>
          <w:lang w:val="en-GB"/>
        </w:rPr>
        <w:t xml:space="preserve">The </w:t>
      </w:r>
      <w:r w:rsidR="008B2529" w:rsidRPr="00833064">
        <w:rPr>
          <w:noProof/>
          <w:lang w:val="en-GB"/>
        </w:rPr>
        <w:t>a</w:t>
      </w:r>
      <w:r w:rsidR="00F76422" w:rsidRPr="00833064">
        <w:rPr>
          <w:noProof/>
          <w:lang w:val="en-GB"/>
        </w:rPr>
        <w:t>nnex</w:t>
      </w:r>
      <w:r w:rsidR="00F76422" w:rsidRPr="00427693">
        <w:rPr>
          <w:noProof/>
          <w:lang w:val="en-GB"/>
        </w:rPr>
        <w:t xml:space="preserve"> to the present note </w:t>
      </w:r>
      <w:r w:rsidR="006C621A" w:rsidRPr="00833064">
        <w:rPr>
          <w:noProof/>
          <w:lang w:val="en-GB"/>
        </w:rPr>
        <w:t xml:space="preserve">contains </w:t>
      </w:r>
      <w:r w:rsidR="00F76422" w:rsidRPr="00427693">
        <w:rPr>
          <w:noProof/>
          <w:lang w:val="en-GB"/>
        </w:rPr>
        <w:t xml:space="preserve">a compilation of </w:t>
      </w:r>
      <w:r w:rsidR="00406BC7" w:rsidRPr="00427693">
        <w:rPr>
          <w:noProof/>
          <w:lang w:val="en-GB"/>
        </w:rPr>
        <w:t xml:space="preserve">the information </w:t>
      </w:r>
      <w:r w:rsidR="00286E13" w:rsidRPr="00833064">
        <w:rPr>
          <w:noProof/>
          <w:lang w:val="en-GB"/>
        </w:rPr>
        <w:t>submitted</w:t>
      </w:r>
      <w:r w:rsidR="0034598C" w:rsidRPr="00833064">
        <w:rPr>
          <w:noProof/>
          <w:lang w:val="en-GB"/>
        </w:rPr>
        <w:t xml:space="preserve">, which is reproduced as </w:t>
      </w:r>
      <w:r w:rsidR="00406BC7" w:rsidRPr="00427693">
        <w:rPr>
          <w:noProof/>
          <w:lang w:val="en-GB"/>
        </w:rPr>
        <w:t>received</w:t>
      </w:r>
      <w:r w:rsidR="00427693" w:rsidRPr="00427693">
        <w:rPr>
          <w:noProof/>
          <w:lang w:val="en-GB"/>
        </w:rPr>
        <w:t xml:space="preserve">, </w:t>
      </w:r>
      <w:r w:rsidR="00284CD8">
        <w:rPr>
          <w:noProof/>
          <w:lang w:val="en-GB"/>
        </w:rPr>
        <w:t>w</w:t>
      </w:r>
      <w:r w:rsidR="009C5536">
        <w:rPr>
          <w:noProof/>
          <w:lang w:val="en-GB"/>
        </w:rPr>
        <w:t>ithout formal editing.</w:t>
      </w:r>
    </w:p>
    <w:p w14:paraId="3634029E" w14:textId="77777777" w:rsidR="00406BC7" w:rsidRDefault="00406BC7" w:rsidP="00406BC7">
      <w:pPr>
        <w:pStyle w:val="Normalnumber"/>
        <w:rPr>
          <w:noProof/>
          <w:lang w:val="en-GB"/>
        </w:rPr>
      </w:pPr>
    </w:p>
    <w:p w14:paraId="19A243E3" w14:textId="77777777" w:rsidR="00DD18A5" w:rsidRPr="006A5E4C" w:rsidRDefault="00DD18A5" w:rsidP="00DD18A5">
      <w:pPr>
        <w:rPr>
          <w:rFonts w:eastAsia="Times New Roman"/>
          <w:noProof/>
          <w:lang w:eastAsia="en-US"/>
        </w:rPr>
      </w:pPr>
      <w:r w:rsidRPr="006A5E4C">
        <w:rPr>
          <w:noProof/>
        </w:rPr>
        <w:br w:type="page"/>
      </w:r>
    </w:p>
    <w:p w14:paraId="0113159D" w14:textId="214B6E72" w:rsidR="00DD18A5" w:rsidRPr="006A5E4C" w:rsidRDefault="00DD18A5" w:rsidP="00DD18A5">
      <w:pPr>
        <w:pStyle w:val="ZZAnxheader"/>
        <w:tabs>
          <w:tab w:val="clear" w:pos="1814"/>
          <w:tab w:val="clear" w:pos="2381"/>
          <w:tab w:val="clear" w:pos="2948"/>
          <w:tab w:val="clear" w:pos="3515"/>
          <w:tab w:val="clear" w:pos="4082"/>
          <w:tab w:val="left" w:pos="624"/>
          <w:tab w:val="left" w:pos="1871"/>
          <w:tab w:val="left" w:pos="2495"/>
          <w:tab w:val="left" w:pos="3119"/>
          <w:tab w:val="left" w:pos="3742"/>
          <w:tab w:val="left" w:pos="4366"/>
        </w:tabs>
        <w:rPr>
          <w:rFonts w:eastAsia="Times New Roman"/>
          <w:noProof/>
          <w:lang w:val="en-GB"/>
        </w:rPr>
      </w:pPr>
      <w:r w:rsidRPr="006A5E4C">
        <w:rPr>
          <w:rFonts w:eastAsia="Times New Roman"/>
          <w:noProof/>
          <w:lang w:val="en-GB"/>
        </w:rPr>
        <w:lastRenderedPageBreak/>
        <w:t>Annex</w:t>
      </w:r>
    </w:p>
    <w:p w14:paraId="5430D9B6" w14:textId="0E336003" w:rsidR="00DD18A5" w:rsidRPr="006A5E4C" w:rsidRDefault="00F7332E" w:rsidP="00315D7A">
      <w:pPr>
        <w:pStyle w:val="ZZAnxtitle"/>
        <w:tabs>
          <w:tab w:val="clear" w:pos="1814"/>
          <w:tab w:val="clear" w:pos="2381"/>
          <w:tab w:val="clear" w:pos="2948"/>
          <w:tab w:val="clear" w:pos="3515"/>
          <w:tab w:val="clear" w:pos="4082"/>
          <w:tab w:val="left" w:pos="624"/>
          <w:tab w:val="left" w:pos="1871"/>
          <w:tab w:val="left" w:pos="2495"/>
          <w:tab w:val="left" w:pos="3119"/>
          <w:tab w:val="left" w:pos="3742"/>
          <w:tab w:val="left" w:pos="4366"/>
        </w:tabs>
        <w:spacing w:after="480"/>
        <w:rPr>
          <w:noProof/>
          <w:lang w:val="en-GB"/>
        </w:rPr>
      </w:pPr>
      <w:r>
        <w:rPr>
          <w:noProof/>
          <w:lang w:val="en-GB"/>
        </w:rPr>
        <w:t>Compilation of i</w:t>
      </w:r>
      <w:r w:rsidRPr="00F7332E">
        <w:rPr>
          <w:noProof/>
          <w:lang w:val="en-GB"/>
        </w:rPr>
        <w:t xml:space="preserve">nformation submitted by parties regarding their waste management regulations and programmes </w:t>
      </w:r>
    </w:p>
    <w:sdt>
      <w:sdtPr>
        <w:rPr>
          <w:rFonts w:ascii="Times New Roman" w:eastAsia="SimSun" w:hAnsi="Times New Roman" w:cs="Times New Roman"/>
          <w:color w:val="auto"/>
          <w:sz w:val="20"/>
          <w:szCs w:val="20"/>
          <w:lang w:eastAsia="zh-CN"/>
        </w:rPr>
        <w:id w:val="-1955792443"/>
        <w:docPartObj>
          <w:docPartGallery w:val="Table of Contents"/>
          <w:docPartUnique/>
        </w:docPartObj>
      </w:sdtPr>
      <w:sdtEndPr>
        <w:rPr>
          <w:b/>
          <w:bCs/>
          <w:noProof/>
        </w:rPr>
      </w:sdtEndPr>
      <w:sdtContent>
        <w:p w14:paraId="793F2755" w14:textId="6368C765" w:rsidR="00DB6691" w:rsidRPr="00315D7A" w:rsidRDefault="00DB6691" w:rsidP="00315D7A">
          <w:pPr>
            <w:pStyle w:val="TOCHeading"/>
            <w:ind w:left="1247"/>
            <w:rPr>
              <w:rFonts w:asciiTheme="majorBidi" w:hAnsiTheme="majorBidi"/>
              <w:b/>
              <w:bCs/>
              <w:color w:val="auto"/>
              <w:sz w:val="24"/>
              <w:szCs w:val="24"/>
            </w:rPr>
          </w:pPr>
          <w:r w:rsidRPr="00315D7A">
            <w:rPr>
              <w:rFonts w:asciiTheme="majorBidi" w:hAnsiTheme="majorBidi"/>
              <w:b/>
              <w:bCs/>
              <w:color w:val="auto"/>
              <w:sz w:val="24"/>
              <w:szCs w:val="24"/>
            </w:rPr>
            <w:t>Table of Contents</w:t>
          </w:r>
        </w:p>
        <w:p w14:paraId="03528B7D" w14:textId="781E39C9" w:rsidR="00A15D30" w:rsidRPr="00315D7A" w:rsidRDefault="00DB6691">
          <w:pPr>
            <w:pStyle w:val="TOC1"/>
            <w:rPr>
              <w:rFonts w:asciiTheme="minorHAnsi" w:eastAsiaTheme="minorEastAsia" w:hAnsiTheme="minorHAnsi" w:cstheme="minorBidi"/>
              <w:b/>
              <w:bCs w:val="0"/>
              <w:noProof/>
              <w:kern w:val="2"/>
              <w:sz w:val="24"/>
              <w:szCs w:val="24"/>
              <w:lang w:val="en-GB" w:eastAsia="zh-CN"/>
              <w14:ligatures w14:val="standardContextual"/>
            </w:rPr>
          </w:pPr>
          <w:r w:rsidRPr="00315D7A">
            <w:rPr>
              <w:rFonts w:asciiTheme="majorBidi" w:hAnsiTheme="majorBidi" w:cstheme="majorBidi"/>
            </w:rPr>
            <w:fldChar w:fldCharType="begin"/>
          </w:r>
          <w:r w:rsidRPr="00315D7A">
            <w:rPr>
              <w:rFonts w:asciiTheme="majorBidi" w:hAnsiTheme="majorBidi" w:cstheme="majorBidi"/>
            </w:rPr>
            <w:instrText xml:space="preserve"> TOC \o "1-3" \h \z \u </w:instrText>
          </w:r>
          <w:r w:rsidRPr="00315D7A">
            <w:rPr>
              <w:rFonts w:asciiTheme="majorBidi" w:hAnsiTheme="majorBidi" w:cstheme="majorBidi"/>
            </w:rPr>
            <w:fldChar w:fldCharType="separate"/>
          </w:r>
          <w:hyperlink w:anchor="_Toc200623576" w:history="1">
            <w:r w:rsidR="00A15D30" w:rsidRPr="00315D7A">
              <w:rPr>
                <w:rStyle w:val="Hyperlink"/>
                <w:b/>
                <w:bCs w:val="0"/>
                <w:noProof/>
                <w:lang w:val="en-GB"/>
              </w:rPr>
              <w:t>1.</w:t>
            </w:r>
            <w:r w:rsidR="00A15D30" w:rsidRPr="00315D7A">
              <w:rPr>
                <w:rFonts w:asciiTheme="minorHAnsi" w:eastAsiaTheme="minorEastAsia" w:hAnsiTheme="minorHAnsi" w:cstheme="minorBidi"/>
                <w:b/>
                <w:bCs w:val="0"/>
                <w:noProof/>
                <w:kern w:val="2"/>
                <w:sz w:val="24"/>
                <w:szCs w:val="24"/>
                <w:lang w:val="en-GB" w:eastAsia="zh-CN"/>
                <w14:ligatures w14:val="standardContextual"/>
              </w:rPr>
              <w:tab/>
            </w:r>
            <w:r w:rsidR="00A15D30" w:rsidRPr="00315D7A">
              <w:rPr>
                <w:rStyle w:val="Hyperlink"/>
                <w:b/>
                <w:bCs w:val="0"/>
                <w:noProof/>
                <w:lang w:val="en-GB"/>
              </w:rPr>
              <w:t>Submission by Argentina</w:t>
            </w:r>
            <w:r w:rsidR="00A15D30" w:rsidRPr="00315D7A">
              <w:rPr>
                <w:b/>
                <w:bCs w:val="0"/>
                <w:noProof/>
                <w:webHidden/>
              </w:rPr>
              <w:tab/>
            </w:r>
            <w:r w:rsidR="00A15D30" w:rsidRPr="00315D7A">
              <w:rPr>
                <w:b/>
                <w:bCs w:val="0"/>
                <w:noProof/>
                <w:webHidden/>
              </w:rPr>
              <w:tab/>
            </w:r>
            <w:r w:rsidR="00A15D30" w:rsidRPr="00315D7A">
              <w:rPr>
                <w:b/>
                <w:bCs w:val="0"/>
                <w:noProof/>
                <w:webHidden/>
              </w:rPr>
              <w:fldChar w:fldCharType="begin"/>
            </w:r>
            <w:r w:rsidR="00A15D30" w:rsidRPr="00315D7A">
              <w:rPr>
                <w:b/>
                <w:bCs w:val="0"/>
                <w:noProof/>
                <w:webHidden/>
              </w:rPr>
              <w:instrText xml:space="preserve"> PAGEREF _Toc200623576 \h </w:instrText>
            </w:r>
            <w:r w:rsidR="00A15D30" w:rsidRPr="00315D7A">
              <w:rPr>
                <w:b/>
                <w:bCs w:val="0"/>
                <w:noProof/>
                <w:webHidden/>
              </w:rPr>
            </w:r>
            <w:r w:rsidR="00A15D30" w:rsidRPr="00315D7A">
              <w:rPr>
                <w:b/>
                <w:bCs w:val="0"/>
                <w:noProof/>
                <w:webHidden/>
              </w:rPr>
              <w:fldChar w:fldCharType="separate"/>
            </w:r>
            <w:r w:rsidR="00692E0A">
              <w:rPr>
                <w:b/>
                <w:bCs w:val="0"/>
                <w:noProof/>
                <w:webHidden/>
              </w:rPr>
              <w:t>3</w:t>
            </w:r>
            <w:r w:rsidR="00A15D30" w:rsidRPr="00315D7A">
              <w:rPr>
                <w:b/>
                <w:bCs w:val="0"/>
                <w:noProof/>
                <w:webHidden/>
              </w:rPr>
              <w:fldChar w:fldCharType="end"/>
            </w:r>
          </w:hyperlink>
        </w:p>
        <w:p w14:paraId="10BDDF0E" w14:textId="439C004E" w:rsidR="00A15D30" w:rsidRPr="00315D7A" w:rsidRDefault="00013772">
          <w:pPr>
            <w:pStyle w:val="TOC1"/>
            <w:rPr>
              <w:rFonts w:asciiTheme="minorHAnsi" w:eastAsiaTheme="minorEastAsia" w:hAnsiTheme="minorHAnsi" w:cstheme="minorBidi"/>
              <w:b/>
              <w:bCs w:val="0"/>
              <w:noProof/>
              <w:kern w:val="2"/>
              <w:sz w:val="24"/>
              <w:szCs w:val="24"/>
              <w:lang w:val="en-GB" w:eastAsia="zh-CN"/>
              <w14:ligatures w14:val="standardContextual"/>
            </w:rPr>
          </w:pPr>
          <w:hyperlink w:anchor="_Toc200623577" w:history="1">
            <w:r w:rsidR="00A15D30" w:rsidRPr="00315D7A">
              <w:rPr>
                <w:rStyle w:val="Hyperlink"/>
                <w:b/>
                <w:bCs w:val="0"/>
                <w:noProof/>
                <w:lang w:val="en-GB"/>
              </w:rPr>
              <w:t>2.</w:t>
            </w:r>
            <w:r w:rsidR="00A15D30" w:rsidRPr="00315D7A">
              <w:rPr>
                <w:rFonts w:asciiTheme="minorHAnsi" w:eastAsiaTheme="minorEastAsia" w:hAnsiTheme="minorHAnsi" w:cstheme="minorBidi"/>
                <w:b/>
                <w:bCs w:val="0"/>
                <w:noProof/>
                <w:kern w:val="2"/>
                <w:sz w:val="24"/>
                <w:szCs w:val="24"/>
                <w:lang w:val="en-GB" w:eastAsia="zh-CN"/>
                <w14:ligatures w14:val="standardContextual"/>
              </w:rPr>
              <w:tab/>
            </w:r>
            <w:r w:rsidR="00A15D30" w:rsidRPr="00315D7A">
              <w:rPr>
                <w:rStyle w:val="Hyperlink"/>
                <w:b/>
                <w:bCs w:val="0"/>
                <w:noProof/>
                <w:lang w:val="en-GB"/>
              </w:rPr>
              <w:t>Submission by Costa Rica</w:t>
            </w:r>
            <w:r w:rsidR="00A15D30" w:rsidRPr="00315D7A">
              <w:rPr>
                <w:b/>
                <w:bCs w:val="0"/>
                <w:noProof/>
                <w:webHidden/>
              </w:rPr>
              <w:tab/>
            </w:r>
            <w:r w:rsidR="00A15D30" w:rsidRPr="00315D7A">
              <w:rPr>
                <w:b/>
                <w:bCs w:val="0"/>
                <w:noProof/>
                <w:webHidden/>
              </w:rPr>
              <w:tab/>
            </w:r>
            <w:r w:rsidR="00A15D30" w:rsidRPr="00315D7A">
              <w:rPr>
                <w:b/>
                <w:bCs w:val="0"/>
                <w:noProof/>
                <w:webHidden/>
              </w:rPr>
              <w:fldChar w:fldCharType="begin"/>
            </w:r>
            <w:r w:rsidR="00A15D30" w:rsidRPr="00315D7A">
              <w:rPr>
                <w:b/>
                <w:bCs w:val="0"/>
                <w:noProof/>
                <w:webHidden/>
              </w:rPr>
              <w:instrText xml:space="preserve"> PAGEREF _Toc200623577 \h </w:instrText>
            </w:r>
            <w:r w:rsidR="00A15D30" w:rsidRPr="00315D7A">
              <w:rPr>
                <w:b/>
                <w:bCs w:val="0"/>
                <w:noProof/>
                <w:webHidden/>
              </w:rPr>
            </w:r>
            <w:r w:rsidR="00A15D30" w:rsidRPr="00315D7A">
              <w:rPr>
                <w:b/>
                <w:bCs w:val="0"/>
                <w:noProof/>
                <w:webHidden/>
              </w:rPr>
              <w:fldChar w:fldCharType="separate"/>
            </w:r>
            <w:r w:rsidR="00692E0A">
              <w:rPr>
                <w:b/>
                <w:bCs w:val="0"/>
                <w:noProof/>
                <w:webHidden/>
              </w:rPr>
              <w:t>4</w:t>
            </w:r>
            <w:r w:rsidR="00A15D30" w:rsidRPr="00315D7A">
              <w:rPr>
                <w:b/>
                <w:bCs w:val="0"/>
                <w:noProof/>
                <w:webHidden/>
              </w:rPr>
              <w:fldChar w:fldCharType="end"/>
            </w:r>
          </w:hyperlink>
        </w:p>
        <w:p w14:paraId="5F22C8BE" w14:textId="59013180" w:rsidR="00A15D30" w:rsidRPr="00315D7A" w:rsidRDefault="00013772">
          <w:pPr>
            <w:pStyle w:val="TOC1"/>
            <w:rPr>
              <w:rFonts w:asciiTheme="minorHAnsi" w:eastAsiaTheme="minorEastAsia" w:hAnsiTheme="minorHAnsi" w:cstheme="minorBidi"/>
              <w:b/>
              <w:bCs w:val="0"/>
              <w:noProof/>
              <w:kern w:val="2"/>
              <w:sz w:val="24"/>
              <w:szCs w:val="24"/>
              <w:lang w:val="en-GB" w:eastAsia="zh-CN"/>
              <w14:ligatures w14:val="standardContextual"/>
            </w:rPr>
          </w:pPr>
          <w:hyperlink w:anchor="_Toc200623578" w:history="1">
            <w:r w:rsidR="00A15D30" w:rsidRPr="00315D7A">
              <w:rPr>
                <w:rStyle w:val="Hyperlink"/>
                <w:b/>
                <w:bCs w:val="0"/>
                <w:noProof/>
                <w:lang w:val="en-GB"/>
              </w:rPr>
              <w:t>3.</w:t>
            </w:r>
            <w:r w:rsidR="00A15D30" w:rsidRPr="00315D7A">
              <w:rPr>
                <w:rFonts w:asciiTheme="minorHAnsi" w:eastAsiaTheme="minorEastAsia" w:hAnsiTheme="minorHAnsi" w:cstheme="minorBidi"/>
                <w:b/>
                <w:bCs w:val="0"/>
                <w:noProof/>
                <w:kern w:val="2"/>
                <w:sz w:val="24"/>
                <w:szCs w:val="24"/>
                <w:lang w:val="en-GB" w:eastAsia="zh-CN"/>
                <w14:ligatures w14:val="standardContextual"/>
              </w:rPr>
              <w:tab/>
            </w:r>
            <w:r w:rsidR="00A15D30" w:rsidRPr="00315D7A">
              <w:rPr>
                <w:rStyle w:val="Hyperlink"/>
                <w:b/>
                <w:bCs w:val="0"/>
                <w:noProof/>
                <w:lang w:val="en-GB"/>
              </w:rPr>
              <w:t>Submission by the European Union and its member states</w:t>
            </w:r>
            <w:r w:rsidR="00A15D30" w:rsidRPr="00315D7A">
              <w:rPr>
                <w:b/>
                <w:bCs w:val="0"/>
                <w:noProof/>
                <w:webHidden/>
              </w:rPr>
              <w:tab/>
            </w:r>
            <w:r w:rsidR="00A15D30" w:rsidRPr="00315D7A">
              <w:rPr>
                <w:b/>
                <w:bCs w:val="0"/>
                <w:noProof/>
                <w:webHidden/>
              </w:rPr>
              <w:fldChar w:fldCharType="begin"/>
            </w:r>
            <w:r w:rsidR="00A15D30" w:rsidRPr="00315D7A">
              <w:rPr>
                <w:b/>
                <w:bCs w:val="0"/>
                <w:noProof/>
                <w:webHidden/>
              </w:rPr>
              <w:instrText xml:space="preserve"> PAGEREF _Toc200623578 \h </w:instrText>
            </w:r>
            <w:r w:rsidR="00A15D30" w:rsidRPr="00315D7A">
              <w:rPr>
                <w:b/>
                <w:bCs w:val="0"/>
                <w:noProof/>
                <w:webHidden/>
              </w:rPr>
            </w:r>
            <w:r w:rsidR="00A15D30" w:rsidRPr="00315D7A">
              <w:rPr>
                <w:b/>
                <w:bCs w:val="0"/>
                <w:noProof/>
                <w:webHidden/>
              </w:rPr>
              <w:fldChar w:fldCharType="separate"/>
            </w:r>
            <w:r w:rsidR="00692E0A">
              <w:rPr>
                <w:b/>
                <w:bCs w:val="0"/>
                <w:noProof/>
                <w:webHidden/>
              </w:rPr>
              <w:t>5</w:t>
            </w:r>
            <w:r w:rsidR="00A15D30" w:rsidRPr="00315D7A">
              <w:rPr>
                <w:b/>
                <w:bCs w:val="0"/>
                <w:noProof/>
                <w:webHidden/>
              </w:rPr>
              <w:fldChar w:fldCharType="end"/>
            </w:r>
          </w:hyperlink>
        </w:p>
        <w:p w14:paraId="547C1BC1" w14:textId="0C3F574B" w:rsidR="00A15D30" w:rsidRPr="00315D7A" w:rsidRDefault="00013772">
          <w:pPr>
            <w:pStyle w:val="TOC1"/>
            <w:rPr>
              <w:rFonts w:asciiTheme="minorHAnsi" w:eastAsiaTheme="minorEastAsia" w:hAnsiTheme="minorHAnsi" w:cstheme="minorBidi"/>
              <w:b/>
              <w:bCs w:val="0"/>
              <w:noProof/>
              <w:kern w:val="2"/>
              <w:sz w:val="24"/>
              <w:szCs w:val="24"/>
              <w:lang w:val="en-GB" w:eastAsia="zh-CN"/>
              <w14:ligatures w14:val="standardContextual"/>
            </w:rPr>
          </w:pPr>
          <w:hyperlink w:anchor="_Toc200623579" w:history="1">
            <w:r w:rsidR="00A15D30" w:rsidRPr="00315D7A">
              <w:rPr>
                <w:rStyle w:val="Hyperlink"/>
                <w:b/>
                <w:bCs w:val="0"/>
                <w:noProof/>
                <w:lang w:val="en-GB"/>
              </w:rPr>
              <w:t>4.</w:t>
            </w:r>
            <w:r w:rsidR="00A15D30" w:rsidRPr="00315D7A">
              <w:rPr>
                <w:rFonts w:asciiTheme="minorHAnsi" w:eastAsiaTheme="minorEastAsia" w:hAnsiTheme="minorHAnsi" w:cstheme="minorBidi"/>
                <w:b/>
                <w:bCs w:val="0"/>
                <w:noProof/>
                <w:kern w:val="2"/>
                <w:sz w:val="24"/>
                <w:szCs w:val="24"/>
                <w:lang w:val="en-GB" w:eastAsia="zh-CN"/>
                <w14:ligatures w14:val="standardContextual"/>
              </w:rPr>
              <w:tab/>
            </w:r>
            <w:r w:rsidR="00A15D30" w:rsidRPr="00315D7A">
              <w:rPr>
                <w:rStyle w:val="Hyperlink"/>
                <w:b/>
                <w:bCs w:val="0"/>
                <w:noProof/>
                <w:lang w:val="en-GB"/>
              </w:rPr>
              <w:t>Submission by Japan</w:t>
            </w:r>
            <w:r w:rsidR="00A15D30" w:rsidRPr="00315D7A">
              <w:rPr>
                <w:b/>
                <w:bCs w:val="0"/>
                <w:noProof/>
                <w:webHidden/>
              </w:rPr>
              <w:tab/>
            </w:r>
            <w:r w:rsidR="00A15D30" w:rsidRPr="00315D7A">
              <w:rPr>
                <w:b/>
                <w:bCs w:val="0"/>
                <w:noProof/>
                <w:webHidden/>
              </w:rPr>
              <w:tab/>
            </w:r>
            <w:r w:rsidR="00A15D30" w:rsidRPr="00315D7A">
              <w:rPr>
                <w:b/>
                <w:bCs w:val="0"/>
                <w:noProof/>
                <w:webHidden/>
              </w:rPr>
              <w:fldChar w:fldCharType="begin"/>
            </w:r>
            <w:r w:rsidR="00A15D30" w:rsidRPr="00315D7A">
              <w:rPr>
                <w:b/>
                <w:bCs w:val="0"/>
                <w:noProof/>
                <w:webHidden/>
              </w:rPr>
              <w:instrText xml:space="preserve"> PAGEREF _Toc200623579 \h </w:instrText>
            </w:r>
            <w:r w:rsidR="00A15D30" w:rsidRPr="00315D7A">
              <w:rPr>
                <w:b/>
                <w:bCs w:val="0"/>
                <w:noProof/>
                <w:webHidden/>
              </w:rPr>
            </w:r>
            <w:r w:rsidR="00A15D30" w:rsidRPr="00315D7A">
              <w:rPr>
                <w:b/>
                <w:bCs w:val="0"/>
                <w:noProof/>
                <w:webHidden/>
              </w:rPr>
              <w:fldChar w:fldCharType="separate"/>
            </w:r>
            <w:r w:rsidR="00692E0A">
              <w:rPr>
                <w:b/>
                <w:bCs w:val="0"/>
                <w:noProof/>
                <w:webHidden/>
              </w:rPr>
              <w:t>8</w:t>
            </w:r>
            <w:r w:rsidR="00A15D30" w:rsidRPr="00315D7A">
              <w:rPr>
                <w:b/>
                <w:bCs w:val="0"/>
                <w:noProof/>
                <w:webHidden/>
              </w:rPr>
              <w:fldChar w:fldCharType="end"/>
            </w:r>
          </w:hyperlink>
        </w:p>
        <w:p w14:paraId="3841A92F" w14:textId="4BF7F84A" w:rsidR="00A15D30" w:rsidRPr="00315D7A" w:rsidRDefault="00013772">
          <w:pPr>
            <w:pStyle w:val="TOC1"/>
            <w:rPr>
              <w:rFonts w:asciiTheme="minorHAnsi" w:eastAsiaTheme="minorEastAsia" w:hAnsiTheme="minorHAnsi" w:cstheme="minorBidi"/>
              <w:b/>
              <w:bCs w:val="0"/>
              <w:noProof/>
              <w:kern w:val="2"/>
              <w:sz w:val="24"/>
              <w:szCs w:val="24"/>
              <w:lang w:val="en-GB" w:eastAsia="zh-CN"/>
              <w14:ligatures w14:val="standardContextual"/>
            </w:rPr>
          </w:pPr>
          <w:hyperlink w:anchor="_Toc200623580" w:history="1">
            <w:r w:rsidR="00A15D30" w:rsidRPr="00315D7A">
              <w:rPr>
                <w:rStyle w:val="Hyperlink"/>
                <w:b/>
                <w:bCs w:val="0"/>
                <w:noProof/>
                <w:lang w:val="en-GB"/>
              </w:rPr>
              <w:t>5.</w:t>
            </w:r>
            <w:r w:rsidR="00A15D30" w:rsidRPr="00315D7A">
              <w:rPr>
                <w:rFonts w:asciiTheme="minorHAnsi" w:eastAsiaTheme="minorEastAsia" w:hAnsiTheme="minorHAnsi" w:cstheme="minorBidi"/>
                <w:b/>
                <w:bCs w:val="0"/>
                <w:noProof/>
                <w:kern w:val="2"/>
                <w:sz w:val="24"/>
                <w:szCs w:val="24"/>
                <w:lang w:val="en-GB" w:eastAsia="zh-CN"/>
                <w14:ligatures w14:val="standardContextual"/>
              </w:rPr>
              <w:tab/>
            </w:r>
            <w:r w:rsidR="00A15D30" w:rsidRPr="00315D7A">
              <w:rPr>
                <w:rStyle w:val="Hyperlink"/>
                <w:b/>
                <w:bCs w:val="0"/>
                <w:noProof/>
                <w:lang w:val="en-GB"/>
              </w:rPr>
              <w:t>Submission by Kuwait</w:t>
            </w:r>
            <w:r w:rsidR="00A15D30" w:rsidRPr="00315D7A">
              <w:rPr>
                <w:b/>
                <w:bCs w:val="0"/>
                <w:noProof/>
                <w:webHidden/>
              </w:rPr>
              <w:tab/>
            </w:r>
            <w:r w:rsidR="00A15D30" w:rsidRPr="00315D7A">
              <w:rPr>
                <w:b/>
                <w:bCs w:val="0"/>
                <w:noProof/>
                <w:webHidden/>
              </w:rPr>
              <w:tab/>
            </w:r>
            <w:r w:rsidR="00A15D30" w:rsidRPr="00315D7A">
              <w:rPr>
                <w:b/>
                <w:bCs w:val="0"/>
                <w:noProof/>
                <w:webHidden/>
              </w:rPr>
              <w:fldChar w:fldCharType="begin"/>
            </w:r>
            <w:r w:rsidR="00A15D30" w:rsidRPr="00315D7A">
              <w:rPr>
                <w:b/>
                <w:bCs w:val="0"/>
                <w:noProof/>
                <w:webHidden/>
              </w:rPr>
              <w:instrText xml:space="preserve"> PAGEREF _Toc200623580 \h </w:instrText>
            </w:r>
            <w:r w:rsidR="00A15D30" w:rsidRPr="00315D7A">
              <w:rPr>
                <w:b/>
                <w:bCs w:val="0"/>
                <w:noProof/>
                <w:webHidden/>
              </w:rPr>
            </w:r>
            <w:r w:rsidR="00A15D30" w:rsidRPr="00315D7A">
              <w:rPr>
                <w:b/>
                <w:bCs w:val="0"/>
                <w:noProof/>
                <w:webHidden/>
              </w:rPr>
              <w:fldChar w:fldCharType="separate"/>
            </w:r>
            <w:r w:rsidR="00692E0A">
              <w:rPr>
                <w:b/>
                <w:bCs w:val="0"/>
                <w:noProof/>
                <w:webHidden/>
              </w:rPr>
              <w:t>8</w:t>
            </w:r>
            <w:r w:rsidR="00A15D30" w:rsidRPr="00315D7A">
              <w:rPr>
                <w:b/>
                <w:bCs w:val="0"/>
                <w:noProof/>
                <w:webHidden/>
              </w:rPr>
              <w:fldChar w:fldCharType="end"/>
            </w:r>
          </w:hyperlink>
        </w:p>
        <w:p w14:paraId="4A044365" w14:textId="4277D988" w:rsidR="00A15D30" w:rsidRPr="00315D7A" w:rsidRDefault="00013772">
          <w:pPr>
            <w:pStyle w:val="TOC1"/>
            <w:rPr>
              <w:rFonts w:asciiTheme="minorHAnsi" w:eastAsiaTheme="minorEastAsia" w:hAnsiTheme="minorHAnsi" w:cstheme="minorBidi"/>
              <w:b/>
              <w:bCs w:val="0"/>
              <w:noProof/>
              <w:kern w:val="2"/>
              <w:sz w:val="24"/>
              <w:szCs w:val="24"/>
              <w:lang w:val="en-GB" w:eastAsia="zh-CN"/>
              <w14:ligatures w14:val="standardContextual"/>
            </w:rPr>
          </w:pPr>
          <w:hyperlink w:anchor="_Toc200623581" w:history="1">
            <w:r w:rsidR="00A15D30" w:rsidRPr="00315D7A">
              <w:rPr>
                <w:rStyle w:val="Hyperlink"/>
                <w:b/>
                <w:bCs w:val="0"/>
                <w:noProof/>
                <w:lang w:val="en-GB"/>
              </w:rPr>
              <w:t>7.</w:t>
            </w:r>
            <w:r w:rsidR="00A15D30" w:rsidRPr="00315D7A">
              <w:rPr>
                <w:rFonts w:asciiTheme="minorHAnsi" w:eastAsiaTheme="minorEastAsia" w:hAnsiTheme="minorHAnsi" w:cstheme="minorBidi"/>
                <w:b/>
                <w:bCs w:val="0"/>
                <w:noProof/>
                <w:kern w:val="2"/>
                <w:sz w:val="24"/>
                <w:szCs w:val="24"/>
                <w:lang w:val="en-GB" w:eastAsia="zh-CN"/>
                <w14:ligatures w14:val="standardContextual"/>
              </w:rPr>
              <w:tab/>
            </w:r>
            <w:r w:rsidR="00A15D30" w:rsidRPr="00315D7A">
              <w:rPr>
                <w:rStyle w:val="Hyperlink"/>
                <w:b/>
                <w:bCs w:val="0"/>
                <w:noProof/>
                <w:lang w:val="en-GB"/>
              </w:rPr>
              <w:t>Submission by Thailand</w:t>
            </w:r>
            <w:r w:rsidR="00A15D30" w:rsidRPr="00315D7A">
              <w:rPr>
                <w:b/>
                <w:bCs w:val="0"/>
                <w:noProof/>
                <w:webHidden/>
              </w:rPr>
              <w:tab/>
            </w:r>
            <w:r w:rsidR="00A15D30" w:rsidRPr="00315D7A">
              <w:rPr>
                <w:b/>
                <w:bCs w:val="0"/>
                <w:noProof/>
                <w:webHidden/>
              </w:rPr>
              <w:tab/>
            </w:r>
            <w:r w:rsidR="00A15D30" w:rsidRPr="00315D7A">
              <w:rPr>
                <w:b/>
                <w:bCs w:val="0"/>
                <w:noProof/>
                <w:webHidden/>
              </w:rPr>
              <w:fldChar w:fldCharType="begin"/>
            </w:r>
            <w:r w:rsidR="00A15D30" w:rsidRPr="00315D7A">
              <w:rPr>
                <w:b/>
                <w:bCs w:val="0"/>
                <w:noProof/>
                <w:webHidden/>
              </w:rPr>
              <w:instrText xml:space="preserve"> PAGEREF _Toc200623581 \h </w:instrText>
            </w:r>
            <w:r w:rsidR="00A15D30" w:rsidRPr="00315D7A">
              <w:rPr>
                <w:b/>
                <w:bCs w:val="0"/>
                <w:noProof/>
                <w:webHidden/>
              </w:rPr>
            </w:r>
            <w:r w:rsidR="00A15D30" w:rsidRPr="00315D7A">
              <w:rPr>
                <w:b/>
                <w:bCs w:val="0"/>
                <w:noProof/>
                <w:webHidden/>
              </w:rPr>
              <w:fldChar w:fldCharType="separate"/>
            </w:r>
            <w:r w:rsidR="00692E0A">
              <w:rPr>
                <w:b/>
                <w:bCs w:val="0"/>
                <w:noProof/>
                <w:webHidden/>
              </w:rPr>
              <w:t>11</w:t>
            </w:r>
            <w:r w:rsidR="00A15D30" w:rsidRPr="00315D7A">
              <w:rPr>
                <w:b/>
                <w:bCs w:val="0"/>
                <w:noProof/>
                <w:webHidden/>
              </w:rPr>
              <w:fldChar w:fldCharType="end"/>
            </w:r>
          </w:hyperlink>
        </w:p>
        <w:p w14:paraId="209A52EF" w14:textId="76D76DF5" w:rsidR="00A15D30" w:rsidRPr="00315D7A" w:rsidRDefault="00013772">
          <w:pPr>
            <w:pStyle w:val="TOC1"/>
            <w:rPr>
              <w:rFonts w:asciiTheme="minorHAnsi" w:eastAsiaTheme="minorEastAsia" w:hAnsiTheme="minorHAnsi" w:cstheme="minorBidi"/>
              <w:b/>
              <w:bCs w:val="0"/>
              <w:noProof/>
              <w:kern w:val="2"/>
              <w:sz w:val="24"/>
              <w:szCs w:val="24"/>
              <w:lang w:val="en-GB" w:eastAsia="zh-CN"/>
              <w14:ligatures w14:val="standardContextual"/>
            </w:rPr>
          </w:pPr>
          <w:hyperlink w:anchor="_Toc200623582" w:history="1">
            <w:r w:rsidR="00A15D30" w:rsidRPr="00315D7A">
              <w:rPr>
                <w:rStyle w:val="Hyperlink"/>
                <w:b/>
                <w:bCs w:val="0"/>
                <w:noProof/>
                <w:lang w:val="en-GB"/>
              </w:rPr>
              <w:t>8.</w:t>
            </w:r>
            <w:r w:rsidR="00A15D30" w:rsidRPr="00315D7A">
              <w:rPr>
                <w:rFonts w:asciiTheme="minorHAnsi" w:eastAsiaTheme="minorEastAsia" w:hAnsiTheme="minorHAnsi" w:cstheme="minorBidi"/>
                <w:b/>
                <w:bCs w:val="0"/>
                <w:noProof/>
                <w:kern w:val="2"/>
                <w:sz w:val="24"/>
                <w:szCs w:val="24"/>
                <w:lang w:val="en-GB" w:eastAsia="zh-CN"/>
                <w14:ligatures w14:val="standardContextual"/>
              </w:rPr>
              <w:tab/>
            </w:r>
            <w:r w:rsidR="00A15D30" w:rsidRPr="00315D7A">
              <w:rPr>
                <w:rStyle w:val="Hyperlink"/>
                <w:b/>
                <w:bCs w:val="0"/>
                <w:noProof/>
                <w:lang w:val="en-GB"/>
              </w:rPr>
              <w:t>Submission by Uganda</w:t>
            </w:r>
            <w:r w:rsidR="00A15D30" w:rsidRPr="00315D7A">
              <w:rPr>
                <w:b/>
                <w:bCs w:val="0"/>
                <w:noProof/>
                <w:webHidden/>
              </w:rPr>
              <w:tab/>
            </w:r>
            <w:r w:rsidR="00A15D30" w:rsidRPr="00315D7A">
              <w:rPr>
                <w:b/>
                <w:bCs w:val="0"/>
                <w:noProof/>
                <w:webHidden/>
              </w:rPr>
              <w:tab/>
            </w:r>
            <w:r w:rsidR="00A15D30" w:rsidRPr="00315D7A">
              <w:rPr>
                <w:b/>
                <w:bCs w:val="0"/>
                <w:noProof/>
                <w:webHidden/>
              </w:rPr>
              <w:fldChar w:fldCharType="begin"/>
            </w:r>
            <w:r w:rsidR="00A15D30" w:rsidRPr="00315D7A">
              <w:rPr>
                <w:b/>
                <w:bCs w:val="0"/>
                <w:noProof/>
                <w:webHidden/>
              </w:rPr>
              <w:instrText xml:space="preserve"> PAGEREF _Toc200623582 \h </w:instrText>
            </w:r>
            <w:r w:rsidR="00A15D30" w:rsidRPr="00315D7A">
              <w:rPr>
                <w:b/>
                <w:bCs w:val="0"/>
                <w:noProof/>
                <w:webHidden/>
              </w:rPr>
            </w:r>
            <w:r w:rsidR="00A15D30" w:rsidRPr="00315D7A">
              <w:rPr>
                <w:b/>
                <w:bCs w:val="0"/>
                <w:noProof/>
                <w:webHidden/>
              </w:rPr>
              <w:fldChar w:fldCharType="separate"/>
            </w:r>
            <w:r w:rsidR="00692E0A">
              <w:rPr>
                <w:b/>
                <w:bCs w:val="0"/>
                <w:noProof/>
                <w:webHidden/>
              </w:rPr>
              <w:t>11</w:t>
            </w:r>
            <w:r w:rsidR="00A15D30" w:rsidRPr="00315D7A">
              <w:rPr>
                <w:b/>
                <w:bCs w:val="0"/>
                <w:noProof/>
                <w:webHidden/>
              </w:rPr>
              <w:fldChar w:fldCharType="end"/>
            </w:r>
          </w:hyperlink>
        </w:p>
        <w:p w14:paraId="06D4DD12" w14:textId="68B784A6" w:rsidR="00DB6691" w:rsidRDefault="00DB6691">
          <w:r w:rsidRPr="00315D7A">
            <w:rPr>
              <w:rFonts w:asciiTheme="majorBidi" w:hAnsiTheme="majorBidi" w:cstheme="majorBidi"/>
              <w:b/>
              <w:bCs/>
              <w:noProof/>
            </w:rPr>
            <w:fldChar w:fldCharType="end"/>
          </w:r>
        </w:p>
      </w:sdtContent>
    </w:sdt>
    <w:p w14:paraId="03B38DBA" w14:textId="17A73369" w:rsidR="00DB6691" w:rsidRDefault="00DB6691">
      <w:pPr>
        <w:rPr>
          <w:b/>
          <w:bCs/>
          <w:noProof/>
          <w:sz w:val="28"/>
          <w:szCs w:val="26"/>
          <w:lang w:val="en-GB" w:eastAsia="en-US"/>
        </w:rPr>
      </w:pPr>
      <w:r>
        <w:rPr>
          <w:noProof/>
          <w:lang w:val="en-GB"/>
        </w:rPr>
        <w:br w:type="page"/>
      </w:r>
    </w:p>
    <w:p w14:paraId="29560025" w14:textId="7520403A" w:rsidR="00F7332E" w:rsidRPr="00315D7A" w:rsidRDefault="00A15D30" w:rsidP="00315D7A">
      <w:pPr>
        <w:pStyle w:val="Normal-pool"/>
        <w:tabs>
          <w:tab w:val="clear" w:pos="1247"/>
          <w:tab w:val="clear" w:pos="1814"/>
          <w:tab w:val="clear" w:pos="2381"/>
          <w:tab w:val="clear" w:pos="2948"/>
          <w:tab w:val="clear" w:pos="3515"/>
          <w:tab w:val="clear" w:pos="4082"/>
          <w:tab w:val="right" w:pos="851"/>
        </w:tabs>
        <w:spacing w:after="120"/>
        <w:outlineLvl w:val="0"/>
        <w:rPr>
          <w:b/>
          <w:bCs/>
          <w:sz w:val="24"/>
          <w:szCs w:val="24"/>
          <w:lang w:val="en-GB"/>
        </w:rPr>
      </w:pPr>
      <w:r>
        <w:rPr>
          <w:noProof/>
          <w:lang w:val="en-GB"/>
        </w:rPr>
        <w:lastRenderedPageBreak/>
        <w:tab/>
      </w:r>
      <w:bookmarkStart w:id="0" w:name="_Toc200623576"/>
      <w:r w:rsidR="00DB6691">
        <w:rPr>
          <w:b/>
          <w:bCs/>
          <w:noProof/>
          <w:sz w:val="24"/>
          <w:szCs w:val="24"/>
          <w:lang w:val="en-GB"/>
        </w:rPr>
        <w:t>1.</w:t>
      </w:r>
      <w:r>
        <w:rPr>
          <w:b/>
          <w:bCs/>
          <w:noProof/>
          <w:sz w:val="24"/>
          <w:szCs w:val="24"/>
          <w:lang w:val="en-GB"/>
        </w:rPr>
        <w:tab/>
      </w:r>
      <w:r w:rsidR="00F7332E" w:rsidRPr="00315D7A">
        <w:rPr>
          <w:b/>
          <w:bCs/>
          <w:sz w:val="24"/>
          <w:szCs w:val="24"/>
          <w:lang w:val="en-GB"/>
        </w:rPr>
        <w:t>Submission by Argentina</w:t>
      </w:r>
      <w:bookmarkEnd w:id="0"/>
    </w:p>
    <w:p w14:paraId="5D1CD688" w14:textId="1D601544" w:rsidR="00207B23" w:rsidRPr="00207B23" w:rsidRDefault="00207B23" w:rsidP="00315D7A">
      <w:pPr>
        <w:pStyle w:val="Normal-pool"/>
        <w:spacing w:after="120"/>
        <w:ind w:left="1247"/>
        <w:rPr>
          <w:noProof/>
          <w:lang w:val="en-GB"/>
        </w:rPr>
      </w:pPr>
      <w:r w:rsidRPr="00207B23">
        <w:rPr>
          <w:noProof/>
          <w:lang w:val="en-GB"/>
        </w:rPr>
        <w:t>The following information is presented on the management of mercury wastes in Argentina, in</w:t>
      </w:r>
      <w:r w:rsidR="00E16154">
        <w:rPr>
          <w:noProof/>
          <w:lang w:val="en-GB"/>
        </w:rPr>
        <w:t xml:space="preserve"> </w:t>
      </w:r>
      <w:r w:rsidRPr="00207B23">
        <w:rPr>
          <w:noProof/>
          <w:lang w:val="en-GB"/>
        </w:rPr>
        <w:t>terms of the implementation of article 11 obligations under the Minamata Convention (Decision</w:t>
      </w:r>
      <w:r w:rsidR="00E16154">
        <w:rPr>
          <w:noProof/>
          <w:lang w:val="en-GB"/>
        </w:rPr>
        <w:t xml:space="preserve"> </w:t>
      </w:r>
      <w:r w:rsidRPr="00207B23">
        <w:rPr>
          <w:noProof/>
          <w:lang w:val="en-GB"/>
        </w:rPr>
        <w:t>MC-3/5, MC-5/10) and the national legislation applicable to management of hazardous wastes.</w:t>
      </w:r>
    </w:p>
    <w:p w14:paraId="365EFA4C" w14:textId="77777777" w:rsidR="00207B23" w:rsidRPr="00E16154" w:rsidRDefault="00207B23" w:rsidP="00315D7A">
      <w:pPr>
        <w:pStyle w:val="Normal-pool"/>
        <w:spacing w:after="120"/>
        <w:ind w:left="1247"/>
        <w:rPr>
          <w:noProof/>
          <w:u w:val="single"/>
          <w:lang w:val="en-GB"/>
        </w:rPr>
      </w:pPr>
      <w:r w:rsidRPr="00E16154">
        <w:rPr>
          <w:noProof/>
          <w:u w:val="single"/>
          <w:lang w:val="en-GB"/>
        </w:rPr>
        <w:t>National regulations for the management of mercury and mercury compounds waste:</w:t>
      </w:r>
    </w:p>
    <w:p w14:paraId="5D448CCE" w14:textId="4B8DA5FB" w:rsidR="00207B23" w:rsidRPr="00207B23" w:rsidRDefault="00207B23" w:rsidP="00315D7A">
      <w:pPr>
        <w:pStyle w:val="Normal-pool"/>
        <w:spacing w:after="120"/>
        <w:ind w:left="1247"/>
        <w:rPr>
          <w:noProof/>
          <w:lang w:val="en-GB"/>
        </w:rPr>
      </w:pPr>
      <w:r w:rsidRPr="00207B23">
        <w:rPr>
          <w:noProof/>
          <w:lang w:val="en-GB"/>
        </w:rPr>
        <w:t>By Law No. 27,356, the Argentine Republic approved the Minamata Convention on Mercury,</w:t>
      </w:r>
      <w:r w:rsidR="00E16154">
        <w:rPr>
          <w:noProof/>
          <w:lang w:val="en-GB"/>
        </w:rPr>
        <w:t xml:space="preserve"> </w:t>
      </w:r>
      <w:r w:rsidRPr="00207B23">
        <w:rPr>
          <w:noProof/>
          <w:lang w:val="en-GB"/>
        </w:rPr>
        <w:t>enacting various regulations for the implementation of the provisions of the Convention.</w:t>
      </w:r>
    </w:p>
    <w:p w14:paraId="76A15CDD" w14:textId="37035CBD" w:rsidR="00207B23" w:rsidRPr="00207B23" w:rsidRDefault="00207B23" w:rsidP="00315D7A">
      <w:pPr>
        <w:pStyle w:val="Normal-pool"/>
        <w:spacing w:after="120"/>
        <w:ind w:left="1247"/>
        <w:rPr>
          <w:noProof/>
          <w:lang w:val="en-GB"/>
        </w:rPr>
      </w:pPr>
      <w:r w:rsidRPr="00207B23">
        <w:rPr>
          <w:noProof/>
          <w:lang w:val="en-GB"/>
        </w:rPr>
        <w:t>Mercury wastes referred to in Art. 11, paragraph 1 (a), (b) and (c) of the Minamata Convention</w:t>
      </w:r>
      <w:r w:rsidR="00E16154">
        <w:rPr>
          <w:noProof/>
          <w:lang w:val="en-GB"/>
        </w:rPr>
        <w:t xml:space="preserve"> </w:t>
      </w:r>
      <w:r w:rsidRPr="00207B23">
        <w:rPr>
          <w:noProof/>
          <w:lang w:val="en-GB"/>
        </w:rPr>
        <w:t>are considered hazardous waste under National Law No. 24.051 and its Regulatory Decree</w:t>
      </w:r>
      <w:r w:rsidR="00E16154">
        <w:rPr>
          <w:noProof/>
          <w:lang w:val="en-GB"/>
        </w:rPr>
        <w:t xml:space="preserve"> </w:t>
      </w:r>
      <w:r w:rsidRPr="00207B23">
        <w:rPr>
          <w:noProof/>
          <w:lang w:val="en-GB"/>
        </w:rPr>
        <w:t>831/93). This norm does not establish a threshold, considering in particular hazardous wastes,</w:t>
      </w:r>
      <w:r w:rsidR="00E16154">
        <w:rPr>
          <w:noProof/>
          <w:lang w:val="en-GB"/>
        </w:rPr>
        <w:t xml:space="preserve"> </w:t>
      </w:r>
      <w:r w:rsidRPr="00207B23">
        <w:rPr>
          <w:noProof/>
          <w:lang w:val="en-GB"/>
        </w:rPr>
        <w:t>any waste falling under its Annex I, which include wastes having as constituent mercury and</w:t>
      </w:r>
      <w:r w:rsidR="00E16154">
        <w:rPr>
          <w:noProof/>
          <w:lang w:val="en-GB"/>
        </w:rPr>
        <w:t xml:space="preserve"> </w:t>
      </w:r>
      <w:r w:rsidRPr="00207B23">
        <w:rPr>
          <w:noProof/>
          <w:lang w:val="en-GB"/>
        </w:rPr>
        <w:t>mercury compounds; whether or not they exhibit, a hazard characteristic of its Annex III</w:t>
      </w:r>
      <w:r w:rsidR="00830693">
        <w:rPr>
          <w:rFonts w:ascii="ZWAdobeF" w:hAnsi="ZWAdobeF" w:cs="ZWAdobeF"/>
          <w:noProof/>
          <w:sz w:val="2"/>
          <w:szCs w:val="2"/>
          <w:lang w:val="en-GB"/>
        </w:rPr>
        <w:t>3F</w:t>
      </w:r>
      <w:r w:rsidR="008A3BAE">
        <w:rPr>
          <w:rStyle w:val="FootnoteReference"/>
          <w:noProof/>
          <w:lang w:val="en-GB"/>
        </w:rPr>
        <w:footnoteReference w:id="5"/>
      </w:r>
      <w:r w:rsidRPr="00207B23">
        <w:rPr>
          <w:noProof/>
          <w:lang w:val="en-GB"/>
        </w:rPr>
        <w:t>.</w:t>
      </w:r>
    </w:p>
    <w:p w14:paraId="467A9D6D" w14:textId="724B8A90" w:rsidR="00207B23" w:rsidRPr="00207B23" w:rsidRDefault="00207B23" w:rsidP="00315D7A">
      <w:pPr>
        <w:pStyle w:val="Normal-pool"/>
        <w:spacing w:after="120"/>
        <w:ind w:left="1247"/>
        <w:rPr>
          <w:noProof/>
          <w:lang w:val="en-GB"/>
        </w:rPr>
      </w:pPr>
      <w:r w:rsidRPr="00207B23">
        <w:rPr>
          <w:noProof/>
          <w:lang w:val="en-GB"/>
        </w:rPr>
        <w:t>Notwithstanding the foregoing, Resolution 224/94 defines the "High" or "Low" hazardous</w:t>
      </w:r>
      <w:r w:rsidR="00E91378">
        <w:rPr>
          <w:noProof/>
          <w:lang w:val="en-GB"/>
        </w:rPr>
        <w:t xml:space="preserve"> </w:t>
      </w:r>
      <w:r w:rsidRPr="00207B23">
        <w:rPr>
          <w:noProof/>
          <w:lang w:val="en-GB"/>
        </w:rPr>
        <w:t>nature of the wastes regulated by the national Law. The wastes having as constituent mercury</w:t>
      </w:r>
      <w:r w:rsidR="00E91378">
        <w:rPr>
          <w:noProof/>
          <w:lang w:val="en-GB"/>
        </w:rPr>
        <w:t xml:space="preserve"> </w:t>
      </w:r>
      <w:r w:rsidRPr="00207B23">
        <w:rPr>
          <w:noProof/>
          <w:lang w:val="en-GB"/>
        </w:rPr>
        <w:t xml:space="preserve">or mercury compounds </w:t>
      </w:r>
      <w:r w:rsidRPr="00E91378">
        <w:rPr>
          <w:noProof/>
          <w:u w:val="single"/>
          <w:lang w:val="en-GB"/>
        </w:rPr>
        <w:t>above the following thresholds are considered as “highly hazardous”</w:t>
      </w:r>
      <w:r w:rsidRPr="00207B23">
        <w:rPr>
          <w:noProof/>
          <w:lang w:val="en-GB"/>
        </w:rPr>
        <w:t>:</w:t>
      </w:r>
    </w:p>
    <w:p w14:paraId="20130BEC" w14:textId="69B1A895" w:rsidR="00207B23" w:rsidRPr="00207B23" w:rsidRDefault="00207B23" w:rsidP="00315D7A">
      <w:pPr>
        <w:pStyle w:val="Normal-pool"/>
        <w:numPr>
          <w:ilvl w:val="0"/>
          <w:numId w:val="18"/>
        </w:numPr>
        <w:spacing w:after="120"/>
        <w:ind w:left="1607"/>
        <w:rPr>
          <w:noProof/>
          <w:lang w:val="en-GB"/>
        </w:rPr>
      </w:pPr>
      <w:r w:rsidRPr="00207B23">
        <w:rPr>
          <w:noProof/>
          <w:lang w:val="en-GB"/>
        </w:rPr>
        <w:t>waste having 0.1% or more by weight of the following mercury compounds: Mercury</w:t>
      </w:r>
      <w:r w:rsidR="00E91378">
        <w:rPr>
          <w:noProof/>
          <w:lang w:val="en-GB"/>
        </w:rPr>
        <w:t xml:space="preserve"> </w:t>
      </w:r>
      <w:r w:rsidRPr="00207B23">
        <w:rPr>
          <w:noProof/>
          <w:lang w:val="en-GB"/>
        </w:rPr>
        <w:t>benzoate; Ethylmercury chloride; Mercurous chloride; Mercuric chloride; Mercury</w:t>
      </w:r>
      <w:r w:rsidR="00E91378">
        <w:rPr>
          <w:noProof/>
          <w:lang w:val="en-GB"/>
        </w:rPr>
        <w:t xml:space="preserve"> </w:t>
      </w:r>
      <w:r w:rsidRPr="00207B23">
        <w:rPr>
          <w:noProof/>
          <w:lang w:val="en-GB"/>
        </w:rPr>
        <w:t>ammonium chloride; Methylrmercuric chloride; Mercuric oxycyanide; Mercury</w:t>
      </w:r>
      <w:r w:rsidR="00E91378">
        <w:rPr>
          <w:noProof/>
          <w:lang w:val="en-GB"/>
        </w:rPr>
        <w:t xml:space="preserve"> </w:t>
      </w:r>
      <w:r w:rsidRPr="00207B23">
        <w:rPr>
          <w:noProof/>
          <w:lang w:val="en-GB"/>
        </w:rPr>
        <w:t>oleate; Mercury gluconate; Mercury acetate; Mercury salicylate; Mercuric</w:t>
      </w:r>
      <w:r w:rsidR="00E91378">
        <w:rPr>
          <w:noProof/>
          <w:lang w:val="en-GB"/>
        </w:rPr>
        <w:t xml:space="preserve"> </w:t>
      </w:r>
      <w:r w:rsidRPr="00207B23">
        <w:rPr>
          <w:noProof/>
          <w:lang w:val="en-GB"/>
        </w:rPr>
        <w:t>oxide; Mercury cyanide; Mercuric potassium</w:t>
      </w:r>
      <w:r w:rsidR="00E91378">
        <w:rPr>
          <w:noProof/>
          <w:lang w:val="en-GB"/>
        </w:rPr>
        <w:t xml:space="preserve"> </w:t>
      </w:r>
      <w:r w:rsidRPr="00207B23">
        <w:rPr>
          <w:noProof/>
          <w:lang w:val="en-GB"/>
        </w:rPr>
        <w:t>cyanide; Diethylmercury; Dimethylmercury; Mercury (II) bromide; Mercurous</w:t>
      </w:r>
      <w:r w:rsidR="00E91378">
        <w:rPr>
          <w:noProof/>
          <w:lang w:val="en-GB"/>
        </w:rPr>
        <w:t xml:space="preserve"> </w:t>
      </w:r>
      <w:r w:rsidRPr="00207B23">
        <w:rPr>
          <w:noProof/>
          <w:lang w:val="en-GB"/>
        </w:rPr>
        <w:t>nitrate; Mercuric nitrate; Phenylmercuric hydroxide; Mercuric</w:t>
      </w:r>
      <w:r w:rsidR="00E91378">
        <w:rPr>
          <w:noProof/>
          <w:lang w:val="en-GB"/>
        </w:rPr>
        <w:t xml:space="preserve"> </w:t>
      </w:r>
      <w:r w:rsidRPr="00207B23">
        <w:rPr>
          <w:noProof/>
          <w:lang w:val="en-GB"/>
        </w:rPr>
        <w:t>thiocyanate; Mercuricarsenate; Mercury (II) iodide; Mercuric potassium iodide; Mercury</w:t>
      </w:r>
      <w:r w:rsidR="00E91378">
        <w:rPr>
          <w:noProof/>
          <w:lang w:val="en-GB"/>
        </w:rPr>
        <w:t xml:space="preserve"> </w:t>
      </w:r>
      <w:r w:rsidRPr="00207B23">
        <w:rPr>
          <w:noProof/>
          <w:lang w:val="en-GB"/>
        </w:rPr>
        <w:t>fulminate; Mercury sulphide; Mercurous sulfate; Mercuric sulfate.</w:t>
      </w:r>
    </w:p>
    <w:p w14:paraId="0E2CFC76" w14:textId="147CE2BB" w:rsidR="00207B23" w:rsidRPr="00207B23" w:rsidRDefault="00207B23" w:rsidP="00315D7A">
      <w:pPr>
        <w:pStyle w:val="Normal-pool"/>
        <w:numPr>
          <w:ilvl w:val="0"/>
          <w:numId w:val="18"/>
        </w:numPr>
        <w:spacing w:after="120"/>
        <w:ind w:left="1607"/>
        <w:rPr>
          <w:noProof/>
          <w:lang w:val="en-GB"/>
        </w:rPr>
      </w:pPr>
      <w:r w:rsidRPr="00207B23">
        <w:rPr>
          <w:noProof/>
          <w:lang w:val="en-GB"/>
        </w:rPr>
        <w:t>waste having 1% or more by weight of the following mercury and/or mercury</w:t>
      </w:r>
      <w:r w:rsidR="00E91378">
        <w:rPr>
          <w:noProof/>
          <w:lang w:val="en-GB"/>
        </w:rPr>
        <w:t xml:space="preserve"> </w:t>
      </w:r>
      <w:r w:rsidRPr="00207B23">
        <w:rPr>
          <w:noProof/>
          <w:lang w:val="en-GB"/>
        </w:rPr>
        <w:t>compounds: Mercury nucleate; Mercurous acetate; Phenylmercury</w:t>
      </w:r>
      <w:r w:rsidR="00E91378">
        <w:rPr>
          <w:noProof/>
          <w:lang w:val="en-GB"/>
        </w:rPr>
        <w:t xml:space="preserve"> </w:t>
      </w:r>
      <w:r w:rsidRPr="00207B23">
        <w:rPr>
          <w:noProof/>
          <w:lang w:val="en-GB"/>
        </w:rPr>
        <w:t>acetate; Phenylmercuric nitrate; Thimerosal.</w:t>
      </w:r>
    </w:p>
    <w:p w14:paraId="53FEECC7" w14:textId="1612E505" w:rsidR="00207B23" w:rsidRPr="00207B23" w:rsidRDefault="00207B23" w:rsidP="00315D7A">
      <w:pPr>
        <w:pStyle w:val="Normal-pool"/>
        <w:numPr>
          <w:ilvl w:val="0"/>
          <w:numId w:val="18"/>
        </w:numPr>
        <w:spacing w:after="120"/>
        <w:ind w:left="1607"/>
        <w:rPr>
          <w:noProof/>
          <w:lang w:val="en-GB"/>
        </w:rPr>
      </w:pPr>
      <w:r w:rsidRPr="00207B23">
        <w:rPr>
          <w:noProof/>
          <w:lang w:val="en-GB"/>
        </w:rPr>
        <w:t>Waste having 0.1% by weight or more of mercury and/or mercury compounds not listed</w:t>
      </w:r>
      <w:r w:rsidR="00E91378">
        <w:rPr>
          <w:noProof/>
          <w:lang w:val="en-GB"/>
        </w:rPr>
        <w:t xml:space="preserve"> </w:t>
      </w:r>
      <w:r w:rsidRPr="00207B23">
        <w:rPr>
          <w:noProof/>
          <w:lang w:val="en-GB"/>
        </w:rPr>
        <w:t>(a) or (b).</w:t>
      </w:r>
    </w:p>
    <w:p w14:paraId="68FDB173" w14:textId="2BC8F03F" w:rsidR="00207B23" w:rsidRPr="00207B23" w:rsidRDefault="00207B23" w:rsidP="00315D7A">
      <w:pPr>
        <w:pStyle w:val="Normal-pool"/>
        <w:spacing w:after="120"/>
        <w:ind w:left="1247"/>
        <w:rPr>
          <w:noProof/>
          <w:lang w:val="en-GB"/>
        </w:rPr>
      </w:pPr>
      <w:r w:rsidRPr="00207B23">
        <w:rPr>
          <w:noProof/>
          <w:lang w:val="en-GB"/>
        </w:rPr>
        <w:t>Resolution No. 299 (enacted on September 13, 2021) establishes guidelines relating to the</w:t>
      </w:r>
      <w:r w:rsidR="00E91378">
        <w:rPr>
          <w:noProof/>
          <w:lang w:val="en-GB"/>
        </w:rPr>
        <w:t xml:space="preserve"> </w:t>
      </w:r>
      <w:r w:rsidRPr="00207B23">
        <w:rPr>
          <w:noProof/>
          <w:lang w:val="en-GB"/>
        </w:rPr>
        <w:t>management of elemental mercury, its mixtures, compounds and mercury-added products,</w:t>
      </w:r>
      <w:r w:rsidR="00E91378">
        <w:rPr>
          <w:noProof/>
          <w:lang w:val="en-GB"/>
        </w:rPr>
        <w:t xml:space="preserve"> </w:t>
      </w:r>
      <w:r w:rsidRPr="00207B23">
        <w:rPr>
          <w:noProof/>
          <w:lang w:val="en-GB"/>
        </w:rPr>
        <w:t>which refer to prohibitions on the use of mercury for certain production processes, trade of</w:t>
      </w:r>
      <w:r w:rsidR="00E91378">
        <w:rPr>
          <w:noProof/>
          <w:lang w:val="en-GB"/>
        </w:rPr>
        <w:t xml:space="preserve"> </w:t>
      </w:r>
      <w:r w:rsidRPr="00207B23">
        <w:rPr>
          <w:noProof/>
          <w:lang w:val="en-GB"/>
        </w:rPr>
        <w:t>mercury-added products, including the regulation of exemptions to comply with the phase-out</w:t>
      </w:r>
      <w:r w:rsidR="00E91378">
        <w:rPr>
          <w:noProof/>
          <w:lang w:val="en-GB"/>
        </w:rPr>
        <w:t xml:space="preserve"> </w:t>
      </w:r>
      <w:r w:rsidRPr="00207B23">
        <w:rPr>
          <w:noProof/>
          <w:lang w:val="en-GB"/>
        </w:rPr>
        <w:t>dates established in the Convention, through the presentation of conversion plans. Furthermore,</w:t>
      </w:r>
      <w:r w:rsidR="00E91378">
        <w:rPr>
          <w:noProof/>
          <w:lang w:val="en-GB"/>
        </w:rPr>
        <w:t xml:space="preserve"> </w:t>
      </w:r>
      <w:r w:rsidRPr="00207B23">
        <w:rPr>
          <w:noProof/>
          <w:lang w:val="en-GB"/>
        </w:rPr>
        <w:t>such plans must comply with the guidelines established in Resolution No. 503/22 (sanctioned</w:t>
      </w:r>
      <w:r w:rsidR="00E91378">
        <w:rPr>
          <w:noProof/>
          <w:lang w:val="en-GB"/>
        </w:rPr>
        <w:t xml:space="preserve"> </w:t>
      </w:r>
      <w:r w:rsidRPr="00207B23">
        <w:rPr>
          <w:noProof/>
          <w:lang w:val="en-GB"/>
        </w:rPr>
        <w:t>on November 10, 2022). This regulation includes, among other things, previsions regarding the</w:t>
      </w:r>
      <w:r w:rsidR="00E91378">
        <w:rPr>
          <w:noProof/>
          <w:lang w:val="en-GB"/>
        </w:rPr>
        <w:t xml:space="preserve"> </w:t>
      </w:r>
      <w:r w:rsidRPr="00207B23">
        <w:rPr>
          <w:noProof/>
          <w:lang w:val="en-GB"/>
        </w:rPr>
        <w:t>environmental sound management (ESM) of mercury waste generated while the exemption is in</w:t>
      </w:r>
      <w:r w:rsidR="00E91378">
        <w:rPr>
          <w:noProof/>
          <w:lang w:val="en-GB"/>
        </w:rPr>
        <w:t xml:space="preserve"> </w:t>
      </w:r>
      <w:r w:rsidRPr="00207B23">
        <w:rPr>
          <w:noProof/>
          <w:lang w:val="en-GB"/>
        </w:rPr>
        <w:t>place, and those generated as a result of the implementation of conversion plans. With regard</w:t>
      </w:r>
      <w:r w:rsidR="00E91378">
        <w:rPr>
          <w:noProof/>
          <w:lang w:val="en-GB"/>
        </w:rPr>
        <w:t xml:space="preserve"> </w:t>
      </w:r>
      <w:r w:rsidRPr="00207B23">
        <w:rPr>
          <w:noProof/>
          <w:lang w:val="en-GB"/>
        </w:rPr>
        <w:t>to the management of waste containing, consisting of and contaminated with mercury and</w:t>
      </w:r>
      <w:r w:rsidR="00E91378">
        <w:rPr>
          <w:noProof/>
          <w:lang w:val="en-GB"/>
        </w:rPr>
        <w:t xml:space="preserve"> </w:t>
      </w:r>
      <w:r w:rsidRPr="00207B23">
        <w:rPr>
          <w:noProof/>
          <w:lang w:val="en-GB"/>
        </w:rPr>
        <w:t>mercury compounds, it stipulates that the mentioned mercury wastes are considered hazardous</w:t>
      </w:r>
      <w:r w:rsidR="00E91378">
        <w:rPr>
          <w:noProof/>
          <w:lang w:val="en-GB"/>
        </w:rPr>
        <w:t xml:space="preserve"> </w:t>
      </w:r>
      <w:r w:rsidRPr="00207B23">
        <w:rPr>
          <w:noProof/>
          <w:lang w:val="en-GB"/>
        </w:rPr>
        <w:t>waste and must be managed as such under the national regulations.</w:t>
      </w:r>
    </w:p>
    <w:p w14:paraId="244B0178" w14:textId="148B6985" w:rsidR="002B3982" w:rsidRPr="002B3982" w:rsidRDefault="00207B23" w:rsidP="00315D7A">
      <w:pPr>
        <w:pStyle w:val="Normal-pool"/>
        <w:spacing w:after="120"/>
        <w:ind w:left="1247"/>
        <w:rPr>
          <w:noProof/>
          <w:lang w:val="en-GB"/>
        </w:rPr>
      </w:pPr>
      <w:r w:rsidRPr="00207B23">
        <w:rPr>
          <w:noProof/>
          <w:lang w:val="en-GB"/>
        </w:rPr>
        <w:t>In 2023, the Ministry of Environment and Sustainable Development sanctioned Resolution</w:t>
      </w:r>
      <w:r w:rsidR="00E91378">
        <w:rPr>
          <w:noProof/>
          <w:lang w:val="en-GB"/>
        </w:rPr>
        <w:t xml:space="preserve"> </w:t>
      </w:r>
      <w:r w:rsidRPr="00207B23">
        <w:rPr>
          <w:noProof/>
          <w:lang w:val="en-GB"/>
        </w:rPr>
        <w:t>No. 350, stablishing technical conditions and requirements for the storage of mercury, whether</w:t>
      </w:r>
      <w:r w:rsidR="00E91378">
        <w:rPr>
          <w:noProof/>
          <w:lang w:val="en-GB"/>
        </w:rPr>
        <w:t xml:space="preserve"> </w:t>
      </w:r>
      <w:r w:rsidRPr="00207B23">
        <w:rPr>
          <w:noProof/>
          <w:lang w:val="en-GB"/>
        </w:rPr>
        <w:t>in a waste or non-waste condition. The mentioned norm follows the technical guidelines set out</w:t>
      </w:r>
      <w:r w:rsidR="00E91378">
        <w:rPr>
          <w:noProof/>
          <w:lang w:val="en-GB"/>
        </w:rPr>
        <w:t xml:space="preserve"> </w:t>
      </w:r>
      <w:r w:rsidRPr="00207B23">
        <w:rPr>
          <w:noProof/>
          <w:lang w:val="en-GB"/>
        </w:rPr>
        <w:t>in the "Guidelines on Environmentally Sound interim Storage of Mercury other than waste</w:t>
      </w:r>
      <w:r w:rsidR="002B3982">
        <w:rPr>
          <w:noProof/>
          <w:lang w:val="en-GB"/>
        </w:rPr>
        <w:t xml:space="preserve"> </w:t>
      </w:r>
      <w:r w:rsidR="002B3982" w:rsidRPr="002B3982">
        <w:rPr>
          <w:noProof/>
          <w:lang w:val="en-GB"/>
        </w:rPr>
        <w:t>mercury" (adopted under Article 10 of the Minamata Convention by Decision MC-2/6); and the</w:t>
      </w:r>
      <w:r w:rsidR="00E91378">
        <w:rPr>
          <w:noProof/>
          <w:lang w:val="en-GB"/>
        </w:rPr>
        <w:t xml:space="preserve"> </w:t>
      </w:r>
      <w:r w:rsidR="002B3982" w:rsidRPr="002B3982">
        <w:rPr>
          <w:noProof/>
          <w:lang w:val="en-GB"/>
        </w:rPr>
        <w:t>"Technical guidelines on the environmentally sound management of wastes consisting of,</w:t>
      </w:r>
      <w:r w:rsidR="00E91378">
        <w:rPr>
          <w:noProof/>
          <w:lang w:val="en-GB"/>
        </w:rPr>
        <w:t xml:space="preserve"> </w:t>
      </w:r>
      <w:r w:rsidR="002B3982" w:rsidRPr="002B3982">
        <w:rPr>
          <w:noProof/>
          <w:lang w:val="en-GB"/>
        </w:rPr>
        <w:t>containing or contaminated with mercury or mercury compounds" (adopted under Article 4 (8) of</w:t>
      </w:r>
      <w:r w:rsidR="00E91378">
        <w:rPr>
          <w:noProof/>
          <w:lang w:val="en-GB"/>
        </w:rPr>
        <w:t xml:space="preserve"> </w:t>
      </w:r>
      <w:r w:rsidR="002B3982" w:rsidRPr="002B3982">
        <w:rPr>
          <w:noProof/>
          <w:lang w:val="en-GB"/>
        </w:rPr>
        <w:t>the Basel Convention by Decision BC-15/9 and according Article 11 (3) (a) of the Minamata</w:t>
      </w:r>
      <w:r w:rsidR="00E91378">
        <w:rPr>
          <w:noProof/>
          <w:lang w:val="en-GB"/>
        </w:rPr>
        <w:t xml:space="preserve"> </w:t>
      </w:r>
      <w:r w:rsidR="002B3982" w:rsidRPr="002B3982">
        <w:rPr>
          <w:noProof/>
          <w:lang w:val="en-GB"/>
        </w:rPr>
        <w:t>Convention).</w:t>
      </w:r>
    </w:p>
    <w:p w14:paraId="79EBE1EE" w14:textId="116FCB2F" w:rsidR="002B3982" w:rsidRPr="002B3982" w:rsidRDefault="002B3982" w:rsidP="00315D7A">
      <w:pPr>
        <w:pStyle w:val="Normal-pool"/>
        <w:spacing w:after="120"/>
        <w:ind w:left="1247"/>
        <w:rPr>
          <w:noProof/>
          <w:lang w:val="en-GB"/>
        </w:rPr>
      </w:pPr>
      <w:r w:rsidRPr="002B3982">
        <w:rPr>
          <w:noProof/>
          <w:lang w:val="en-GB"/>
        </w:rPr>
        <w:t>By virtue of the above, mercury wastes covered by the obligations of the Minamata</w:t>
      </w:r>
      <w:r w:rsidR="00E91378">
        <w:rPr>
          <w:noProof/>
          <w:lang w:val="en-GB"/>
        </w:rPr>
        <w:t xml:space="preserve"> </w:t>
      </w:r>
      <w:r w:rsidRPr="002B3982">
        <w:rPr>
          <w:noProof/>
          <w:lang w:val="en-GB"/>
        </w:rPr>
        <w:t>Convention are considered hazardous wastes within the national regulations; and in</w:t>
      </w:r>
      <w:r w:rsidR="00E91378">
        <w:rPr>
          <w:noProof/>
          <w:lang w:val="en-GB"/>
        </w:rPr>
        <w:t xml:space="preserve"> </w:t>
      </w:r>
      <w:r w:rsidRPr="002B3982">
        <w:rPr>
          <w:noProof/>
          <w:lang w:val="en-GB"/>
        </w:rPr>
        <w:t>particular, those wastes contaminated with mercury or mercury compounds having a</w:t>
      </w:r>
      <w:r w:rsidR="00E91378">
        <w:rPr>
          <w:noProof/>
          <w:lang w:val="en-GB"/>
        </w:rPr>
        <w:t xml:space="preserve"> </w:t>
      </w:r>
      <w:r w:rsidRPr="002B3982">
        <w:rPr>
          <w:noProof/>
          <w:lang w:val="en-GB"/>
        </w:rPr>
        <w:t>total concentration below the threshold defined by MC-5/10 are considered “low hazard”</w:t>
      </w:r>
      <w:r w:rsidR="00E91378">
        <w:rPr>
          <w:noProof/>
          <w:lang w:val="en-GB"/>
        </w:rPr>
        <w:t xml:space="preserve"> </w:t>
      </w:r>
      <w:r w:rsidRPr="002B3982">
        <w:rPr>
          <w:noProof/>
          <w:lang w:val="en-GB"/>
        </w:rPr>
        <w:t>waste.</w:t>
      </w:r>
    </w:p>
    <w:p w14:paraId="69476E68" w14:textId="77777777" w:rsidR="002B3982" w:rsidRPr="00E91378" w:rsidRDefault="002B3982" w:rsidP="00315D7A">
      <w:pPr>
        <w:pStyle w:val="Normal-pool"/>
        <w:spacing w:after="120"/>
        <w:ind w:left="1247"/>
        <w:rPr>
          <w:noProof/>
          <w:u w:val="single"/>
          <w:lang w:val="en-GB"/>
        </w:rPr>
      </w:pPr>
      <w:r w:rsidRPr="00E91378">
        <w:rPr>
          <w:noProof/>
          <w:u w:val="single"/>
          <w:lang w:val="en-GB"/>
        </w:rPr>
        <w:t>Issues and challenges of the adopted threshold:</w:t>
      </w:r>
    </w:p>
    <w:p w14:paraId="7360AF95" w14:textId="2A8F0DBE" w:rsidR="002B3982" w:rsidRPr="002B3982" w:rsidRDefault="002B3982" w:rsidP="00315D7A">
      <w:pPr>
        <w:pStyle w:val="Normal-pool"/>
        <w:spacing w:after="120"/>
        <w:ind w:left="1247"/>
        <w:rPr>
          <w:noProof/>
          <w:lang w:val="en-GB"/>
        </w:rPr>
      </w:pPr>
      <w:r w:rsidRPr="002B3982">
        <w:rPr>
          <w:noProof/>
          <w:lang w:val="en-GB"/>
        </w:rPr>
        <w:lastRenderedPageBreak/>
        <w:t>With regard to the management of wastes under Article 11.2 (a), (b) and (c) of the Minamata</w:t>
      </w:r>
      <w:r w:rsidR="00E91378">
        <w:rPr>
          <w:noProof/>
          <w:lang w:val="en-GB"/>
        </w:rPr>
        <w:t xml:space="preserve"> </w:t>
      </w:r>
      <w:r w:rsidRPr="002B3982">
        <w:rPr>
          <w:noProof/>
          <w:lang w:val="en-GB"/>
        </w:rPr>
        <w:t>Convention, and considering that the Parties decided that wastes consisting of</w:t>
      </w:r>
      <w:r w:rsidR="00E91378">
        <w:rPr>
          <w:noProof/>
          <w:lang w:val="en-GB"/>
        </w:rPr>
        <w:t xml:space="preserve"> </w:t>
      </w:r>
      <w:r w:rsidRPr="002B3982">
        <w:rPr>
          <w:noProof/>
          <w:lang w:val="en-GB"/>
        </w:rPr>
        <w:t>and containing mercury or mercury compounds do not have a threshold and are those included</w:t>
      </w:r>
      <w:r w:rsidR="00E91378">
        <w:rPr>
          <w:noProof/>
          <w:lang w:val="en-GB"/>
        </w:rPr>
        <w:t xml:space="preserve"> </w:t>
      </w:r>
      <w:r w:rsidRPr="002B3982">
        <w:rPr>
          <w:noProof/>
          <w:lang w:val="en-GB"/>
        </w:rPr>
        <w:t>in Table 1 and in Table 2 (non-exhaustive) included in Decision MC-3/5, under the national</w:t>
      </w:r>
      <w:r w:rsidR="00E91378">
        <w:rPr>
          <w:noProof/>
          <w:lang w:val="en-GB"/>
        </w:rPr>
        <w:t xml:space="preserve"> </w:t>
      </w:r>
      <w:r w:rsidRPr="002B3982">
        <w:rPr>
          <w:noProof/>
          <w:lang w:val="en-GB"/>
        </w:rPr>
        <w:t>regulations, it would be necessary to know the concentration to determine whether it is high or</w:t>
      </w:r>
      <w:r w:rsidR="00E91378">
        <w:rPr>
          <w:noProof/>
          <w:lang w:val="en-GB"/>
        </w:rPr>
        <w:t xml:space="preserve"> </w:t>
      </w:r>
      <w:r w:rsidRPr="002B3982">
        <w:rPr>
          <w:noProof/>
          <w:lang w:val="en-GB"/>
        </w:rPr>
        <w:t>low hazard, a parameter that would define its management and the appropriate disposal</w:t>
      </w:r>
      <w:r w:rsidR="00E91378">
        <w:rPr>
          <w:noProof/>
          <w:lang w:val="en-GB"/>
        </w:rPr>
        <w:t xml:space="preserve"> </w:t>
      </w:r>
      <w:r w:rsidRPr="002B3982">
        <w:rPr>
          <w:noProof/>
          <w:lang w:val="en-GB"/>
        </w:rPr>
        <w:t>operation for its ESM.</w:t>
      </w:r>
    </w:p>
    <w:p w14:paraId="35B61FA5" w14:textId="7974B73E" w:rsidR="002B3982" w:rsidRPr="002B3982" w:rsidRDefault="002B3982" w:rsidP="00315D7A">
      <w:pPr>
        <w:pStyle w:val="Normal-pool"/>
        <w:spacing w:after="120"/>
        <w:ind w:left="1247"/>
        <w:rPr>
          <w:noProof/>
          <w:lang w:val="en-GB"/>
        </w:rPr>
      </w:pPr>
      <w:r w:rsidRPr="002B3982">
        <w:rPr>
          <w:noProof/>
          <w:lang w:val="en-GB"/>
        </w:rPr>
        <w:t>On wastes contaminated with mercury and mercury compounds, the Table 3 containing an</w:t>
      </w:r>
      <w:r w:rsidR="00E91378">
        <w:rPr>
          <w:noProof/>
          <w:lang w:val="en-GB"/>
        </w:rPr>
        <w:t xml:space="preserve"> </w:t>
      </w:r>
      <w:r w:rsidRPr="002B3982">
        <w:rPr>
          <w:noProof/>
          <w:lang w:val="en-GB"/>
        </w:rPr>
        <w:t>indicative list of mercury wastes was adopted by Decision MC-3/5 and the threshold for these</w:t>
      </w:r>
      <w:r w:rsidR="00E91378">
        <w:rPr>
          <w:noProof/>
          <w:lang w:val="en-GB"/>
        </w:rPr>
        <w:t xml:space="preserve"> </w:t>
      </w:r>
      <w:r w:rsidRPr="002B3982">
        <w:rPr>
          <w:noProof/>
          <w:lang w:val="en-GB"/>
        </w:rPr>
        <w:t>wastes was adopted by Decision MC-5/10 (unless Parties alternatively use and communicate a</w:t>
      </w:r>
      <w:r w:rsidR="00E91378">
        <w:rPr>
          <w:noProof/>
          <w:lang w:val="en-GB"/>
        </w:rPr>
        <w:t xml:space="preserve"> </w:t>
      </w:r>
      <w:r w:rsidRPr="002B3982">
        <w:rPr>
          <w:noProof/>
          <w:lang w:val="en-GB"/>
        </w:rPr>
        <w:t>different approach). It must be noted that the "Technical Guidelines on the Environmentally</w:t>
      </w:r>
      <w:r w:rsidR="00E91378">
        <w:rPr>
          <w:noProof/>
          <w:lang w:val="en-GB"/>
        </w:rPr>
        <w:t xml:space="preserve"> </w:t>
      </w:r>
      <w:r w:rsidRPr="002B3982">
        <w:rPr>
          <w:noProof/>
          <w:lang w:val="en-GB"/>
        </w:rPr>
        <w:t>Sound Management of Wastes Consisting of Mercury or Mercury Compounds, containing or</w:t>
      </w:r>
      <w:r w:rsidR="00E91378">
        <w:rPr>
          <w:noProof/>
          <w:lang w:val="en-GB"/>
        </w:rPr>
        <w:t xml:space="preserve"> </w:t>
      </w:r>
      <w:r w:rsidRPr="002B3982">
        <w:rPr>
          <w:noProof/>
          <w:lang w:val="en-GB"/>
        </w:rPr>
        <w:t>contaminated with them" adopted by BC-15/9 under the Basel Convention, should be updated</w:t>
      </w:r>
      <w:r w:rsidR="00E91378">
        <w:rPr>
          <w:noProof/>
          <w:lang w:val="en-GB"/>
        </w:rPr>
        <w:t xml:space="preserve"> </w:t>
      </w:r>
      <w:r w:rsidRPr="002B3982">
        <w:rPr>
          <w:noProof/>
          <w:lang w:val="en-GB"/>
        </w:rPr>
        <w:t>to include the specific aspects defined at the last COP5, as well as provide specific</w:t>
      </w:r>
      <w:r w:rsidR="00E91378">
        <w:rPr>
          <w:noProof/>
          <w:lang w:val="en-GB"/>
        </w:rPr>
        <w:t xml:space="preserve"> </w:t>
      </w:r>
      <w:r w:rsidRPr="002B3982">
        <w:rPr>
          <w:noProof/>
          <w:lang w:val="en-GB"/>
        </w:rPr>
        <w:t>guidance for the management of wastes contaminated with mercury or mercury compounds,</w:t>
      </w:r>
      <w:r w:rsidR="00E91378">
        <w:rPr>
          <w:noProof/>
          <w:lang w:val="en-GB"/>
        </w:rPr>
        <w:t xml:space="preserve"> </w:t>
      </w:r>
      <w:r w:rsidRPr="002B3982">
        <w:rPr>
          <w:noProof/>
          <w:lang w:val="en-GB"/>
        </w:rPr>
        <w:t>and in particular, whether the threshold adopted involves or conditions the selection of one or</w:t>
      </w:r>
      <w:r w:rsidR="00E91378">
        <w:rPr>
          <w:noProof/>
          <w:lang w:val="en-GB"/>
        </w:rPr>
        <w:t xml:space="preserve"> </w:t>
      </w:r>
      <w:r w:rsidRPr="002B3982">
        <w:rPr>
          <w:noProof/>
          <w:lang w:val="en-GB"/>
        </w:rPr>
        <w:t>another disposal operation contained in the Guideline.</w:t>
      </w:r>
    </w:p>
    <w:p w14:paraId="1CC379BF" w14:textId="68725380" w:rsidR="002B3982" w:rsidRPr="002B3982" w:rsidRDefault="002B3982" w:rsidP="00315D7A">
      <w:pPr>
        <w:pStyle w:val="Normal-pool"/>
        <w:spacing w:after="120"/>
        <w:ind w:left="1247"/>
        <w:rPr>
          <w:noProof/>
          <w:lang w:val="en-GB"/>
        </w:rPr>
      </w:pPr>
      <w:r w:rsidRPr="002B3982">
        <w:rPr>
          <w:noProof/>
          <w:lang w:val="en-GB"/>
        </w:rPr>
        <w:t>It is there where, being one of the main waste streams generated by the implementation of the</w:t>
      </w:r>
      <w:r w:rsidR="00E91378">
        <w:rPr>
          <w:noProof/>
          <w:lang w:val="en-GB"/>
        </w:rPr>
        <w:t xml:space="preserve"> </w:t>
      </w:r>
      <w:r w:rsidRPr="002B3982">
        <w:rPr>
          <w:noProof/>
          <w:lang w:val="en-GB"/>
        </w:rPr>
        <w:t>Convention (when the use of mercury-added products is discontinued or intended to be</w:t>
      </w:r>
      <w:r w:rsidR="00E91378">
        <w:rPr>
          <w:noProof/>
          <w:lang w:val="en-GB"/>
        </w:rPr>
        <w:t xml:space="preserve"> </w:t>
      </w:r>
      <w:r w:rsidRPr="002B3982">
        <w:rPr>
          <w:noProof/>
          <w:lang w:val="en-GB"/>
        </w:rPr>
        <w:t>disposed), we find areas for improvement for these Guidelines under Article 11.3 (a) and</w:t>
      </w:r>
      <w:r w:rsidR="00E91378">
        <w:rPr>
          <w:noProof/>
          <w:lang w:val="en-GB"/>
        </w:rPr>
        <w:t xml:space="preserve"> </w:t>
      </w:r>
      <w:r w:rsidRPr="002B3982">
        <w:rPr>
          <w:noProof/>
          <w:lang w:val="en-GB"/>
        </w:rPr>
        <w:t>we consider that should be reviewed: for example, including with fact-sheets or practical</w:t>
      </w:r>
      <w:r w:rsidR="00E91378">
        <w:rPr>
          <w:noProof/>
          <w:lang w:val="en-GB"/>
        </w:rPr>
        <w:t xml:space="preserve"> </w:t>
      </w:r>
      <w:r w:rsidRPr="002B3982">
        <w:rPr>
          <w:noProof/>
          <w:lang w:val="en-GB"/>
        </w:rPr>
        <w:t>guidelines for the environmentally sound management of wastes containing or</w:t>
      </w:r>
      <w:r w:rsidR="00E91378">
        <w:rPr>
          <w:noProof/>
          <w:lang w:val="en-GB"/>
        </w:rPr>
        <w:t xml:space="preserve"> </w:t>
      </w:r>
      <w:r w:rsidRPr="002B3982">
        <w:rPr>
          <w:noProof/>
          <w:lang w:val="en-GB"/>
        </w:rPr>
        <w:t>contaminated mercury or mercury compounds, by waste streams such drugs and</w:t>
      </w:r>
      <w:r w:rsidR="00E91378">
        <w:rPr>
          <w:noProof/>
          <w:lang w:val="en-GB"/>
        </w:rPr>
        <w:t xml:space="preserve"> </w:t>
      </w:r>
      <w:r w:rsidRPr="002B3982">
        <w:rPr>
          <w:noProof/>
          <w:lang w:val="en-GB"/>
        </w:rPr>
        <w:t>vaccines or other specific waste streams that are generated in practice.</w:t>
      </w:r>
    </w:p>
    <w:p w14:paraId="260AD58A" w14:textId="5AEE9FB4" w:rsidR="002B3982" w:rsidRPr="002B3982" w:rsidRDefault="002B3982" w:rsidP="00315D7A">
      <w:pPr>
        <w:pStyle w:val="Normal-pool"/>
        <w:spacing w:after="120"/>
        <w:ind w:left="1247"/>
        <w:rPr>
          <w:noProof/>
          <w:lang w:val="en-GB"/>
        </w:rPr>
      </w:pPr>
      <w:r w:rsidRPr="002B3982">
        <w:rPr>
          <w:noProof/>
          <w:lang w:val="en-GB"/>
        </w:rPr>
        <w:t>It is worth mentioning that, under the Basel Convention, there are other relevant guidelines</w:t>
      </w:r>
      <w:r w:rsidR="00E91378">
        <w:rPr>
          <w:noProof/>
          <w:lang w:val="en-GB"/>
        </w:rPr>
        <w:t xml:space="preserve"> </w:t>
      </w:r>
      <w:r w:rsidRPr="002B3982">
        <w:rPr>
          <w:noProof/>
          <w:lang w:val="en-GB"/>
        </w:rPr>
        <w:t>for the environmentally sound management of mercury wastes: for example,</w:t>
      </w:r>
      <w:r w:rsidR="00E91378">
        <w:rPr>
          <w:noProof/>
          <w:lang w:val="en-GB"/>
        </w:rPr>
        <w:t xml:space="preserve"> </w:t>
      </w:r>
      <w:r w:rsidRPr="002B3982">
        <w:rPr>
          <w:noProof/>
          <w:lang w:val="en-GB"/>
        </w:rPr>
        <w:t>the Guidelines on Biomedical and Healthcare Wastes, which do not even mention the issue</w:t>
      </w:r>
      <w:r w:rsidR="00E91378">
        <w:rPr>
          <w:noProof/>
          <w:lang w:val="en-GB"/>
        </w:rPr>
        <w:t xml:space="preserve"> </w:t>
      </w:r>
      <w:r w:rsidRPr="002B3982">
        <w:rPr>
          <w:noProof/>
          <w:lang w:val="en-GB"/>
        </w:rPr>
        <w:t>of mercury-added products/wastes generated in the sector, and which should be updated at</w:t>
      </w:r>
      <w:r w:rsidR="00E91378">
        <w:rPr>
          <w:noProof/>
          <w:lang w:val="en-GB"/>
        </w:rPr>
        <w:t xml:space="preserve"> </w:t>
      </w:r>
      <w:r w:rsidRPr="002B3982">
        <w:rPr>
          <w:noProof/>
          <w:lang w:val="en-GB"/>
        </w:rPr>
        <w:t>least, in this regard (adopted by Decision BC-VI/20, published in 2003). For example, wastes</w:t>
      </w:r>
      <w:r w:rsidR="00E91378">
        <w:rPr>
          <w:noProof/>
          <w:lang w:val="en-GB"/>
        </w:rPr>
        <w:t xml:space="preserve"> </w:t>
      </w:r>
      <w:r w:rsidRPr="002B3982">
        <w:rPr>
          <w:noProof/>
          <w:lang w:val="en-GB"/>
        </w:rPr>
        <w:t>containing thiomersal as a preservative in vaccines, although it is excepted in Annex A of the</w:t>
      </w:r>
      <w:r w:rsidR="00E91378">
        <w:rPr>
          <w:noProof/>
          <w:lang w:val="en-GB"/>
        </w:rPr>
        <w:t xml:space="preserve"> </w:t>
      </w:r>
      <w:r w:rsidRPr="002B3982">
        <w:rPr>
          <w:noProof/>
          <w:lang w:val="en-GB"/>
        </w:rPr>
        <w:t xml:space="preserve">Minamata Convention -and does not mention whether its use in medicines is also excepted </w:t>
      </w:r>
      <w:r w:rsidR="00E91378">
        <w:rPr>
          <w:noProof/>
          <w:lang w:val="en-GB"/>
        </w:rPr>
        <w:t>–</w:t>
      </w:r>
      <w:r w:rsidRPr="002B3982">
        <w:rPr>
          <w:noProof/>
          <w:lang w:val="en-GB"/>
        </w:rPr>
        <w:t xml:space="preserve"> it</w:t>
      </w:r>
      <w:r w:rsidR="00E91378">
        <w:rPr>
          <w:noProof/>
          <w:lang w:val="en-GB"/>
        </w:rPr>
        <w:t xml:space="preserve"> </w:t>
      </w:r>
      <w:r w:rsidRPr="002B3982">
        <w:rPr>
          <w:noProof/>
          <w:lang w:val="en-GB"/>
        </w:rPr>
        <w:t>is covered by Article 11 in its disposal phase and, as such, if not correctly identified and</w:t>
      </w:r>
      <w:r w:rsidR="00E91378">
        <w:rPr>
          <w:noProof/>
          <w:lang w:val="en-GB"/>
        </w:rPr>
        <w:t xml:space="preserve"> </w:t>
      </w:r>
      <w:r w:rsidRPr="002B3982">
        <w:rPr>
          <w:noProof/>
          <w:lang w:val="en-GB"/>
        </w:rPr>
        <w:t>categorized, may be mismanaged.</w:t>
      </w:r>
    </w:p>
    <w:p w14:paraId="7ED85AB4" w14:textId="3EDD8F62" w:rsidR="00A5599F" w:rsidRDefault="002B3982" w:rsidP="00315D7A">
      <w:pPr>
        <w:pStyle w:val="Normal-pool"/>
        <w:spacing w:after="120"/>
        <w:ind w:left="1247"/>
        <w:rPr>
          <w:noProof/>
          <w:lang w:val="en-GB"/>
        </w:rPr>
      </w:pPr>
      <w:r w:rsidRPr="002B3982">
        <w:rPr>
          <w:noProof/>
          <w:lang w:val="en-GB"/>
        </w:rPr>
        <w:t>Finally, a challenge detected with the threshold of 15 mg/kg total concentration is to resolve</w:t>
      </w:r>
      <w:r w:rsidR="00E91378">
        <w:rPr>
          <w:noProof/>
          <w:lang w:val="en-GB"/>
        </w:rPr>
        <w:t xml:space="preserve"> </w:t>
      </w:r>
      <w:r w:rsidRPr="002B3982">
        <w:rPr>
          <w:noProof/>
          <w:lang w:val="en-GB"/>
        </w:rPr>
        <w:t>why, if this concentration affects its characterization as mercury waste under art. 11.2(b) and</w:t>
      </w:r>
      <w:r w:rsidR="00E91378">
        <w:rPr>
          <w:noProof/>
          <w:lang w:val="en-GB"/>
        </w:rPr>
        <w:t xml:space="preserve"> </w:t>
      </w:r>
      <w:r w:rsidRPr="002B3982">
        <w:rPr>
          <w:noProof/>
          <w:lang w:val="en-GB"/>
        </w:rPr>
        <w:t>(c): if it´s contaminated with mercury in a total concentration above 15mg/kg is mercury waste,</w:t>
      </w:r>
      <w:r w:rsidR="00E91378">
        <w:rPr>
          <w:noProof/>
          <w:lang w:val="en-GB"/>
        </w:rPr>
        <w:t xml:space="preserve"> </w:t>
      </w:r>
      <w:r w:rsidRPr="002B3982">
        <w:rPr>
          <w:noProof/>
          <w:lang w:val="en-GB"/>
        </w:rPr>
        <w:t>but it does not do so if the mercury was intentionally added to a product that must be disposed</w:t>
      </w:r>
      <w:r w:rsidR="00E91378">
        <w:rPr>
          <w:noProof/>
          <w:lang w:val="en-GB"/>
        </w:rPr>
        <w:t xml:space="preserve"> </w:t>
      </w:r>
      <w:r w:rsidRPr="002B3982">
        <w:rPr>
          <w:noProof/>
          <w:lang w:val="en-GB"/>
        </w:rPr>
        <w:t>and it contain mercury below 15 mg/kg (since wastes containing mercury do not have a set</w:t>
      </w:r>
      <w:r w:rsidR="00E91378">
        <w:rPr>
          <w:noProof/>
          <w:lang w:val="en-GB"/>
        </w:rPr>
        <w:t xml:space="preserve"> </w:t>
      </w:r>
      <w:r w:rsidRPr="002B3982">
        <w:rPr>
          <w:noProof/>
          <w:lang w:val="en-GB"/>
        </w:rPr>
        <w:t>threshold). Therefore, Tables 2 and 3 of Decision MC-3/5 should be reviewed jointly to ensure</w:t>
      </w:r>
      <w:r w:rsidR="00E91378">
        <w:rPr>
          <w:noProof/>
          <w:lang w:val="en-GB"/>
        </w:rPr>
        <w:t xml:space="preserve"> </w:t>
      </w:r>
      <w:r w:rsidRPr="002B3982">
        <w:rPr>
          <w:noProof/>
          <w:lang w:val="en-GB"/>
        </w:rPr>
        <w:t>consistency.</w:t>
      </w:r>
    </w:p>
    <w:p w14:paraId="33C4114D" w14:textId="17099162" w:rsidR="00A5599F" w:rsidRPr="00C07C49" w:rsidRDefault="00E16354" w:rsidP="00315D7A">
      <w:pPr>
        <w:pStyle w:val="Heading1"/>
        <w:ind w:left="0" w:firstLine="618"/>
        <w:rPr>
          <w:b w:val="0"/>
          <w:bCs/>
          <w:noProof/>
          <w:u w:val="single"/>
          <w:lang w:val="en-GB"/>
        </w:rPr>
      </w:pPr>
      <w:bookmarkStart w:id="1" w:name="_Toc200623577"/>
      <w:r w:rsidRPr="00315D7A">
        <w:rPr>
          <w:bCs/>
          <w:sz w:val="24"/>
          <w:szCs w:val="24"/>
          <w:lang w:val="en-GB" w:eastAsia="en-US"/>
        </w:rPr>
        <w:t>2.</w:t>
      </w:r>
      <w:r w:rsidRPr="00315D7A">
        <w:rPr>
          <w:bCs/>
          <w:sz w:val="24"/>
          <w:szCs w:val="24"/>
          <w:lang w:val="en-GB" w:eastAsia="en-US"/>
        </w:rPr>
        <w:tab/>
      </w:r>
      <w:r w:rsidR="00A5599F" w:rsidRPr="00315D7A">
        <w:rPr>
          <w:bCs/>
          <w:sz w:val="24"/>
          <w:szCs w:val="24"/>
          <w:lang w:val="en-GB" w:eastAsia="en-US"/>
        </w:rPr>
        <w:t>Submission by Costa Rica</w:t>
      </w:r>
      <w:r w:rsidR="00830693">
        <w:rPr>
          <w:rFonts w:ascii="ZWAdobeF" w:hAnsi="ZWAdobeF" w:cs="ZWAdobeF"/>
          <w:b w:val="0"/>
          <w:bCs/>
          <w:sz w:val="2"/>
          <w:szCs w:val="2"/>
          <w:lang w:val="en-GB" w:eastAsia="en-US"/>
        </w:rPr>
        <w:t>4F</w:t>
      </w:r>
      <w:r w:rsidR="00EF64C4">
        <w:rPr>
          <w:rStyle w:val="FootnoteReference"/>
          <w:bCs/>
          <w:noProof/>
          <w:u w:val="single"/>
          <w:lang w:val="en-GB"/>
        </w:rPr>
        <w:footnoteReference w:id="6"/>
      </w:r>
      <w:bookmarkEnd w:id="1"/>
    </w:p>
    <w:p w14:paraId="34AEDA1F" w14:textId="0DE3D627" w:rsidR="001856D0" w:rsidRPr="001856D0" w:rsidRDefault="001856D0" w:rsidP="00315D7A">
      <w:pPr>
        <w:pStyle w:val="Normal-pool"/>
        <w:spacing w:after="120"/>
        <w:ind w:left="1247"/>
        <w:rPr>
          <w:noProof/>
          <w:lang w:val="en-GB"/>
        </w:rPr>
      </w:pPr>
      <w:r w:rsidRPr="001856D0">
        <w:rPr>
          <w:noProof/>
          <w:lang w:val="en-GB"/>
        </w:rPr>
        <w:t>In response to note MC/ES/2024/46 and specifically related to decision MC-5/10, which requests information on regulations or programs that the country has implemented for the management of waste containing or contaminated with mercury, under the Basel Convention.</w:t>
      </w:r>
    </w:p>
    <w:p w14:paraId="32F29454" w14:textId="77777777" w:rsidR="001856D0" w:rsidRPr="001856D0" w:rsidRDefault="001856D0" w:rsidP="00315D7A">
      <w:pPr>
        <w:pStyle w:val="Normal-pool"/>
        <w:spacing w:after="120"/>
        <w:ind w:left="1247"/>
        <w:rPr>
          <w:noProof/>
          <w:lang w:val="en-GB"/>
        </w:rPr>
      </w:pPr>
      <w:r w:rsidRPr="001856D0">
        <w:rPr>
          <w:noProof/>
          <w:lang w:val="en-GB"/>
        </w:rPr>
        <w:t>In this regard, we inform you that we do not have specific regulations or programs for mercury or mercury-contaminated waste, but we do have regulations for general waste and hazardous waste, which are described below:</w:t>
      </w:r>
    </w:p>
    <w:p w14:paraId="3DE8F646" w14:textId="77777777" w:rsidR="001856D0" w:rsidRPr="001856D0" w:rsidRDefault="001856D0" w:rsidP="00315D7A">
      <w:pPr>
        <w:pStyle w:val="Normal-pool"/>
        <w:numPr>
          <w:ilvl w:val="0"/>
          <w:numId w:val="6"/>
        </w:numPr>
        <w:spacing w:after="120"/>
        <w:ind w:left="1607"/>
        <w:rPr>
          <w:noProof/>
          <w:lang w:val="en-GB"/>
        </w:rPr>
      </w:pPr>
      <w:r w:rsidRPr="001856D0">
        <w:rPr>
          <w:noProof/>
          <w:lang w:val="en-GB"/>
        </w:rPr>
        <w:t>Law No. 8839, Law for Integrated Waste Management.</w:t>
      </w:r>
    </w:p>
    <w:p w14:paraId="0CB54D3C" w14:textId="77777777" w:rsidR="001856D0" w:rsidRPr="001856D0" w:rsidRDefault="001856D0" w:rsidP="00315D7A">
      <w:pPr>
        <w:pStyle w:val="Normal-pool"/>
        <w:numPr>
          <w:ilvl w:val="0"/>
          <w:numId w:val="6"/>
        </w:numPr>
        <w:spacing w:after="120"/>
        <w:ind w:left="1607"/>
        <w:rPr>
          <w:noProof/>
          <w:lang w:val="en-GB"/>
        </w:rPr>
      </w:pPr>
      <w:r w:rsidRPr="001856D0">
        <w:rPr>
          <w:noProof/>
          <w:lang w:val="en-GB"/>
        </w:rPr>
        <w:t>Law No. 7438, Basel Convention on Border Control of Hazardous Wastes and Their Disposal.</w:t>
      </w:r>
    </w:p>
    <w:p w14:paraId="70CD3878" w14:textId="77777777" w:rsidR="001856D0" w:rsidRPr="001856D0" w:rsidRDefault="001856D0" w:rsidP="00315D7A">
      <w:pPr>
        <w:pStyle w:val="Normal-pool"/>
        <w:numPr>
          <w:ilvl w:val="0"/>
          <w:numId w:val="6"/>
        </w:numPr>
        <w:spacing w:after="120"/>
        <w:ind w:left="1607"/>
        <w:rPr>
          <w:noProof/>
          <w:lang w:val="en-GB"/>
        </w:rPr>
      </w:pPr>
      <w:r w:rsidRPr="001856D0">
        <w:rPr>
          <w:noProof/>
          <w:lang w:val="en-GB"/>
        </w:rPr>
        <w:t>DE No. 37567-S-MINAET-H, General Regulations to the Law for Integrated Waste Management.</w:t>
      </w:r>
    </w:p>
    <w:p w14:paraId="6ACB6368" w14:textId="77777777" w:rsidR="001856D0" w:rsidRPr="001856D0" w:rsidRDefault="001856D0" w:rsidP="00315D7A">
      <w:pPr>
        <w:pStyle w:val="Normal-pool"/>
        <w:numPr>
          <w:ilvl w:val="0"/>
          <w:numId w:val="6"/>
        </w:numPr>
        <w:spacing w:after="120"/>
        <w:ind w:left="1607"/>
        <w:rPr>
          <w:noProof/>
          <w:lang w:val="en-GB"/>
        </w:rPr>
      </w:pPr>
      <w:r w:rsidRPr="001856D0">
        <w:rPr>
          <w:noProof/>
          <w:lang w:val="en-GB"/>
        </w:rPr>
        <w:t>DE No. 41527-S-MINAE, General Regulations for the Classification and Management of Hazardous Waste.</w:t>
      </w:r>
    </w:p>
    <w:p w14:paraId="10B41A4C" w14:textId="77777777" w:rsidR="001856D0" w:rsidRPr="001856D0" w:rsidRDefault="001856D0" w:rsidP="00315D7A">
      <w:pPr>
        <w:pStyle w:val="Normal-pool"/>
        <w:numPr>
          <w:ilvl w:val="0"/>
          <w:numId w:val="6"/>
        </w:numPr>
        <w:spacing w:after="120"/>
        <w:ind w:left="1607"/>
        <w:rPr>
          <w:noProof/>
          <w:lang w:val="en-GB"/>
        </w:rPr>
      </w:pPr>
      <w:r w:rsidRPr="001856D0">
        <w:rPr>
          <w:noProof/>
          <w:lang w:val="en-GB"/>
        </w:rPr>
        <w:t>DE No. 35933-S, Regulation for the Comprehensive Management of Electronic Waste.</w:t>
      </w:r>
    </w:p>
    <w:p w14:paraId="7F79124F" w14:textId="77777777" w:rsidR="001856D0" w:rsidRPr="001856D0" w:rsidRDefault="001856D0" w:rsidP="00315D7A">
      <w:pPr>
        <w:pStyle w:val="Normal-pool"/>
        <w:numPr>
          <w:ilvl w:val="0"/>
          <w:numId w:val="6"/>
        </w:numPr>
        <w:spacing w:after="120"/>
        <w:ind w:left="1607"/>
        <w:rPr>
          <w:noProof/>
          <w:lang w:val="en-GB"/>
        </w:rPr>
      </w:pPr>
      <w:r w:rsidRPr="001856D0">
        <w:rPr>
          <w:noProof/>
          <w:lang w:val="en-GB"/>
        </w:rPr>
        <w:t>DE No. 27000-MINAE, Regulation on the characteristics and list of hazardous industrial waste.</w:t>
      </w:r>
    </w:p>
    <w:p w14:paraId="093E3080" w14:textId="77777777" w:rsidR="001856D0" w:rsidRPr="001856D0" w:rsidRDefault="001856D0" w:rsidP="00315D7A">
      <w:pPr>
        <w:pStyle w:val="Normal-pool"/>
        <w:numPr>
          <w:ilvl w:val="0"/>
          <w:numId w:val="6"/>
        </w:numPr>
        <w:spacing w:after="120"/>
        <w:ind w:left="1607"/>
        <w:rPr>
          <w:noProof/>
          <w:lang w:val="en-GB"/>
        </w:rPr>
      </w:pPr>
      <w:r w:rsidRPr="001856D0">
        <w:rPr>
          <w:noProof/>
          <w:lang w:val="en-GB"/>
        </w:rPr>
        <w:lastRenderedPageBreak/>
        <w:t>DE No. 38272-S, Regulation for the Declaration of Special Management Waste, which includes some waste containing mercury.</w:t>
      </w:r>
    </w:p>
    <w:p w14:paraId="2E3AE15A" w14:textId="31D74803" w:rsidR="00A5599F" w:rsidRDefault="001856D0" w:rsidP="00315D7A">
      <w:pPr>
        <w:pStyle w:val="Normal-pool"/>
        <w:spacing w:after="120"/>
        <w:ind w:left="1247"/>
        <w:rPr>
          <w:noProof/>
          <w:lang w:val="en-GB"/>
        </w:rPr>
      </w:pPr>
      <w:r w:rsidRPr="001856D0">
        <w:rPr>
          <w:noProof/>
          <w:lang w:val="en-GB"/>
        </w:rPr>
        <w:t>It is important to note that the aforementioned regulations contemplate mercury or mercury-contaminated waste, which are included depending on their origin or other characteristics. An example is the case of waste from electronic equipment (WEEE), many of which contain mercury. Therefore, according to the Regulation for the Declaration of Special Management Waste (DE No. 38872-S), they must be managed in an environmentally sound manner through an extended producer responsibility model.</w:t>
      </w:r>
    </w:p>
    <w:p w14:paraId="57E7E0C1" w14:textId="77777777" w:rsidR="00C07C49" w:rsidRPr="008F0C44" w:rsidRDefault="00C07C49" w:rsidP="00315D7A">
      <w:pPr>
        <w:spacing w:after="120"/>
        <w:ind w:left="1247"/>
        <w:jc w:val="both"/>
        <w:rPr>
          <w:lang w:val="en-GB"/>
        </w:rPr>
      </w:pPr>
      <w:r w:rsidRPr="008F0C44">
        <w:rPr>
          <w:lang w:val="en-GB"/>
        </w:rPr>
        <w:t>In accordance with Article 11, paragraph 3 of the Minamata Convention on Mercury (‘the Minamata Convention’), Parties to the Convention are requested to take appropriate measures to manage mercury waste in an environmentally sound manner, taking into account the technical guidelines developed under the Basel Convention and in accordance with requirements that the Conference of the Parties to the Convention should adopt in an additional annex to the Convention, and which should take into account Parties’ waste management regulations and programmes.</w:t>
      </w:r>
    </w:p>
    <w:p w14:paraId="646E870C" w14:textId="36EEB04D" w:rsidR="00C07C49" w:rsidRPr="00315D7A" w:rsidRDefault="00E16354" w:rsidP="00315D7A">
      <w:pPr>
        <w:pStyle w:val="Normal-pool"/>
        <w:tabs>
          <w:tab w:val="clear" w:pos="1247"/>
          <w:tab w:val="clear" w:pos="1814"/>
          <w:tab w:val="clear" w:pos="2381"/>
          <w:tab w:val="clear" w:pos="2948"/>
          <w:tab w:val="clear" w:pos="3515"/>
          <w:tab w:val="clear" w:pos="4082"/>
          <w:tab w:val="right" w:pos="851"/>
        </w:tabs>
        <w:spacing w:before="240" w:after="120"/>
        <w:outlineLvl w:val="0"/>
        <w:rPr>
          <w:b/>
          <w:bCs/>
          <w:sz w:val="24"/>
          <w:szCs w:val="24"/>
          <w:lang w:val="en-GB"/>
        </w:rPr>
      </w:pPr>
      <w:r>
        <w:rPr>
          <w:b/>
          <w:bCs/>
          <w:noProof/>
          <w:sz w:val="24"/>
          <w:szCs w:val="24"/>
          <w:lang w:val="en-GB"/>
        </w:rPr>
        <w:tab/>
      </w:r>
      <w:bookmarkStart w:id="2" w:name="_Toc200623578"/>
      <w:r>
        <w:rPr>
          <w:b/>
          <w:bCs/>
          <w:noProof/>
          <w:sz w:val="24"/>
          <w:szCs w:val="24"/>
          <w:lang w:val="en-GB"/>
        </w:rPr>
        <w:t>3.</w:t>
      </w:r>
      <w:r>
        <w:rPr>
          <w:b/>
          <w:bCs/>
          <w:noProof/>
          <w:sz w:val="24"/>
          <w:szCs w:val="24"/>
          <w:lang w:val="en-GB"/>
        </w:rPr>
        <w:tab/>
      </w:r>
      <w:r w:rsidR="00C07C49" w:rsidRPr="00315D7A">
        <w:rPr>
          <w:b/>
          <w:bCs/>
          <w:sz w:val="24"/>
          <w:szCs w:val="24"/>
          <w:lang w:val="en-GB"/>
        </w:rPr>
        <w:t>Submission by the European Union and its member states</w:t>
      </w:r>
      <w:bookmarkEnd w:id="2"/>
    </w:p>
    <w:p w14:paraId="034CC4D5" w14:textId="77777777" w:rsidR="00C07C49" w:rsidRPr="00C07C49" w:rsidRDefault="00C07C49" w:rsidP="00315D7A">
      <w:pPr>
        <w:pStyle w:val="NormalNonumber"/>
        <w:tabs>
          <w:tab w:val="clear" w:pos="1247"/>
          <w:tab w:val="clear" w:pos="1814"/>
          <w:tab w:val="clear" w:pos="2381"/>
          <w:tab w:val="clear" w:pos="2948"/>
          <w:tab w:val="clear" w:pos="3515"/>
        </w:tabs>
        <w:jc w:val="both"/>
      </w:pPr>
      <w:r w:rsidRPr="00C07C49">
        <w:t>By means of Decision MC-5/10 (‘Establishment of Mercury waste thresholds’), the 5</w:t>
      </w:r>
      <w:r w:rsidRPr="00C07C49">
        <w:rPr>
          <w:vertAlign w:val="superscript"/>
        </w:rPr>
        <w:t>th</w:t>
      </w:r>
      <w:r w:rsidRPr="00C07C49">
        <w:t xml:space="preserve"> Conference of the Parties to the Minamata Convention on Mercury invited parties to submit to the secretariat by 31 October 2024 information regarding their waste management regulations and </w:t>
      </w:r>
      <w:proofErr w:type="spellStart"/>
      <w:r w:rsidRPr="00C07C49">
        <w:t>programmes</w:t>
      </w:r>
      <w:proofErr w:type="spellEnd"/>
      <w:r w:rsidRPr="00C07C49">
        <w:t xml:space="preserve">, as mentioned in subparagraph 3 (a) of Article 11 above, with a focus on matters not addressed by the technical guidelines developed under the Basel convention. The Secretariat is also requested to collect and organize this information and to distribute it by 1 January 2025 to the Parties, for them to review this information in their preparations for the sixth meeting of the Conference of the Parties to be held in November 2025. </w:t>
      </w:r>
    </w:p>
    <w:p w14:paraId="19976FD2" w14:textId="11798449" w:rsidR="00C07C49" w:rsidRPr="00C07C49" w:rsidRDefault="00C07C49" w:rsidP="00315D7A">
      <w:pPr>
        <w:pStyle w:val="NormalNonumber"/>
        <w:tabs>
          <w:tab w:val="clear" w:pos="1247"/>
          <w:tab w:val="clear" w:pos="1814"/>
          <w:tab w:val="clear" w:pos="2381"/>
          <w:tab w:val="clear" w:pos="2948"/>
          <w:tab w:val="clear" w:pos="3515"/>
        </w:tabs>
        <w:jc w:val="both"/>
      </w:pPr>
      <w:r w:rsidRPr="00C07C49">
        <w:t xml:space="preserve">In that context, the European Union (EU) and its Member States would like to present information on relevant and applicable EU law pertaining to mercury waste as well as information on national legislations and practices concerning management of mercury waste. </w:t>
      </w:r>
    </w:p>
    <w:p w14:paraId="42ACA61F" w14:textId="77777777" w:rsidR="00C07C49" w:rsidRPr="00C07C49" w:rsidRDefault="00C07C49" w:rsidP="00315D7A">
      <w:pPr>
        <w:pStyle w:val="NormalNonumber"/>
        <w:tabs>
          <w:tab w:val="clear" w:pos="1247"/>
          <w:tab w:val="clear" w:pos="1814"/>
          <w:tab w:val="clear" w:pos="2381"/>
          <w:tab w:val="clear" w:pos="2948"/>
          <w:tab w:val="clear" w:pos="3515"/>
        </w:tabs>
        <w:jc w:val="both"/>
        <w:rPr>
          <w:rFonts w:eastAsia="MS PGothic"/>
          <w:b/>
          <w:bCs/>
        </w:rPr>
      </w:pPr>
      <w:r w:rsidRPr="00C07C49">
        <w:rPr>
          <w:rFonts w:eastAsia="MS PGothic"/>
          <w:b/>
          <w:bCs/>
        </w:rPr>
        <w:t xml:space="preserve">Most relevant EU legislation addressing mercury waste </w:t>
      </w:r>
    </w:p>
    <w:p w14:paraId="3073F1DF" w14:textId="77777777" w:rsidR="00C07C49" w:rsidRPr="00C07C49" w:rsidRDefault="00C07C49" w:rsidP="00315D7A">
      <w:pPr>
        <w:spacing w:after="120"/>
        <w:ind w:left="1247"/>
        <w:jc w:val="both"/>
        <w:rPr>
          <w:lang w:val="en-GB"/>
        </w:rPr>
      </w:pPr>
      <w:r w:rsidRPr="00C07C49">
        <w:rPr>
          <w:lang w:val="en-GB"/>
        </w:rPr>
        <w:t xml:space="preserve">Mercury waste is regulated at EU level by several legal instruments:  </w:t>
      </w:r>
    </w:p>
    <w:p w14:paraId="6B12D2E6" w14:textId="651B2475" w:rsidR="00C07C49" w:rsidRPr="00C07C49" w:rsidRDefault="00C07C49" w:rsidP="00315D7A">
      <w:pPr>
        <w:pStyle w:val="ListParagraph"/>
        <w:numPr>
          <w:ilvl w:val="0"/>
          <w:numId w:val="7"/>
        </w:numPr>
        <w:spacing w:after="120"/>
        <w:ind w:left="1607"/>
        <w:jc w:val="both"/>
        <w:rPr>
          <w:lang w:val="en-GB"/>
        </w:rPr>
      </w:pPr>
      <w:r w:rsidRPr="00C07C49">
        <w:rPr>
          <w:lang w:val="en-GB"/>
        </w:rPr>
        <w:t>Regulation (EU) 2017/852 on Mercury</w:t>
      </w:r>
      <w:r w:rsidR="00830693">
        <w:rPr>
          <w:rFonts w:ascii="ZWAdobeF" w:hAnsi="ZWAdobeF" w:cs="ZWAdobeF"/>
          <w:sz w:val="2"/>
          <w:szCs w:val="2"/>
          <w:lang w:val="en-GB"/>
        </w:rPr>
        <w:t>5F</w:t>
      </w:r>
      <w:r w:rsidRPr="00C07C49">
        <w:rPr>
          <w:vertAlign w:val="superscript"/>
          <w:lang w:val="en-GB"/>
        </w:rPr>
        <w:footnoteReference w:id="7"/>
      </w:r>
      <w:r w:rsidRPr="00C07C49">
        <w:rPr>
          <w:lang w:val="en-GB"/>
        </w:rPr>
        <w:t xml:space="preserve"> (Mercury Regulation) is the key instrument to control mercury pollution and implements international obligations in the EU, </w:t>
      </w:r>
      <w:proofErr w:type="gramStart"/>
      <w:r w:rsidRPr="00C07C49">
        <w:rPr>
          <w:lang w:val="en-GB"/>
        </w:rPr>
        <w:t>in particular</w:t>
      </w:r>
      <w:proofErr w:type="gramEnd"/>
      <w:r w:rsidRPr="00C07C49">
        <w:rPr>
          <w:lang w:val="en-GB"/>
        </w:rPr>
        <w:t xml:space="preserve"> the Minamata Convention on Mercury. The Mercury Regulation protects human health and the environment from anthropogenic emissions and releases of mercury, in line with the objectives of the </w:t>
      </w:r>
      <w:hyperlink r:id="rId13" w:history="1">
        <w:r w:rsidRPr="00C07C49">
          <w:rPr>
            <w:lang w:val="en-GB"/>
          </w:rPr>
          <w:t>European Green Deal</w:t>
        </w:r>
      </w:hyperlink>
      <w:r w:rsidRPr="00C07C49">
        <w:rPr>
          <w:lang w:val="en-GB"/>
        </w:rPr>
        <w:t>, the </w:t>
      </w:r>
      <w:hyperlink r:id="rId14" w:history="1">
        <w:r w:rsidRPr="00C07C49">
          <w:rPr>
            <w:lang w:val="en-GB"/>
          </w:rPr>
          <w:t>EU Chemicals Strategy on Sustainability</w:t>
        </w:r>
      </w:hyperlink>
      <w:r w:rsidRPr="00C07C49">
        <w:rPr>
          <w:lang w:val="en-GB"/>
        </w:rPr>
        <w:t> and the </w:t>
      </w:r>
      <w:hyperlink r:id="rId15" w:history="1">
        <w:r w:rsidRPr="00C07C49">
          <w:rPr>
            <w:lang w:val="en-GB"/>
          </w:rPr>
          <w:t>Zero Pollution Action Plan.</w:t>
        </w:r>
      </w:hyperlink>
      <w:r w:rsidRPr="00C07C49">
        <w:rPr>
          <w:lang w:val="en-GB"/>
        </w:rPr>
        <w:t xml:space="preserve"> In doing so, it addresses the entire lifecycle of mercury from primary mercury mining to the final disposal of mercury waste, which is defined as </w:t>
      </w:r>
      <w:r w:rsidRPr="00C07C49">
        <w:t xml:space="preserve">metallic mercury with reference to Article 3 of </w:t>
      </w:r>
      <w:r w:rsidRPr="00C07C49">
        <w:rPr>
          <w:lang w:val="en-GB"/>
        </w:rPr>
        <w:t xml:space="preserve">the Waste Framework Directive. </w:t>
      </w:r>
    </w:p>
    <w:p w14:paraId="4C31A80E" w14:textId="5D527DC2" w:rsidR="00C07C49" w:rsidRPr="00C07C49" w:rsidRDefault="00C07C49" w:rsidP="00315D7A">
      <w:pPr>
        <w:numPr>
          <w:ilvl w:val="0"/>
          <w:numId w:val="8"/>
        </w:numPr>
        <w:spacing w:after="120"/>
        <w:ind w:left="1607"/>
        <w:jc w:val="both"/>
        <w:textAlignment w:val="center"/>
        <w:rPr>
          <w:lang w:val="en-GB" w:eastAsia="en-IE"/>
        </w:rPr>
      </w:pPr>
      <w:r w:rsidRPr="00C07C49">
        <w:rPr>
          <w:lang w:val="en-GB"/>
        </w:rPr>
        <w:t>Directive 2008/98/EC on waste (Waste Framework Directive)</w:t>
      </w:r>
      <w:r w:rsidR="00830693">
        <w:rPr>
          <w:rFonts w:ascii="ZWAdobeF" w:hAnsi="ZWAdobeF" w:cs="ZWAdobeF"/>
          <w:sz w:val="2"/>
          <w:szCs w:val="2"/>
          <w:lang w:val="en-GB"/>
        </w:rPr>
        <w:t>6F</w:t>
      </w:r>
      <w:r w:rsidRPr="00C07C49">
        <w:rPr>
          <w:rStyle w:val="FootnoteReference"/>
          <w:szCs w:val="20"/>
          <w:lang w:val="en-GB"/>
        </w:rPr>
        <w:footnoteReference w:id="8"/>
      </w:r>
      <w:r w:rsidRPr="00C07C49">
        <w:rPr>
          <w:lang w:val="en-GB"/>
        </w:rPr>
        <w:t xml:space="preserve"> is the EU’s legal framework for treating and managing waste. In general, waste should be recovered (Articles 4 and 10) or disposed of (Article 12) in such a way that it does not harm human health or the environment (Article13). Hazardous properties are laid down in its Annex III. More stringent requirements apply to hazardous waste; in particular, hazardous waste must be controlled (Article 17), is not to be mixed with other waste, substances or materials (Article 18) and must be labelled (Article 19). In addition, hazardous waste from private households must be collected separately in accordance with Article 20.  </w:t>
      </w:r>
    </w:p>
    <w:p w14:paraId="28090D82" w14:textId="77777777" w:rsidR="00C07C49" w:rsidRPr="00C07C49" w:rsidRDefault="00C07C49" w:rsidP="00315D7A">
      <w:pPr>
        <w:numPr>
          <w:ilvl w:val="0"/>
          <w:numId w:val="8"/>
        </w:numPr>
        <w:spacing w:after="120"/>
        <w:ind w:left="1607"/>
        <w:jc w:val="both"/>
        <w:textAlignment w:val="center"/>
        <w:rPr>
          <w:lang w:val="en-GB"/>
        </w:rPr>
      </w:pPr>
      <w:r w:rsidRPr="00C07C49">
        <w:rPr>
          <w:lang w:val="en-GB"/>
        </w:rPr>
        <w:t>Decision 2000/532/EC establishes a List of Waste, which contains further provisions for the assessment of hazardous properties and the classification of waste. It contains specific codes for mercury containing waste. Annex I of this paper describes this methodology in detail.</w:t>
      </w:r>
    </w:p>
    <w:p w14:paraId="7E5807B1" w14:textId="40AF72D6" w:rsidR="00C07C49" w:rsidRPr="00C07C49" w:rsidRDefault="00C07C49" w:rsidP="00315D7A">
      <w:pPr>
        <w:numPr>
          <w:ilvl w:val="0"/>
          <w:numId w:val="8"/>
        </w:numPr>
        <w:spacing w:after="120"/>
        <w:ind w:left="1607"/>
        <w:jc w:val="both"/>
        <w:textAlignment w:val="center"/>
        <w:rPr>
          <w:lang w:val="en-GB"/>
        </w:rPr>
      </w:pPr>
      <w:r w:rsidRPr="00C07C49">
        <w:rPr>
          <w:lang w:val="en-GB"/>
        </w:rPr>
        <w:lastRenderedPageBreak/>
        <w:t>Regulation (EG) 1013/2006 on the Shipment of Waste</w:t>
      </w:r>
      <w:r w:rsidR="00830693">
        <w:rPr>
          <w:rFonts w:ascii="ZWAdobeF" w:hAnsi="ZWAdobeF" w:cs="ZWAdobeF"/>
          <w:sz w:val="2"/>
          <w:szCs w:val="2"/>
          <w:lang w:val="en-GB"/>
        </w:rPr>
        <w:t>7F</w:t>
      </w:r>
      <w:r w:rsidRPr="00315D7A">
        <w:footnoteReference w:id="9"/>
      </w:r>
      <w:r w:rsidRPr="00C07C49">
        <w:rPr>
          <w:lang w:val="en-GB"/>
        </w:rPr>
        <w:t xml:space="preserve"> (Waste Shipment Regulation) prohibits in principle under Article 34 all exports of waste from the Community destined for disposal and under Article 36 exports from the Community of wastes listed as hazardous in its Annex V destined for recovery.</w:t>
      </w:r>
    </w:p>
    <w:p w14:paraId="122C1ED8" w14:textId="25D56325" w:rsidR="00C07C49" w:rsidRPr="00C07C49" w:rsidRDefault="00C07C49" w:rsidP="00315D7A">
      <w:pPr>
        <w:numPr>
          <w:ilvl w:val="0"/>
          <w:numId w:val="8"/>
        </w:numPr>
        <w:spacing w:after="120"/>
        <w:ind w:left="1607"/>
        <w:jc w:val="both"/>
        <w:textAlignment w:val="center"/>
        <w:rPr>
          <w:lang w:val="en-GB"/>
        </w:rPr>
      </w:pPr>
      <w:r w:rsidRPr="00C07C49">
        <w:rPr>
          <w:lang w:val="en-GB"/>
        </w:rPr>
        <w:t>Directive 2006/21/EC on Extractive Waste</w:t>
      </w:r>
      <w:r w:rsidR="00830693">
        <w:rPr>
          <w:rFonts w:ascii="ZWAdobeF" w:hAnsi="ZWAdobeF" w:cs="ZWAdobeF"/>
          <w:sz w:val="2"/>
          <w:szCs w:val="2"/>
          <w:lang w:val="en-GB"/>
        </w:rPr>
        <w:t>8F</w:t>
      </w:r>
      <w:r w:rsidRPr="00315D7A">
        <w:footnoteReference w:id="10"/>
      </w:r>
      <w:r w:rsidRPr="00C07C49">
        <w:rPr>
          <w:lang w:val="en-GB"/>
        </w:rPr>
        <w:t xml:space="preserve"> aims to prevent or reduce any adverse effects on the environment due to the management of mining waste. For every extractive waste facility, the operator needs to classify the waste, amongst other in accordance with the List of Waste. In accordance with Annex III of the Directive and Commission Decision 2009/337/EC, when an extractive waste fac</w:t>
      </w:r>
      <w:r w:rsidRPr="00315D7A">
        <w:rPr>
          <w:lang w:val="en-GB"/>
        </w:rPr>
        <w:t>ility contains waste classified as hazardous under the Waste Framework Directive above a certain threshold, more stringent rules apply to it.</w:t>
      </w:r>
    </w:p>
    <w:p w14:paraId="41A7FC97" w14:textId="45779E12" w:rsidR="00C07C49" w:rsidRPr="00C07C49" w:rsidRDefault="00C07C49" w:rsidP="00315D7A">
      <w:pPr>
        <w:numPr>
          <w:ilvl w:val="0"/>
          <w:numId w:val="8"/>
        </w:numPr>
        <w:spacing w:after="120"/>
        <w:ind w:left="1607"/>
        <w:jc w:val="both"/>
        <w:textAlignment w:val="center"/>
        <w:rPr>
          <w:lang w:val="en-GB"/>
        </w:rPr>
      </w:pPr>
      <w:r w:rsidRPr="00C07C49">
        <w:rPr>
          <w:lang w:val="en-GB"/>
        </w:rPr>
        <w:t>Directive 1999/31/EC on the landfill of waste</w:t>
      </w:r>
      <w:r w:rsidR="00830693">
        <w:rPr>
          <w:rFonts w:ascii="ZWAdobeF" w:hAnsi="ZWAdobeF" w:cs="ZWAdobeF"/>
          <w:sz w:val="2"/>
          <w:szCs w:val="2"/>
          <w:lang w:val="en-GB"/>
        </w:rPr>
        <w:t>9F</w:t>
      </w:r>
      <w:r w:rsidRPr="00315D7A">
        <w:footnoteReference w:id="11"/>
      </w:r>
      <w:r w:rsidRPr="00C07C49">
        <w:rPr>
          <w:lang w:val="en-GB"/>
        </w:rPr>
        <w:t xml:space="preserve"> </w:t>
      </w:r>
      <w:r w:rsidRPr="00315D7A">
        <w:rPr>
          <w:lang w:val="en-GB"/>
        </w:rPr>
        <w:t xml:space="preserve">(Landfill Directive) </w:t>
      </w:r>
      <w:r w:rsidRPr="00C07C49">
        <w:rPr>
          <w:lang w:val="en-GB"/>
        </w:rPr>
        <w:t>sets out strict operational requirements for landfill sites such as permitting, waste acceptance, technical requirements in the operational and after-care phases and reporting, with the objective to protect both human health and the environment and to support the EU’s transition to the circular economy. The Council Decision 2003/33/EC establishes criteria and procedures for the acceptance of waste at landfills</w:t>
      </w:r>
      <w:r w:rsidR="00830693">
        <w:rPr>
          <w:rFonts w:ascii="ZWAdobeF" w:hAnsi="ZWAdobeF" w:cs="ZWAdobeF"/>
          <w:sz w:val="2"/>
          <w:szCs w:val="2"/>
          <w:lang w:val="en-GB"/>
        </w:rPr>
        <w:t>10F</w:t>
      </w:r>
      <w:r w:rsidRPr="00315D7A">
        <w:footnoteReference w:id="12"/>
      </w:r>
      <w:r w:rsidRPr="00C07C49">
        <w:rPr>
          <w:lang w:val="en-GB"/>
        </w:rPr>
        <w:t xml:space="preserve"> in accordance with the principles set out in the Landfill Directive and in particular Annex II thereto.  Landfills are divided into landfills for hazardous waste, landfills for non-hazardous waste, landfills for inert waste.</w:t>
      </w:r>
    </w:p>
    <w:p w14:paraId="64920891" w14:textId="18F80437" w:rsidR="00C07C49" w:rsidRPr="00C07C49" w:rsidRDefault="00C07C49" w:rsidP="00315D7A">
      <w:pPr>
        <w:numPr>
          <w:ilvl w:val="0"/>
          <w:numId w:val="8"/>
        </w:numPr>
        <w:spacing w:after="120"/>
        <w:ind w:left="1607"/>
        <w:jc w:val="both"/>
        <w:textAlignment w:val="center"/>
        <w:rPr>
          <w:rFonts w:eastAsiaTheme="minorEastAsia"/>
          <w:lang w:val="en-GB"/>
        </w:rPr>
      </w:pPr>
      <w:r w:rsidRPr="00315D7A">
        <w:rPr>
          <w:lang w:val="en-GB"/>
        </w:rPr>
        <w:t xml:space="preserve">Directive 86/278/EEC on the protection of the environment, and </w:t>
      </w:r>
      <w:proofErr w:type="gramStart"/>
      <w:r w:rsidRPr="00315D7A">
        <w:rPr>
          <w:lang w:val="en-GB"/>
        </w:rPr>
        <w:t>in particular of</w:t>
      </w:r>
      <w:proofErr w:type="gramEnd"/>
      <w:r w:rsidRPr="00315D7A">
        <w:rPr>
          <w:lang w:val="en-GB"/>
        </w:rPr>
        <w:t xml:space="preserve"> the soil, when sewage sludge is used in agriculture (Sewage Sludge Directive)</w:t>
      </w:r>
      <w:r w:rsidR="00830693">
        <w:rPr>
          <w:rFonts w:ascii="ZWAdobeF" w:hAnsi="ZWAdobeF" w:cs="ZWAdobeF"/>
          <w:sz w:val="2"/>
          <w:szCs w:val="2"/>
          <w:lang w:val="en-GB"/>
        </w:rPr>
        <w:t>11F</w:t>
      </w:r>
      <w:r w:rsidRPr="00315D7A">
        <w:footnoteReference w:id="13"/>
      </w:r>
      <w:r w:rsidRPr="00315D7A">
        <w:rPr>
          <w:lang w:val="en-GB"/>
        </w:rPr>
        <w:t xml:space="preserve"> regulates the use of sewage sludge in agriculture with the aim to prevent harmful effects on soil, vegetation, animals and man. The Directive sets limits for the concentration of seven heavy metals, including mercury, in sewage sludge intended for agricultural use and in sludge-treated soils and bans the use of sewage sludge that results in concentrations</w:t>
      </w:r>
      <w:r w:rsidRPr="00C07C49">
        <w:rPr>
          <w:rFonts w:eastAsiaTheme="minorEastAsia"/>
          <w:lang w:val="en-GB"/>
        </w:rPr>
        <w:t xml:space="preserve"> of these heavy metals in soil exceeding these limit values.</w:t>
      </w:r>
    </w:p>
    <w:p w14:paraId="066F6875" w14:textId="77777777" w:rsidR="00C07C49" w:rsidRPr="00C07C49" w:rsidRDefault="00C07C49" w:rsidP="00315D7A">
      <w:pPr>
        <w:pStyle w:val="NormalNonumber"/>
        <w:tabs>
          <w:tab w:val="clear" w:pos="1247"/>
          <w:tab w:val="clear" w:pos="1814"/>
          <w:tab w:val="clear" w:pos="2381"/>
          <w:tab w:val="clear" w:pos="2948"/>
          <w:tab w:val="clear" w:pos="3515"/>
        </w:tabs>
        <w:spacing w:before="120"/>
        <w:jc w:val="both"/>
        <w:rPr>
          <w:rFonts w:eastAsia="Times New Roman"/>
          <w:b/>
          <w:bCs/>
        </w:rPr>
      </w:pPr>
      <w:r w:rsidRPr="00C07C49">
        <w:rPr>
          <w:rFonts w:eastAsia="Times New Roman"/>
          <w:b/>
          <w:bCs/>
        </w:rPr>
        <w:t xml:space="preserve">Management approaches for mercury waste under existing EU legislation </w:t>
      </w:r>
    </w:p>
    <w:p w14:paraId="59839695" w14:textId="77777777" w:rsidR="00C07C49" w:rsidRPr="00C07C49" w:rsidRDefault="00C07C49" w:rsidP="00315D7A">
      <w:pPr>
        <w:pStyle w:val="title-article-norm"/>
        <w:shd w:val="clear" w:color="auto" w:fill="FFFFFF" w:themeFill="background1"/>
        <w:spacing w:before="0" w:beforeAutospacing="0" w:after="120" w:afterAutospacing="0"/>
        <w:ind w:left="1247"/>
        <w:jc w:val="both"/>
        <w:rPr>
          <w:sz w:val="20"/>
          <w:szCs w:val="20"/>
          <w:lang w:val="en-GB"/>
        </w:rPr>
      </w:pPr>
      <w:r w:rsidRPr="00C07C49">
        <w:rPr>
          <w:sz w:val="20"/>
          <w:szCs w:val="20"/>
          <w:lang w:val="en-GB"/>
        </w:rPr>
        <w:t xml:space="preserve">Managing waste in an environmentally sound manner (ESM) and making use of the secondary materials they contain are key elements of the EU waste law, which relies upon the key obligation set out in the Articles 13, 17 and 18 of the Waste Framework Directive, according to which Member States shall take the necessary measures to ensure that waste management is carried out without endangering human health and without harming the environment. </w:t>
      </w:r>
      <w:proofErr w:type="gramStart"/>
      <w:r w:rsidRPr="00C07C49">
        <w:rPr>
          <w:sz w:val="20"/>
          <w:szCs w:val="20"/>
          <w:lang w:val="en-GB"/>
        </w:rPr>
        <w:t>In particular, in</w:t>
      </w:r>
      <w:proofErr w:type="gramEnd"/>
      <w:r w:rsidRPr="00C07C49">
        <w:rPr>
          <w:sz w:val="20"/>
          <w:szCs w:val="20"/>
          <w:lang w:val="en-GB"/>
        </w:rPr>
        <w:t xml:space="preserve"> relation to control of hazardous waste, Member States are required to take the necessary action to ensure that the production, collection, transportation, as well as storage and treatment of hazardous waste are carried out under conditions providing protection for the environment and human health, including action to ensure traceability from production to final destination and control of hazardous waste. These provisions implement the ESM obligation set out in Article 11, paragraph 3 of the Minamata Convention. However, the EU acquis on waste is not based on a specific mercury threshold, as waste is regulated at EU level and made subject to ESM irrespective of its content in mercury or mercury compounds.</w:t>
      </w:r>
    </w:p>
    <w:p w14:paraId="075A1EE8" w14:textId="77777777" w:rsidR="00C07C49" w:rsidRPr="00C07C49" w:rsidRDefault="00C07C49" w:rsidP="00315D7A">
      <w:pPr>
        <w:pStyle w:val="CM1"/>
        <w:spacing w:after="120"/>
        <w:ind w:left="1247"/>
        <w:jc w:val="both"/>
        <w:rPr>
          <w:rFonts w:eastAsia="Times New Roman"/>
          <w:sz w:val="20"/>
          <w:szCs w:val="20"/>
          <w:lang w:val="en-GB" w:eastAsia="en-IE"/>
        </w:rPr>
      </w:pPr>
      <w:r w:rsidRPr="00C07C49">
        <w:rPr>
          <w:rFonts w:eastAsia="Times New Roman"/>
          <w:sz w:val="20"/>
          <w:szCs w:val="20"/>
          <w:lang w:val="en-GB" w:eastAsia="en-IE"/>
        </w:rPr>
        <w:t xml:space="preserve">This obligation is transposed into the Mercury Regulation, which establishes measures and conditions concerning the management of mercury waste, </w:t>
      </w:r>
      <w:proofErr w:type="gramStart"/>
      <w:r w:rsidRPr="00C07C49">
        <w:rPr>
          <w:rFonts w:eastAsia="Times New Roman"/>
          <w:sz w:val="20"/>
          <w:szCs w:val="20"/>
          <w:lang w:val="en-GB" w:eastAsia="en-IE"/>
        </w:rPr>
        <w:t>in order to</w:t>
      </w:r>
      <w:proofErr w:type="gramEnd"/>
      <w:r w:rsidRPr="00C07C49">
        <w:rPr>
          <w:rFonts w:eastAsia="Times New Roman"/>
          <w:sz w:val="20"/>
          <w:szCs w:val="20"/>
          <w:lang w:val="en-GB" w:eastAsia="en-IE"/>
        </w:rPr>
        <w:t xml:space="preserve"> ensure a high level of protection of human health and the environment from anthropogenic emissions and releases of mercury and mercury compounds (article 1). In addition, the regulation requires specific management measures for:</w:t>
      </w:r>
    </w:p>
    <w:p w14:paraId="27606E18" w14:textId="77777777" w:rsidR="00C07C49" w:rsidRPr="00C07C49" w:rsidRDefault="00C07C49" w:rsidP="00315D7A">
      <w:pPr>
        <w:pStyle w:val="CM1"/>
        <w:numPr>
          <w:ilvl w:val="0"/>
          <w:numId w:val="7"/>
        </w:numPr>
        <w:spacing w:after="120"/>
        <w:ind w:left="1607"/>
        <w:jc w:val="both"/>
        <w:rPr>
          <w:rFonts w:eastAsia="Times New Roman"/>
          <w:sz w:val="20"/>
          <w:szCs w:val="20"/>
          <w:lang w:val="en-GB" w:eastAsia="en-IE"/>
        </w:rPr>
      </w:pPr>
      <w:r w:rsidRPr="00C07C49">
        <w:rPr>
          <w:rFonts w:eastAsia="Times New Roman"/>
          <w:sz w:val="20"/>
          <w:szCs w:val="20"/>
          <w:lang w:val="en-GB" w:eastAsia="en-IE"/>
        </w:rPr>
        <w:t xml:space="preserve">amalgam waste, including amalgam residues, particles and fillings, and teeth, or parts thereof, contaminated by dental amalgam. Those are to be handled and collected by an authorised waste management establishment or undertaking (article 10 of the Mercury Regulation). Direct or indirect release of such amalgam waste into the environment by the dental practitioner is prohibited. </w:t>
      </w:r>
    </w:p>
    <w:p w14:paraId="396C50F5" w14:textId="77777777" w:rsidR="00C07C49" w:rsidRPr="00C07C49" w:rsidRDefault="00C07C49" w:rsidP="00315D7A">
      <w:pPr>
        <w:pStyle w:val="CM1"/>
        <w:numPr>
          <w:ilvl w:val="0"/>
          <w:numId w:val="7"/>
        </w:numPr>
        <w:spacing w:after="120"/>
        <w:ind w:left="1607"/>
        <w:jc w:val="both"/>
        <w:rPr>
          <w:rFonts w:eastAsia="Times New Roman"/>
          <w:sz w:val="20"/>
          <w:szCs w:val="20"/>
          <w:lang w:val="en-GB" w:eastAsia="en-IE"/>
        </w:rPr>
      </w:pPr>
      <w:r w:rsidRPr="00C07C49">
        <w:rPr>
          <w:rFonts w:eastAsia="Times New Roman"/>
          <w:sz w:val="20"/>
          <w:szCs w:val="20"/>
          <w:lang w:val="en-GB" w:eastAsia="en-IE"/>
        </w:rPr>
        <w:t xml:space="preserve">mercury and mercury compounds from the following large sources: chlor-alkali industry, cleaning of natural gas, non-ferrous mining and smelting operations, extraction from cinnabar ore in the </w:t>
      </w:r>
      <w:r w:rsidRPr="00C07C49">
        <w:rPr>
          <w:rFonts w:eastAsia="Times New Roman"/>
          <w:sz w:val="20"/>
          <w:szCs w:val="20"/>
          <w:lang w:val="en-GB" w:eastAsia="en-IE"/>
        </w:rPr>
        <w:lastRenderedPageBreak/>
        <w:t>Union. Those are to be handled as waste and as such disposed of without endangering human health or harming the environment. Specific reporting requirements are also established.</w:t>
      </w:r>
    </w:p>
    <w:p w14:paraId="1230EC98" w14:textId="77777777" w:rsidR="00C07C49" w:rsidRPr="00C07C49" w:rsidRDefault="00C07C49" w:rsidP="00315D7A">
      <w:pPr>
        <w:spacing w:after="120"/>
        <w:ind w:left="1247"/>
        <w:jc w:val="both"/>
        <w:rPr>
          <w:lang w:val="en-GB" w:eastAsia="en-IE"/>
        </w:rPr>
      </w:pPr>
      <w:r w:rsidRPr="00C07C49">
        <w:rPr>
          <w:lang w:val="en-GB" w:eastAsia="en-IE"/>
        </w:rPr>
        <w:t>By derogation to the Landfill Directive, the Mercury Regulation allows the temporary storage of metallic mercury waste in liquid form, until 31 December 2025 and under specific conditions (provided that the specific requirements for the temporary storage of mercury waste as laid down in Annexes I, II and III to that Directive are complied with and that such storage occurs in above-ground facilities dedicated to and equipped for the temporary storage of mercury waste).</w:t>
      </w:r>
    </w:p>
    <w:p w14:paraId="395E3336" w14:textId="77777777" w:rsidR="00C07C49" w:rsidRPr="00C07C49" w:rsidRDefault="00C07C49" w:rsidP="00315D7A">
      <w:pPr>
        <w:pStyle w:val="CM4"/>
        <w:spacing w:after="120"/>
        <w:ind w:left="1247"/>
        <w:jc w:val="both"/>
        <w:rPr>
          <w:rFonts w:eastAsia="Times New Roman"/>
          <w:sz w:val="20"/>
          <w:szCs w:val="20"/>
          <w:lang w:val="en-GB" w:eastAsia="en-IE"/>
        </w:rPr>
      </w:pPr>
      <w:r w:rsidRPr="00C07C49">
        <w:rPr>
          <w:rFonts w:eastAsia="Times New Roman"/>
          <w:sz w:val="20"/>
          <w:szCs w:val="20"/>
          <w:lang w:val="en-GB" w:eastAsia="en-IE"/>
        </w:rPr>
        <w:t>Prior to being permanently disposed of, mercury waste should undergo conversion and, where intended to be disposed of in above-ground facilities, conversion and solidification. It should be highlighted again that mercury waste under the Mercury Regulation is defined as metallic mercury that qualifies as waste.</w:t>
      </w:r>
    </w:p>
    <w:p w14:paraId="301FFD8F" w14:textId="77777777" w:rsidR="00C07C49" w:rsidRPr="00C07C49" w:rsidRDefault="00C07C49" w:rsidP="00315D7A">
      <w:pPr>
        <w:spacing w:after="120"/>
        <w:ind w:left="1247"/>
        <w:jc w:val="both"/>
        <w:rPr>
          <w:lang w:val="en-GB" w:eastAsia="en-IE"/>
        </w:rPr>
      </w:pPr>
      <w:r w:rsidRPr="00C07C49">
        <w:rPr>
          <w:lang w:val="en-GB" w:eastAsia="en-IE"/>
        </w:rPr>
        <w:t xml:space="preserve">Mercury waste that underwent conversion and, if applicable, solidification is to be permanently disposed of in the following permanent storage facilities licensed for disposal of hazardous waste: </w:t>
      </w:r>
    </w:p>
    <w:p w14:paraId="564F1B82" w14:textId="77777777" w:rsidR="00C07C49" w:rsidRPr="00755793" w:rsidRDefault="00C07C49" w:rsidP="00315D7A">
      <w:pPr>
        <w:pStyle w:val="CM1"/>
        <w:numPr>
          <w:ilvl w:val="0"/>
          <w:numId w:val="7"/>
        </w:numPr>
        <w:spacing w:after="120"/>
        <w:ind w:left="1607"/>
        <w:jc w:val="both"/>
        <w:rPr>
          <w:lang w:val="en-GB" w:eastAsia="en-IE"/>
        </w:rPr>
      </w:pPr>
      <w:r w:rsidRPr="00315D7A">
        <w:rPr>
          <w:sz w:val="20"/>
          <w:szCs w:val="20"/>
          <w:lang w:val="en-GB" w:eastAsia="en-IE"/>
        </w:rPr>
        <w:t xml:space="preserve">salt mines that are adapted for the permanent storage of mercury waste that underwent conversion, or deep underground hard rock formations providing a level of safety and confinement equivalent to or higher than </w:t>
      </w:r>
      <w:r w:rsidRPr="00315D7A">
        <w:rPr>
          <w:rFonts w:eastAsia="Times New Roman"/>
          <w:sz w:val="20"/>
          <w:szCs w:val="20"/>
          <w:lang w:val="en-GB" w:eastAsia="en-IE"/>
        </w:rPr>
        <w:t>that</w:t>
      </w:r>
      <w:r w:rsidRPr="00315D7A">
        <w:rPr>
          <w:sz w:val="20"/>
          <w:szCs w:val="20"/>
          <w:lang w:val="en-GB" w:eastAsia="en-IE"/>
        </w:rPr>
        <w:t xml:space="preserve"> of such salt mines; or </w:t>
      </w:r>
    </w:p>
    <w:p w14:paraId="33DF2BC9" w14:textId="77777777" w:rsidR="00C07C49" w:rsidRPr="00755793" w:rsidRDefault="00C07C49" w:rsidP="00315D7A">
      <w:pPr>
        <w:pStyle w:val="CM1"/>
        <w:numPr>
          <w:ilvl w:val="0"/>
          <w:numId w:val="7"/>
        </w:numPr>
        <w:spacing w:after="120"/>
        <w:ind w:left="1607"/>
        <w:jc w:val="both"/>
        <w:rPr>
          <w:lang w:val="en-GB" w:eastAsia="en-IE"/>
        </w:rPr>
      </w:pPr>
      <w:r w:rsidRPr="00173189">
        <w:rPr>
          <w:sz w:val="20"/>
          <w:szCs w:val="20"/>
          <w:lang w:val="en-GB" w:eastAsia="en-IE"/>
        </w:rPr>
        <w:t>above-ground facilities dedicated to and equipped for the permanent storage of mercury waste that underwent conversion and solidification and that provide a level of safety and confinement equivalent</w:t>
      </w:r>
      <w:r w:rsidRPr="00315D7A">
        <w:rPr>
          <w:sz w:val="20"/>
          <w:szCs w:val="20"/>
          <w:lang w:val="en-GB" w:eastAsia="en-IE"/>
        </w:rPr>
        <w:t xml:space="preserve"> to or higher than that of the facilities referred to in point (a). </w:t>
      </w:r>
    </w:p>
    <w:p w14:paraId="69AC05F5" w14:textId="77777777" w:rsidR="00C07C49" w:rsidRPr="00C07C49" w:rsidRDefault="00C07C49" w:rsidP="00315D7A">
      <w:pPr>
        <w:spacing w:after="120"/>
        <w:ind w:left="1247"/>
        <w:jc w:val="both"/>
        <w:rPr>
          <w:lang w:val="en-GB" w:eastAsia="en-IE"/>
        </w:rPr>
      </w:pPr>
      <w:r w:rsidRPr="00C07C49">
        <w:rPr>
          <w:lang w:val="en-GB" w:eastAsia="en-IE"/>
        </w:rPr>
        <w:t>Operators of permanent storage facilities should ensure that mercury waste that underwent conversion and, if applicable, solidification is stored separately from other waste and in disposal batches in a storage chamber that is sealed. Those operators should further ensure that the requirements of the Landfill Directive are complied with in relation to the permanent storage facilities.</w:t>
      </w:r>
    </w:p>
    <w:p w14:paraId="0E5A3E96" w14:textId="77777777" w:rsidR="00C07C49" w:rsidRPr="00C07C49" w:rsidRDefault="00C07C49" w:rsidP="00315D7A">
      <w:pPr>
        <w:pStyle w:val="NormalNonumber"/>
        <w:tabs>
          <w:tab w:val="clear" w:pos="1247"/>
          <w:tab w:val="clear" w:pos="1814"/>
          <w:tab w:val="clear" w:pos="2381"/>
          <w:tab w:val="clear" w:pos="2948"/>
          <w:tab w:val="clear" w:pos="3515"/>
        </w:tabs>
        <w:jc w:val="both"/>
        <w:rPr>
          <w:rFonts w:eastAsia="MS PGothic"/>
          <w:b/>
          <w:bCs/>
        </w:rPr>
      </w:pPr>
      <w:r w:rsidRPr="00C07C49">
        <w:rPr>
          <w:rFonts w:eastAsia="MS PGothic"/>
          <w:b/>
          <w:bCs/>
        </w:rPr>
        <w:t xml:space="preserve">Additional management approaches for mercury waste under national legislations of EU Member States </w:t>
      </w:r>
    </w:p>
    <w:p w14:paraId="5819ADD0" w14:textId="77777777" w:rsidR="00C07C49" w:rsidRPr="00C07C49" w:rsidRDefault="00C07C49" w:rsidP="00315D7A">
      <w:pPr>
        <w:pStyle w:val="NormalNonumber"/>
        <w:tabs>
          <w:tab w:val="clear" w:pos="1247"/>
          <w:tab w:val="clear" w:pos="1814"/>
          <w:tab w:val="clear" w:pos="2381"/>
          <w:tab w:val="clear" w:pos="2948"/>
          <w:tab w:val="clear" w:pos="3515"/>
        </w:tabs>
        <w:jc w:val="both"/>
        <w:rPr>
          <w:rFonts w:eastAsia="MS PGothic"/>
        </w:rPr>
      </w:pPr>
      <w:r w:rsidRPr="00C07C49">
        <w:rPr>
          <w:rFonts w:eastAsia="MS PGothic"/>
        </w:rPr>
        <w:t>Following national legislation has been implemented by some Member States, and goes beyond the provisions of the Mercury Regulation described above:</w:t>
      </w:r>
    </w:p>
    <w:p w14:paraId="3A18404B" w14:textId="77777777" w:rsidR="00C07C49" w:rsidRPr="00C07C49" w:rsidRDefault="00C07C49" w:rsidP="00315D7A">
      <w:pPr>
        <w:spacing w:after="120"/>
        <w:ind w:left="1247"/>
        <w:jc w:val="both"/>
        <w:rPr>
          <w:rFonts w:eastAsia="Calibri"/>
          <w:bCs/>
          <w:u w:val="single"/>
          <w:lang w:val="en-GB"/>
        </w:rPr>
      </w:pPr>
      <w:r w:rsidRPr="00C07C49">
        <w:rPr>
          <w:rFonts w:eastAsia="Calibri"/>
          <w:bCs/>
          <w:u w:val="single"/>
          <w:lang w:val="en-GB"/>
        </w:rPr>
        <w:t>Italy</w:t>
      </w:r>
    </w:p>
    <w:p w14:paraId="492BC82F" w14:textId="77777777" w:rsidR="00C07C49" w:rsidRPr="00C07C49" w:rsidRDefault="00C07C49" w:rsidP="00315D7A">
      <w:pPr>
        <w:spacing w:after="120"/>
        <w:ind w:left="1247"/>
        <w:jc w:val="both"/>
        <w:rPr>
          <w:rFonts w:eastAsia="Calibri"/>
          <w:lang w:val="en-GB"/>
        </w:rPr>
      </w:pPr>
      <w:r w:rsidRPr="00C07C49">
        <w:rPr>
          <w:rFonts w:eastAsia="Calibri"/>
          <w:lang w:val="en-GB"/>
        </w:rPr>
        <w:t>Italy ratified the Minamata Convention on 8th October 2020 (law No. 134).</w:t>
      </w:r>
    </w:p>
    <w:p w14:paraId="629786B2" w14:textId="77777777" w:rsidR="00C07C49" w:rsidRPr="00C07C49" w:rsidRDefault="00C07C49" w:rsidP="00315D7A">
      <w:pPr>
        <w:spacing w:after="120"/>
        <w:ind w:left="1247"/>
        <w:jc w:val="both"/>
        <w:rPr>
          <w:rFonts w:eastAsia="Calibri"/>
          <w:lang w:val="en-GB"/>
        </w:rPr>
      </w:pPr>
      <w:r w:rsidRPr="00C07C49">
        <w:rPr>
          <w:rFonts w:eastAsia="Calibri"/>
          <w:lang w:val="en-GB"/>
        </w:rPr>
        <w:t>In relation to the regulatory provisions concerning mercury-containing waste, Italy emphasises the national ‘</w:t>
      </w:r>
      <w:r w:rsidRPr="00C07C49">
        <w:rPr>
          <w:rFonts w:eastAsia="Calibri"/>
          <w:i/>
          <w:lang w:val="en-GB"/>
        </w:rPr>
        <w:t>Guidelines on the classification of waste’</w:t>
      </w:r>
      <w:r w:rsidRPr="00C07C49">
        <w:rPr>
          <w:rFonts w:eastAsia="Calibri"/>
          <w:lang w:val="en-GB"/>
        </w:rPr>
        <w:t xml:space="preserve">, referred to in the resolution of the Council of the National System for the Protection of the Environment of 18 May 2021, no. 105 approved by Directorial Decree of the Ministry of the Environment and Energy Security no. 47 of 9 August 2021. The guidelines provide homogeneous technical criteria for the completion of the waste classification procedure, in line with and complementing what is defined by the European and national (Legislative Decree n.152 of 2006) regulations. </w:t>
      </w:r>
      <w:proofErr w:type="gramStart"/>
      <w:r w:rsidRPr="00C07C49">
        <w:rPr>
          <w:rFonts w:eastAsia="Calibri"/>
          <w:lang w:val="en-GB"/>
        </w:rPr>
        <w:t>In particular, in</w:t>
      </w:r>
      <w:proofErr w:type="gramEnd"/>
      <w:r w:rsidRPr="00C07C49">
        <w:rPr>
          <w:rFonts w:eastAsia="Calibri"/>
          <w:lang w:val="en-GB"/>
        </w:rPr>
        <w:t xml:space="preserve"> the third chapter of the SNPA Guidelines ‘on the classification of waste, the European List of Waste reported in Decision 2014/955/EU (which replaces the old Decision 2000/532/EC) is examined.</w:t>
      </w:r>
    </w:p>
    <w:p w14:paraId="1B005F9A" w14:textId="77777777" w:rsidR="00C07C49" w:rsidRPr="00C07C49" w:rsidRDefault="00C07C49" w:rsidP="00315D7A">
      <w:pPr>
        <w:spacing w:after="120"/>
        <w:ind w:left="1247"/>
        <w:jc w:val="both"/>
        <w:rPr>
          <w:rFonts w:eastAsia="Calibri"/>
          <w:lang w:val="en-GB"/>
        </w:rPr>
      </w:pPr>
      <w:r w:rsidRPr="00C07C49">
        <w:rPr>
          <w:rFonts w:eastAsia="Calibri"/>
          <w:lang w:val="en-GB"/>
        </w:rPr>
        <w:t xml:space="preserve">The document highlights the changes that the list underwent in 2014, </w:t>
      </w:r>
      <w:proofErr w:type="gramStart"/>
      <w:r w:rsidRPr="00C07C49">
        <w:rPr>
          <w:rFonts w:eastAsia="Calibri"/>
          <w:lang w:val="en-GB"/>
        </w:rPr>
        <w:t>in particular the</w:t>
      </w:r>
      <w:proofErr w:type="gramEnd"/>
      <w:r w:rsidRPr="00C07C49">
        <w:rPr>
          <w:rFonts w:eastAsia="Calibri"/>
          <w:lang w:val="en-GB"/>
        </w:rPr>
        <w:t xml:space="preserve"> introduction of three new codes referring to Mercury:</w:t>
      </w:r>
    </w:p>
    <w:p w14:paraId="786056DB" w14:textId="77777777" w:rsidR="00C07C49" w:rsidRPr="00C07C49" w:rsidRDefault="00C07C49" w:rsidP="00315D7A">
      <w:pPr>
        <w:pStyle w:val="ListParagraph"/>
        <w:numPr>
          <w:ilvl w:val="0"/>
          <w:numId w:val="7"/>
        </w:numPr>
        <w:spacing w:after="120"/>
        <w:ind w:left="1607"/>
        <w:jc w:val="both"/>
        <w:rPr>
          <w:lang w:val="en-GB" w:eastAsia="en-IE"/>
        </w:rPr>
      </w:pPr>
      <w:r w:rsidRPr="00C07C49">
        <w:rPr>
          <w:lang w:val="en-GB" w:eastAsia="en-IE"/>
        </w:rPr>
        <w:t>01 03 10* (‘red sludge from alumina production containing dangerous substances, other than those mentioned in 01 03 07’);</w:t>
      </w:r>
    </w:p>
    <w:p w14:paraId="22F10D71" w14:textId="77777777" w:rsidR="00C07C49" w:rsidRPr="00C07C49" w:rsidRDefault="00C07C49" w:rsidP="00315D7A">
      <w:pPr>
        <w:pStyle w:val="ListParagraph"/>
        <w:numPr>
          <w:ilvl w:val="0"/>
          <w:numId w:val="7"/>
        </w:numPr>
        <w:spacing w:after="120"/>
        <w:ind w:left="1607"/>
        <w:jc w:val="both"/>
        <w:rPr>
          <w:lang w:val="en-GB" w:eastAsia="en-IE"/>
        </w:rPr>
      </w:pPr>
      <w:r w:rsidRPr="00C07C49">
        <w:rPr>
          <w:lang w:val="en-GB" w:eastAsia="en-IE"/>
        </w:rPr>
        <w:t>16 03 07* (‘metallic mercury’);</w:t>
      </w:r>
    </w:p>
    <w:p w14:paraId="149D6186" w14:textId="77777777" w:rsidR="00C07C49" w:rsidRPr="00C07C49" w:rsidRDefault="00C07C49" w:rsidP="00315D7A">
      <w:pPr>
        <w:pStyle w:val="ListParagraph"/>
        <w:numPr>
          <w:ilvl w:val="0"/>
          <w:numId w:val="7"/>
        </w:numPr>
        <w:spacing w:after="120"/>
        <w:ind w:left="1607"/>
        <w:jc w:val="both"/>
        <w:rPr>
          <w:lang w:val="en-GB" w:eastAsia="en-IE"/>
        </w:rPr>
      </w:pPr>
      <w:r w:rsidRPr="00C07C49">
        <w:rPr>
          <w:lang w:val="en-GB" w:eastAsia="en-IE"/>
        </w:rPr>
        <w:t>19 03 08* (‘partly stabilised mercury’).</w:t>
      </w:r>
    </w:p>
    <w:p w14:paraId="14AE2C20" w14:textId="77777777" w:rsidR="00C07C49" w:rsidRPr="00C07C49" w:rsidRDefault="00C07C49" w:rsidP="00315D7A">
      <w:pPr>
        <w:spacing w:before="120" w:after="120"/>
        <w:ind w:left="1247"/>
        <w:jc w:val="both"/>
        <w:rPr>
          <w:rFonts w:eastAsia="Calibri"/>
          <w:lang w:val="en-GB"/>
        </w:rPr>
      </w:pPr>
      <w:r w:rsidRPr="00C07C49">
        <w:rPr>
          <w:rFonts w:eastAsia="Calibri"/>
          <w:lang w:val="en-GB"/>
        </w:rPr>
        <w:t>Furthermore, the National Plan for the Elimination of Dental Amalgam, approved by Ministerial Decree of 11 November 2020, provides for the acquisition of data on the volumes of amalgam waste (EER code 180110) withdrawn and stored. The Italian Institute for Environmental Protection and Research (ISPRA) annually transmits this data to the Ministry of the Environment and Energy Security (MASE), which informs the Ministry of Health and the Ministry of Enterprises and Made in Italy (MIMIT).</w:t>
      </w:r>
    </w:p>
    <w:p w14:paraId="3345864E" w14:textId="77777777" w:rsidR="00C07C49" w:rsidRPr="00C07C49" w:rsidRDefault="00C07C49" w:rsidP="00315D7A">
      <w:pPr>
        <w:spacing w:after="120"/>
        <w:ind w:left="1247"/>
        <w:jc w:val="both"/>
        <w:rPr>
          <w:rFonts w:eastAsia="Calibri"/>
          <w:bCs/>
          <w:u w:val="single"/>
          <w:lang w:val="en-GB"/>
        </w:rPr>
      </w:pPr>
      <w:r w:rsidRPr="00C07C49">
        <w:rPr>
          <w:rFonts w:eastAsia="Calibri"/>
          <w:bCs/>
          <w:u w:val="single"/>
          <w:lang w:val="en-GB"/>
        </w:rPr>
        <w:t>Netherlands</w:t>
      </w:r>
    </w:p>
    <w:p w14:paraId="247A04FE" w14:textId="77777777" w:rsidR="00C07C49" w:rsidRPr="00C07C49" w:rsidRDefault="00C07C49" w:rsidP="00315D7A">
      <w:pPr>
        <w:pStyle w:val="NormalNonumber"/>
        <w:tabs>
          <w:tab w:val="clear" w:pos="1247"/>
          <w:tab w:val="clear" w:pos="1814"/>
          <w:tab w:val="clear" w:pos="2381"/>
          <w:tab w:val="clear" w:pos="2948"/>
          <w:tab w:val="clear" w:pos="3515"/>
        </w:tabs>
        <w:jc w:val="both"/>
        <w:rPr>
          <w:rFonts w:eastAsia="MS PGothic"/>
        </w:rPr>
      </w:pPr>
      <w:r w:rsidRPr="00C07C49">
        <w:rPr>
          <w:rFonts w:eastAsia="MS PGothic"/>
        </w:rPr>
        <w:t xml:space="preserve">In the Netherlands’ national waste management plan pursuant to the Waste Framework Directive, the provision in the Mercury regulation that assigns mercury obtained in the cleaning of natural gas as “waste” that </w:t>
      </w:r>
      <w:proofErr w:type="gramStart"/>
      <w:r w:rsidRPr="00C07C49">
        <w:rPr>
          <w:rFonts w:eastAsia="MS PGothic"/>
        </w:rPr>
        <w:t>has to</w:t>
      </w:r>
      <w:proofErr w:type="gramEnd"/>
      <w:r w:rsidRPr="00C07C49">
        <w:rPr>
          <w:rFonts w:eastAsia="MS PGothic"/>
        </w:rPr>
        <w:t xml:space="preserve"> be permanently disposed of, is extended to all mercury obtained from waste materials (e.g. steel scrap, sludges, filters) originating from natural oil and gas mining and purification. The extraction of mercury from this waste is mandatory.</w:t>
      </w:r>
    </w:p>
    <w:p w14:paraId="3A984F0F" w14:textId="77777777" w:rsidR="00C07C49" w:rsidRPr="00C07C49" w:rsidRDefault="00C07C49" w:rsidP="00315D7A">
      <w:pPr>
        <w:spacing w:after="120"/>
        <w:ind w:left="1247"/>
        <w:jc w:val="both"/>
        <w:rPr>
          <w:rFonts w:eastAsia="Calibri"/>
          <w:bCs/>
          <w:u w:val="single"/>
          <w:lang w:val="en-GB"/>
        </w:rPr>
      </w:pPr>
      <w:r w:rsidRPr="00C07C49">
        <w:rPr>
          <w:rFonts w:eastAsia="Calibri"/>
          <w:bCs/>
          <w:u w:val="single"/>
          <w:lang w:val="en-GB"/>
        </w:rPr>
        <w:lastRenderedPageBreak/>
        <w:t>Spain</w:t>
      </w:r>
    </w:p>
    <w:p w14:paraId="135277A0" w14:textId="4FB77F15" w:rsidR="00C07C49" w:rsidRPr="00C07C49" w:rsidRDefault="00C07C49" w:rsidP="00315D7A">
      <w:pPr>
        <w:spacing w:after="120"/>
        <w:ind w:left="1247"/>
        <w:jc w:val="both"/>
      </w:pPr>
      <w:r w:rsidRPr="00C07C49">
        <w:t>Spain would like to highlight their approach for the treatment of lamps containing mercury included in Annex XIII, part G.5 on “Treatment for lamps containing mercury” of the “Royal Decree 110/2015</w:t>
      </w:r>
      <w:r w:rsidR="00692E0A">
        <w:rPr>
          <w:rFonts w:ascii="ZWAdobeF" w:hAnsi="ZWAdobeF" w:cs="ZWAdobeF"/>
          <w:sz w:val="2"/>
          <w:szCs w:val="2"/>
        </w:rPr>
        <w:t>12F</w:t>
      </w:r>
      <w:r w:rsidRPr="00C07C49">
        <w:rPr>
          <w:rStyle w:val="FootnoteReference"/>
          <w:szCs w:val="20"/>
        </w:rPr>
        <w:footnoteReference w:id="14"/>
      </w:r>
      <w:r w:rsidRPr="00C07C49">
        <w:t>, of February 20, on wastes of electric and electronic equipment”. The treatment of lamps containing mercury consists of 2 stages: equipment reception and removal of components and separation from the rest of fractions. Further information on the national legislation can be found in the relevant webpage</w:t>
      </w:r>
      <w:r w:rsidR="00692E0A">
        <w:rPr>
          <w:rFonts w:ascii="ZWAdobeF" w:hAnsi="ZWAdobeF" w:cs="ZWAdobeF"/>
          <w:sz w:val="2"/>
          <w:szCs w:val="2"/>
        </w:rPr>
        <w:t>13F</w:t>
      </w:r>
      <w:r w:rsidRPr="00C07C49">
        <w:rPr>
          <w:rStyle w:val="FootnoteReference"/>
          <w:szCs w:val="20"/>
        </w:rPr>
        <w:footnoteReference w:id="15"/>
      </w:r>
      <w:r w:rsidRPr="00C07C49">
        <w:t xml:space="preserve">. </w:t>
      </w:r>
    </w:p>
    <w:p w14:paraId="7329D8DA" w14:textId="27190B4B" w:rsidR="00A5599F" w:rsidRPr="00315D7A" w:rsidRDefault="00E16354" w:rsidP="00315D7A">
      <w:pPr>
        <w:pStyle w:val="Normal-pool"/>
        <w:tabs>
          <w:tab w:val="clear" w:pos="1247"/>
          <w:tab w:val="clear" w:pos="1814"/>
          <w:tab w:val="clear" w:pos="2381"/>
          <w:tab w:val="clear" w:pos="2948"/>
          <w:tab w:val="clear" w:pos="3515"/>
          <w:tab w:val="clear" w:pos="4082"/>
          <w:tab w:val="right" w:pos="851"/>
        </w:tabs>
        <w:spacing w:before="240" w:after="120"/>
        <w:outlineLvl w:val="0"/>
        <w:rPr>
          <w:b/>
          <w:bCs/>
          <w:sz w:val="24"/>
          <w:szCs w:val="24"/>
          <w:lang w:val="en-GB"/>
        </w:rPr>
      </w:pPr>
      <w:r>
        <w:rPr>
          <w:b/>
          <w:bCs/>
          <w:noProof/>
          <w:sz w:val="24"/>
          <w:szCs w:val="24"/>
          <w:lang w:val="en-GB"/>
        </w:rPr>
        <w:tab/>
      </w:r>
      <w:bookmarkStart w:id="3" w:name="_Toc200623579"/>
      <w:r>
        <w:rPr>
          <w:b/>
          <w:bCs/>
          <w:noProof/>
          <w:sz w:val="24"/>
          <w:szCs w:val="24"/>
          <w:lang w:val="en-GB"/>
        </w:rPr>
        <w:t>4.</w:t>
      </w:r>
      <w:r>
        <w:rPr>
          <w:b/>
          <w:bCs/>
          <w:noProof/>
          <w:sz w:val="24"/>
          <w:szCs w:val="24"/>
          <w:lang w:val="en-GB"/>
        </w:rPr>
        <w:tab/>
      </w:r>
      <w:r w:rsidR="00A5599F" w:rsidRPr="00315D7A">
        <w:rPr>
          <w:b/>
          <w:bCs/>
          <w:sz w:val="24"/>
          <w:szCs w:val="24"/>
          <w:lang w:val="en-GB"/>
        </w:rPr>
        <w:t>Submission by Japan</w:t>
      </w:r>
      <w:bookmarkEnd w:id="3"/>
    </w:p>
    <w:p w14:paraId="676ED6B1" w14:textId="77777777" w:rsidR="00BC7100" w:rsidRPr="00BC7100" w:rsidRDefault="00BC7100" w:rsidP="00315D7A">
      <w:pPr>
        <w:pStyle w:val="Normal-pool"/>
        <w:spacing w:after="120"/>
        <w:ind w:left="1247"/>
        <w:rPr>
          <w:noProof/>
          <w:lang w:val="en-GB"/>
        </w:rPr>
      </w:pPr>
      <w:r w:rsidRPr="00BC7100">
        <w:rPr>
          <w:noProof/>
          <w:lang w:val="en-GB"/>
        </w:rPr>
        <w:t>In the decision MC-5/10, Parties to the Minamata Convention are invited to submit to the secretariat by 31 October 2024 information regarding their waste management regulations and programmes as mentioned in subparagraph 3(a) of Article 11, with a focus on matters not addressed by the technical guidelines on the environmentally sound management (ESM) of mercury wastes under the Basel Convention.</w:t>
      </w:r>
    </w:p>
    <w:p w14:paraId="222F2BC7" w14:textId="77777777" w:rsidR="00BC7100" w:rsidRPr="00BC7100" w:rsidRDefault="00BC7100" w:rsidP="00315D7A">
      <w:pPr>
        <w:pStyle w:val="Normal-pool"/>
        <w:spacing w:after="120"/>
        <w:ind w:left="1247"/>
        <w:rPr>
          <w:noProof/>
          <w:lang w:val="en-GB"/>
        </w:rPr>
      </w:pPr>
      <w:r w:rsidRPr="00BC7100">
        <w:rPr>
          <w:noProof/>
          <w:lang w:val="en-GB"/>
        </w:rPr>
        <w:t xml:space="preserve">Japan would appreciate this opportunity and the attached includes such regulations and programmes in Japan to ensure the ESM of mercury wastes. </w:t>
      </w:r>
    </w:p>
    <w:p w14:paraId="06AF4537" w14:textId="4D932910" w:rsidR="00BC7100" w:rsidRPr="00BC7100" w:rsidRDefault="00BC7100" w:rsidP="00315D7A">
      <w:pPr>
        <w:pStyle w:val="Normal-pool"/>
        <w:spacing w:after="120"/>
        <w:ind w:left="1247"/>
        <w:rPr>
          <w:noProof/>
          <w:lang w:val="en-GB"/>
        </w:rPr>
      </w:pPr>
      <w:r w:rsidRPr="00BC7100">
        <w:rPr>
          <w:noProof/>
          <w:lang w:val="en-GB"/>
        </w:rPr>
        <w:t>It should be noted that we understand “matters not addressed by the technical guidelines” refers to “non-hazardous waste under the Basel Convention but falls under the definition of wastes contaminated with mercury under the Minamata Convention”. Regulations and programmes to ensure the ESM of such wastes are mainly covered in section 4 of Annex 1 of this document</w:t>
      </w:r>
      <w:r w:rsidR="00692E0A">
        <w:rPr>
          <w:rFonts w:ascii="ZWAdobeF" w:hAnsi="ZWAdobeF" w:cs="ZWAdobeF"/>
          <w:noProof/>
          <w:sz w:val="2"/>
          <w:szCs w:val="2"/>
          <w:lang w:val="en-GB"/>
        </w:rPr>
        <w:t>14F</w:t>
      </w:r>
      <w:r>
        <w:rPr>
          <w:rStyle w:val="FootnoteReference"/>
          <w:noProof/>
          <w:lang w:val="en-GB"/>
        </w:rPr>
        <w:footnoteReference w:id="16"/>
      </w:r>
      <w:r w:rsidRPr="00BC7100">
        <w:rPr>
          <w:noProof/>
          <w:lang w:val="en-GB"/>
        </w:rPr>
        <w:t>.</w:t>
      </w:r>
    </w:p>
    <w:p w14:paraId="4B103FAD" w14:textId="56B6AF9D" w:rsidR="00A5599F" w:rsidRPr="00315D7A" w:rsidRDefault="00E16354" w:rsidP="00315D7A">
      <w:pPr>
        <w:pStyle w:val="Normal-pool"/>
        <w:tabs>
          <w:tab w:val="clear" w:pos="1247"/>
          <w:tab w:val="clear" w:pos="1814"/>
          <w:tab w:val="clear" w:pos="2381"/>
          <w:tab w:val="clear" w:pos="2948"/>
          <w:tab w:val="clear" w:pos="3515"/>
          <w:tab w:val="clear" w:pos="4082"/>
          <w:tab w:val="right" w:pos="851"/>
        </w:tabs>
        <w:spacing w:before="240" w:after="120"/>
        <w:outlineLvl w:val="0"/>
        <w:rPr>
          <w:b/>
          <w:bCs/>
          <w:sz w:val="24"/>
          <w:szCs w:val="24"/>
          <w:lang w:val="en-GB"/>
        </w:rPr>
      </w:pPr>
      <w:r>
        <w:rPr>
          <w:b/>
          <w:bCs/>
          <w:noProof/>
          <w:sz w:val="24"/>
          <w:szCs w:val="24"/>
          <w:lang w:val="en-GB"/>
        </w:rPr>
        <w:tab/>
      </w:r>
      <w:bookmarkStart w:id="4" w:name="_Toc200623580"/>
      <w:r>
        <w:rPr>
          <w:b/>
          <w:bCs/>
          <w:noProof/>
          <w:sz w:val="24"/>
          <w:szCs w:val="24"/>
          <w:lang w:val="en-GB"/>
        </w:rPr>
        <w:t>5.</w:t>
      </w:r>
      <w:r>
        <w:rPr>
          <w:b/>
          <w:bCs/>
          <w:noProof/>
          <w:sz w:val="24"/>
          <w:szCs w:val="24"/>
          <w:lang w:val="en-GB"/>
        </w:rPr>
        <w:tab/>
      </w:r>
      <w:r w:rsidR="00A5599F" w:rsidRPr="00315D7A">
        <w:rPr>
          <w:b/>
          <w:bCs/>
          <w:sz w:val="24"/>
          <w:szCs w:val="24"/>
          <w:lang w:val="en-GB"/>
        </w:rPr>
        <w:t>Submission by Kuwait</w:t>
      </w:r>
      <w:bookmarkEnd w:id="4"/>
    </w:p>
    <w:p w14:paraId="26FFCC78" w14:textId="66A5C1B8" w:rsidR="00A5599F" w:rsidRDefault="00DD7366" w:rsidP="00315D7A">
      <w:pPr>
        <w:pStyle w:val="Normal-pool"/>
        <w:spacing w:after="120"/>
        <w:ind w:left="1247"/>
        <w:rPr>
          <w:noProof/>
          <w:lang w:val="en-GB"/>
        </w:rPr>
      </w:pPr>
      <w:r>
        <w:rPr>
          <w:noProof/>
          <w:lang w:val="en-GB"/>
        </w:rPr>
        <w:t xml:space="preserve">The Environment Public Authority (EPA), State of Kuwait, has clarified that there is currently no special facility for the treatment or disposal of </w:t>
      </w:r>
      <w:r w:rsidR="00672032">
        <w:rPr>
          <w:noProof/>
          <w:lang w:val="en-GB"/>
        </w:rPr>
        <w:t>mercury. Waste</w:t>
      </w:r>
      <w:r w:rsidR="00C07264">
        <w:rPr>
          <w:noProof/>
          <w:lang w:val="en-GB"/>
        </w:rPr>
        <w:t>s</w:t>
      </w:r>
      <w:r w:rsidR="00672032">
        <w:rPr>
          <w:noProof/>
          <w:lang w:val="en-GB"/>
        </w:rPr>
        <w:t xml:space="preserve"> containing mercury have not long been dealt with, and if mercury-containing wastes are received as </w:t>
      </w:r>
      <w:r w:rsidR="005B313C">
        <w:rPr>
          <w:noProof/>
          <w:lang w:val="en-GB"/>
        </w:rPr>
        <w:t xml:space="preserve">thery are preserved in special containers and backfilled in the hazarous </w:t>
      </w:r>
      <w:r w:rsidR="00C07264">
        <w:rPr>
          <w:noProof/>
          <w:lang w:val="en-GB"/>
        </w:rPr>
        <w:t>wastes refregerent.</w:t>
      </w:r>
    </w:p>
    <w:p w14:paraId="577820B5" w14:textId="6FF55121" w:rsidR="00AB775C" w:rsidRDefault="00E16354" w:rsidP="00315D7A">
      <w:pPr>
        <w:pStyle w:val="Normal-pool"/>
        <w:keepNext/>
        <w:tabs>
          <w:tab w:val="clear" w:pos="1247"/>
          <w:tab w:val="clear" w:pos="1814"/>
          <w:tab w:val="clear" w:pos="2381"/>
          <w:tab w:val="clear" w:pos="2948"/>
          <w:tab w:val="clear" w:pos="3515"/>
          <w:tab w:val="clear" w:pos="4082"/>
          <w:tab w:val="right" w:pos="851"/>
        </w:tabs>
        <w:spacing w:before="240" w:after="120"/>
        <w:rPr>
          <w:noProof/>
          <w:lang w:val="en-GB"/>
        </w:rPr>
      </w:pPr>
      <w:r w:rsidRPr="00B0002D">
        <w:rPr>
          <w:b/>
          <w:sz w:val="24"/>
          <w:szCs w:val="24"/>
          <w:lang w:val="en-GB"/>
        </w:rPr>
        <w:lastRenderedPageBreak/>
        <w:tab/>
        <w:t>6.</w:t>
      </w:r>
      <w:r>
        <w:rPr>
          <w:bCs/>
          <w:sz w:val="24"/>
          <w:szCs w:val="24"/>
          <w:lang w:val="en-GB"/>
        </w:rPr>
        <w:tab/>
      </w:r>
      <w:r w:rsidR="00A5599F" w:rsidRPr="00315D7A">
        <w:rPr>
          <w:b/>
          <w:bCs/>
          <w:sz w:val="24"/>
          <w:szCs w:val="24"/>
          <w:lang w:val="en-GB" w:eastAsia="zh-CN"/>
        </w:rPr>
        <w:t>Submission by Saudi Arabia</w:t>
      </w:r>
    </w:p>
    <w:p w14:paraId="0EE39092" w14:textId="1D172FF7" w:rsidR="00A5599F" w:rsidRDefault="00AB775C" w:rsidP="00E91378">
      <w:pPr>
        <w:pStyle w:val="Normal-pool"/>
        <w:spacing w:after="120"/>
        <w:rPr>
          <w:noProof/>
          <w:lang w:val="en-GB"/>
        </w:rPr>
      </w:pPr>
      <w:r w:rsidRPr="00AB775C">
        <w:rPr>
          <w:noProof/>
          <w:lang w:val="en-GB"/>
        </w:rPr>
        <w:drawing>
          <wp:inline distT="0" distB="0" distL="0" distR="0" wp14:anchorId="6CD8039C" wp14:editId="1014AA6D">
            <wp:extent cx="6029960" cy="8513445"/>
            <wp:effectExtent l="0" t="0" r="8890" b="1905"/>
            <wp:docPr id="252691911" name="Picture 1" descr="P1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91911" name="Picture 1" descr="P110#yI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9960" cy="8513445"/>
                    </a:xfrm>
                    <a:prstGeom prst="rect">
                      <a:avLst/>
                    </a:prstGeom>
                    <a:noFill/>
                    <a:ln>
                      <a:noFill/>
                    </a:ln>
                  </pic:spPr>
                </pic:pic>
              </a:graphicData>
            </a:graphic>
          </wp:inline>
        </w:drawing>
      </w:r>
    </w:p>
    <w:p w14:paraId="6FB38DEA" w14:textId="03DACB61" w:rsidR="00AB775C" w:rsidRDefault="00AB775C">
      <w:pPr>
        <w:rPr>
          <w:noProof/>
          <w:lang w:val="en-GB" w:eastAsia="en-US"/>
        </w:rPr>
      </w:pPr>
      <w:r>
        <w:rPr>
          <w:noProof/>
          <w:lang w:val="en-GB"/>
        </w:rPr>
        <w:br w:type="page"/>
      </w:r>
    </w:p>
    <w:p w14:paraId="7BB8E90E" w14:textId="5F0B9A1A" w:rsidR="00C07264" w:rsidRDefault="00973AF8" w:rsidP="00E91378">
      <w:pPr>
        <w:pStyle w:val="Normal-pool"/>
        <w:spacing w:after="120"/>
        <w:rPr>
          <w:noProof/>
          <w:lang w:val="en-GB"/>
        </w:rPr>
      </w:pPr>
      <w:r w:rsidRPr="00973AF8">
        <w:rPr>
          <w:noProof/>
          <w:lang w:val="en-GB"/>
        </w:rPr>
        <w:lastRenderedPageBreak/>
        <w:drawing>
          <wp:inline distT="0" distB="0" distL="0" distR="0" wp14:anchorId="45C49973" wp14:editId="6F4DC020">
            <wp:extent cx="6029960" cy="8513445"/>
            <wp:effectExtent l="0" t="0" r="8890" b="1905"/>
            <wp:docPr id="267479579" name="Picture 2" descr="P1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479579" name="Picture 2" descr="P112#yIS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9960" cy="8513445"/>
                    </a:xfrm>
                    <a:prstGeom prst="rect">
                      <a:avLst/>
                    </a:prstGeom>
                    <a:noFill/>
                    <a:ln>
                      <a:noFill/>
                    </a:ln>
                  </pic:spPr>
                </pic:pic>
              </a:graphicData>
            </a:graphic>
          </wp:inline>
        </w:drawing>
      </w:r>
    </w:p>
    <w:p w14:paraId="1BCE3818" w14:textId="77777777" w:rsidR="00973AF8" w:rsidRDefault="00973AF8">
      <w:pPr>
        <w:rPr>
          <w:noProof/>
          <w:lang w:val="en-GB" w:eastAsia="en-US"/>
        </w:rPr>
      </w:pPr>
      <w:r>
        <w:rPr>
          <w:noProof/>
          <w:lang w:val="en-GB"/>
        </w:rPr>
        <w:br w:type="page"/>
      </w:r>
    </w:p>
    <w:p w14:paraId="0ACEBAC1" w14:textId="5DBA9B3A" w:rsidR="00A5599F" w:rsidRPr="00315D7A" w:rsidRDefault="00E16354" w:rsidP="00315D7A">
      <w:pPr>
        <w:pStyle w:val="Normal-pool"/>
        <w:tabs>
          <w:tab w:val="clear" w:pos="1247"/>
          <w:tab w:val="clear" w:pos="1814"/>
          <w:tab w:val="clear" w:pos="2381"/>
          <w:tab w:val="clear" w:pos="2948"/>
          <w:tab w:val="clear" w:pos="3515"/>
          <w:tab w:val="clear" w:pos="4082"/>
          <w:tab w:val="right" w:pos="851"/>
        </w:tabs>
        <w:spacing w:before="240" w:after="120"/>
        <w:outlineLvl w:val="0"/>
        <w:rPr>
          <w:b/>
          <w:bCs/>
          <w:sz w:val="24"/>
          <w:szCs w:val="24"/>
          <w:lang w:val="en-GB"/>
        </w:rPr>
      </w:pPr>
      <w:r>
        <w:rPr>
          <w:b/>
          <w:bCs/>
          <w:noProof/>
          <w:sz w:val="24"/>
          <w:szCs w:val="24"/>
          <w:lang w:val="en-GB"/>
        </w:rPr>
        <w:lastRenderedPageBreak/>
        <w:tab/>
      </w:r>
      <w:bookmarkStart w:id="5" w:name="_Toc200623581"/>
      <w:r>
        <w:rPr>
          <w:b/>
          <w:bCs/>
          <w:noProof/>
          <w:sz w:val="24"/>
          <w:szCs w:val="24"/>
          <w:lang w:val="en-GB"/>
        </w:rPr>
        <w:t>7.</w:t>
      </w:r>
      <w:r>
        <w:rPr>
          <w:b/>
          <w:bCs/>
          <w:noProof/>
          <w:sz w:val="24"/>
          <w:szCs w:val="24"/>
          <w:lang w:val="en-GB"/>
        </w:rPr>
        <w:tab/>
      </w:r>
      <w:r w:rsidR="00A5599F" w:rsidRPr="00315D7A">
        <w:rPr>
          <w:b/>
          <w:bCs/>
          <w:sz w:val="24"/>
          <w:szCs w:val="24"/>
          <w:lang w:val="en-GB"/>
        </w:rPr>
        <w:t>Submission by Thailand</w:t>
      </w:r>
      <w:bookmarkEnd w:id="5"/>
    </w:p>
    <w:p w14:paraId="737ABB88" w14:textId="02F81768" w:rsidR="004E3C8B" w:rsidRPr="004E3C8B" w:rsidRDefault="004E3C8B" w:rsidP="00315D7A">
      <w:pPr>
        <w:pStyle w:val="Normal-pool"/>
        <w:spacing w:after="120"/>
        <w:ind w:left="1247"/>
        <w:rPr>
          <w:noProof/>
          <w:lang w:val="en-GB"/>
        </w:rPr>
      </w:pPr>
      <w:r w:rsidRPr="004E3C8B">
        <w:rPr>
          <w:noProof/>
          <w:lang w:val="en-GB"/>
        </w:rPr>
        <w:t>Please kindly refer to the letter of the Secretariat of the Minamata Convention</w:t>
      </w:r>
      <w:r>
        <w:rPr>
          <w:noProof/>
          <w:lang w:val="en-GB"/>
        </w:rPr>
        <w:t xml:space="preserve"> </w:t>
      </w:r>
      <w:r w:rsidRPr="004E3C8B">
        <w:rPr>
          <w:noProof/>
          <w:lang w:val="en-GB"/>
        </w:rPr>
        <w:t>on Mercury, Ref : MC/ES/2024/46, dated 18 October 2024, inviting Parties to submit information</w:t>
      </w:r>
      <w:r>
        <w:rPr>
          <w:noProof/>
          <w:lang w:val="en-GB"/>
        </w:rPr>
        <w:t xml:space="preserve"> </w:t>
      </w:r>
      <w:r w:rsidRPr="004E3C8B">
        <w:rPr>
          <w:noProof/>
          <w:lang w:val="en-GB"/>
        </w:rPr>
        <w:t>on mercury waste in accordance with decision MC 5/10.</w:t>
      </w:r>
    </w:p>
    <w:p w14:paraId="1584EED1" w14:textId="219B1BE3" w:rsidR="004E3C8B" w:rsidRPr="004E3C8B" w:rsidRDefault="004E3C8B" w:rsidP="00315D7A">
      <w:pPr>
        <w:pStyle w:val="Normal-pool"/>
        <w:spacing w:after="120"/>
        <w:ind w:left="1247"/>
        <w:rPr>
          <w:noProof/>
          <w:lang w:val="en-GB"/>
        </w:rPr>
      </w:pPr>
      <w:r w:rsidRPr="004E3C8B">
        <w:rPr>
          <w:noProof/>
          <w:lang w:val="en-GB"/>
        </w:rPr>
        <w:t>On this occasion, Pollution Control Department (PCD), as a National Focal Point</w:t>
      </w:r>
      <w:r>
        <w:rPr>
          <w:noProof/>
          <w:lang w:val="en-GB"/>
        </w:rPr>
        <w:t xml:space="preserve"> </w:t>
      </w:r>
      <w:r w:rsidRPr="004E3C8B">
        <w:rPr>
          <w:noProof/>
          <w:lang w:val="en-GB"/>
        </w:rPr>
        <w:t>to the Minamata Convention on Mercury, would like to inform you that Department of Industrial</w:t>
      </w:r>
      <w:r>
        <w:rPr>
          <w:noProof/>
          <w:lang w:val="en-GB"/>
        </w:rPr>
        <w:t xml:space="preserve"> </w:t>
      </w:r>
      <w:r w:rsidRPr="004E3C8B">
        <w:rPr>
          <w:noProof/>
          <w:lang w:val="en-GB"/>
        </w:rPr>
        <w:t>Works, issues the Notification of Ministry of Industry, Management of Waste or Unused Materials</w:t>
      </w:r>
      <w:r>
        <w:rPr>
          <w:noProof/>
          <w:lang w:val="en-GB"/>
        </w:rPr>
        <w:t xml:space="preserve"> </w:t>
      </w:r>
      <w:r w:rsidRPr="004E3C8B">
        <w:rPr>
          <w:noProof/>
          <w:lang w:val="en-GB"/>
        </w:rPr>
        <w:t>B.E. 2566 (2023) and defines waste contaminated with mercury or mercury compounds is equal to</w:t>
      </w:r>
      <w:r>
        <w:rPr>
          <w:noProof/>
          <w:lang w:val="en-GB"/>
        </w:rPr>
        <w:t xml:space="preserve"> </w:t>
      </w:r>
      <w:r w:rsidRPr="004E3C8B">
        <w:rPr>
          <w:noProof/>
          <w:lang w:val="en-GB"/>
        </w:rPr>
        <w:t>or greater than 20 mg/kg. In cases of waste which are extracted by Waste Extraction Test (WET)</w:t>
      </w:r>
      <w:r>
        <w:rPr>
          <w:noProof/>
          <w:lang w:val="en-GB"/>
        </w:rPr>
        <w:t xml:space="preserve"> </w:t>
      </w:r>
      <w:r w:rsidRPr="004E3C8B">
        <w:rPr>
          <w:noProof/>
          <w:lang w:val="en-GB"/>
        </w:rPr>
        <w:t>and extracted water analytical methods having mercury or mercury compounds is equal to</w:t>
      </w:r>
      <w:r>
        <w:rPr>
          <w:noProof/>
          <w:lang w:val="en-GB"/>
        </w:rPr>
        <w:t xml:space="preserve"> </w:t>
      </w:r>
      <w:r w:rsidRPr="004E3C8B">
        <w:rPr>
          <w:noProof/>
          <w:lang w:val="en-GB"/>
        </w:rPr>
        <w:t>or greater than 0.2 mg/l. Moreover, this notification also includes technical guidelines for environmental</w:t>
      </w:r>
      <w:r>
        <w:rPr>
          <w:noProof/>
          <w:lang w:val="en-GB"/>
        </w:rPr>
        <w:t xml:space="preserve"> </w:t>
      </w:r>
      <w:r w:rsidRPr="004E3C8B">
        <w:rPr>
          <w:noProof/>
          <w:lang w:val="en-GB"/>
        </w:rPr>
        <w:t>sound management of hazardous waste as attached herewith</w:t>
      </w:r>
      <w:r w:rsidR="00692E0A">
        <w:rPr>
          <w:rFonts w:ascii="ZWAdobeF" w:hAnsi="ZWAdobeF" w:cs="ZWAdobeF"/>
          <w:noProof/>
          <w:sz w:val="2"/>
          <w:szCs w:val="2"/>
          <w:lang w:val="en-GB"/>
        </w:rPr>
        <w:t>15F</w:t>
      </w:r>
      <w:r>
        <w:rPr>
          <w:rStyle w:val="FootnoteReference"/>
          <w:noProof/>
          <w:lang w:val="en-GB"/>
        </w:rPr>
        <w:footnoteReference w:id="17"/>
      </w:r>
      <w:r w:rsidRPr="004E3C8B">
        <w:rPr>
          <w:noProof/>
          <w:lang w:val="en-GB"/>
        </w:rPr>
        <w:t>.</w:t>
      </w:r>
      <w:r>
        <w:rPr>
          <w:noProof/>
          <w:lang w:val="en-GB"/>
        </w:rPr>
        <w:t xml:space="preserve"> </w:t>
      </w:r>
    </w:p>
    <w:p w14:paraId="0A4D0AB6" w14:textId="7DD2BC4D" w:rsidR="00A5599F" w:rsidRDefault="004E3C8B" w:rsidP="00315D7A">
      <w:pPr>
        <w:pStyle w:val="Normal-pool"/>
        <w:spacing w:after="120"/>
        <w:ind w:left="1247"/>
        <w:rPr>
          <w:noProof/>
          <w:lang w:val="en-GB"/>
        </w:rPr>
      </w:pPr>
      <w:r w:rsidRPr="004E3C8B">
        <w:rPr>
          <w:noProof/>
          <w:lang w:val="en-GB"/>
        </w:rPr>
        <w:t>PCD continues to look forward to collaborating with the Secretariat and other Parties</w:t>
      </w:r>
      <w:r>
        <w:rPr>
          <w:noProof/>
          <w:lang w:val="en-GB"/>
        </w:rPr>
        <w:t xml:space="preserve"> </w:t>
      </w:r>
      <w:r w:rsidRPr="004E3C8B">
        <w:rPr>
          <w:noProof/>
          <w:lang w:val="en-GB"/>
        </w:rPr>
        <w:t>to the Minamata Convention on Mercury in all matters.</w:t>
      </w:r>
    </w:p>
    <w:p w14:paraId="5EF88316" w14:textId="405965C5" w:rsidR="00A5599F" w:rsidRPr="00315D7A" w:rsidRDefault="00E16354" w:rsidP="00315D7A">
      <w:pPr>
        <w:pStyle w:val="Normal-pool"/>
        <w:tabs>
          <w:tab w:val="clear" w:pos="1247"/>
          <w:tab w:val="clear" w:pos="1814"/>
          <w:tab w:val="clear" w:pos="2381"/>
          <w:tab w:val="clear" w:pos="2948"/>
          <w:tab w:val="clear" w:pos="3515"/>
          <w:tab w:val="clear" w:pos="4082"/>
          <w:tab w:val="right" w:pos="851"/>
        </w:tabs>
        <w:spacing w:before="240" w:after="120"/>
        <w:outlineLvl w:val="0"/>
        <w:rPr>
          <w:b/>
          <w:bCs/>
          <w:sz w:val="24"/>
          <w:szCs w:val="24"/>
          <w:lang w:val="en-GB"/>
        </w:rPr>
      </w:pPr>
      <w:r>
        <w:rPr>
          <w:b/>
          <w:bCs/>
          <w:noProof/>
          <w:sz w:val="24"/>
          <w:szCs w:val="24"/>
          <w:lang w:val="en-GB"/>
        </w:rPr>
        <w:tab/>
      </w:r>
      <w:bookmarkStart w:id="6" w:name="_Toc200623582"/>
      <w:r>
        <w:rPr>
          <w:b/>
          <w:bCs/>
          <w:noProof/>
          <w:sz w:val="24"/>
          <w:szCs w:val="24"/>
          <w:lang w:val="en-GB"/>
        </w:rPr>
        <w:t>8.</w:t>
      </w:r>
      <w:r>
        <w:rPr>
          <w:b/>
          <w:bCs/>
          <w:noProof/>
          <w:sz w:val="24"/>
          <w:szCs w:val="24"/>
          <w:lang w:val="en-GB"/>
        </w:rPr>
        <w:tab/>
      </w:r>
      <w:r w:rsidR="00A5599F" w:rsidRPr="00315D7A">
        <w:rPr>
          <w:b/>
          <w:bCs/>
          <w:sz w:val="24"/>
          <w:szCs w:val="24"/>
          <w:lang w:val="en-GB"/>
        </w:rPr>
        <w:t>Submission by Uganda</w:t>
      </w:r>
      <w:bookmarkEnd w:id="6"/>
    </w:p>
    <w:tbl>
      <w:tblPr>
        <w:tblStyle w:val="TableGrid"/>
        <w:tblW w:w="0" w:type="auto"/>
        <w:tblInd w:w="704" w:type="dxa"/>
        <w:tblLayout w:type="fixed"/>
        <w:tblLook w:val="04A0" w:firstRow="1" w:lastRow="0" w:firstColumn="1" w:lastColumn="0" w:noHBand="0" w:noVBand="1"/>
      </w:tblPr>
      <w:tblGrid>
        <w:gridCol w:w="1015"/>
        <w:gridCol w:w="1111"/>
        <w:gridCol w:w="426"/>
        <w:gridCol w:w="1628"/>
        <w:gridCol w:w="374"/>
        <w:gridCol w:w="1209"/>
        <w:gridCol w:w="1583"/>
        <w:gridCol w:w="876"/>
        <w:gridCol w:w="1010"/>
      </w:tblGrid>
      <w:tr w:rsidR="001505A4" w:rsidRPr="000907AB" w14:paraId="577A0011" w14:textId="77777777" w:rsidTr="00456375">
        <w:trPr>
          <w:tblHeader/>
        </w:trPr>
        <w:tc>
          <w:tcPr>
            <w:tcW w:w="2552" w:type="dxa"/>
            <w:gridSpan w:val="3"/>
            <w:shd w:val="clear" w:color="auto" w:fill="D9D9D9" w:themeFill="background1" w:themeFillShade="D9"/>
            <w:vAlign w:val="center"/>
          </w:tcPr>
          <w:p w14:paraId="0BBDFA8C" w14:textId="77777777" w:rsidR="001505A4" w:rsidRPr="000907AB" w:rsidRDefault="001505A4" w:rsidP="00A97AEC">
            <w:pPr>
              <w:pStyle w:val="ListParagraph"/>
              <w:tabs>
                <w:tab w:val="left" w:pos="250"/>
              </w:tabs>
              <w:spacing w:before="40" w:after="40"/>
              <w:ind w:left="0"/>
              <w:contextualSpacing w:val="0"/>
              <w:rPr>
                <w:b/>
                <w:bCs/>
              </w:rPr>
            </w:pPr>
            <w:r w:rsidRPr="000907AB">
              <w:rPr>
                <w:b/>
                <w:bCs/>
              </w:rPr>
              <w:t>Provisions under Article 11 (3) (a) of the Convention</w:t>
            </w:r>
          </w:p>
        </w:tc>
        <w:tc>
          <w:tcPr>
            <w:tcW w:w="2002" w:type="dxa"/>
            <w:gridSpan w:val="2"/>
            <w:shd w:val="clear" w:color="auto" w:fill="D9D9D9" w:themeFill="background1" w:themeFillShade="D9"/>
            <w:vAlign w:val="center"/>
          </w:tcPr>
          <w:p w14:paraId="760A933B" w14:textId="2CA853D6" w:rsidR="001505A4" w:rsidRPr="000907AB" w:rsidRDefault="001505A4" w:rsidP="00A97AEC">
            <w:pPr>
              <w:pStyle w:val="ListParagraph"/>
              <w:tabs>
                <w:tab w:val="left" w:pos="250"/>
              </w:tabs>
              <w:spacing w:before="40" w:after="40"/>
              <w:ind w:left="0"/>
              <w:contextualSpacing w:val="0"/>
              <w:rPr>
                <w:b/>
                <w:bCs/>
              </w:rPr>
            </w:pPr>
            <w:r w:rsidRPr="000907AB">
              <w:rPr>
                <w:b/>
                <w:bCs/>
              </w:rPr>
              <w:t>Measure (s) taken</w:t>
            </w:r>
          </w:p>
        </w:tc>
        <w:tc>
          <w:tcPr>
            <w:tcW w:w="4678" w:type="dxa"/>
            <w:gridSpan w:val="4"/>
            <w:shd w:val="clear" w:color="auto" w:fill="D9D9D9" w:themeFill="background1" w:themeFillShade="D9"/>
            <w:vAlign w:val="center"/>
          </w:tcPr>
          <w:p w14:paraId="0EBF2EFB" w14:textId="77777777" w:rsidR="001505A4" w:rsidRPr="000907AB" w:rsidRDefault="001505A4" w:rsidP="00A97AEC">
            <w:pPr>
              <w:pStyle w:val="ListParagraph"/>
              <w:tabs>
                <w:tab w:val="left" w:pos="250"/>
              </w:tabs>
              <w:spacing w:before="40" w:after="40"/>
              <w:ind w:left="0"/>
              <w:contextualSpacing w:val="0"/>
              <w:rPr>
                <w:b/>
                <w:bCs/>
              </w:rPr>
            </w:pPr>
            <w:r w:rsidRPr="000907AB">
              <w:rPr>
                <w:b/>
                <w:bCs/>
              </w:rPr>
              <w:t>Details of the measures</w:t>
            </w:r>
          </w:p>
        </w:tc>
      </w:tr>
      <w:tr w:rsidR="001505A4" w:rsidRPr="000907AB" w14:paraId="2F4A5270" w14:textId="77777777" w:rsidTr="00456375">
        <w:tc>
          <w:tcPr>
            <w:tcW w:w="2552" w:type="dxa"/>
            <w:gridSpan w:val="3"/>
            <w:shd w:val="clear" w:color="auto" w:fill="F2F2F2" w:themeFill="background1" w:themeFillShade="F2"/>
          </w:tcPr>
          <w:p w14:paraId="7E615E72" w14:textId="77777777" w:rsidR="001505A4" w:rsidRPr="000907AB" w:rsidRDefault="001505A4" w:rsidP="00A97AEC">
            <w:pPr>
              <w:tabs>
                <w:tab w:val="left" w:pos="345"/>
              </w:tabs>
              <w:spacing w:before="40" w:after="40"/>
            </w:pPr>
            <w:r w:rsidRPr="000907AB">
              <w:t>Each Party shall take appropriate measures so that mercury waste is:</w:t>
            </w:r>
          </w:p>
          <w:p w14:paraId="510A96AF" w14:textId="5399F11C" w:rsidR="001505A4" w:rsidRPr="000907AB" w:rsidRDefault="001505A4" w:rsidP="00315D7A">
            <w:pPr>
              <w:tabs>
                <w:tab w:val="left" w:pos="345"/>
              </w:tabs>
              <w:spacing w:before="40" w:after="40"/>
            </w:pPr>
            <w:r w:rsidRPr="000907AB">
              <w:t xml:space="preserve">(a) Managed in an environmentally sound manner, </w:t>
            </w:r>
            <w:proofErr w:type="gramStart"/>
            <w:r w:rsidRPr="000907AB">
              <w:t>taking into</w:t>
            </w:r>
            <w:r w:rsidR="00996007">
              <w:t xml:space="preserve"> </w:t>
            </w:r>
            <w:r w:rsidRPr="000907AB">
              <w:t>account</w:t>
            </w:r>
            <w:proofErr w:type="gramEnd"/>
            <w:r w:rsidRPr="000907AB">
              <w:t xml:space="preserve"> the guidelines developed under the Basel Convention and in</w:t>
            </w:r>
            <w:r w:rsidR="00996007">
              <w:t xml:space="preserve"> </w:t>
            </w:r>
            <w:r w:rsidRPr="000907AB">
              <w:t>accordance with requirements that the Conference of the Parties shall</w:t>
            </w:r>
            <w:r w:rsidR="00996007">
              <w:t xml:space="preserve"> </w:t>
            </w:r>
            <w:r w:rsidRPr="000907AB">
              <w:t>adopt in an additional annex in accordance with Article 27. In developing</w:t>
            </w:r>
            <w:r w:rsidR="00996007">
              <w:t xml:space="preserve"> </w:t>
            </w:r>
            <w:r w:rsidRPr="000907AB">
              <w:t xml:space="preserve">requirements, the Conference of the Parties shall </w:t>
            </w:r>
            <w:proofErr w:type="gramStart"/>
            <w:r w:rsidRPr="000907AB">
              <w:t>take into account</w:t>
            </w:r>
            <w:proofErr w:type="gramEnd"/>
            <w:r w:rsidRPr="000907AB">
              <w:t xml:space="preserve"> Parties’</w:t>
            </w:r>
            <w:r w:rsidR="00996007">
              <w:t xml:space="preserve"> </w:t>
            </w:r>
            <w:r w:rsidRPr="000907AB">
              <w:t xml:space="preserve">waste management regulations and </w:t>
            </w:r>
            <w:proofErr w:type="spellStart"/>
            <w:r w:rsidRPr="000907AB">
              <w:t>programmes</w:t>
            </w:r>
            <w:proofErr w:type="spellEnd"/>
            <w:r w:rsidRPr="000907AB">
              <w:t>;</w:t>
            </w:r>
          </w:p>
        </w:tc>
        <w:tc>
          <w:tcPr>
            <w:tcW w:w="2002" w:type="dxa"/>
            <w:gridSpan w:val="2"/>
            <w:shd w:val="clear" w:color="auto" w:fill="F2F2F2" w:themeFill="background1" w:themeFillShade="F2"/>
          </w:tcPr>
          <w:p w14:paraId="1E4388A6" w14:textId="77777777" w:rsidR="001505A4" w:rsidRPr="000907AB" w:rsidRDefault="001505A4" w:rsidP="00315D7A">
            <w:pPr>
              <w:tabs>
                <w:tab w:val="left" w:pos="345"/>
              </w:tabs>
            </w:pPr>
            <w:r w:rsidRPr="000907AB">
              <w:rPr>
                <w:rFonts w:eastAsiaTheme="minorHAnsi"/>
                <w:lang w:eastAsia="en-US"/>
              </w:rPr>
              <w:t>Updated the waste management regulations now titled as: ‘</w:t>
            </w:r>
            <w:r w:rsidRPr="000907AB">
              <w:rPr>
                <w:rFonts w:eastAsiaTheme="minorHAnsi"/>
                <w:color w:val="000000"/>
                <w:lang w:eastAsia="en-US"/>
              </w:rPr>
              <w:t>The National Environment (Waste Management) Regulations, 2020’.</w:t>
            </w:r>
          </w:p>
          <w:p w14:paraId="1FDE1050" w14:textId="77777777" w:rsidR="001505A4" w:rsidRPr="000907AB" w:rsidRDefault="001505A4" w:rsidP="00315D7A">
            <w:pPr>
              <w:pStyle w:val="ListParagraph"/>
              <w:tabs>
                <w:tab w:val="left" w:pos="345"/>
              </w:tabs>
              <w:rPr>
                <w:rFonts w:eastAsiaTheme="minorHAnsi"/>
                <w:color w:val="000000"/>
                <w:lang w:eastAsia="en-US"/>
              </w:rPr>
            </w:pPr>
          </w:p>
          <w:p w14:paraId="252495E5" w14:textId="6EDDA294" w:rsidR="001505A4" w:rsidRPr="000907AB" w:rsidRDefault="001505A4" w:rsidP="00315D7A">
            <w:pPr>
              <w:tabs>
                <w:tab w:val="left" w:pos="345"/>
              </w:tabs>
            </w:pPr>
            <w:r w:rsidRPr="000907AB">
              <w:rPr>
                <w:rFonts w:eastAsiaTheme="minorHAnsi"/>
                <w:color w:val="000000"/>
                <w:lang w:eastAsia="en-US"/>
              </w:rPr>
              <w:t>The regulations cover management of mercury waste in accordance with Article 11 of the Convention</w:t>
            </w:r>
            <w:r w:rsidR="00B0002D">
              <w:rPr>
                <w:rFonts w:eastAsiaTheme="minorHAnsi"/>
                <w:color w:val="000000"/>
                <w:lang w:eastAsia="en-US"/>
              </w:rPr>
              <w:t>s</w:t>
            </w:r>
          </w:p>
        </w:tc>
        <w:tc>
          <w:tcPr>
            <w:tcW w:w="4678" w:type="dxa"/>
            <w:gridSpan w:val="4"/>
          </w:tcPr>
          <w:p w14:paraId="07973AF3" w14:textId="77777777" w:rsidR="001505A4" w:rsidRPr="000907AB" w:rsidRDefault="001505A4" w:rsidP="00315D7A">
            <w:pPr>
              <w:pStyle w:val="ListParagraph"/>
              <w:numPr>
                <w:ilvl w:val="0"/>
                <w:numId w:val="12"/>
              </w:numPr>
              <w:spacing w:line="259" w:lineRule="auto"/>
              <w:rPr>
                <w:rStyle w:val="A1"/>
                <w:sz w:val="20"/>
                <w:szCs w:val="20"/>
              </w:rPr>
            </w:pPr>
            <w:r w:rsidRPr="000907AB">
              <w:rPr>
                <w:rStyle w:val="A1"/>
                <w:sz w:val="20"/>
                <w:szCs w:val="20"/>
              </w:rPr>
              <w:t>Regulations cover Part VI— Management of Hazardous Waste</w:t>
            </w:r>
          </w:p>
          <w:p w14:paraId="2A02D816" w14:textId="77777777" w:rsidR="001505A4" w:rsidRPr="000907AB" w:rsidRDefault="001505A4" w:rsidP="00315D7A">
            <w:pPr>
              <w:pStyle w:val="ListParagraph"/>
              <w:ind w:left="0"/>
              <w:rPr>
                <w:rStyle w:val="A1"/>
                <w:sz w:val="20"/>
                <w:szCs w:val="20"/>
              </w:rPr>
            </w:pPr>
            <w:r w:rsidRPr="000907AB">
              <w:rPr>
                <w:rStyle w:val="A1"/>
                <w:sz w:val="20"/>
                <w:szCs w:val="20"/>
              </w:rPr>
              <w:t>This part covers the following:</w:t>
            </w:r>
          </w:p>
          <w:p w14:paraId="1030C91A" w14:textId="77777777" w:rsidR="001505A4" w:rsidRPr="000907AB" w:rsidRDefault="001505A4" w:rsidP="00315D7A">
            <w:pPr>
              <w:pStyle w:val="ListParagraph"/>
              <w:numPr>
                <w:ilvl w:val="0"/>
                <w:numId w:val="9"/>
              </w:numPr>
              <w:spacing w:line="259" w:lineRule="auto"/>
              <w:ind w:left="360"/>
              <w:rPr>
                <w:color w:val="000000"/>
              </w:rPr>
            </w:pPr>
            <w:r w:rsidRPr="000907AB">
              <w:rPr>
                <w:rFonts w:eastAsiaTheme="minorHAnsi"/>
                <w:color w:val="000000"/>
                <w:lang w:eastAsia="en-US"/>
              </w:rPr>
              <w:t xml:space="preserve">Classification, </w:t>
            </w:r>
            <w:proofErr w:type="spellStart"/>
            <w:r w:rsidRPr="000907AB">
              <w:rPr>
                <w:rFonts w:eastAsiaTheme="minorHAnsi"/>
                <w:color w:val="000000"/>
                <w:lang w:eastAsia="en-US"/>
              </w:rPr>
              <w:t>Characterisation</w:t>
            </w:r>
            <w:proofErr w:type="spellEnd"/>
            <w:r w:rsidRPr="000907AB">
              <w:rPr>
                <w:rFonts w:eastAsiaTheme="minorHAnsi"/>
                <w:color w:val="000000"/>
                <w:lang w:eastAsia="en-US"/>
              </w:rPr>
              <w:t xml:space="preserve"> and </w:t>
            </w:r>
            <w:proofErr w:type="spellStart"/>
            <w:r w:rsidRPr="000907AB">
              <w:rPr>
                <w:rFonts w:eastAsiaTheme="minorHAnsi"/>
                <w:color w:val="000000"/>
                <w:lang w:eastAsia="en-US"/>
              </w:rPr>
              <w:t>Categorisation</w:t>
            </w:r>
            <w:proofErr w:type="spellEnd"/>
            <w:r w:rsidRPr="000907AB">
              <w:rPr>
                <w:rFonts w:eastAsiaTheme="minorHAnsi"/>
                <w:color w:val="000000"/>
                <w:lang w:eastAsia="en-US"/>
              </w:rPr>
              <w:t xml:space="preserve"> of Hazardous Waste.</w:t>
            </w:r>
          </w:p>
          <w:p w14:paraId="3A9FA1BE" w14:textId="77777777" w:rsidR="001505A4" w:rsidRPr="000907AB" w:rsidRDefault="001505A4" w:rsidP="00315D7A">
            <w:pPr>
              <w:pStyle w:val="ListParagraph"/>
              <w:numPr>
                <w:ilvl w:val="0"/>
                <w:numId w:val="9"/>
              </w:numPr>
              <w:spacing w:line="259" w:lineRule="auto"/>
              <w:ind w:left="360"/>
              <w:rPr>
                <w:color w:val="000000"/>
              </w:rPr>
            </w:pPr>
            <w:r w:rsidRPr="000907AB">
              <w:rPr>
                <w:rFonts w:eastAsiaTheme="minorHAnsi"/>
                <w:color w:val="000000"/>
                <w:lang w:eastAsia="en-US"/>
              </w:rPr>
              <w:t>Responsibility for Handling of Hazardous Waste</w:t>
            </w:r>
          </w:p>
          <w:p w14:paraId="190CD1D0" w14:textId="77777777" w:rsidR="001505A4" w:rsidRPr="000907AB" w:rsidRDefault="001505A4" w:rsidP="00315D7A">
            <w:pPr>
              <w:pStyle w:val="ListParagraph"/>
              <w:numPr>
                <w:ilvl w:val="0"/>
                <w:numId w:val="9"/>
              </w:numPr>
              <w:spacing w:line="259" w:lineRule="auto"/>
              <w:ind w:left="360"/>
              <w:rPr>
                <w:color w:val="000000"/>
              </w:rPr>
            </w:pPr>
            <w:r w:rsidRPr="000907AB">
              <w:rPr>
                <w:rFonts w:eastAsiaTheme="minorHAnsi"/>
                <w:color w:val="000000"/>
                <w:lang w:eastAsia="en-US"/>
              </w:rPr>
              <w:t>Healthcare Waste</w:t>
            </w:r>
          </w:p>
          <w:p w14:paraId="1BD9DF99" w14:textId="77777777" w:rsidR="001505A4" w:rsidRPr="000907AB" w:rsidRDefault="001505A4" w:rsidP="00315D7A">
            <w:pPr>
              <w:pStyle w:val="ListParagraph"/>
              <w:numPr>
                <w:ilvl w:val="0"/>
                <w:numId w:val="9"/>
              </w:numPr>
              <w:spacing w:line="259" w:lineRule="auto"/>
              <w:ind w:left="360"/>
              <w:rPr>
                <w:color w:val="000000"/>
              </w:rPr>
            </w:pPr>
            <w:r w:rsidRPr="000907AB">
              <w:rPr>
                <w:rFonts w:eastAsiaTheme="minorHAnsi"/>
                <w:color w:val="000000"/>
                <w:lang w:eastAsia="en-US"/>
              </w:rPr>
              <w:t>Handling, Storage and Labelling of Hazardous Waste</w:t>
            </w:r>
          </w:p>
          <w:p w14:paraId="1063AB8E" w14:textId="77777777" w:rsidR="001505A4" w:rsidRPr="000907AB" w:rsidRDefault="001505A4" w:rsidP="00315D7A">
            <w:pPr>
              <w:pStyle w:val="ListParagraph"/>
              <w:numPr>
                <w:ilvl w:val="0"/>
                <w:numId w:val="9"/>
              </w:numPr>
              <w:spacing w:line="259" w:lineRule="auto"/>
              <w:ind w:left="360"/>
              <w:rPr>
                <w:color w:val="000000"/>
              </w:rPr>
            </w:pPr>
            <w:r w:rsidRPr="000907AB">
              <w:rPr>
                <w:rFonts w:eastAsiaTheme="minorHAnsi"/>
                <w:color w:val="000000"/>
                <w:lang w:eastAsia="en-US"/>
              </w:rPr>
              <w:t>Collection and Transportation of Hazardous Waste</w:t>
            </w:r>
          </w:p>
          <w:p w14:paraId="09E1CCB9" w14:textId="77777777" w:rsidR="001505A4" w:rsidRPr="000907AB" w:rsidRDefault="001505A4" w:rsidP="00315D7A">
            <w:pPr>
              <w:pStyle w:val="ListParagraph"/>
              <w:numPr>
                <w:ilvl w:val="0"/>
                <w:numId w:val="12"/>
              </w:numPr>
              <w:spacing w:line="259" w:lineRule="auto"/>
              <w:rPr>
                <w:rStyle w:val="A1"/>
                <w:sz w:val="20"/>
                <w:szCs w:val="20"/>
              </w:rPr>
            </w:pPr>
            <w:r w:rsidRPr="000907AB">
              <w:rPr>
                <w:rStyle w:val="A1"/>
                <w:sz w:val="20"/>
                <w:szCs w:val="20"/>
              </w:rPr>
              <w:t>Regulations cover Part VII—Treatment and Disposal of Waste</w:t>
            </w:r>
          </w:p>
          <w:p w14:paraId="20E368D8" w14:textId="77777777" w:rsidR="001505A4" w:rsidRPr="000907AB" w:rsidRDefault="001505A4" w:rsidP="00315D7A">
            <w:pPr>
              <w:pStyle w:val="ListParagraph"/>
              <w:ind w:left="0"/>
              <w:rPr>
                <w:rFonts w:eastAsiaTheme="minorEastAsia"/>
                <w:color w:val="000000"/>
                <w:kern w:val="2"/>
                <w14:ligatures w14:val="standardContextual"/>
              </w:rPr>
            </w:pPr>
            <w:r w:rsidRPr="000907AB">
              <w:rPr>
                <w:rStyle w:val="A1"/>
                <w:sz w:val="20"/>
                <w:szCs w:val="20"/>
              </w:rPr>
              <w:t>This part covers among others the following:</w:t>
            </w:r>
          </w:p>
          <w:p w14:paraId="4F39FD89" w14:textId="77777777" w:rsidR="001505A4" w:rsidRPr="000907AB" w:rsidRDefault="001505A4" w:rsidP="00315D7A">
            <w:pPr>
              <w:pStyle w:val="ListParagraph"/>
              <w:numPr>
                <w:ilvl w:val="0"/>
                <w:numId w:val="10"/>
              </w:numPr>
              <w:spacing w:line="259" w:lineRule="auto"/>
              <w:rPr>
                <w:color w:val="000000"/>
              </w:rPr>
            </w:pPr>
            <w:r w:rsidRPr="000907AB">
              <w:rPr>
                <w:rFonts w:eastAsiaTheme="minorHAnsi"/>
                <w:color w:val="000000"/>
                <w:lang w:eastAsia="en-US"/>
              </w:rPr>
              <w:t>Treatment and disposal of hazardous waste</w:t>
            </w:r>
          </w:p>
          <w:p w14:paraId="325CCFF3" w14:textId="77777777" w:rsidR="001505A4" w:rsidRPr="000907AB" w:rsidRDefault="001505A4" w:rsidP="00315D7A">
            <w:pPr>
              <w:pStyle w:val="ListParagraph"/>
              <w:numPr>
                <w:ilvl w:val="0"/>
                <w:numId w:val="12"/>
              </w:numPr>
              <w:spacing w:line="259" w:lineRule="auto"/>
              <w:contextualSpacing w:val="0"/>
              <w:rPr>
                <w:rStyle w:val="A1"/>
                <w:sz w:val="20"/>
                <w:szCs w:val="20"/>
              </w:rPr>
            </w:pPr>
            <w:r w:rsidRPr="000907AB">
              <w:rPr>
                <w:rStyle w:val="A1"/>
                <w:sz w:val="20"/>
                <w:szCs w:val="20"/>
              </w:rPr>
              <w:t>Regulations cover Part XI— Transboundary Movement of Waste</w:t>
            </w:r>
          </w:p>
          <w:p w14:paraId="48EF378A" w14:textId="77777777" w:rsidR="001505A4" w:rsidRPr="000907AB" w:rsidRDefault="001505A4" w:rsidP="00315D7A">
            <w:pPr>
              <w:pStyle w:val="ListParagraph"/>
              <w:ind w:left="0"/>
              <w:contextualSpacing w:val="0"/>
              <w:rPr>
                <w:rStyle w:val="A1"/>
                <w:sz w:val="20"/>
                <w:szCs w:val="20"/>
              </w:rPr>
            </w:pPr>
            <w:r w:rsidRPr="000907AB">
              <w:rPr>
                <w:rStyle w:val="A1"/>
                <w:sz w:val="20"/>
                <w:szCs w:val="20"/>
              </w:rPr>
              <w:t>This part covers among others the following:</w:t>
            </w:r>
          </w:p>
          <w:p w14:paraId="5BC87A3E" w14:textId="77777777" w:rsidR="001505A4" w:rsidRPr="000907AB" w:rsidRDefault="001505A4" w:rsidP="001505A4">
            <w:pPr>
              <w:pStyle w:val="Pa5"/>
              <w:numPr>
                <w:ilvl w:val="0"/>
                <w:numId w:val="10"/>
              </w:numPr>
              <w:rPr>
                <w:rStyle w:val="A1"/>
                <w:sz w:val="20"/>
                <w:szCs w:val="20"/>
              </w:rPr>
            </w:pPr>
            <w:r w:rsidRPr="000907AB">
              <w:rPr>
                <w:rStyle w:val="A1"/>
                <w:sz w:val="20"/>
                <w:szCs w:val="20"/>
              </w:rPr>
              <w:t>Export and import of waste.</w:t>
            </w:r>
          </w:p>
          <w:p w14:paraId="350696BC" w14:textId="77777777" w:rsidR="001505A4" w:rsidRPr="000907AB" w:rsidRDefault="001505A4" w:rsidP="001505A4">
            <w:pPr>
              <w:pStyle w:val="Pa5"/>
              <w:numPr>
                <w:ilvl w:val="0"/>
                <w:numId w:val="10"/>
              </w:numPr>
              <w:rPr>
                <w:rStyle w:val="A1"/>
                <w:sz w:val="20"/>
                <w:szCs w:val="20"/>
              </w:rPr>
            </w:pPr>
            <w:r w:rsidRPr="000907AB">
              <w:rPr>
                <w:rStyle w:val="A1"/>
                <w:sz w:val="20"/>
                <w:szCs w:val="20"/>
              </w:rPr>
              <w:t>Waste in transit through Uganda.</w:t>
            </w:r>
          </w:p>
          <w:p w14:paraId="65C5CB07" w14:textId="79C7924D" w:rsidR="001505A4" w:rsidRPr="000907AB" w:rsidRDefault="001505A4" w:rsidP="00315D7A">
            <w:pPr>
              <w:pStyle w:val="ListParagraph"/>
              <w:numPr>
                <w:ilvl w:val="0"/>
                <w:numId w:val="12"/>
              </w:numPr>
              <w:spacing w:line="259" w:lineRule="auto"/>
              <w:contextualSpacing w:val="0"/>
              <w:rPr>
                <w:rStyle w:val="A1"/>
                <w:sz w:val="20"/>
                <w:szCs w:val="20"/>
              </w:rPr>
            </w:pPr>
            <w:r w:rsidRPr="000907AB">
              <w:rPr>
                <w:rStyle w:val="A1"/>
                <w:sz w:val="20"/>
                <w:szCs w:val="20"/>
              </w:rPr>
              <w:t>Regulations cover Part XII—Environmental, Health and</w:t>
            </w:r>
            <w:r w:rsidR="00996007" w:rsidRPr="00665509">
              <w:rPr>
                <w:rStyle w:val="A1"/>
                <w:sz w:val="20"/>
                <w:szCs w:val="20"/>
              </w:rPr>
              <w:t xml:space="preserve"> </w:t>
            </w:r>
            <w:r w:rsidRPr="000907AB">
              <w:rPr>
                <w:rStyle w:val="A1"/>
                <w:sz w:val="20"/>
                <w:szCs w:val="20"/>
              </w:rPr>
              <w:t>Safety Measures.</w:t>
            </w:r>
          </w:p>
          <w:p w14:paraId="66F56A0D" w14:textId="77777777" w:rsidR="001505A4" w:rsidRPr="000907AB" w:rsidRDefault="001505A4" w:rsidP="00315D7A">
            <w:pPr>
              <w:pStyle w:val="ListParagraph"/>
              <w:ind w:left="0"/>
              <w:contextualSpacing w:val="0"/>
              <w:rPr>
                <w:rStyle w:val="A1"/>
                <w:sz w:val="20"/>
                <w:szCs w:val="20"/>
              </w:rPr>
            </w:pPr>
            <w:r w:rsidRPr="000907AB">
              <w:rPr>
                <w:rStyle w:val="A1"/>
                <w:sz w:val="20"/>
                <w:szCs w:val="20"/>
              </w:rPr>
              <w:t>This part covers among others the following:</w:t>
            </w:r>
          </w:p>
          <w:p w14:paraId="41155572" w14:textId="20698F50" w:rsidR="001505A4" w:rsidRPr="000907AB" w:rsidRDefault="001505A4" w:rsidP="00315D7A">
            <w:pPr>
              <w:pStyle w:val="ListParagraph"/>
              <w:numPr>
                <w:ilvl w:val="0"/>
                <w:numId w:val="11"/>
              </w:numPr>
              <w:spacing w:line="259" w:lineRule="auto"/>
              <w:contextualSpacing w:val="0"/>
              <w:rPr>
                <w:rStyle w:val="A1"/>
                <w:sz w:val="20"/>
                <w:szCs w:val="20"/>
              </w:rPr>
            </w:pPr>
            <w:r>
              <w:rPr>
                <w:rStyle w:val="A1"/>
                <w:sz w:val="20"/>
                <w:szCs w:val="20"/>
              </w:rPr>
              <w:t>P</w:t>
            </w:r>
            <w:r w:rsidRPr="000907AB">
              <w:rPr>
                <w:rStyle w:val="A1"/>
                <w:sz w:val="20"/>
                <w:szCs w:val="20"/>
              </w:rPr>
              <w:t>ersonnel handling hazardous waste</w:t>
            </w:r>
          </w:p>
          <w:p w14:paraId="53FD1638" w14:textId="77777777" w:rsidR="001505A4" w:rsidRPr="000907AB" w:rsidRDefault="001505A4" w:rsidP="00315D7A">
            <w:pPr>
              <w:pStyle w:val="ListParagraph"/>
              <w:numPr>
                <w:ilvl w:val="0"/>
                <w:numId w:val="12"/>
              </w:numPr>
              <w:spacing w:line="259" w:lineRule="auto"/>
              <w:contextualSpacing w:val="0"/>
              <w:rPr>
                <w:color w:val="000000"/>
              </w:rPr>
            </w:pPr>
            <w:r w:rsidRPr="000907AB">
              <w:rPr>
                <w:rStyle w:val="A1"/>
                <w:sz w:val="20"/>
                <w:szCs w:val="20"/>
              </w:rPr>
              <w:t>Regulations among others cover schedules 2—waste classified as hazardous; schedule 3—waste characterized as hazardous;</w:t>
            </w:r>
            <w:r>
              <w:rPr>
                <w:rStyle w:val="A1"/>
                <w:sz w:val="20"/>
                <w:szCs w:val="20"/>
              </w:rPr>
              <w:t xml:space="preserve"> </w:t>
            </w:r>
            <w:r w:rsidRPr="000907AB">
              <w:rPr>
                <w:rStyle w:val="A1"/>
                <w:sz w:val="20"/>
                <w:szCs w:val="20"/>
              </w:rPr>
              <w:t>schedule 4—categories of waste to be considered as hazardous unless controlled, segregated and characterized as non-hazardous.</w:t>
            </w:r>
          </w:p>
        </w:tc>
      </w:tr>
      <w:tr w:rsidR="00A7575D" w:rsidRPr="006A5E4C" w14:paraId="7C0BFA55" w14:textId="77777777" w:rsidTr="00DA13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45" w:type="dxa"/>
        </w:trPr>
        <w:tc>
          <w:tcPr>
            <w:tcW w:w="1015" w:type="dxa"/>
          </w:tcPr>
          <w:p w14:paraId="23B9FA1B" w14:textId="77777777" w:rsidR="00A7575D" w:rsidRPr="006A5E4C" w:rsidRDefault="00A7575D" w:rsidP="003E504A">
            <w:pPr>
              <w:pStyle w:val="Normal-pool"/>
              <w:rPr>
                <w:noProof/>
                <w:lang w:val="en-GB"/>
              </w:rPr>
            </w:pPr>
          </w:p>
        </w:tc>
        <w:tc>
          <w:tcPr>
            <w:tcW w:w="1111" w:type="dxa"/>
          </w:tcPr>
          <w:p w14:paraId="30BC90B0" w14:textId="77777777" w:rsidR="00A7575D" w:rsidRPr="006A5E4C" w:rsidRDefault="00A7575D" w:rsidP="003E504A">
            <w:pPr>
              <w:pStyle w:val="Normal-pool"/>
              <w:rPr>
                <w:noProof/>
                <w:lang w:val="en-GB"/>
              </w:rPr>
            </w:pPr>
          </w:p>
        </w:tc>
        <w:tc>
          <w:tcPr>
            <w:tcW w:w="2054" w:type="dxa"/>
            <w:gridSpan w:val="2"/>
          </w:tcPr>
          <w:p w14:paraId="4D07703A" w14:textId="77777777" w:rsidR="00A7575D" w:rsidRPr="006A5E4C" w:rsidRDefault="00A7575D" w:rsidP="003E504A">
            <w:pPr>
              <w:pStyle w:val="Normal-pool"/>
              <w:rPr>
                <w:noProof/>
                <w:lang w:val="en-GB"/>
              </w:rPr>
            </w:pPr>
          </w:p>
        </w:tc>
        <w:tc>
          <w:tcPr>
            <w:tcW w:w="1583" w:type="dxa"/>
            <w:gridSpan w:val="2"/>
            <w:tcBorders>
              <w:bottom w:val="single" w:sz="4" w:space="0" w:color="auto"/>
            </w:tcBorders>
          </w:tcPr>
          <w:p w14:paraId="31693511" w14:textId="77777777" w:rsidR="00A7575D" w:rsidRPr="006A5E4C" w:rsidRDefault="00A7575D" w:rsidP="00315D7A">
            <w:pPr>
              <w:pStyle w:val="Normal-pool"/>
              <w:spacing w:before="360"/>
              <w:rPr>
                <w:noProof/>
                <w:lang w:val="en-GB"/>
              </w:rPr>
            </w:pPr>
          </w:p>
        </w:tc>
        <w:tc>
          <w:tcPr>
            <w:tcW w:w="1583" w:type="dxa"/>
          </w:tcPr>
          <w:p w14:paraId="2C259868" w14:textId="77777777" w:rsidR="00A7575D" w:rsidRPr="006A5E4C" w:rsidRDefault="00A7575D" w:rsidP="003E504A">
            <w:pPr>
              <w:pStyle w:val="Normal-pool"/>
              <w:rPr>
                <w:noProof/>
                <w:lang w:val="en-GB"/>
              </w:rPr>
            </w:pPr>
          </w:p>
        </w:tc>
        <w:tc>
          <w:tcPr>
            <w:tcW w:w="876" w:type="dxa"/>
          </w:tcPr>
          <w:p w14:paraId="39548F58" w14:textId="77777777" w:rsidR="00A7575D" w:rsidRPr="006A5E4C" w:rsidRDefault="00A7575D" w:rsidP="003E504A">
            <w:pPr>
              <w:pStyle w:val="Normal-pool"/>
              <w:rPr>
                <w:noProof/>
                <w:lang w:val="en-GB"/>
              </w:rPr>
            </w:pPr>
          </w:p>
        </w:tc>
      </w:tr>
    </w:tbl>
    <w:p w14:paraId="7D7FD4FE" w14:textId="77777777" w:rsidR="0015442E" w:rsidRPr="00C8604E" w:rsidRDefault="0015442E" w:rsidP="0015442E">
      <w:pPr>
        <w:pStyle w:val="Normal-pool"/>
        <w:rPr>
          <w:lang w:val="en-GB"/>
        </w:rPr>
      </w:pPr>
    </w:p>
    <w:sectPr w:rsidR="0015442E" w:rsidRPr="00C8604E" w:rsidSect="0015442E">
      <w:headerReference w:type="even" r:id="rId18"/>
      <w:headerReference w:type="default" r:id="rId19"/>
      <w:footerReference w:type="even" r:id="rId20"/>
      <w:footerReference w:type="default" r:id="rId21"/>
      <w:headerReference w:type="first" r:id="rId22"/>
      <w:footerReference w:type="first" r:id="rId23"/>
      <w:type w:val="continuous"/>
      <w:pgSz w:w="11906" w:h="16838" w:code="9"/>
      <w:pgMar w:top="907" w:right="992" w:bottom="1418" w:left="1418" w:header="539" w:footer="975" w:gutter="0"/>
      <w:cols w:space="53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64D53" w14:textId="77777777" w:rsidR="00F237C6" w:rsidRDefault="00F237C6">
      <w:r>
        <w:separator/>
      </w:r>
    </w:p>
  </w:endnote>
  <w:endnote w:type="continuationSeparator" w:id="0">
    <w:p w14:paraId="6EA2AD46" w14:textId="77777777" w:rsidR="00F237C6" w:rsidRDefault="00F237C6">
      <w:r>
        <w:continuationSeparator/>
      </w:r>
    </w:p>
  </w:endnote>
  <w:endnote w:type="continuationNotice" w:id="1">
    <w:p w14:paraId="7621FF76" w14:textId="77777777" w:rsidR="00F237C6" w:rsidRDefault="00F237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altName w:val="Arial"/>
    <w:panose1 w:val="00000000000000000000"/>
    <w:charset w:val="00"/>
    <w:family w:val="auto"/>
    <w:pitch w:val="variable"/>
    <w:sig w:usb0="E00002EF" w:usb1="5000205B" w:usb2="0000002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0E2C6" w14:textId="77777777" w:rsidR="00123699" w:rsidRPr="00F96910" w:rsidRDefault="00123699" w:rsidP="00F96910">
    <w:pPr>
      <w:pStyle w:val="Footer-pool"/>
    </w:pPr>
    <w:r w:rsidRPr="0015442E">
      <w:rPr>
        <w:rStyle w:val="PageNumber"/>
        <w:b/>
      </w:rPr>
      <w:fldChar w:fldCharType="begin"/>
    </w:r>
    <w:r w:rsidRPr="0015442E">
      <w:rPr>
        <w:rStyle w:val="PageNumber"/>
        <w:b/>
      </w:rPr>
      <w:instrText xml:space="preserve"> PAGE </w:instrText>
    </w:r>
    <w:r w:rsidRPr="0015442E">
      <w:rPr>
        <w:rStyle w:val="PageNumber"/>
        <w:b/>
      </w:rPr>
      <w:fldChar w:fldCharType="separate"/>
    </w:r>
    <w:r w:rsidR="00F7542C" w:rsidRPr="0015442E">
      <w:rPr>
        <w:rStyle w:val="PageNumber"/>
        <w:b/>
        <w:noProof/>
      </w:rPr>
      <w:t>2</w:t>
    </w:r>
    <w:r w:rsidRPr="0015442E">
      <w:rPr>
        <w:rStyle w:val="PageNumbe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EFC11" w14:textId="77777777" w:rsidR="00123699" w:rsidRPr="0015442E" w:rsidRDefault="00123699" w:rsidP="00F96910">
    <w:pPr>
      <w:pStyle w:val="Footer-pool"/>
      <w:jc w:val="right"/>
      <w:rPr>
        <w:b w:val="0"/>
      </w:rPr>
    </w:pPr>
    <w:r w:rsidRPr="0015442E">
      <w:rPr>
        <w:rStyle w:val="PageNumber"/>
        <w:b/>
      </w:rPr>
      <w:fldChar w:fldCharType="begin"/>
    </w:r>
    <w:r w:rsidRPr="0015442E">
      <w:rPr>
        <w:rStyle w:val="PageNumber"/>
        <w:b/>
      </w:rPr>
      <w:instrText xml:space="preserve"> PAGE </w:instrText>
    </w:r>
    <w:r w:rsidRPr="0015442E">
      <w:rPr>
        <w:rStyle w:val="PageNumber"/>
        <w:b/>
      </w:rPr>
      <w:fldChar w:fldCharType="separate"/>
    </w:r>
    <w:r w:rsidR="00250B6D" w:rsidRPr="0015442E">
      <w:rPr>
        <w:rStyle w:val="PageNumber"/>
        <w:b/>
        <w:noProof/>
      </w:rPr>
      <w:t>3</w:t>
    </w:r>
    <w:r w:rsidRPr="0015442E">
      <w:rPr>
        <w:rStyle w:val="PageNumbe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BD335" w14:textId="2242A5A7" w:rsidR="0015442E" w:rsidRDefault="0015442E" w:rsidP="0015442E">
    <w:pPr>
      <w:pStyle w:val="Normal-pool"/>
    </w:pPr>
    <w:r>
      <w:tab/>
    </w:r>
    <w:r w:rsidR="00013772">
      <w:t>0209</w:t>
    </w:r>
    <w:r w:rsidR="001566FA" w:rsidRPr="00315D7A">
      <w:t>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24DCC" w14:textId="77777777" w:rsidR="00F237C6" w:rsidRPr="0072353B" w:rsidRDefault="00F237C6" w:rsidP="0072353B">
      <w:pPr>
        <w:tabs>
          <w:tab w:val="left" w:pos="624"/>
        </w:tabs>
        <w:spacing w:before="60"/>
        <w:ind w:left="624"/>
        <w:rPr>
          <w:sz w:val="18"/>
          <w:szCs w:val="18"/>
        </w:rPr>
      </w:pPr>
      <w:r w:rsidRPr="0072353B">
        <w:rPr>
          <w:sz w:val="18"/>
          <w:szCs w:val="18"/>
        </w:rPr>
        <w:separator/>
      </w:r>
    </w:p>
  </w:footnote>
  <w:footnote w:type="continuationSeparator" w:id="0">
    <w:p w14:paraId="7691BE9E" w14:textId="77777777" w:rsidR="00F237C6" w:rsidRDefault="00F237C6">
      <w:r>
        <w:continuationSeparator/>
      </w:r>
    </w:p>
  </w:footnote>
  <w:footnote w:type="continuationNotice" w:id="1">
    <w:p w14:paraId="5A830797" w14:textId="77777777" w:rsidR="00F237C6" w:rsidRDefault="00F237C6"/>
  </w:footnote>
  <w:footnote w:id="2">
    <w:p w14:paraId="6259BC0E" w14:textId="3878DC88" w:rsidR="0096739E" w:rsidRPr="001176CB" w:rsidRDefault="0096739E" w:rsidP="00455095">
      <w:pPr>
        <w:tabs>
          <w:tab w:val="left" w:pos="624"/>
        </w:tabs>
        <w:spacing w:before="20" w:after="40"/>
        <w:ind w:left="1247"/>
        <w:rPr>
          <w:sz w:val="18"/>
          <w:szCs w:val="18"/>
        </w:rPr>
      </w:pPr>
      <w:r w:rsidRPr="00315D7A">
        <w:rPr>
          <w:rStyle w:val="FootnoteReference"/>
          <w:sz w:val="18"/>
          <w:vertAlign w:val="baseline"/>
          <w:lang w:eastAsia="en-US"/>
        </w:rPr>
        <w:t>*</w:t>
      </w:r>
      <w:r w:rsidRPr="6AFDE952">
        <w:rPr>
          <w:sz w:val="18"/>
          <w:szCs w:val="18"/>
        </w:rPr>
        <w:t xml:space="preserve"> UNEP/MC/COP.</w:t>
      </w:r>
      <w:r w:rsidR="00895ED9">
        <w:rPr>
          <w:sz w:val="18"/>
          <w:szCs w:val="18"/>
        </w:rPr>
        <w:t>6</w:t>
      </w:r>
      <w:r w:rsidRPr="6AFDE952">
        <w:rPr>
          <w:sz w:val="18"/>
          <w:szCs w:val="18"/>
        </w:rPr>
        <w:t>/1</w:t>
      </w:r>
      <w:r w:rsidR="00950E41">
        <w:rPr>
          <w:sz w:val="18"/>
          <w:szCs w:val="18"/>
        </w:rPr>
        <w:t>/Rev.1</w:t>
      </w:r>
      <w:r w:rsidRPr="6AFDE952">
        <w:rPr>
          <w:sz w:val="18"/>
          <w:szCs w:val="18"/>
        </w:rPr>
        <w:t>.</w:t>
      </w:r>
    </w:p>
  </w:footnote>
  <w:footnote w:id="3">
    <w:p w14:paraId="67194919" w14:textId="77777777" w:rsidR="00FD1BB5" w:rsidRPr="00456375" w:rsidRDefault="00FD1BB5" w:rsidP="00FD1BB5">
      <w:pPr>
        <w:pStyle w:val="FootnoteText"/>
        <w:rPr>
          <w:lang w:val="en-US"/>
        </w:rPr>
      </w:pPr>
      <w:r w:rsidRPr="00456375">
        <w:rPr>
          <w:rStyle w:val="FootnoteReference"/>
          <w:sz w:val="18"/>
          <w:vertAlign w:val="baseline"/>
          <w:lang w:val="en-US"/>
        </w:rPr>
        <w:t>**</w:t>
      </w:r>
      <w:r w:rsidRPr="00456375">
        <w:rPr>
          <w:szCs w:val="18"/>
          <w:lang w:val="en-US"/>
        </w:rPr>
        <w:t xml:space="preserve"> This document has not been formally edited.</w:t>
      </w:r>
    </w:p>
  </w:footnote>
  <w:footnote w:id="4">
    <w:p w14:paraId="18478957" w14:textId="6DC738BF" w:rsidR="00804F74" w:rsidRPr="00804F74" w:rsidRDefault="00804F74">
      <w:pPr>
        <w:pStyle w:val="FootnoteText"/>
        <w:rPr>
          <w:lang w:val="en-US"/>
        </w:rPr>
      </w:pPr>
      <w:r w:rsidRPr="00315D7A">
        <w:rPr>
          <w:rStyle w:val="FootnoteReference"/>
          <w:sz w:val="18"/>
        </w:rPr>
        <w:footnoteRef/>
      </w:r>
      <w:r w:rsidRPr="00315D7A">
        <w:rPr>
          <w:szCs w:val="18"/>
          <w:lang w:val="en-US"/>
        </w:rPr>
        <w:t xml:space="preserve"> </w:t>
      </w:r>
      <w:r w:rsidRPr="000A0DC7">
        <w:rPr>
          <w:szCs w:val="18"/>
          <w:lang w:val="en-GB"/>
        </w:rPr>
        <w:t>UNEP/CHW.15/6/Add.6/Rev.1</w:t>
      </w:r>
      <w:r>
        <w:rPr>
          <w:szCs w:val="18"/>
          <w:lang w:val="en-GB"/>
        </w:rPr>
        <w:t>.</w:t>
      </w:r>
    </w:p>
  </w:footnote>
  <w:footnote w:id="5">
    <w:p w14:paraId="72304BB6" w14:textId="37245BE8" w:rsidR="008A3BAE" w:rsidRPr="00315D7A" w:rsidRDefault="008A3BAE" w:rsidP="00E91378">
      <w:pPr>
        <w:pStyle w:val="FootnoteText"/>
        <w:rPr>
          <w:szCs w:val="18"/>
          <w:lang w:val="en-US"/>
        </w:rPr>
      </w:pPr>
      <w:r w:rsidRPr="00315D7A">
        <w:rPr>
          <w:rStyle w:val="FootnoteReference"/>
          <w:sz w:val="18"/>
        </w:rPr>
        <w:footnoteRef/>
      </w:r>
      <w:r w:rsidRPr="00315D7A">
        <w:rPr>
          <w:szCs w:val="18"/>
          <w:lang w:val="en-US"/>
        </w:rPr>
        <w:t xml:space="preserve"> The list of categories of wastes controlled and hazard characteristics in National Law </w:t>
      </w:r>
      <w:proofErr w:type="spellStart"/>
      <w:r w:rsidRPr="00315D7A">
        <w:rPr>
          <w:szCs w:val="18"/>
          <w:lang w:val="en-US"/>
        </w:rPr>
        <w:t>nro</w:t>
      </w:r>
      <w:proofErr w:type="spellEnd"/>
      <w:r w:rsidR="00E91378" w:rsidRPr="00315D7A">
        <w:rPr>
          <w:szCs w:val="18"/>
          <w:lang w:val="en-US"/>
        </w:rPr>
        <w:t>.</w:t>
      </w:r>
      <w:r w:rsidRPr="00315D7A">
        <w:rPr>
          <w:szCs w:val="18"/>
          <w:lang w:val="en-US"/>
        </w:rPr>
        <w:t xml:space="preserve"> 24051 are analogous to those adopted in Annex I and III respectively of the Basel Convention.</w:t>
      </w:r>
    </w:p>
  </w:footnote>
  <w:footnote w:id="6">
    <w:p w14:paraId="44D034D2" w14:textId="6A3DC915" w:rsidR="00EF64C4" w:rsidRPr="00315D7A" w:rsidRDefault="00EF64C4">
      <w:pPr>
        <w:pStyle w:val="FootnoteText"/>
        <w:rPr>
          <w:szCs w:val="18"/>
          <w:lang w:val="en-US"/>
        </w:rPr>
      </w:pPr>
      <w:r w:rsidRPr="00315D7A">
        <w:rPr>
          <w:rStyle w:val="FootnoteReference"/>
          <w:sz w:val="18"/>
        </w:rPr>
        <w:footnoteRef/>
      </w:r>
      <w:r w:rsidRPr="00315D7A">
        <w:rPr>
          <w:szCs w:val="18"/>
          <w:lang w:val="en-US"/>
        </w:rPr>
        <w:t xml:space="preserve"> The submission was made in Spanish. </w:t>
      </w:r>
      <w:r w:rsidR="00FC33A2" w:rsidRPr="00315D7A">
        <w:rPr>
          <w:szCs w:val="18"/>
          <w:lang w:val="en-US"/>
        </w:rPr>
        <w:t xml:space="preserve">An unofficial English translation is presented. The original submission is available from </w:t>
      </w:r>
      <w:hyperlink r:id="rId1" w:history="1">
        <w:r w:rsidR="00FC33A2" w:rsidRPr="00315D7A">
          <w:rPr>
            <w:rStyle w:val="Hyperlink"/>
            <w:sz w:val="18"/>
            <w:szCs w:val="18"/>
          </w:rPr>
          <w:t>https://minamataconvention.org/en/topics/mercury-wastes/intersessional-work</w:t>
        </w:r>
      </w:hyperlink>
    </w:p>
  </w:footnote>
  <w:footnote w:id="7">
    <w:p w14:paraId="41296BB1" w14:textId="77777777" w:rsidR="00C07C49" w:rsidRPr="00315D7A" w:rsidRDefault="00C07C49" w:rsidP="00C07C49">
      <w:pPr>
        <w:pStyle w:val="FootnoteText"/>
        <w:jc w:val="both"/>
        <w:rPr>
          <w:szCs w:val="18"/>
          <w:lang w:val="en-IE"/>
        </w:rPr>
      </w:pPr>
      <w:r w:rsidRPr="00315D7A">
        <w:rPr>
          <w:rStyle w:val="FootnoteReference"/>
          <w:sz w:val="18"/>
        </w:rPr>
        <w:footnoteRef/>
      </w:r>
      <w:r w:rsidRPr="00315D7A">
        <w:rPr>
          <w:szCs w:val="18"/>
          <w:lang w:val="en-US"/>
        </w:rPr>
        <w:t xml:space="preserve"> </w:t>
      </w:r>
      <w:r w:rsidRPr="00315D7A">
        <w:rPr>
          <w:szCs w:val="18"/>
          <w:lang w:val="en-GB"/>
        </w:rPr>
        <w:t xml:space="preserve">Regulation (EU) 2017/852 on mercury as regards dental amalgam and other mercury-added products subject to export, import and manufacturing restrictions revised by Regulation (EU) 2024/1849 of the European Parliament and of the Council of 13 June 2024, </w:t>
      </w:r>
      <w:hyperlink r:id="rId2" w:history="1">
        <w:r w:rsidRPr="00315D7A">
          <w:rPr>
            <w:rStyle w:val="Hyperlink"/>
            <w:color w:val="2F5496" w:themeColor="accent5" w:themeShade="BF"/>
            <w:sz w:val="18"/>
            <w:szCs w:val="18"/>
          </w:rPr>
          <w:t>Regulation - 2024/1849 - EN - EUR-Lex (europa.eu)</w:t>
        </w:r>
      </w:hyperlink>
      <w:r w:rsidRPr="00315D7A">
        <w:rPr>
          <w:szCs w:val="18"/>
          <w:shd w:val="clear" w:color="auto" w:fill="FFFFFF"/>
          <w:lang w:val="en-IE"/>
        </w:rPr>
        <w:t>10.7.2024, ELI: </w:t>
      </w:r>
      <w:hyperlink r:id="rId3" w:tgtFrame="_blank" w:tooltip="Gives access to this document through its ELI URI." w:history="1">
        <w:r w:rsidRPr="00315D7A">
          <w:rPr>
            <w:color w:val="2F5496" w:themeColor="accent5" w:themeShade="BF"/>
            <w:szCs w:val="18"/>
            <w:u w:val="single"/>
            <w:lang w:val="en-IE"/>
          </w:rPr>
          <w:t>http://data.europa.eu/eli/reg/2024/1849/oj</w:t>
        </w:r>
      </w:hyperlink>
    </w:p>
  </w:footnote>
  <w:footnote w:id="8">
    <w:p w14:paraId="6D152D3B" w14:textId="77777777" w:rsidR="00C07C49" w:rsidRPr="00187B82" w:rsidRDefault="00C07C49" w:rsidP="00C07C49">
      <w:pPr>
        <w:pStyle w:val="FootnoteText"/>
        <w:jc w:val="both"/>
        <w:rPr>
          <w:sz w:val="22"/>
          <w:szCs w:val="22"/>
          <w:lang w:val="en-IE"/>
        </w:rPr>
      </w:pPr>
      <w:r w:rsidRPr="00315D7A">
        <w:rPr>
          <w:rStyle w:val="FootnoteReference"/>
          <w:sz w:val="18"/>
        </w:rPr>
        <w:footnoteRef/>
      </w:r>
      <w:r w:rsidRPr="00315D7A">
        <w:rPr>
          <w:szCs w:val="18"/>
          <w:lang w:val="en-US"/>
        </w:rPr>
        <w:t xml:space="preserve"> D</w:t>
      </w:r>
      <w:r w:rsidRPr="00315D7A">
        <w:rPr>
          <w:bCs/>
          <w:szCs w:val="18"/>
          <w:shd w:val="clear" w:color="auto" w:fill="FFFFFF"/>
          <w:lang w:val="en-US"/>
        </w:rPr>
        <w:t xml:space="preserve">irective 2008/98/EC of the European Parliament and of the Council of 19 November 2008 on waste and repealing certain Directives, </w:t>
      </w:r>
      <w:hyperlink r:id="rId4" w:history="1">
        <w:r w:rsidRPr="00315D7A">
          <w:rPr>
            <w:rStyle w:val="Hyperlink"/>
            <w:color w:val="2F5496" w:themeColor="accent5" w:themeShade="BF"/>
            <w:sz w:val="18"/>
            <w:szCs w:val="18"/>
          </w:rPr>
          <w:t>EUR-Lex - 02008L0098-20180705 - EN - EUR-Lex (europa.eu)</w:t>
        </w:r>
      </w:hyperlink>
    </w:p>
  </w:footnote>
  <w:footnote w:id="9">
    <w:p w14:paraId="607518A8" w14:textId="77777777" w:rsidR="00C07C49" w:rsidRPr="00315D7A" w:rsidRDefault="00C07C49" w:rsidP="00C07C49">
      <w:pPr>
        <w:pStyle w:val="FootnoteText"/>
        <w:rPr>
          <w:szCs w:val="18"/>
          <w:lang w:val="hu-HU"/>
        </w:rPr>
      </w:pPr>
      <w:r w:rsidRPr="00315D7A">
        <w:rPr>
          <w:rStyle w:val="FootnoteReference"/>
          <w:sz w:val="18"/>
        </w:rPr>
        <w:footnoteRef/>
      </w:r>
      <w:r w:rsidRPr="00315D7A">
        <w:rPr>
          <w:szCs w:val="18"/>
          <w:lang w:val="en-US"/>
        </w:rPr>
        <w:t xml:space="preserve"> Regulation (EC) No 1013/2006 of the European Parliament and of the Council of 14 June 2006 on shipments of waste, </w:t>
      </w:r>
      <w:hyperlink r:id="rId5" w:history="1">
        <w:r w:rsidRPr="00315D7A">
          <w:rPr>
            <w:rStyle w:val="Hyperlink"/>
            <w:sz w:val="18"/>
            <w:szCs w:val="18"/>
          </w:rPr>
          <w:t>https://eur-lex.europa.eu/legal-content/EN/TXT/?uri=CELEX%3A32006R1013</w:t>
        </w:r>
      </w:hyperlink>
      <w:r w:rsidRPr="00315D7A">
        <w:rPr>
          <w:szCs w:val="18"/>
          <w:lang w:val="en-US"/>
        </w:rPr>
        <w:t xml:space="preserve"> </w:t>
      </w:r>
    </w:p>
  </w:footnote>
  <w:footnote w:id="10">
    <w:p w14:paraId="073FD85A" w14:textId="77777777" w:rsidR="00C07C49" w:rsidRPr="00315D7A" w:rsidRDefault="00C07C49" w:rsidP="00C07C49">
      <w:pPr>
        <w:pStyle w:val="FootnoteText"/>
        <w:jc w:val="both"/>
        <w:rPr>
          <w:szCs w:val="18"/>
          <w:lang w:val="en-GB"/>
        </w:rPr>
      </w:pPr>
      <w:r w:rsidRPr="00315D7A">
        <w:rPr>
          <w:rStyle w:val="FootnoteReference"/>
          <w:sz w:val="18"/>
        </w:rPr>
        <w:footnoteRef/>
      </w:r>
      <w:r w:rsidRPr="00315D7A">
        <w:rPr>
          <w:szCs w:val="18"/>
          <w:lang w:val="en-US"/>
        </w:rPr>
        <w:t xml:space="preserve"> </w:t>
      </w:r>
      <w:r w:rsidRPr="00315D7A">
        <w:rPr>
          <w:szCs w:val="18"/>
          <w:lang w:val="en-GB"/>
        </w:rPr>
        <w:t xml:space="preserve">Directive 2006/21/EC of the European Parliament and of the Council of 15 March 2006 on the management of waste from extractive industries and amending Directive 2004/35/EC - </w:t>
      </w:r>
    </w:p>
  </w:footnote>
  <w:footnote w:id="11">
    <w:p w14:paraId="375B96B7" w14:textId="77777777" w:rsidR="00C07C49" w:rsidRPr="00315D7A" w:rsidRDefault="00C07C49" w:rsidP="00C07C49">
      <w:pPr>
        <w:pStyle w:val="FootnoteText"/>
        <w:jc w:val="both"/>
        <w:rPr>
          <w:szCs w:val="18"/>
          <w:lang w:val="en-IE"/>
        </w:rPr>
      </w:pPr>
      <w:r w:rsidRPr="00315D7A">
        <w:rPr>
          <w:szCs w:val="18"/>
          <w:lang w:val="en-GB"/>
        </w:rPr>
        <w:footnoteRef/>
      </w:r>
      <w:r w:rsidRPr="00315D7A">
        <w:rPr>
          <w:szCs w:val="18"/>
          <w:lang w:val="en-GB"/>
        </w:rPr>
        <w:t xml:space="preserve"> Council Directive 1999/31/EC of 26 April 1999 on the landfill of waste, </w:t>
      </w:r>
      <w:hyperlink r:id="rId6" w:history="1">
        <w:r w:rsidRPr="00315D7A">
          <w:rPr>
            <w:rStyle w:val="Hyperlink"/>
            <w:color w:val="2F5496" w:themeColor="accent5" w:themeShade="BF"/>
            <w:sz w:val="18"/>
            <w:szCs w:val="18"/>
          </w:rPr>
          <w:t>Directive - 2006/21 - EN - EUR-Lex (europa.eu)</w:t>
        </w:r>
      </w:hyperlink>
    </w:p>
  </w:footnote>
  <w:footnote w:id="12">
    <w:p w14:paraId="4FB1AFCA" w14:textId="77777777" w:rsidR="00C07C49" w:rsidRPr="00315D7A" w:rsidRDefault="00C07C49" w:rsidP="00C07C49">
      <w:pPr>
        <w:pStyle w:val="FootnoteText"/>
        <w:jc w:val="both"/>
        <w:rPr>
          <w:szCs w:val="18"/>
          <w:lang w:val="en-US"/>
        </w:rPr>
      </w:pPr>
      <w:r w:rsidRPr="00315D7A">
        <w:rPr>
          <w:rStyle w:val="FootnoteReference"/>
          <w:sz w:val="18"/>
        </w:rPr>
        <w:footnoteRef/>
      </w:r>
      <w:r w:rsidRPr="00315D7A">
        <w:rPr>
          <w:szCs w:val="18"/>
          <w:lang w:val="en-US"/>
        </w:rPr>
        <w:t xml:space="preserve"> Council Decision 2003/33/EC of 19 December 2002 establishing criteria and procedures for the acceptance of waste at landfills pursuant to Article 16 of and Annex II to Directive 1999/31/EC, </w:t>
      </w:r>
      <w:hyperlink r:id="rId7" w:history="1">
        <w:r w:rsidRPr="00315D7A">
          <w:rPr>
            <w:rStyle w:val="Hyperlink"/>
            <w:sz w:val="18"/>
            <w:szCs w:val="18"/>
          </w:rPr>
          <w:t>http://data.europa.eu/eli/dec/2003/33(1)/oj</w:t>
        </w:r>
      </w:hyperlink>
    </w:p>
  </w:footnote>
  <w:footnote w:id="13">
    <w:p w14:paraId="6EB1B2E5" w14:textId="77777777" w:rsidR="00C07C49" w:rsidRPr="000F7D6E" w:rsidRDefault="00C07C49" w:rsidP="00C07C49">
      <w:pPr>
        <w:pStyle w:val="FootnoteText"/>
        <w:jc w:val="both"/>
        <w:rPr>
          <w:lang w:val="en-IE"/>
        </w:rPr>
      </w:pPr>
      <w:r w:rsidRPr="00315D7A">
        <w:rPr>
          <w:rStyle w:val="FootnoteReference"/>
          <w:sz w:val="18"/>
        </w:rPr>
        <w:footnoteRef/>
      </w:r>
      <w:r w:rsidRPr="00315D7A">
        <w:rPr>
          <w:szCs w:val="18"/>
          <w:lang w:val="en-US"/>
        </w:rPr>
        <w:t xml:space="preserve"> C</w:t>
      </w:r>
      <w:r w:rsidRPr="00315D7A">
        <w:rPr>
          <w:bCs/>
          <w:szCs w:val="18"/>
          <w:shd w:val="clear" w:color="auto" w:fill="FFFFFF"/>
          <w:lang w:val="en-US"/>
        </w:rPr>
        <w:t xml:space="preserve">ouncil Directive 86/278/EEC of 12 June 1986 on the protection of the environment, and in particular of the soil, when sewage sludge is used in agriculture, </w:t>
      </w:r>
      <w:hyperlink r:id="rId8" w:history="1">
        <w:r w:rsidRPr="00315D7A">
          <w:rPr>
            <w:color w:val="2F5496" w:themeColor="accent5" w:themeShade="BF"/>
            <w:szCs w:val="18"/>
            <w:u w:val="single"/>
            <w:lang w:val="en-US"/>
          </w:rPr>
          <w:t>Directive - 86/278 - EN - EUR-Lex (europa.eu)</w:t>
        </w:r>
      </w:hyperlink>
    </w:p>
  </w:footnote>
  <w:footnote w:id="14">
    <w:p w14:paraId="3228E537" w14:textId="77777777" w:rsidR="00C07C49" w:rsidRPr="00315D7A" w:rsidRDefault="00C07C49" w:rsidP="00C07C49">
      <w:pPr>
        <w:pStyle w:val="FootnoteText"/>
        <w:jc w:val="both"/>
        <w:rPr>
          <w:szCs w:val="18"/>
          <w:lang w:val="hu-HU"/>
        </w:rPr>
      </w:pPr>
      <w:r w:rsidRPr="00315D7A">
        <w:rPr>
          <w:rStyle w:val="FootnoteReference"/>
          <w:sz w:val="18"/>
        </w:rPr>
        <w:footnoteRef/>
      </w:r>
      <w:r w:rsidRPr="00315D7A">
        <w:rPr>
          <w:szCs w:val="18"/>
          <w:lang w:val="en-US"/>
        </w:rPr>
        <w:t xml:space="preserve"> Spanish legislation on waste of electric and electronic equipment (WEEE): Royal Decree 110/2015 of 20 February 2015 on wastes of electric and electronic </w:t>
      </w:r>
      <w:proofErr w:type="spellStart"/>
      <w:r w:rsidRPr="00315D7A">
        <w:rPr>
          <w:szCs w:val="18"/>
          <w:lang w:val="en-US"/>
        </w:rPr>
        <w:t>equipments</w:t>
      </w:r>
      <w:proofErr w:type="spellEnd"/>
      <w:r w:rsidRPr="00315D7A">
        <w:rPr>
          <w:szCs w:val="18"/>
          <w:lang w:val="en-US"/>
        </w:rPr>
        <w:t xml:space="preserve">, </w:t>
      </w:r>
      <w:hyperlink r:id="rId9" w:history="1">
        <w:r w:rsidRPr="00315D7A">
          <w:rPr>
            <w:rStyle w:val="Hyperlink"/>
            <w:sz w:val="18"/>
            <w:szCs w:val="18"/>
          </w:rPr>
          <w:t>https://www.boe.es/buscar/doc.php?id=BOE-A-2015-1762</w:t>
        </w:r>
      </w:hyperlink>
    </w:p>
  </w:footnote>
  <w:footnote w:id="15">
    <w:p w14:paraId="018EF06A" w14:textId="24DD3620" w:rsidR="00C07C49" w:rsidRPr="00315D7A" w:rsidRDefault="00C07C49" w:rsidP="00C07C49">
      <w:pPr>
        <w:pStyle w:val="FootnoteText"/>
        <w:rPr>
          <w:szCs w:val="18"/>
          <w:lang w:val="hu-HU"/>
        </w:rPr>
      </w:pPr>
      <w:r w:rsidRPr="00315D7A">
        <w:rPr>
          <w:rStyle w:val="FootnoteReference"/>
          <w:sz w:val="18"/>
        </w:rPr>
        <w:footnoteRef/>
      </w:r>
      <w:r w:rsidRPr="00315D7A">
        <w:rPr>
          <w:szCs w:val="18"/>
          <w:lang w:val="hu-HU"/>
        </w:rPr>
        <w:t xml:space="preserve"> </w:t>
      </w:r>
      <w:hyperlink r:id="rId10" w:history="1">
        <w:r w:rsidRPr="00315D7A">
          <w:rPr>
            <w:rStyle w:val="Hyperlink"/>
            <w:sz w:val="18"/>
            <w:szCs w:val="18"/>
            <w:lang w:val="hu-HU"/>
          </w:rPr>
          <w:t>https://www.miteco.gob.es/content/dam/miteco/es/calidad-y-evaluacion-ambiental/temas/prevencion-y-gestion-residuos/spanishlegislationonwasteofelectricandelectronicequipmentsweeeroyaldecree1102015of20february_tcm30-170359.pdf</w:t>
        </w:r>
      </w:hyperlink>
    </w:p>
  </w:footnote>
  <w:footnote w:id="16">
    <w:p w14:paraId="7A708830" w14:textId="2C69A114" w:rsidR="00BC7100" w:rsidRPr="00BC7100" w:rsidRDefault="00BC7100">
      <w:pPr>
        <w:pStyle w:val="FootnoteText"/>
        <w:rPr>
          <w:lang w:val="en-US"/>
        </w:rPr>
      </w:pPr>
      <w:r w:rsidRPr="00315D7A">
        <w:rPr>
          <w:rStyle w:val="FootnoteReference"/>
          <w:sz w:val="18"/>
        </w:rPr>
        <w:footnoteRef/>
      </w:r>
      <w:r w:rsidRPr="00315D7A">
        <w:rPr>
          <w:szCs w:val="18"/>
          <w:lang w:val="en-US"/>
        </w:rPr>
        <w:t xml:space="preserve"> The annex is available from </w:t>
      </w:r>
      <w:hyperlink r:id="rId11" w:history="1">
        <w:r w:rsidR="0036671B" w:rsidRPr="00315D7A">
          <w:rPr>
            <w:rStyle w:val="Hyperlink"/>
            <w:sz w:val="18"/>
            <w:szCs w:val="18"/>
          </w:rPr>
          <w:t>https://minamataconvention.org/en/topics/mercury-wastes/intersessional-work</w:t>
        </w:r>
      </w:hyperlink>
      <w:r w:rsidR="0036671B">
        <w:rPr>
          <w:lang w:val="en-US"/>
        </w:rPr>
        <w:t xml:space="preserve"> </w:t>
      </w:r>
    </w:p>
  </w:footnote>
  <w:footnote w:id="17">
    <w:p w14:paraId="62CE0490" w14:textId="1B340AF7" w:rsidR="004E3C8B" w:rsidRPr="00315D7A" w:rsidRDefault="004E3C8B" w:rsidP="004E3C8B">
      <w:pPr>
        <w:pStyle w:val="FootnoteText"/>
        <w:rPr>
          <w:szCs w:val="18"/>
          <w:lang w:val="en-US"/>
        </w:rPr>
      </w:pPr>
      <w:r w:rsidRPr="00315D7A">
        <w:rPr>
          <w:rStyle w:val="FootnoteReference"/>
          <w:sz w:val="18"/>
        </w:rPr>
        <w:footnoteRef/>
      </w:r>
      <w:r w:rsidRPr="00315D7A">
        <w:rPr>
          <w:szCs w:val="18"/>
          <w:lang w:val="en-US"/>
        </w:rPr>
        <w:t xml:space="preserve"> The attachment is available from </w:t>
      </w:r>
      <w:hyperlink r:id="rId12" w:history="1">
        <w:r w:rsidRPr="00315D7A">
          <w:rPr>
            <w:rStyle w:val="Hyperlink"/>
            <w:sz w:val="18"/>
            <w:szCs w:val="18"/>
          </w:rPr>
          <w:t>https://minamataconvention.org/en/topics/mercury-wastes/intersessional-work</w:t>
        </w:r>
      </w:hyperlink>
      <w:r w:rsidRPr="00315D7A">
        <w:rPr>
          <w:szCs w:val="18"/>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92060" w14:textId="343DCEEC" w:rsidR="00123699" w:rsidRPr="00F96910" w:rsidRDefault="00F96910" w:rsidP="00F96910">
    <w:pPr>
      <w:pStyle w:val="Header-pool"/>
    </w:pPr>
    <w:r w:rsidRPr="00F96910">
      <w:t>UNEP/</w:t>
    </w:r>
    <w:r w:rsidRPr="008A2AB0">
      <w:t>MC</w:t>
    </w:r>
    <w:r w:rsidR="008A2AB0">
      <w:t>/</w:t>
    </w:r>
    <w:r w:rsidRPr="008A2AB0">
      <w:t>COP</w:t>
    </w:r>
    <w:r w:rsidRPr="00F96910">
      <w:t>.</w:t>
    </w:r>
    <w:r w:rsidR="000C54E8">
      <w:t>6</w:t>
    </w:r>
    <w:r w:rsidRPr="00F96910">
      <w:t>/</w:t>
    </w:r>
    <w:r w:rsidR="00517904">
      <w:t>INF/12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D1346" w14:textId="7C116AB3" w:rsidR="00123699" w:rsidRPr="00392F9C" w:rsidRDefault="00F96910" w:rsidP="00F96910">
    <w:pPr>
      <w:pStyle w:val="Header-pool"/>
      <w:jc w:val="right"/>
      <w:rPr>
        <w:szCs w:val="18"/>
      </w:rPr>
    </w:pPr>
    <w:r w:rsidRPr="00F96910">
      <w:t>UNEP/MC</w:t>
    </w:r>
    <w:r w:rsidR="0079204D">
      <w:t>/</w:t>
    </w:r>
    <w:r w:rsidRPr="00F96910">
      <w:t>COP.</w:t>
    </w:r>
    <w:r w:rsidR="00ED5DC6">
      <w:t>6</w:t>
    </w:r>
    <w:r w:rsidRPr="00F96910">
      <w:t>/</w:t>
    </w:r>
    <w:r w:rsidR="00EE5A98">
      <w:t>INF/</w:t>
    </w:r>
    <w:r w:rsidR="00517904">
      <w:t>12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0AB1D" w14:textId="423811D8" w:rsidR="00C059F0" w:rsidRPr="00F7542C" w:rsidRDefault="00C059F0" w:rsidP="00F7542C">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36E2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438683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FC82EC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95403D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3D2CC7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881D3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0488D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7C277E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0247DD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6E313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1A1ABA"/>
    <w:multiLevelType w:val="multilevel"/>
    <w:tmpl w:val="A3941336"/>
    <w:lvl w:ilvl="0">
      <w:start w:val="12"/>
      <w:numFmt w:val="decimal"/>
      <w:lvlText w:val="%1."/>
      <w:lvlJc w:val="left"/>
      <w:pPr>
        <w:ind w:left="360" w:hanging="360"/>
      </w:pPr>
      <w:rPr>
        <w:rFonts w:hint="default"/>
        <w:b w:val="0"/>
        <w:bCs w:val="0"/>
        <w:sz w:val="20"/>
        <w:szCs w:val="20"/>
      </w:rPr>
    </w:lvl>
    <w:lvl w:ilvl="1">
      <w:start w:val="4"/>
      <w:numFmt w:val="lowerLetter"/>
      <w:lvlText w:val="%2)"/>
      <w:lvlJc w:val="left"/>
      <w:pPr>
        <w:ind w:left="644" w:hanging="360"/>
      </w:pPr>
      <w:rPr>
        <w:rFonts w:hint="default"/>
      </w:rPr>
    </w:lvl>
    <w:lvl w:ilvl="2">
      <w:start w:val="3"/>
      <w:numFmt w:val="lowerRoman"/>
      <w:lvlText w:val="%3."/>
      <w:lvlJc w:val="right"/>
      <w:pPr>
        <w:ind w:left="10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1495"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137E0E98"/>
    <w:multiLevelType w:val="hybridMultilevel"/>
    <w:tmpl w:val="D1CE5396"/>
    <w:lvl w:ilvl="0" w:tplc="0809000F">
      <w:start w:val="1"/>
      <w:numFmt w:val="decimal"/>
      <w:lvlText w:val="%1."/>
      <w:lvlJc w:val="left"/>
      <w:pPr>
        <w:ind w:left="2591" w:hanging="360"/>
      </w:pPr>
    </w:lvl>
    <w:lvl w:ilvl="1" w:tplc="B776CA36">
      <w:start w:val="1"/>
      <w:numFmt w:val="lowerLetter"/>
      <w:lvlText w:val="(%2)"/>
      <w:lvlJc w:val="left"/>
      <w:pPr>
        <w:ind w:left="3311" w:hanging="360"/>
      </w:pPr>
      <w:rPr>
        <w:rFonts w:hint="default"/>
      </w:rPr>
    </w:lvl>
    <w:lvl w:ilvl="2" w:tplc="0809001B" w:tentative="1">
      <w:start w:val="1"/>
      <w:numFmt w:val="lowerRoman"/>
      <w:lvlText w:val="%3."/>
      <w:lvlJc w:val="right"/>
      <w:pPr>
        <w:ind w:left="4031" w:hanging="180"/>
      </w:pPr>
    </w:lvl>
    <w:lvl w:ilvl="3" w:tplc="0809000F">
      <w:start w:val="1"/>
      <w:numFmt w:val="decimal"/>
      <w:lvlText w:val="%4."/>
      <w:lvlJc w:val="left"/>
      <w:pPr>
        <w:ind w:left="4751" w:hanging="360"/>
      </w:pPr>
    </w:lvl>
    <w:lvl w:ilvl="4" w:tplc="08090019" w:tentative="1">
      <w:start w:val="1"/>
      <w:numFmt w:val="lowerLetter"/>
      <w:lvlText w:val="%5."/>
      <w:lvlJc w:val="left"/>
      <w:pPr>
        <w:ind w:left="5471" w:hanging="360"/>
      </w:pPr>
    </w:lvl>
    <w:lvl w:ilvl="5" w:tplc="0809001B" w:tentative="1">
      <w:start w:val="1"/>
      <w:numFmt w:val="lowerRoman"/>
      <w:lvlText w:val="%6."/>
      <w:lvlJc w:val="right"/>
      <w:pPr>
        <w:ind w:left="6191" w:hanging="180"/>
      </w:pPr>
    </w:lvl>
    <w:lvl w:ilvl="6" w:tplc="0809000F" w:tentative="1">
      <w:start w:val="1"/>
      <w:numFmt w:val="decimal"/>
      <w:lvlText w:val="%7."/>
      <w:lvlJc w:val="left"/>
      <w:pPr>
        <w:ind w:left="6911" w:hanging="360"/>
      </w:pPr>
    </w:lvl>
    <w:lvl w:ilvl="7" w:tplc="08090019" w:tentative="1">
      <w:start w:val="1"/>
      <w:numFmt w:val="lowerLetter"/>
      <w:lvlText w:val="%8."/>
      <w:lvlJc w:val="left"/>
      <w:pPr>
        <w:ind w:left="7631" w:hanging="360"/>
      </w:pPr>
    </w:lvl>
    <w:lvl w:ilvl="8" w:tplc="0809001B" w:tentative="1">
      <w:start w:val="1"/>
      <w:numFmt w:val="lowerRoman"/>
      <w:lvlText w:val="%9."/>
      <w:lvlJc w:val="right"/>
      <w:pPr>
        <w:ind w:left="8351" w:hanging="180"/>
      </w:pPr>
    </w:lvl>
  </w:abstractNum>
  <w:abstractNum w:abstractNumId="12" w15:restartNumberingAfterBreak="0">
    <w:nsid w:val="21A20F1D"/>
    <w:multiLevelType w:val="hybridMultilevel"/>
    <w:tmpl w:val="E8A6EF0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42E42B0"/>
    <w:multiLevelType w:val="hybridMultilevel"/>
    <w:tmpl w:val="88D4D156"/>
    <w:lvl w:ilvl="0" w:tplc="088671F6">
      <w:start w:val="1"/>
      <w:numFmt w:val="bullet"/>
      <w:lvlText w:val=""/>
      <w:lvlJc w:val="left"/>
      <w:pPr>
        <w:ind w:left="2344" w:hanging="360"/>
      </w:pPr>
      <w:rPr>
        <w:rFonts w:ascii="Wingdings" w:hAnsi="Wingdings" w:hint="default"/>
        <w:b w:val="0"/>
        <w:i w:val="0"/>
        <w:caps w:val="0"/>
        <w:smallCaps w:val="0"/>
        <w:strike w:val="0"/>
        <w:dstrike w:val="0"/>
        <w:color w:val="000000"/>
        <w:spacing w:val="0"/>
        <w:w w:val="100"/>
        <w:kern w:val="0"/>
        <w:position w:val="0"/>
        <w:u w:val="none"/>
        <w:effect w:val="none"/>
        <w:vertAlign w:val="baseline"/>
      </w:rPr>
    </w:lvl>
    <w:lvl w:ilvl="1" w:tplc="08090003">
      <w:start w:val="1"/>
      <w:numFmt w:val="bullet"/>
      <w:lvlText w:val="o"/>
      <w:lvlJc w:val="left"/>
      <w:pPr>
        <w:ind w:left="2924" w:hanging="360"/>
      </w:pPr>
      <w:rPr>
        <w:rFonts w:ascii="Courier New" w:hAnsi="Courier New" w:cs="Courier New" w:hint="default"/>
      </w:rPr>
    </w:lvl>
    <w:lvl w:ilvl="2" w:tplc="08090005">
      <w:start w:val="1"/>
      <w:numFmt w:val="bullet"/>
      <w:lvlText w:val=""/>
      <w:lvlJc w:val="left"/>
      <w:pPr>
        <w:ind w:left="3644" w:hanging="360"/>
      </w:pPr>
      <w:rPr>
        <w:rFonts w:ascii="Wingdings" w:hAnsi="Wingdings" w:hint="default"/>
      </w:rPr>
    </w:lvl>
    <w:lvl w:ilvl="3" w:tplc="08090001">
      <w:start w:val="1"/>
      <w:numFmt w:val="bullet"/>
      <w:lvlText w:val=""/>
      <w:lvlJc w:val="left"/>
      <w:pPr>
        <w:ind w:left="4364" w:hanging="360"/>
      </w:pPr>
      <w:rPr>
        <w:rFonts w:ascii="Symbol" w:hAnsi="Symbol" w:hint="default"/>
      </w:rPr>
    </w:lvl>
    <w:lvl w:ilvl="4" w:tplc="08090003">
      <w:start w:val="1"/>
      <w:numFmt w:val="bullet"/>
      <w:lvlText w:val="o"/>
      <w:lvlJc w:val="left"/>
      <w:pPr>
        <w:ind w:left="5084" w:hanging="360"/>
      </w:pPr>
      <w:rPr>
        <w:rFonts w:ascii="Courier New" w:hAnsi="Courier New" w:cs="Courier New" w:hint="default"/>
      </w:rPr>
    </w:lvl>
    <w:lvl w:ilvl="5" w:tplc="08090005">
      <w:start w:val="1"/>
      <w:numFmt w:val="bullet"/>
      <w:lvlText w:val=""/>
      <w:lvlJc w:val="left"/>
      <w:pPr>
        <w:ind w:left="5804" w:hanging="360"/>
      </w:pPr>
      <w:rPr>
        <w:rFonts w:ascii="Wingdings" w:hAnsi="Wingdings" w:hint="default"/>
      </w:rPr>
    </w:lvl>
    <w:lvl w:ilvl="6" w:tplc="08090001">
      <w:start w:val="1"/>
      <w:numFmt w:val="bullet"/>
      <w:lvlText w:val=""/>
      <w:lvlJc w:val="left"/>
      <w:pPr>
        <w:ind w:left="6524" w:hanging="360"/>
      </w:pPr>
      <w:rPr>
        <w:rFonts w:ascii="Symbol" w:hAnsi="Symbol" w:hint="default"/>
      </w:rPr>
    </w:lvl>
    <w:lvl w:ilvl="7" w:tplc="08090003">
      <w:start w:val="1"/>
      <w:numFmt w:val="bullet"/>
      <w:lvlText w:val="o"/>
      <w:lvlJc w:val="left"/>
      <w:pPr>
        <w:ind w:left="7244" w:hanging="360"/>
      </w:pPr>
      <w:rPr>
        <w:rFonts w:ascii="Courier New" w:hAnsi="Courier New" w:cs="Courier New" w:hint="default"/>
      </w:rPr>
    </w:lvl>
    <w:lvl w:ilvl="8" w:tplc="08090005">
      <w:start w:val="1"/>
      <w:numFmt w:val="bullet"/>
      <w:lvlText w:val=""/>
      <w:lvlJc w:val="left"/>
      <w:pPr>
        <w:ind w:left="7964" w:hanging="360"/>
      </w:pPr>
      <w:rPr>
        <w:rFonts w:ascii="Wingdings" w:hAnsi="Wingdings" w:hint="default"/>
      </w:rPr>
    </w:lvl>
  </w:abstractNum>
  <w:abstractNum w:abstractNumId="14" w15:restartNumberingAfterBreak="0">
    <w:nsid w:val="272A3370"/>
    <w:multiLevelType w:val="hybridMultilevel"/>
    <w:tmpl w:val="450431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1A32EA"/>
    <w:multiLevelType w:val="hybridMultilevel"/>
    <w:tmpl w:val="F378CD7A"/>
    <w:lvl w:ilvl="0" w:tplc="10000001">
      <w:start w:val="1"/>
      <w:numFmt w:val="bullet"/>
      <w:lvlText w:val=""/>
      <w:lvlJc w:val="left"/>
      <w:pPr>
        <w:ind w:left="538" w:hanging="360"/>
      </w:pPr>
      <w:rPr>
        <w:rFonts w:ascii="Symbol" w:hAnsi="Symbol" w:hint="default"/>
      </w:rPr>
    </w:lvl>
    <w:lvl w:ilvl="1" w:tplc="10000003" w:tentative="1">
      <w:start w:val="1"/>
      <w:numFmt w:val="bullet"/>
      <w:lvlText w:val="o"/>
      <w:lvlJc w:val="left"/>
      <w:pPr>
        <w:ind w:left="1258" w:hanging="360"/>
      </w:pPr>
      <w:rPr>
        <w:rFonts w:ascii="Courier New" w:hAnsi="Courier New" w:cs="Courier New" w:hint="default"/>
      </w:rPr>
    </w:lvl>
    <w:lvl w:ilvl="2" w:tplc="10000005" w:tentative="1">
      <w:start w:val="1"/>
      <w:numFmt w:val="bullet"/>
      <w:lvlText w:val=""/>
      <w:lvlJc w:val="left"/>
      <w:pPr>
        <w:ind w:left="1978" w:hanging="360"/>
      </w:pPr>
      <w:rPr>
        <w:rFonts w:ascii="Wingdings" w:hAnsi="Wingdings" w:hint="default"/>
      </w:rPr>
    </w:lvl>
    <w:lvl w:ilvl="3" w:tplc="10000001" w:tentative="1">
      <w:start w:val="1"/>
      <w:numFmt w:val="bullet"/>
      <w:lvlText w:val=""/>
      <w:lvlJc w:val="left"/>
      <w:pPr>
        <w:ind w:left="2698" w:hanging="360"/>
      </w:pPr>
      <w:rPr>
        <w:rFonts w:ascii="Symbol" w:hAnsi="Symbol" w:hint="default"/>
      </w:rPr>
    </w:lvl>
    <w:lvl w:ilvl="4" w:tplc="10000003" w:tentative="1">
      <w:start w:val="1"/>
      <w:numFmt w:val="bullet"/>
      <w:lvlText w:val="o"/>
      <w:lvlJc w:val="left"/>
      <w:pPr>
        <w:ind w:left="3418" w:hanging="360"/>
      </w:pPr>
      <w:rPr>
        <w:rFonts w:ascii="Courier New" w:hAnsi="Courier New" w:cs="Courier New" w:hint="default"/>
      </w:rPr>
    </w:lvl>
    <w:lvl w:ilvl="5" w:tplc="10000005" w:tentative="1">
      <w:start w:val="1"/>
      <w:numFmt w:val="bullet"/>
      <w:lvlText w:val=""/>
      <w:lvlJc w:val="left"/>
      <w:pPr>
        <w:ind w:left="4138" w:hanging="360"/>
      </w:pPr>
      <w:rPr>
        <w:rFonts w:ascii="Wingdings" w:hAnsi="Wingdings" w:hint="default"/>
      </w:rPr>
    </w:lvl>
    <w:lvl w:ilvl="6" w:tplc="10000001" w:tentative="1">
      <w:start w:val="1"/>
      <w:numFmt w:val="bullet"/>
      <w:lvlText w:val=""/>
      <w:lvlJc w:val="left"/>
      <w:pPr>
        <w:ind w:left="4858" w:hanging="360"/>
      </w:pPr>
      <w:rPr>
        <w:rFonts w:ascii="Symbol" w:hAnsi="Symbol" w:hint="default"/>
      </w:rPr>
    </w:lvl>
    <w:lvl w:ilvl="7" w:tplc="10000003" w:tentative="1">
      <w:start w:val="1"/>
      <w:numFmt w:val="bullet"/>
      <w:lvlText w:val="o"/>
      <w:lvlJc w:val="left"/>
      <w:pPr>
        <w:ind w:left="5578" w:hanging="360"/>
      </w:pPr>
      <w:rPr>
        <w:rFonts w:ascii="Courier New" w:hAnsi="Courier New" w:cs="Courier New" w:hint="default"/>
      </w:rPr>
    </w:lvl>
    <w:lvl w:ilvl="8" w:tplc="10000005" w:tentative="1">
      <w:start w:val="1"/>
      <w:numFmt w:val="bullet"/>
      <w:lvlText w:val=""/>
      <w:lvlJc w:val="left"/>
      <w:pPr>
        <w:ind w:left="6298" w:hanging="360"/>
      </w:pPr>
      <w:rPr>
        <w:rFonts w:ascii="Wingdings" w:hAnsi="Wingdings" w:hint="default"/>
      </w:rPr>
    </w:lvl>
  </w:abstractNum>
  <w:abstractNum w:abstractNumId="16" w15:restartNumberingAfterBreak="0">
    <w:nsid w:val="3B782DBD"/>
    <w:multiLevelType w:val="hybridMultilevel"/>
    <w:tmpl w:val="2B84C43C"/>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7" w15:restartNumberingAfterBreak="0">
    <w:nsid w:val="4A8F1CE5"/>
    <w:multiLevelType w:val="hybridMultilevel"/>
    <w:tmpl w:val="5D6C8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5B04F6"/>
    <w:multiLevelType w:val="hybridMultilevel"/>
    <w:tmpl w:val="775EC9D0"/>
    <w:lvl w:ilvl="0" w:tplc="14FA06DC">
      <w:start w:val="1"/>
      <w:numFmt w:val="lowerLetter"/>
      <w:lvlText w:val="%1)"/>
      <w:lvlJc w:val="left"/>
      <w:pPr>
        <w:ind w:left="360" w:hanging="360"/>
      </w:pPr>
      <w:rPr>
        <w:rFonts w:hint="default"/>
      </w:r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19" w15:restartNumberingAfterBreak="0">
    <w:nsid w:val="52A66A9D"/>
    <w:multiLevelType w:val="multilevel"/>
    <w:tmpl w:val="C0FC3350"/>
    <w:styleLink w:val="Normallist"/>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20" w15:restartNumberingAfterBreak="0">
    <w:nsid w:val="53A934B9"/>
    <w:multiLevelType w:val="multilevel"/>
    <w:tmpl w:val="DD62A700"/>
    <w:lvl w:ilvl="0">
      <w:start w:val="15"/>
      <w:numFmt w:val="decimal"/>
      <w:lvlText w:val="%1."/>
      <w:lvlJc w:val="left"/>
      <w:pPr>
        <w:ind w:left="360" w:hanging="360"/>
      </w:pPr>
      <w:rPr>
        <w:rFonts w:hint="default"/>
        <w:b w:val="0"/>
        <w:bCs w:val="0"/>
        <w:sz w:val="20"/>
        <w:szCs w:val="20"/>
      </w:rPr>
    </w:lvl>
    <w:lvl w:ilvl="1">
      <w:start w:val="1"/>
      <w:numFmt w:val="lowerLetter"/>
      <w:lvlText w:val="%2)"/>
      <w:lvlJc w:val="left"/>
      <w:pPr>
        <w:ind w:left="644" w:hanging="360"/>
      </w:pPr>
      <w:rPr>
        <w:rFonts w:hint="default"/>
      </w:rPr>
    </w:lvl>
    <w:lvl w:ilvl="2">
      <w:start w:val="3"/>
      <w:numFmt w:val="lowerRoman"/>
      <w:lvlText w:val="%3."/>
      <w:lvlJc w:val="right"/>
      <w:pPr>
        <w:ind w:left="10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1495"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53E95A02"/>
    <w:multiLevelType w:val="hybridMultilevel"/>
    <w:tmpl w:val="A5EA713A"/>
    <w:lvl w:ilvl="0" w:tplc="0809000F">
      <w:start w:val="1"/>
      <w:numFmt w:val="decimal"/>
      <w:lvlText w:val="%1."/>
      <w:lvlJc w:val="left"/>
      <w:pPr>
        <w:ind w:left="1967" w:hanging="360"/>
      </w:pPr>
    </w:lvl>
    <w:lvl w:ilvl="1" w:tplc="08090019" w:tentative="1">
      <w:start w:val="1"/>
      <w:numFmt w:val="lowerLetter"/>
      <w:lvlText w:val="%2."/>
      <w:lvlJc w:val="left"/>
      <w:pPr>
        <w:ind w:left="2687" w:hanging="360"/>
      </w:pPr>
    </w:lvl>
    <w:lvl w:ilvl="2" w:tplc="0809001B" w:tentative="1">
      <w:start w:val="1"/>
      <w:numFmt w:val="lowerRoman"/>
      <w:lvlText w:val="%3."/>
      <w:lvlJc w:val="right"/>
      <w:pPr>
        <w:ind w:left="3407" w:hanging="180"/>
      </w:pPr>
    </w:lvl>
    <w:lvl w:ilvl="3" w:tplc="0809000F" w:tentative="1">
      <w:start w:val="1"/>
      <w:numFmt w:val="decimal"/>
      <w:lvlText w:val="%4."/>
      <w:lvlJc w:val="left"/>
      <w:pPr>
        <w:ind w:left="4127" w:hanging="360"/>
      </w:pPr>
    </w:lvl>
    <w:lvl w:ilvl="4" w:tplc="08090019" w:tentative="1">
      <w:start w:val="1"/>
      <w:numFmt w:val="lowerLetter"/>
      <w:lvlText w:val="%5."/>
      <w:lvlJc w:val="left"/>
      <w:pPr>
        <w:ind w:left="4847" w:hanging="360"/>
      </w:pPr>
    </w:lvl>
    <w:lvl w:ilvl="5" w:tplc="0809001B" w:tentative="1">
      <w:start w:val="1"/>
      <w:numFmt w:val="lowerRoman"/>
      <w:lvlText w:val="%6."/>
      <w:lvlJc w:val="right"/>
      <w:pPr>
        <w:ind w:left="5567" w:hanging="180"/>
      </w:pPr>
    </w:lvl>
    <w:lvl w:ilvl="6" w:tplc="0809000F" w:tentative="1">
      <w:start w:val="1"/>
      <w:numFmt w:val="decimal"/>
      <w:lvlText w:val="%7."/>
      <w:lvlJc w:val="left"/>
      <w:pPr>
        <w:ind w:left="6287" w:hanging="360"/>
      </w:pPr>
    </w:lvl>
    <w:lvl w:ilvl="7" w:tplc="08090019" w:tentative="1">
      <w:start w:val="1"/>
      <w:numFmt w:val="lowerLetter"/>
      <w:lvlText w:val="%8."/>
      <w:lvlJc w:val="left"/>
      <w:pPr>
        <w:ind w:left="7007" w:hanging="360"/>
      </w:pPr>
    </w:lvl>
    <w:lvl w:ilvl="8" w:tplc="0809001B" w:tentative="1">
      <w:start w:val="1"/>
      <w:numFmt w:val="lowerRoman"/>
      <w:lvlText w:val="%9."/>
      <w:lvlJc w:val="right"/>
      <w:pPr>
        <w:ind w:left="7727" w:hanging="180"/>
      </w:pPr>
    </w:lvl>
  </w:abstractNum>
  <w:abstractNum w:abstractNumId="22" w15:restartNumberingAfterBreak="0">
    <w:nsid w:val="5D280393"/>
    <w:multiLevelType w:val="hybridMultilevel"/>
    <w:tmpl w:val="AB7E89FC"/>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3" w15:restartNumberingAfterBreak="0">
    <w:nsid w:val="68A545D2"/>
    <w:multiLevelType w:val="hybridMultilevel"/>
    <w:tmpl w:val="F78C7B20"/>
    <w:lvl w:ilvl="0" w:tplc="97FAFBDE">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B9D241D"/>
    <w:multiLevelType w:val="hybridMultilevel"/>
    <w:tmpl w:val="5C049A40"/>
    <w:lvl w:ilvl="0" w:tplc="04090001">
      <w:start w:val="1"/>
      <w:numFmt w:val="bullet"/>
      <w:lvlText w:val=""/>
      <w:lvlJc w:val="left"/>
      <w:pPr>
        <w:ind w:left="1967" w:hanging="360"/>
      </w:pPr>
      <w:rPr>
        <w:rFonts w:ascii="Symbol" w:hAnsi="Symbol" w:hint="default"/>
      </w:rPr>
    </w:lvl>
    <w:lvl w:ilvl="1" w:tplc="FFFFFFFF" w:tentative="1">
      <w:start w:val="1"/>
      <w:numFmt w:val="lowerLetter"/>
      <w:lvlText w:val="%2."/>
      <w:lvlJc w:val="left"/>
      <w:pPr>
        <w:ind w:left="2687" w:hanging="360"/>
      </w:pPr>
    </w:lvl>
    <w:lvl w:ilvl="2" w:tplc="FFFFFFFF" w:tentative="1">
      <w:start w:val="1"/>
      <w:numFmt w:val="lowerRoman"/>
      <w:lvlText w:val="%3."/>
      <w:lvlJc w:val="right"/>
      <w:pPr>
        <w:ind w:left="3407" w:hanging="180"/>
      </w:pPr>
    </w:lvl>
    <w:lvl w:ilvl="3" w:tplc="FFFFFFFF" w:tentative="1">
      <w:start w:val="1"/>
      <w:numFmt w:val="decimal"/>
      <w:lvlText w:val="%4."/>
      <w:lvlJc w:val="left"/>
      <w:pPr>
        <w:ind w:left="4127" w:hanging="360"/>
      </w:pPr>
    </w:lvl>
    <w:lvl w:ilvl="4" w:tplc="FFFFFFFF" w:tentative="1">
      <w:start w:val="1"/>
      <w:numFmt w:val="lowerLetter"/>
      <w:lvlText w:val="%5."/>
      <w:lvlJc w:val="left"/>
      <w:pPr>
        <w:ind w:left="4847" w:hanging="360"/>
      </w:pPr>
    </w:lvl>
    <w:lvl w:ilvl="5" w:tplc="FFFFFFFF" w:tentative="1">
      <w:start w:val="1"/>
      <w:numFmt w:val="lowerRoman"/>
      <w:lvlText w:val="%6."/>
      <w:lvlJc w:val="right"/>
      <w:pPr>
        <w:ind w:left="5567" w:hanging="180"/>
      </w:pPr>
    </w:lvl>
    <w:lvl w:ilvl="6" w:tplc="FFFFFFFF" w:tentative="1">
      <w:start w:val="1"/>
      <w:numFmt w:val="decimal"/>
      <w:lvlText w:val="%7."/>
      <w:lvlJc w:val="left"/>
      <w:pPr>
        <w:ind w:left="6287" w:hanging="360"/>
      </w:pPr>
    </w:lvl>
    <w:lvl w:ilvl="7" w:tplc="FFFFFFFF" w:tentative="1">
      <w:start w:val="1"/>
      <w:numFmt w:val="lowerLetter"/>
      <w:lvlText w:val="%8."/>
      <w:lvlJc w:val="left"/>
      <w:pPr>
        <w:ind w:left="7007" w:hanging="360"/>
      </w:pPr>
    </w:lvl>
    <w:lvl w:ilvl="8" w:tplc="FFFFFFFF" w:tentative="1">
      <w:start w:val="1"/>
      <w:numFmt w:val="lowerRoman"/>
      <w:lvlText w:val="%9."/>
      <w:lvlJc w:val="right"/>
      <w:pPr>
        <w:ind w:left="7727" w:hanging="180"/>
      </w:pPr>
    </w:lvl>
  </w:abstractNum>
  <w:abstractNum w:abstractNumId="25" w15:restartNumberingAfterBreak="0">
    <w:nsid w:val="6DFC3072"/>
    <w:multiLevelType w:val="hybridMultilevel"/>
    <w:tmpl w:val="A06E06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D27F52"/>
    <w:multiLevelType w:val="multilevel"/>
    <w:tmpl w:val="EC6CB2DC"/>
    <w:lvl w:ilvl="0">
      <w:start w:val="1"/>
      <w:numFmt w:val="decimal"/>
      <w:lvlText w:val="%1."/>
      <w:lvlJc w:val="left"/>
      <w:pPr>
        <w:ind w:left="360" w:hanging="360"/>
      </w:pPr>
      <w:rPr>
        <w:rFonts w:hint="default"/>
        <w:b w:val="0"/>
        <w:bCs w:val="0"/>
        <w:sz w:val="20"/>
        <w:szCs w:val="20"/>
      </w:rPr>
    </w:lvl>
    <w:lvl w:ilvl="1">
      <w:start w:val="1"/>
      <w:numFmt w:val="lowerLetter"/>
      <w:lvlText w:val="%2)"/>
      <w:lvlJc w:val="left"/>
      <w:pPr>
        <w:ind w:left="644" w:hanging="360"/>
      </w:pPr>
    </w:lvl>
    <w:lvl w:ilvl="2">
      <w:start w:val="1"/>
      <w:numFmt w:val="lowerRoman"/>
      <w:lvlText w:val="%3."/>
      <w:lvlJc w:val="right"/>
      <w:pPr>
        <w:ind w:left="1080" w:hanging="360"/>
      </w:pPr>
    </w:lvl>
    <w:lvl w:ilvl="3">
      <w:start w:val="1"/>
      <w:numFmt w:val="decimal"/>
      <w:lvlText w:val="%4."/>
      <w:lvlJc w:val="left"/>
      <w:pPr>
        <w:ind w:left="2520" w:hanging="360"/>
      </w:pPr>
      <w:rPr>
        <w:rFonts w:hint="default"/>
      </w:rPr>
    </w:lvl>
    <w:lvl w:ilvl="4">
      <w:start w:val="1"/>
      <w:numFmt w:val="lowerLetter"/>
      <w:lvlText w:val="%5."/>
      <w:lvlJc w:val="left"/>
      <w:pPr>
        <w:ind w:left="1495"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7" w15:restartNumberingAfterBreak="0">
    <w:nsid w:val="7C4C3642"/>
    <w:multiLevelType w:val="multilevel"/>
    <w:tmpl w:val="866ED382"/>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03270198">
    <w:abstractNumId w:val="19"/>
  </w:num>
  <w:num w:numId="2" w16cid:durableId="761293899">
    <w:abstractNumId w:val="21"/>
  </w:num>
  <w:num w:numId="3" w16cid:durableId="698823927">
    <w:abstractNumId w:val="24"/>
  </w:num>
  <w:num w:numId="4" w16cid:durableId="560672902">
    <w:abstractNumId w:val="19"/>
    <w:lvlOverride w:ilvl="0">
      <w:lvl w:ilvl="0">
        <w:start w:val="1"/>
        <w:numFmt w:val="decimal"/>
        <w:lvlText w:val="%1."/>
        <w:lvlJc w:val="left"/>
        <w:pPr>
          <w:tabs>
            <w:tab w:val="num" w:pos="624"/>
          </w:tabs>
          <w:ind w:left="1248" w:firstLine="0"/>
        </w:pPr>
      </w:lvl>
    </w:lvlOverride>
  </w:num>
  <w:num w:numId="5" w16cid:durableId="1838037566">
    <w:abstractNumId w:val="11"/>
  </w:num>
  <w:num w:numId="6" w16cid:durableId="80874051">
    <w:abstractNumId w:val="17"/>
  </w:num>
  <w:num w:numId="7" w16cid:durableId="320810875">
    <w:abstractNumId w:val="23"/>
  </w:num>
  <w:num w:numId="8" w16cid:durableId="1943679878">
    <w:abstractNumId w:val="27"/>
  </w:num>
  <w:num w:numId="9" w16cid:durableId="1567838104">
    <w:abstractNumId w:val="15"/>
  </w:num>
  <w:num w:numId="10" w16cid:durableId="1177427109">
    <w:abstractNumId w:val="16"/>
  </w:num>
  <w:num w:numId="11" w16cid:durableId="1319194007">
    <w:abstractNumId w:val="22"/>
  </w:num>
  <w:num w:numId="12" w16cid:durableId="70781277">
    <w:abstractNumId w:val="18"/>
  </w:num>
  <w:num w:numId="13" w16cid:durableId="494954013">
    <w:abstractNumId w:val="13"/>
  </w:num>
  <w:num w:numId="14" w16cid:durableId="332952954">
    <w:abstractNumId w:val="10"/>
  </w:num>
  <w:num w:numId="15" w16cid:durableId="406390552">
    <w:abstractNumId w:val="20"/>
  </w:num>
  <w:num w:numId="16" w16cid:durableId="1064453792">
    <w:abstractNumId w:val="12"/>
  </w:num>
  <w:num w:numId="17" w16cid:durableId="1078988651">
    <w:abstractNumId w:val="26"/>
  </w:num>
  <w:num w:numId="18" w16cid:durableId="452527967">
    <w:abstractNumId w:val="25"/>
  </w:num>
  <w:num w:numId="19" w16cid:durableId="1485006164">
    <w:abstractNumId w:val="14"/>
  </w:num>
  <w:num w:numId="20" w16cid:durableId="488063417">
    <w:abstractNumId w:val="9"/>
  </w:num>
  <w:num w:numId="21" w16cid:durableId="914901412">
    <w:abstractNumId w:val="7"/>
  </w:num>
  <w:num w:numId="22" w16cid:durableId="877625045">
    <w:abstractNumId w:val="6"/>
  </w:num>
  <w:num w:numId="23" w16cid:durableId="467288580">
    <w:abstractNumId w:val="5"/>
  </w:num>
  <w:num w:numId="24" w16cid:durableId="1331056212">
    <w:abstractNumId w:val="4"/>
  </w:num>
  <w:num w:numId="25" w16cid:durableId="1725983057">
    <w:abstractNumId w:val="8"/>
  </w:num>
  <w:num w:numId="26" w16cid:durableId="2091853484">
    <w:abstractNumId w:val="3"/>
  </w:num>
  <w:num w:numId="27" w16cid:durableId="1099327744">
    <w:abstractNumId w:val="2"/>
  </w:num>
  <w:num w:numId="28" w16cid:durableId="1977644180">
    <w:abstractNumId w:val="1"/>
  </w:num>
  <w:num w:numId="29" w16cid:durableId="99742132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DateAndTime/>
  <w:activeWritingStyle w:appName="MSWord" w:lang="en-US" w:vendorID="64" w:dllVersion="0" w:nlCheck="1" w:checkStyle="0"/>
  <w:activeWritingStyle w:appName="MSWord" w:lang="en-GB" w:vendorID="64" w:dllVersion="0" w:nlCheck="1" w:checkStyle="0"/>
  <w:activeWritingStyle w:appName="MSWord" w:lang="en-CA" w:vendorID="64" w:dllVersion="0" w:nlCheck="1" w:checkStyle="0"/>
  <w:activeWritingStyle w:appName="MSWord" w:lang="fr-CH" w:vendorID="64" w:dllVersion="0" w:nlCheck="1" w:checkStyle="0"/>
  <w:proofState w:spelling="clean" w:grammar="clean"/>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618"/>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6A7"/>
    <w:rsid w:val="0000007C"/>
    <w:rsid w:val="00007B4C"/>
    <w:rsid w:val="00010C5A"/>
    <w:rsid w:val="00011E50"/>
    <w:rsid w:val="00013772"/>
    <w:rsid w:val="000149E6"/>
    <w:rsid w:val="00021EDC"/>
    <w:rsid w:val="000247B0"/>
    <w:rsid w:val="00024A92"/>
    <w:rsid w:val="00024CF4"/>
    <w:rsid w:val="000266DF"/>
    <w:rsid w:val="00026997"/>
    <w:rsid w:val="00033E0B"/>
    <w:rsid w:val="00035EDE"/>
    <w:rsid w:val="00044340"/>
    <w:rsid w:val="000509B4"/>
    <w:rsid w:val="0005308E"/>
    <w:rsid w:val="0006035B"/>
    <w:rsid w:val="000628B1"/>
    <w:rsid w:val="000648B3"/>
    <w:rsid w:val="00065BDE"/>
    <w:rsid w:val="00071886"/>
    <w:rsid w:val="000742BC"/>
    <w:rsid w:val="00077BF6"/>
    <w:rsid w:val="00082A0C"/>
    <w:rsid w:val="00083504"/>
    <w:rsid w:val="00091124"/>
    <w:rsid w:val="000941E5"/>
    <w:rsid w:val="0009640C"/>
    <w:rsid w:val="000A018C"/>
    <w:rsid w:val="000A2A6E"/>
    <w:rsid w:val="000A3233"/>
    <w:rsid w:val="000A5368"/>
    <w:rsid w:val="000A5F33"/>
    <w:rsid w:val="000B04F8"/>
    <w:rsid w:val="000B22A2"/>
    <w:rsid w:val="000B23F3"/>
    <w:rsid w:val="000B3B92"/>
    <w:rsid w:val="000B6479"/>
    <w:rsid w:val="000C0F46"/>
    <w:rsid w:val="000C2A52"/>
    <w:rsid w:val="000C54E8"/>
    <w:rsid w:val="000D0733"/>
    <w:rsid w:val="000D33C0"/>
    <w:rsid w:val="000D6941"/>
    <w:rsid w:val="000F324F"/>
    <w:rsid w:val="00113A72"/>
    <w:rsid w:val="0011757A"/>
    <w:rsid w:val="001202E3"/>
    <w:rsid w:val="00121319"/>
    <w:rsid w:val="00123699"/>
    <w:rsid w:val="001246E2"/>
    <w:rsid w:val="00124C5B"/>
    <w:rsid w:val="0012644F"/>
    <w:rsid w:val="00130599"/>
    <w:rsid w:val="0013059D"/>
    <w:rsid w:val="00133592"/>
    <w:rsid w:val="00134175"/>
    <w:rsid w:val="00134E07"/>
    <w:rsid w:val="00135BE3"/>
    <w:rsid w:val="00141A55"/>
    <w:rsid w:val="001426FC"/>
    <w:rsid w:val="001446A3"/>
    <w:rsid w:val="00145960"/>
    <w:rsid w:val="001505A4"/>
    <w:rsid w:val="0015442E"/>
    <w:rsid w:val="00155395"/>
    <w:rsid w:val="001566FA"/>
    <w:rsid w:val="00160D74"/>
    <w:rsid w:val="00167D02"/>
    <w:rsid w:val="00173189"/>
    <w:rsid w:val="00176CBE"/>
    <w:rsid w:val="0018178E"/>
    <w:rsid w:val="00181EC8"/>
    <w:rsid w:val="00184349"/>
    <w:rsid w:val="001856D0"/>
    <w:rsid w:val="0018750D"/>
    <w:rsid w:val="00193BA7"/>
    <w:rsid w:val="00193DC9"/>
    <w:rsid w:val="00195E9F"/>
    <w:rsid w:val="00195F33"/>
    <w:rsid w:val="001A1C9A"/>
    <w:rsid w:val="001A63FF"/>
    <w:rsid w:val="001A7B47"/>
    <w:rsid w:val="001A7F2D"/>
    <w:rsid w:val="001B0D58"/>
    <w:rsid w:val="001B1617"/>
    <w:rsid w:val="001B504B"/>
    <w:rsid w:val="001B77B2"/>
    <w:rsid w:val="001B7D42"/>
    <w:rsid w:val="001C60ED"/>
    <w:rsid w:val="001D0F69"/>
    <w:rsid w:val="001D3874"/>
    <w:rsid w:val="001D7E75"/>
    <w:rsid w:val="001E0389"/>
    <w:rsid w:val="001E06A7"/>
    <w:rsid w:val="001E56D2"/>
    <w:rsid w:val="001E71DE"/>
    <w:rsid w:val="001E7315"/>
    <w:rsid w:val="001E7D56"/>
    <w:rsid w:val="001F75DE"/>
    <w:rsid w:val="002004C0"/>
    <w:rsid w:val="00200D58"/>
    <w:rsid w:val="002013BE"/>
    <w:rsid w:val="00205586"/>
    <w:rsid w:val="002063A4"/>
    <w:rsid w:val="002076CA"/>
    <w:rsid w:val="00207B23"/>
    <w:rsid w:val="002100C2"/>
    <w:rsid w:val="0021145B"/>
    <w:rsid w:val="00223127"/>
    <w:rsid w:val="002341FF"/>
    <w:rsid w:val="00234B59"/>
    <w:rsid w:val="00243C6D"/>
    <w:rsid w:val="00243D36"/>
    <w:rsid w:val="00247707"/>
    <w:rsid w:val="00250B6D"/>
    <w:rsid w:val="00254AC0"/>
    <w:rsid w:val="0026018E"/>
    <w:rsid w:val="00260799"/>
    <w:rsid w:val="00267C5E"/>
    <w:rsid w:val="0027159E"/>
    <w:rsid w:val="00271755"/>
    <w:rsid w:val="00275DA1"/>
    <w:rsid w:val="002768BA"/>
    <w:rsid w:val="00276A37"/>
    <w:rsid w:val="0028013E"/>
    <w:rsid w:val="0028022B"/>
    <w:rsid w:val="002838FF"/>
    <w:rsid w:val="00284CD8"/>
    <w:rsid w:val="0028658F"/>
    <w:rsid w:val="00286740"/>
    <w:rsid w:val="00286E13"/>
    <w:rsid w:val="0028774D"/>
    <w:rsid w:val="002929D8"/>
    <w:rsid w:val="002934CD"/>
    <w:rsid w:val="002940F8"/>
    <w:rsid w:val="002A19D4"/>
    <w:rsid w:val="002A237D"/>
    <w:rsid w:val="002A4C53"/>
    <w:rsid w:val="002B0672"/>
    <w:rsid w:val="002B247F"/>
    <w:rsid w:val="002B3982"/>
    <w:rsid w:val="002C145D"/>
    <w:rsid w:val="002C1F71"/>
    <w:rsid w:val="002C2C3E"/>
    <w:rsid w:val="002C533E"/>
    <w:rsid w:val="002C6035"/>
    <w:rsid w:val="002C7E6F"/>
    <w:rsid w:val="002D027F"/>
    <w:rsid w:val="002D6417"/>
    <w:rsid w:val="002D7A6B"/>
    <w:rsid w:val="002D7A85"/>
    <w:rsid w:val="002D7B60"/>
    <w:rsid w:val="002D7DBF"/>
    <w:rsid w:val="002E27B9"/>
    <w:rsid w:val="002F4761"/>
    <w:rsid w:val="002F5C79"/>
    <w:rsid w:val="002F70B3"/>
    <w:rsid w:val="002F7BCE"/>
    <w:rsid w:val="003019E2"/>
    <w:rsid w:val="00306B81"/>
    <w:rsid w:val="0031413F"/>
    <w:rsid w:val="003148BB"/>
    <w:rsid w:val="00314F6A"/>
    <w:rsid w:val="00315D7A"/>
    <w:rsid w:val="00317976"/>
    <w:rsid w:val="00324B1A"/>
    <w:rsid w:val="00327619"/>
    <w:rsid w:val="0033708C"/>
    <w:rsid w:val="003406CA"/>
    <w:rsid w:val="0034598C"/>
    <w:rsid w:val="00346786"/>
    <w:rsid w:val="00355EA9"/>
    <w:rsid w:val="003578DE"/>
    <w:rsid w:val="00362047"/>
    <w:rsid w:val="00363146"/>
    <w:rsid w:val="00364839"/>
    <w:rsid w:val="0036669D"/>
    <w:rsid w:val="0036671B"/>
    <w:rsid w:val="00370325"/>
    <w:rsid w:val="00371AB2"/>
    <w:rsid w:val="00371B58"/>
    <w:rsid w:val="00372781"/>
    <w:rsid w:val="0037316F"/>
    <w:rsid w:val="0037667B"/>
    <w:rsid w:val="0037726C"/>
    <w:rsid w:val="00377A6C"/>
    <w:rsid w:val="00377CA4"/>
    <w:rsid w:val="003842F9"/>
    <w:rsid w:val="00386AB0"/>
    <w:rsid w:val="00387BFA"/>
    <w:rsid w:val="0039169B"/>
    <w:rsid w:val="00392F9C"/>
    <w:rsid w:val="00392FB0"/>
    <w:rsid w:val="00396257"/>
    <w:rsid w:val="003963DF"/>
    <w:rsid w:val="00397EB8"/>
    <w:rsid w:val="003A1C5B"/>
    <w:rsid w:val="003A40C1"/>
    <w:rsid w:val="003A4FD0"/>
    <w:rsid w:val="003A69D1"/>
    <w:rsid w:val="003A7705"/>
    <w:rsid w:val="003A77F1"/>
    <w:rsid w:val="003A7A3F"/>
    <w:rsid w:val="003B1545"/>
    <w:rsid w:val="003B5FFF"/>
    <w:rsid w:val="003C3839"/>
    <w:rsid w:val="003C409D"/>
    <w:rsid w:val="003C5BA6"/>
    <w:rsid w:val="003C77AD"/>
    <w:rsid w:val="003D104A"/>
    <w:rsid w:val="003D32F2"/>
    <w:rsid w:val="003E4CBC"/>
    <w:rsid w:val="003E504A"/>
    <w:rsid w:val="003E6998"/>
    <w:rsid w:val="003E6F41"/>
    <w:rsid w:val="003E7DE3"/>
    <w:rsid w:val="003F06BB"/>
    <w:rsid w:val="003F0E85"/>
    <w:rsid w:val="00401787"/>
    <w:rsid w:val="004021F6"/>
    <w:rsid w:val="00406126"/>
    <w:rsid w:val="00406BC7"/>
    <w:rsid w:val="00410C55"/>
    <w:rsid w:val="00414CAB"/>
    <w:rsid w:val="00415BCD"/>
    <w:rsid w:val="00416854"/>
    <w:rsid w:val="0041769B"/>
    <w:rsid w:val="00417725"/>
    <w:rsid w:val="00424801"/>
    <w:rsid w:val="00427693"/>
    <w:rsid w:val="00431DAE"/>
    <w:rsid w:val="00432270"/>
    <w:rsid w:val="00437F26"/>
    <w:rsid w:val="00444097"/>
    <w:rsid w:val="00444438"/>
    <w:rsid w:val="00445487"/>
    <w:rsid w:val="00450754"/>
    <w:rsid w:val="00452442"/>
    <w:rsid w:val="00454769"/>
    <w:rsid w:val="00455095"/>
    <w:rsid w:val="00456375"/>
    <w:rsid w:val="00466991"/>
    <w:rsid w:val="0047064C"/>
    <w:rsid w:val="00474AFB"/>
    <w:rsid w:val="00476463"/>
    <w:rsid w:val="00476F84"/>
    <w:rsid w:val="004846C0"/>
    <w:rsid w:val="00484C5D"/>
    <w:rsid w:val="0049021C"/>
    <w:rsid w:val="004916CD"/>
    <w:rsid w:val="004A42E1"/>
    <w:rsid w:val="004A64E9"/>
    <w:rsid w:val="004B162C"/>
    <w:rsid w:val="004B48FE"/>
    <w:rsid w:val="004B614E"/>
    <w:rsid w:val="004B6816"/>
    <w:rsid w:val="004C0090"/>
    <w:rsid w:val="004C322B"/>
    <w:rsid w:val="004C3DBE"/>
    <w:rsid w:val="004C5C96"/>
    <w:rsid w:val="004D06A4"/>
    <w:rsid w:val="004E3A14"/>
    <w:rsid w:val="004E3C8B"/>
    <w:rsid w:val="004E3F1F"/>
    <w:rsid w:val="004E4E35"/>
    <w:rsid w:val="004E4F81"/>
    <w:rsid w:val="004F0BEF"/>
    <w:rsid w:val="004F165C"/>
    <w:rsid w:val="004F1A81"/>
    <w:rsid w:val="0050052E"/>
    <w:rsid w:val="00500B1B"/>
    <w:rsid w:val="00510A7A"/>
    <w:rsid w:val="00514C59"/>
    <w:rsid w:val="005166C0"/>
    <w:rsid w:val="00517904"/>
    <w:rsid w:val="00517D37"/>
    <w:rsid w:val="005206A4"/>
    <w:rsid w:val="005218D9"/>
    <w:rsid w:val="00526779"/>
    <w:rsid w:val="00536186"/>
    <w:rsid w:val="005369CB"/>
    <w:rsid w:val="00544CBB"/>
    <w:rsid w:val="005454F0"/>
    <w:rsid w:val="00546652"/>
    <w:rsid w:val="00551104"/>
    <w:rsid w:val="005528DB"/>
    <w:rsid w:val="00555153"/>
    <w:rsid w:val="00560158"/>
    <w:rsid w:val="00561676"/>
    <w:rsid w:val="0056266F"/>
    <w:rsid w:val="00566B59"/>
    <w:rsid w:val="00567723"/>
    <w:rsid w:val="0057315F"/>
    <w:rsid w:val="0057517B"/>
    <w:rsid w:val="0057517E"/>
    <w:rsid w:val="00576104"/>
    <w:rsid w:val="005834EF"/>
    <w:rsid w:val="005843B5"/>
    <w:rsid w:val="00590DBA"/>
    <w:rsid w:val="005A75DE"/>
    <w:rsid w:val="005B00EB"/>
    <w:rsid w:val="005B313C"/>
    <w:rsid w:val="005B42A6"/>
    <w:rsid w:val="005C5F42"/>
    <w:rsid w:val="005C67C8"/>
    <w:rsid w:val="005D0249"/>
    <w:rsid w:val="005D1DA1"/>
    <w:rsid w:val="005D204F"/>
    <w:rsid w:val="005D6E8C"/>
    <w:rsid w:val="005E5412"/>
    <w:rsid w:val="005E5CE3"/>
    <w:rsid w:val="005E749B"/>
    <w:rsid w:val="005F100C"/>
    <w:rsid w:val="005F68DA"/>
    <w:rsid w:val="005F7815"/>
    <w:rsid w:val="006035C8"/>
    <w:rsid w:val="00604E6B"/>
    <w:rsid w:val="0060646E"/>
    <w:rsid w:val="0060773B"/>
    <w:rsid w:val="006137CD"/>
    <w:rsid w:val="006157B5"/>
    <w:rsid w:val="006162F9"/>
    <w:rsid w:val="006205C1"/>
    <w:rsid w:val="00620A83"/>
    <w:rsid w:val="00622D02"/>
    <w:rsid w:val="006230D2"/>
    <w:rsid w:val="006245B9"/>
    <w:rsid w:val="00626FC6"/>
    <w:rsid w:val="006303B4"/>
    <w:rsid w:val="00633D3D"/>
    <w:rsid w:val="00635ED7"/>
    <w:rsid w:val="00641703"/>
    <w:rsid w:val="00641EA8"/>
    <w:rsid w:val="00642DB2"/>
    <w:rsid w:val="006431A6"/>
    <w:rsid w:val="00644D5F"/>
    <w:rsid w:val="0064513B"/>
    <w:rsid w:val="006459F6"/>
    <w:rsid w:val="006501AD"/>
    <w:rsid w:val="00651BFA"/>
    <w:rsid w:val="006520E8"/>
    <w:rsid w:val="00654475"/>
    <w:rsid w:val="00654F73"/>
    <w:rsid w:val="00664EA7"/>
    <w:rsid w:val="0066517C"/>
    <w:rsid w:val="00665509"/>
    <w:rsid w:val="00665A4B"/>
    <w:rsid w:val="006717E6"/>
    <w:rsid w:val="00672032"/>
    <w:rsid w:val="00673665"/>
    <w:rsid w:val="00680611"/>
    <w:rsid w:val="006843D3"/>
    <w:rsid w:val="00685F4B"/>
    <w:rsid w:val="00692E0A"/>
    <w:rsid w:val="00692E2A"/>
    <w:rsid w:val="006934ED"/>
    <w:rsid w:val="00696A36"/>
    <w:rsid w:val="006A1DC0"/>
    <w:rsid w:val="006A2D5B"/>
    <w:rsid w:val="006A4990"/>
    <w:rsid w:val="006A76F2"/>
    <w:rsid w:val="006A7C4A"/>
    <w:rsid w:val="006B74CB"/>
    <w:rsid w:val="006C2595"/>
    <w:rsid w:val="006C3E04"/>
    <w:rsid w:val="006C621A"/>
    <w:rsid w:val="006D4F04"/>
    <w:rsid w:val="006D7EFB"/>
    <w:rsid w:val="006E3467"/>
    <w:rsid w:val="006E43AC"/>
    <w:rsid w:val="006E6672"/>
    <w:rsid w:val="006E6722"/>
    <w:rsid w:val="006E74DB"/>
    <w:rsid w:val="006F0EC8"/>
    <w:rsid w:val="006F4AF1"/>
    <w:rsid w:val="006F5276"/>
    <w:rsid w:val="006F79DB"/>
    <w:rsid w:val="006F7BB5"/>
    <w:rsid w:val="007027B9"/>
    <w:rsid w:val="007047E2"/>
    <w:rsid w:val="00704929"/>
    <w:rsid w:val="00715E88"/>
    <w:rsid w:val="00717C45"/>
    <w:rsid w:val="0072353B"/>
    <w:rsid w:val="00726020"/>
    <w:rsid w:val="00732036"/>
    <w:rsid w:val="00732FB8"/>
    <w:rsid w:val="00732FE7"/>
    <w:rsid w:val="00734CAA"/>
    <w:rsid w:val="0073566F"/>
    <w:rsid w:val="00737CFD"/>
    <w:rsid w:val="00741B20"/>
    <w:rsid w:val="00745D8B"/>
    <w:rsid w:val="0074699E"/>
    <w:rsid w:val="00751150"/>
    <w:rsid w:val="00752929"/>
    <w:rsid w:val="0075533C"/>
    <w:rsid w:val="00755793"/>
    <w:rsid w:val="00757581"/>
    <w:rsid w:val="00760D3C"/>
    <w:rsid w:val="00760FD9"/>
    <w:rsid w:val="007611A0"/>
    <w:rsid w:val="0076147A"/>
    <w:rsid w:val="00765964"/>
    <w:rsid w:val="00766AD6"/>
    <w:rsid w:val="007719AB"/>
    <w:rsid w:val="00775D11"/>
    <w:rsid w:val="007828A5"/>
    <w:rsid w:val="007841F5"/>
    <w:rsid w:val="00784BFB"/>
    <w:rsid w:val="00785910"/>
    <w:rsid w:val="00790640"/>
    <w:rsid w:val="00791356"/>
    <w:rsid w:val="00791737"/>
    <w:rsid w:val="0079204D"/>
    <w:rsid w:val="007920D1"/>
    <w:rsid w:val="007940EB"/>
    <w:rsid w:val="0079413F"/>
    <w:rsid w:val="0079518D"/>
    <w:rsid w:val="00796D3F"/>
    <w:rsid w:val="007A1683"/>
    <w:rsid w:val="007A2507"/>
    <w:rsid w:val="007A5C12"/>
    <w:rsid w:val="007A7CB0"/>
    <w:rsid w:val="007B1923"/>
    <w:rsid w:val="007B241C"/>
    <w:rsid w:val="007B24F8"/>
    <w:rsid w:val="007B31C2"/>
    <w:rsid w:val="007B68A3"/>
    <w:rsid w:val="007C2541"/>
    <w:rsid w:val="007C2C8C"/>
    <w:rsid w:val="007C521D"/>
    <w:rsid w:val="007D577D"/>
    <w:rsid w:val="007D66A8"/>
    <w:rsid w:val="007E003F"/>
    <w:rsid w:val="007E513F"/>
    <w:rsid w:val="007F17F1"/>
    <w:rsid w:val="007F387A"/>
    <w:rsid w:val="007F39C5"/>
    <w:rsid w:val="007F658A"/>
    <w:rsid w:val="007F7686"/>
    <w:rsid w:val="00804F74"/>
    <w:rsid w:val="00806E9D"/>
    <w:rsid w:val="00811D54"/>
    <w:rsid w:val="008164F2"/>
    <w:rsid w:val="008201A2"/>
    <w:rsid w:val="00820923"/>
    <w:rsid w:val="00821395"/>
    <w:rsid w:val="00823432"/>
    <w:rsid w:val="008236DC"/>
    <w:rsid w:val="00824539"/>
    <w:rsid w:val="00824FC7"/>
    <w:rsid w:val="00830693"/>
    <w:rsid w:val="00830E26"/>
    <w:rsid w:val="00833064"/>
    <w:rsid w:val="00843576"/>
    <w:rsid w:val="00843B64"/>
    <w:rsid w:val="008478FC"/>
    <w:rsid w:val="008621A7"/>
    <w:rsid w:val="00867808"/>
    <w:rsid w:val="00867BFF"/>
    <w:rsid w:val="00871E8B"/>
    <w:rsid w:val="00873ACE"/>
    <w:rsid w:val="00875480"/>
    <w:rsid w:val="00875C0D"/>
    <w:rsid w:val="0087771C"/>
    <w:rsid w:val="00881E90"/>
    <w:rsid w:val="0088480A"/>
    <w:rsid w:val="0088757A"/>
    <w:rsid w:val="00887AD5"/>
    <w:rsid w:val="008957DD"/>
    <w:rsid w:val="00895ED9"/>
    <w:rsid w:val="00897D98"/>
    <w:rsid w:val="008A1211"/>
    <w:rsid w:val="008A1CF0"/>
    <w:rsid w:val="008A23C0"/>
    <w:rsid w:val="008A2AB0"/>
    <w:rsid w:val="008A2B1D"/>
    <w:rsid w:val="008A3441"/>
    <w:rsid w:val="008A3BAE"/>
    <w:rsid w:val="008A6DF2"/>
    <w:rsid w:val="008A7807"/>
    <w:rsid w:val="008B2529"/>
    <w:rsid w:val="008B4CC9"/>
    <w:rsid w:val="008C7822"/>
    <w:rsid w:val="008D285F"/>
    <w:rsid w:val="008D528D"/>
    <w:rsid w:val="008D7C99"/>
    <w:rsid w:val="008E0FCB"/>
    <w:rsid w:val="008E5A69"/>
    <w:rsid w:val="008F08A3"/>
    <w:rsid w:val="008F0F3C"/>
    <w:rsid w:val="008F1FDA"/>
    <w:rsid w:val="008F201B"/>
    <w:rsid w:val="008F3C42"/>
    <w:rsid w:val="008F5D00"/>
    <w:rsid w:val="009016A7"/>
    <w:rsid w:val="00911F59"/>
    <w:rsid w:val="0092178C"/>
    <w:rsid w:val="0092453B"/>
    <w:rsid w:val="00930B88"/>
    <w:rsid w:val="00930E68"/>
    <w:rsid w:val="00931631"/>
    <w:rsid w:val="0094095A"/>
    <w:rsid w:val="00940DCC"/>
    <w:rsid w:val="0094179A"/>
    <w:rsid w:val="0094459E"/>
    <w:rsid w:val="00944DBC"/>
    <w:rsid w:val="00945DE7"/>
    <w:rsid w:val="009473C6"/>
    <w:rsid w:val="00950977"/>
    <w:rsid w:val="00950E41"/>
    <w:rsid w:val="00951A7B"/>
    <w:rsid w:val="00955A8F"/>
    <w:rsid w:val="00955BC9"/>
    <w:rsid w:val="009564A6"/>
    <w:rsid w:val="00961F83"/>
    <w:rsid w:val="00962471"/>
    <w:rsid w:val="00963A00"/>
    <w:rsid w:val="00966A25"/>
    <w:rsid w:val="0096739E"/>
    <w:rsid w:val="00967621"/>
    <w:rsid w:val="00967E6A"/>
    <w:rsid w:val="0097093C"/>
    <w:rsid w:val="0097186D"/>
    <w:rsid w:val="00971EB6"/>
    <w:rsid w:val="00973AF8"/>
    <w:rsid w:val="009742D5"/>
    <w:rsid w:val="00981A6A"/>
    <w:rsid w:val="00984069"/>
    <w:rsid w:val="00985E51"/>
    <w:rsid w:val="009862E7"/>
    <w:rsid w:val="009863AE"/>
    <w:rsid w:val="00986C2E"/>
    <w:rsid w:val="00991AED"/>
    <w:rsid w:val="00992DE3"/>
    <w:rsid w:val="009941E6"/>
    <w:rsid w:val="00995607"/>
    <w:rsid w:val="00996007"/>
    <w:rsid w:val="009A1637"/>
    <w:rsid w:val="009A58D9"/>
    <w:rsid w:val="009A6F51"/>
    <w:rsid w:val="009B1E0D"/>
    <w:rsid w:val="009B4A0F"/>
    <w:rsid w:val="009B6E37"/>
    <w:rsid w:val="009C11D2"/>
    <w:rsid w:val="009C5536"/>
    <w:rsid w:val="009C6C70"/>
    <w:rsid w:val="009D0B63"/>
    <w:rsid w:val="009D389C"/>
    <w:rsid w:val="009D7B82"/>
    <w:rsid w:val="009E24BE"/>
    <w:rsid w:val="009E2F3F"/>
    <w:rsid w:val="009E307E"/>
    <w:rsid w:val="009F271B"/>
    <w:rsid w:val="009F35EE"/>
    <w:rsid w:val="00A001C6"/>
    <w:rsid w:val="00A060DB"/>
    <w:rsid w:val="00A07870"/>
    <w:rsid w:val="00A07F19"/>
    <w:rsid w:val="00A11B9F"/>
    <w:rsid w:val="00A1348D"/>
    <w:rsid w:val="00A142E9"/>
    <w:rsid w:val="00A15D30"/>
    <w:rsid w:val="00A16D89"/>
    <w:rsid w:val="00A232EE"/>
    <w:rsid w:val="00A3161E"/>
    <w:rsid w:val="00A32F74"/>
    <w:rsid w:val="00A334E5"/>
    <w:rsid w:val="00A3546E"/>
    <w:rsid w:val="00A35EA7"/>
    <w:rsid w:val="00A4175F"/>
    <w:rsid w:val="00A426CA"/>
    <w:rsid w:val="00A4323B"/>
    <w:rsid w:val="00A44411"/>
    <w:rsid w:val="00A469FA"/>
    <w:rsid w:val="00A5599F"/>
    <w:rsid w:val="00A55B01"/>
    <w:rsid w:val="00A55B5C"/>
    <w:rsid w:val="00A56797"/>
    <w:rsid w:val="00A56B5B"/>
    <w:rsid w:val="00A57936"/>
    <w:rsid w:val="00A603FF"/>
    <w:rsid w:val="00A6050B"/>
    <w:rsid w:val="00A63BB2"/>
    <w:rsid w:val="00A657DD"/>
    <w:rsid w:val="00A666A6"/>
    <w:rsid w:val="00A675FD"/>
    <w:rsid w:val="00A706CF"/>
    <w:rsid w:val="00A71C2F"/>
    <w:rsid w:val="00A71EFB"/>
    <w:rsid w:val="00A72437"/>
    <w:rsid w:val="00A72471"/>
    <w:rsid w:val="00A7575D"/>
    <w:rsid w:val="00A80611"/>
    <w:rsid w:val="00A829C5"/>
    <w:rsid w:val="00A971E2"/>
    <w:rsid w:val="00AA46C2"/>
    <w:rsid w:val="00AA5D6C"/>
    <w:rsid w:val="00AA5FF1"/>
    <w:rsid w:val="00AB512E"/>
    <w:rsid w:val="00AB5340"/>
    <w:rsid w:val="00AB775C"/>
    <w:rsid w:val="00AC0252"/>
    <w:rsid w:val="00AC0A89"/>
    <w:rsid w:val="00AC5724"/>
    <w:rsid w:val="00AC5CBF"/>
    <w:rsid w:val="00AC7353"/>
    <w:rsid w:val="00AC7C96"/>
    <w:rsid w:val="00AD1CC9"/>
    <w:rsid w:val="00AD4713"/>
    <w:rsid w:val="00AD5C8F"/>
    <w:rsid w:val="00AD7752"/>
    <w:rsid w:val="00AE1713"/>
    <w:rsid w:val="00AE237D"/>
    <w:rsid w:val="00AE4433"/>
    <w:rsid w:val="00AE502A"/>
    <w:rsid w:val="00AF067A"/>
    <w:rsid w:val="00AF128D"/>
    <w:rsid w:val="00AF4C91"/>
    <w:rsid w:val="00AF4FDB"/>
    <w:rsid w:val="00AF7C07"/>
    <w:rsid w:val="00B0002D"/>
    <w:rsid w:val="00B01062"/>
    <w:rsid w:val="00B07223"/>
    <w:rsid w:val="00B11663"/>
    <w:rsid w:val="00B1266C"/>
    <w:rsid w:val="00B12B35"/>
    <w:rsid w:val="00B137DC"/>
    <w:rsid w:val="00B14824"/>
    <w:rsid w:val="00B16AD8"/>
    <w:rsid w:val="00B22C93"/>
    <w:rsid w:val="00B27589"/>
    <w:rsid w:val="00B304A0"/>
    <w:rsid w:val="00B32141"/>
    <w:rsid w:val="00B32C99"/>
    <w:rsid w:val="00B35341"/>
    <w:rsid w:val="00B405B7"/>
    <w:rsid w:val="00B40CD8"/>
    <w:rsid w:val="00B4162D"/>
    <w:rsid w:val="00B42F11"/>
    <w:rsid w:val="00B468B1"/>
    <w:rsid w:val="00B51F26"/>
    <w:rsid w:val="00B52116"/>
    <w:rsid w:val="00B52222"/>
    <w:rsid w:val="00B52657"/>
    <w:rsid w:val="00B5428A"/>
    <w:rsid w:val="00B54847"/>
    <w:rsid w:val="00B54FE7"/>
    <w:rsid w:val="00B576B4"/>
    <w:rsid w:val="00B61F79"/>
    <w:rsid w:val="00B66901"/>
    <w:rsid w:val="00B71E6D"/>
    <w:rsid w:val="00B72070"/>
    <w:rsid w:val="00B737E9"/>
    <w:rsid w:val="00B74596"/>
    <w:rsid w:val="00B779E1"/>
    <w:rsid w:val="00B83985"/>
    <w:rsid w:val="00B849E3"/>
    <w:rsid w:val="00B85BAA"/>
    <w:rsid w:val="00B86724"/>
    <w:rsid w:val="00B91EE1"/>
    <w:rsid w:val="00B925AB"/>
    <w:rsid w:val="00BA0090"/>
    <w:rsid w:val="00BA1A67"/>
    <w:rsid w:val="00BA7128"/>
    <w:rsid w:val="00BB2BB0"/>
    <w:rsid w:val="00BB682B"/>
    <w:rsid w:val="00BC3DFF"/>
    <w:rsid w:val="00BC7100"/>
    <w:rsid w:val="00BD06E2"/>
    <w:rsid w:val="00BD1DDE"/>
    <w:rsid w:val="00BD3C14"/>
    <w:rsid w:val="00BD4450"/>
    <w:rsid w:val="00BD4623"/>
    <w:rsid w:val="00BD4FCA"/>
    <w:rsid w:val="00BD7435"/>
    <w:rsid w:val="00BE5B5F"/>
    <w:rsid w:val="00BE6D2A"/>
    <w:rsid w:val="00BF17E5"/>
    <w:rsid w:val="00C003C2"/>
    <w:rsid w:val="00C039B9"/>
    <w:rsid w:val="00C059F0"/>
    <w:rsid w:val="00C064DF"/>
    <w:rsid w:val="00C07264"/>
    <w:rsid w:val="00C07C49"/>
    <w:rsid w:val="00C109D6"/>
    <w:rsid w:val="00C200B1"/>
    <w:rsid w:val="00C228DB"/>
    <w:rsid w:val="00C26F55"/>
    <w:rsid w:val="00C30C63"/>
    <w:rsid w:val="00C339B8"/>
    <w:rsid w:val="00C36B8B"/>
    <w:rsid w:val="00C415C1"/>
    <w:rsid w:val="00C47DBF"/>
    <w:rsid w:val="00C52AC2"/>
    <w:rsid w:val="00C552FF"/>
    <w:rsid w:val="00C558DA"/>
    <w:rsid w:val="00C55AF3"/>
    <w:rsid w:val="00C5678B"/>
    <w:rsid w:val="00C64DA0"/>
    <w:rsid w:val="00C6654F"/>
    <w:rsid w:val="00C84642"/>
    <w:rsid w:val="00C84759"/>
    <w:rsid w:val="00C8604E"/>
    <w:rsid w:val="00C86D73"/>
    <w:rsid w:val="00C91B5E"/>
    <w:rsid w:val="00C934F3"/>
    <w:rsid w:val="00CA6C7F"/>
    <w:rsid w:val="00CB7993"/>
    <w:rsid w:val="00CC10A6"/>
    <w:rsid w:val="00CD0852"/>
    <w:rsid w:val="00CD0A1C"/>
    <w:rsid w:val="00CD1823"/>
    <w:rsid w:val="00CD5987"/>
    <w:rsid w:val="00CD5EB8"/>
    <w:rsid w:val="00CD7044"/>
    <w:rsid w:val="00CE08B9"/>
    <w:rsid w:val="00CE2F1A"/>
    <w:rsid w:val="00CE3103"/>
    <w:rsid w:val="00CE524C"/>
    <w:rsid w:val="00CE66D9"/>
    <w:rsid w:val="00CF141F"/>
    <w:rsid w:val="00CF27E1"/>
    <w:rsid w:val="00CF4777"/>
    <w:rsid w:val="00D0166E"/>
    <w:rsid w:val="00D03B8A"/>
    <w:rsid w:val="00D067BB"/>
    <w:rsid w:val="00D07EDB"/>
    <w:rsid w:val="00D1352A"/>
    <w:rsid w:val="00D13873"/>
    <w:rsid w:val="00D169AF"/>
    <w:rsid w:val="00D17005"/>
    <w:rsid w:val="00D25249"/>
    <w:rsid w:val="00D25ED8"/>
    <w:rsid w:val="00D26A3D"/>
    <w:rsid w:val="00D314FC"/>
    <w:rsid w:val="00D33365"/>
    <w:rsid w:val="00D34DE9"/>
    <w:rsid w:val="00D35F94"/>
    <w:rsid w:val="00D37A93"/>
    <w:rsid w:val="00D44172"/>
    <w:rsid w:val="00D459EE"/>
    <w:rsid w:val="00D572F5"/>
    <w:rsid w:val="00D61FBB"/>
    <w:rsid w:val="00D63B8C"/>
    <w:rsid w:val="00D63D88"/>
    <w:rsid w:val="00D65163"/>
    <w:rsid w:val="00D66701"/>
    <w:rsid w:val="00D66B1E"/>
    <w:rsid w:val="00D70045"/>
    <w:rsid w:val="00D733C8"/>
    <w:rsid w:val="00D739CC"/>
    <w:rsid w:val="00D76E06"/>
    <w:rsid w:val="00D77B92"/>
    <w:rsid w:val="00D8093D"/>
    <w:rsid w:val="00D8108C"/>
    <w:rsid w:val="00D842AE"/>
    <w:rsid w:val="00D86127"/>
    <w:rsid w:val="00D9211C"/>
    <w:rsid w:val="00D92DE0"/>
    <w:rsid w:val="00D92FEF"/>
    <w:rsid w:val="00D93A0F"/>
    <w:rsid w:val="00DA1383"/>
    <w:rsid w:val="00DA1BCA"/>
    <w:rsid w:val="00DA606E"/>
    <w:rsid w:val="00DB1BFD"/>
    <w:rsid w:val="00DB399E"/>
    <w:rsid w:val="00DB4AEB"/>
    <w:rsid w:val="00DB6691"/>
    <w:rsid w:val="00DC46FF"/>
    <w:rsid w:val="00DC5254"/>
    <w:rsid w:val="00DD18A5"/>
    <w:rsid w:val="00DD1A4F"/>
    <w:rsid w:val="00DD3107"/>
    <w:rsid w:val="00DD7366"/>
    <w:rsid w:val="00DD7C2C"/>
    <w:rsid w:val="00DE13BD"/>
    <w:rsid w:val="00DE568D"/>
    <w:rsid w:val="00DE6966"/>
    <w:rsid w:val="00DF1D63"/>
    <w:rsid w:val="00DF1E15"/>
    <w:rsid w:val="00DF70BF"/>
    <w:rsid w:val="00DF7B55"/>
    <w:rsid w:val="00E03755"/>
    <w:rsid w:val="00E04FF0"/>
    <w:rsid w:val="00E06797"/>
    <w:rsid w:val="00E072CC"/>
    <w:rsid w:val="00E1265B"/>
    <w:rsid w:val="00E12DFA"/>
    <w:rsid w:val="00E13B48"/>
    <w:rsid w:val="00E1404F"/>
    <w:rsid w:val="00E16154"/>
    <w:rsid w:val="00E16354"/>
    <w:rsid w:val="00E216A5"/>
    <w:rsid w:val="00E21C83"/>
    <w:rsid w:val="00E24063"/>
    <w:rsid w:val="00E24ADA"/>
    <w:rsid w:val="00E276A4"/>
    <w:rsid w:val="00E30025"/>
    <w:rsid w:val="00E32F59"/>
    <w:rsid w:val="00E3329D"/>
    <w:rsid w:val="00E46D9A"/>
    <w:rsid w:val="00E47487"/>
    <w:rsid w:val="00E565FF"/>
    <w:rsid w:val="00E638DA"/>
    <w:rsid w:val="00E65388"/>
    <w:rsid w:val="00E65E98"/>
    <w:rsid w:val="00E67B3F"/>
    <w:rsid w:val="00E704A1"/>
    <w:rsid w:val="00E726A7"/>
    <w:rsid w:val="00E73B4E"/>
    <w:rsid w:val="00E81DB8"/>
    <w:rsid w:val="00E85B7D"/>
    <w:rsid w:val="00E8772D"/>
    <w:rsid w:val="00E902FD"/>
    <w:rsid w:val="00E9121B"/>
    <w:rsid w:val="00E91378"/>
    <w:rsid w:val="00E91D53"/>
    <w:rsid w:val="00E942CC"/>
    <w:rsid w:val="00E96DA8"/>
    <w:rsid w:val="00EA0AE2"/>
    <w:rsid w:val="00EA1B7E"/>
    <w:rsid w:val="00EA39E5"/>
    <w:rsid w:val="00EC3EE3"/>
    <w:rsid w:val="00EC5A46"/>
    <w:rsid w:val="00EC63E2"/>
    <w:rsid w:val="00EC7BF4"/>
    <w:rsid w:val="00ED5DC6"/>
    <w:rsid w:val="00EE0374"/>
    <w:rsid w:val="00EE1418"/>
    <w:rsid w:val="00EE2190"/>
    <w:rsid w:val="00EE5A98"/>
    <w:rsid w:val="00EF22B3"/>
    <w:rsid w:val="00EF583C"/>
    <w:rsid w:val="00EF64C4"/>
    <w:rsid w:val="00F03B69"/>
    <w:rsid w:val="00F05C85"/>
    <w:rsid w:val="00F07A50"/>
    <w:rsid w:val="00F1083D"/>
    <w:rsid w:val="00F109A5"/>
    <w:rsid w:val="00F113DA"/>
    <w:rsid w:val="00F116A8"/>
    <w:rsid w:val="00F11AC1"/>
    <w:rsid w:val="00F1482D"/>
    <w:rsid w:val="00F15E9C"/>
    <w:rsid w:val="00F22343"/>
    <w:rsid w:val="00F237C6"/>
    <w:rsid w:val="00F240A1"/>
    <w:rsid w:val="00F307EE"/>
    <w:rsid w:val="00F3160B"/>
    <w:rsid w:val="00F31FE2"/>
    <w:rsid w:val="00F34719"/>
    <w:rsid w:val="00F37DC8"/>
    <w:rsid w:val="00F40FCC"/>
    <w:rsid w:val="00F41703"/>
    <w:rsid w:val="00F439B3"/>
    <w:rsid w:val="00F5518E"/>
    <w:rsid w:val="00F56DEA"/>
    <w:rsid w:val="00F575BF"/>
    <w:rsid w:val="00F606DD"/>
    <w:rsid w:val="00F64DE2"/>
    <w:rsid w:val="00F650C3"/>
    <w:rsid w:val="00F65D85"/>
    <w:rsid w:val="00F70DC3"/>
    <w:rsid w:val="00F7332E"/>
    <w:rsid w:val="00F7542C"/>
    <w:rsid w:val="00F76422"/>
    <w:rsid w:val="00F7703F"/>
    <w:rsid w:val="00F80724"/>
    <w:rsid w:val="00F8091E"/>
    <w:rsid w:val="00F839A2"/>
    <w:rsid w:val="00F84E2D"/>
    <w:rsid w:val="00F85097"/>
    <w:rsid w:val="00F859C1"/>
    <w:rsid w:val="00F8615C"/>
    <w:rsid w:val="00F873F8"/>
    <w:rsid w:val="00F92666"/>
    <w:rsid w:val="00F92E48"/>
    <w:rsid w:val="00F94029"/>
    <w:rsid w:val="00F949B1"/>
    <w:rsid w:val="00F9590C"/>
    <w:rsid w:val="00F96910"/>
    <w:rsid w:val="00F969E5"/>
    <w:rsid w:val="00FA501C"/>
    <w:rsid w:val="00FA6972"/>
    <w:rsid w:val="00FA6BB0"/>
    <w:rsid w:val="00FA7E47"/>
    <w:rsid w:val="00FB0721"/>
    <w:rsid w:val="00FB21CD"/>
    <w:rsid w:val="00FB438E"/>
    <w:rsid w:val="00FB49C6"/>
    <w:rsid w:val="00FB78D0"/>
    <w:rsid w:val="00FB7DD2"/>
    <w:rsid w:val="00FC33A2"/>
    <w:rsid w:val="00FC4CFC"/>
    <w:rsid w:val="00FD1BB5"/>
    <w:rsid w:val="00FD5860"/>
    <w:rsid w:val="00FE352D"/>
    <w:rsid w:val="00FE40EB"/>
    <w:rsid w:val="00FE4D02"/>
    <w:rsid w:val="00FE72EB"/>
    <w:rsid w:val="00FE7D62"/>
    <w:rsid w:val="00FF1711"/>
    <w:rsid w:val="00FF3819"/>
    <w:rsid w:val="00FF39B3"/>
    <w:rsid w:val="00FF5C9E"/>
    <w:rsid w:val="00FF5D52"/>
    <w:rsid w:val="00FF6F0A"/>
    <w:rsid w:val="0418B8E2"/>
    <w:rsid w:val="0C31F5E0"/>
    <w:rsid w:val="0FBF88E9"/>
    <w:rsid w:val="111717A1"/>
    <w:rsid w:val="15124B24"/>
    <w:rsid w:val="18792960"/>
    <w:rsid w:val="1A45E258"/>
    <w:rsid w:val="1F778986"/>
    <w:rsid w:val="20154E48"/>
    <w:rsid w:val="2790CF9B"/>
    <w:rsid w:val="27B0704C"/>
    <w:rsid w:val="3AC93AEB"/>
    <w:rsid w:val="45AB0DBB"/>
    <w:rsid w:val="4755DAD2"/>
    <w:rsid w:val="49ADCC8D"/>
    <w:rsid w:val="511CF730"/>
    <w:rsid w:val="52132E94"/>
    <w:rsid w:val="54E1C5DB"/>
    <w:rsid w:val="55D0B5AD"/>
    <w:rsid w:val="58687B8B"/>
    <w:rsid w:val="596EC364"/>
    <w:rsid w:val="5A4B2F73"/>
    <w:rsid w:val="5CE6C651"/>
    <w:rsid w:val="6248E6A2"/>
    <w:rsid w:val="640419AE"/>
    <w:rsid w:val="64796E0B"/>
    <w:rsid w:val="65C3E9B8"/>
    <w:rsid w:val="685F6A48"/>
    <w:rsid w:val="68FBED7B"/>
    <w:rsid w:val="759A6C6F"/>
    <w:rsid w:val="766ECF66"/>
    <w:rsid w:val="772CFDF8"/>
    <w:rsid w:val="78078B4A"/>
    <w:rsid w:val="799DB38D"/>
    <w:rsid w:val="7C1F90D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926ECE"/>
  <w15:chartTrackingRefBased/>
  <w15:docId w15:val="{8974CAE1-5134-4E3E-8FC7-E8C5DED5E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qFormat="1"/>
    <w:lsdException w:name="caption" w:semiHidden="1" w:unhideWhenUsed="1" w:qFormat="1"/>
    <w:lsdException w:name="footnote reference"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HTML Sample" w:semiHidden="1" w:unhideWhenUsed="1"/>
    <w:lsdException w:name="HTML Variable"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5442E"/>
    <w:rPr>
      <w:rFonts w:eastAsia="SimSun"/>
      <w:lang w:val="en-US" w:eastAsia="zh-CN"/>
    </w:rPr>
  </w:style>
  <w:style w:type="paragraph" w:styleId="Heading1">
    <w:name w:val="heading 1"/>
    <w:basedOn w:val="Normal"/>
    <w:next w:val="Normalnumber"/>
    <w:rsid w:val="0015442E"/>
    <w:pPr>
      <w:keepNext/>
      <w:spacing w:before="240" w:after="120"/>
      <w:ind w:left="1247" w:hanging="680"/>
      <w:outlineLvl w:val="0"/>
    </w:pPr>
    <w:rPr>
      <w:b/>
      <w:sz w:val="28"/>
    </w:rPr>
  </w:style>
  <w:style w:type="paragraph" w:styleId="Heading2">
    <w:name w:val="heading 2"/>
    <w:basedOn w:val="Normal"/>
    <w:next w:val="Normalnumber"/>
    <w:rsid w:val="0015442E"/>
    <w:pPr>
      <w:keepNext/>
      <w:spacing w:before="240" w:after="120"/>
      <w:ind w:left="1247" w:hanging="680"/>
      <w:outlineLvl w:val="1"/>
    </w:pPr>
    <w:rPr>
      <w:b/>
      <w:sz w:val="24"/>
      <w:szCs w:val="24"/>
    </w:rPr>
  </w:style>
  <w:style w:type="paragraph" w:styleId="Heading3">
    <w:name w:val="heading 3"/>
    <w:basedOn w:val="Normal"/>
    <w:next w:val="Normalnumber"/>
    <w:rsid w:val="0015442E"/>
    <w:pPr>
      <w:spacing w:after="120"/>
      <w:ind w:left="1247" w:hanging="680"/>
      <w:outlineLvl w:val="2"/>
    </w:pPr>
    <w:rPr>
      <w:b/>
    </w:rPr>
  </w:style>
  <w:style w:type="paragraph" w:styleId="Heading4">
    <w:name w:val="heading 4"/>
    <w:basedOn w:val="Heading3"/>
    <w:next w:val="Normalnumber"/>
    <w:rsid w:val="0015442E"/>
    <w:pPr>
      <w:keepNext/>
      <w:outlineLvl w:val="3"/>
    </w:pPr>
  </w:style>
  <w:style w:type="paragraph" w:styleId="Heading5">
    <w:name w:val="heading 5"/>
    <w:basedOn w:val="Normal"/>
    <w:next w:val="Normal"/>
    <w:rsid w:val="0015442E"/>
    <w:pPr>
      <w:keepNext/>
      <w:outlineLvl w:val="4"/>
    </w:pPr>
    <w:rPr>
      <w:rFonts w:ascii="Univers" w:hAnsi="Univers"/>
      <w:b/>
      <w:sz w:val="24"/>
    </w:rPr>
  </w:style>
  <w:style w:type="paragraph" w:styleId="Heading6">
    <w:name w:val="heading 6"/>
    <w:basedOn w:val="Normal"/>
    <w:next w:val="Normal"/>
    <w:rsid w:val="0015442E"/>
    <w:pPr>
      <w:keepNext/>
      <w:ind w:left="578"/>
      <w:outlineLvl w:val="5"/>
    </w:pPr>
    <w:rPr>
      <w:b/>
      <w:bCs/>
      <w:sz w:val="24"/>
    </w:rPr>
  </w:style>
  <w:style w:type="paragraph" w:styleId="Heading7">
    <w:name w:val="heading 7"/>
    <w:basedOn w:val="Normal"/>
    <w:next w:val="Normal"/>
    <w:rsid w:val="0015442E"/>
    <w:pPr>
      <w:keepNext/>
      <w:widowControl w:val="0"/>
      <w:jc w:val="center"/>
      <w:outlineLvl w:val="6"/>
    </w:pPr>
    <w:rPr>
      <w:snapToGrid w:val="0"/>
      <w:u w:val="single"/>
    </w:rPr>
  </w:style>
  <w:style w:type="paragraph" w:styleId="Heading8">
    <w:name w:val="heading 8"/>
    <w:basedOn w:val="Normal"/>
    <w:next w:val="Normal"/>
    <w:rsid w:val="0015442E"/>
    <w:pPr>
      <w:keepNext/>
      <w:widowControl w:val="0"/>
      <w:tabs>
        <w:tab w:val="left" w:pos="-1440"/>
        <w:tab w:val="left" w:pos="-720"/>
        <w:tab w:val="num" w:pos="720"/>
      </w:tabs>
      <w:suppressAutoHyphens/>
      <w:ind w:left="720" w:hanging="720"/>
      <w:jc w:val="center"/>
      <w:outlineLvl w:val="7"/>
    </w:pPr>
    <w:rPr>
      <w:snapToGrid w:val="0"/>
      <w:u w:val="single"/>
    </w:rPr>
  </w:style>
  <w:style w:type="paragraph" w:styleId="Heading9">
    <w:name w:val="heading 9"/>
    <w:basedOn w:val="Normal"/>
    <w:next w:val="Normal"/>
    <w:rsid w:val="0015442E"/>
    <w:pPr>
      <w:keepNext/>
      <w:widowControl w:val="0"/>
      <w:suppressAutoHyphens/>
      <w:ind w:left="360" w:hanging="360"/>
      <w:jc w:val="center"/>
      <w:outlineLvl w:val="8"/>
    </w:pPr>
    <w:rPr>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15442E"/>
    <w:rPr>
      <w:rFonts w:ascii="Times New Roman" w:hAnsi="Times New Roman"/>
      <w:b/>
      <w:sz w:val="18"/>
    </w:rPr>
  </w:style>
  <w:style w:type="table" w:customStyle="1" w:styleId="Tabledocright">
    <w:name w:val="Table_doc_right"/>
    <w:basedOn w:val="TableNormal"/>
    <w:rsid w:val="0015442E"/>
    <w:pPr>
      <w:spacing w:before="40" w:after="40"/>
    </w:pPr>
    <w:rPr>
      <w:rFonts w:eastAsia="SimSun"/>
      <w:sz w:val="18"/>
      <w:szCs w:val="18"/>
      <w:lang w:val="fr-FR" w:eastAsia="zh-CN"/>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semiHidden/>
    <w:rsid w:val="0015442E"/>
    <w:pPr>
      <w:ind w:left="1000"/>
    </w:pPr>
    <w:rPr>
      <w:sz w:val="18"/>
      <w:szCs w:val="18"/>
    </w:rPr>
  </w:style>
  <w:style w:type="paragraph" w:styleId="TOC7">
    <w:name w:val="toc 7"/>
    <w:basedOn w:val="Normal"/>
    <w:next w:val="Normal"/>
    <w:autoRedefine/>
    <w:semiHidden/>
    <w:rsid w:val="0015442E"/>
    <w:pPr>
      <w:ind w:left="1200"/>
    </w:pPr>
    <w:rPr>
      <w:sz w:val="18"/>
      <w:szCs w:val="18"/>
    </w:rPr>
  </w:style>
  <w:style w:type="paragraph" w:styleId="TOC8">
    <w:name w:val="toc 8"/>
    <w:basedOn w:val="Normal"/>
    <w:next w:val="Normal"/>
    <w:autoRedefine/>
    <w:semiHidden/>
    <w:rsid w:val="0015442E"/>
    <w:pPr>
      <w:ind w:left="1400"/>
    </w:pPr>
    <w:rPr>
      <w:sz w:val="18"/>
      <w:szCs w:val="18"/>
    </w:rPr>
  </w:style>
  <w:style w:type="paragraph" w:styleId="TOC9">
    <w:name w:val="toc 9"/>
    <w:basedOn w:val="Normal"/>
    <w:next w:val="Normal"/>
    <w:autoRedefine/>
    <w:semiHidden/>
    <w:rsid w:val="0015442E"/>
    <w:pPr>
      <w:ind w:left="1600"/>
    </w:pPr>
    <w:rPr>
      <w:sz w:val="18"/>
      <w:szCs w:val="18"/>
    </w:rPr>
  </w:style>
  <w:style w:type="paragraph" w:customStyle="1" w:styleId="Titlefigure">
    <w:name w:val="Title_figure"/>
    <w:basedOn w:val="Titletable"/>
    <w:next w:val="NormalNonumber"/>
    <w:rsid w:val="0015442E"/>
    <w:rPr>
      <w:bCs w:val="0"/>
    </w:rPr>
  </w:style>
  <w:style w:type="paragraph" w:styleId="TableofFigures">
    <w:name w:val="table of figures"/>
    <w:basedOn w:val="Normal"/>
    <w:next w:val="Normal"/>
    <w:autoRedefine/>
    <w:semiHidden/>
    <w:rsid w:val="0015442E"/>
    <w:pPr>
      <w:ind w:left="1814" w:hanging="567"/>
    </w:pPr>
  </w:style>
  <w:style w:type="paragraph" w:customStyle="1" w:styleId="CH1">
    <w:name w:val="CH1"/>
    <w:basedOn w:val="Normal-pool"/>
    <w:next w:val="CH2"/>
    <w:qFormat/>
    <w:rsid w:val="0015442E"/>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qFormat/>
    <w:rsid w:val="0015442E"/>
    <w:pPr>
      <w:keepNext/>
      <w:keepLines/>
      <w:tabs>
        <w:tab w:val="right" w:pos="851"/>
      </w:tabs>
      <w:suppressAutoHyphens/>
      <w:spacing w:before="240" w:after="120"/>
      <w:ind w:left="1247" w:right="284" w:hanging="1247"/>
    </w:pPr>
    <w:rPr>
      <w:b/>
      <w:sz w:val="24"/>
      <w:szCs w:val="24"/>
    </w:rPr>
  </w:style>
  <w:style w:type="paragraph" w:customStyle="1" w:styleId="CH3">
    <w:name w:val="CH3"/>
    <w:basedOn w:val="Normal-pool"/>
    <w:next w:val="Normalnumber"/>
    <w:qFormat/>
    <w:rsid w:val="0015442E"/>
    <w:pPr>
      <w:keepNext/>
      <w:keepLines/>
      <w:tabs>
        <w:tab w:val="right" w:pos="851"/>
      </w:tabs>
      <w:suppressAutoHyphens/>
      <w:spacing w:before="240" w:after="120"/>
      <w:ind w:left="1247" w:right="284" w:hanging="1247"/>
    </w:pPr>
    <w:rPr>
      <w:b/>
    </w:rPr>
  </w:style>
  <w:style w:type="paragraph" w:customStyle="1" w:styleId="CH4">
    <w:name w:val="CH4"/>
    <w:basedOn w:val="Normal-pool"/>
    <w:next w:val="Normalnumber"/>
    <w:rsid w:val="0015442E"/>
    <w:pPr>
      <w:keepNext/>
      <w:keepLines/>
      <w:tabs>
        <w:tab w:val="right" w:pos="851"/>
      </w:tabs>
      <w:suppressAutoHyphens/>
      <w:spacing w:before="120" w:after="120"/>
      <w:ind w:left="1247" w:right="284" w:hanging="1247"/>
    </w:pPr>
    <w:rPr>
      <w:b/>
    </w:rPr>
  </w:style>
  <w:style w:type="table" w:customStyle="1" w:styleId="Footertable">
    <w:name w:val="Footer_table"/>
    <w:basedOn w:val="TableNormal"/>
    <w:semiHidden/>
    <w:rsid w:val="0015442E"/>
    <w:rPr>
      <w:rFonts w:ascii="Arial" w:eastAsia="SimSun" w:hAnsi="Arial"/>
      <w:sz w:val="16"/>
      <w:lang w:val="fr-FR" w:eastAsia="zh-CN"/>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
    <w:next w:val="Normalnumber"/>
    <w:unhideWhenUsed/>
    <w:rsid w:val="0015442E"/>
    <w:pPr>
      <w:keepNext/>
      <w:keepLines/>
      <w:tabs>
        <w:tab w:val="right" w:pos="851"/>
        <w:tab w:val="left" w:pos="1247"/>
        <w:tab w:val="left" w:pos="1814"/>
        <w:tab w:val="left" w:pos="2381"/>
        <w:tab w:val="left" w:pos="2948"/>
        <w:tab w:val="left" w:pos="3515"/>
        <w:tab w:val="left" w:pos="4082"/>
      </w:tabs>
      <w:suppressAutoHyphens/>
      <w:spacing w:after="120"/>
      <w:ind w:left="1247" w:right="284" w:hanging="1247"/>
    </w:pPr>
    <w:rPr>
      <w:b/>
      <w:lang w:eastAsia="en-US"/>
    </w:rPr>
  </w:style>
  <w:style w:type="paragraph" w:customStyle="1" w:styleId="Footerpool">
    <w:name w:val="Footer_pool"/>
    <w:basedOn w:val="Normal"/>
    <w:next w:val="Normal"/>
    <w:semiHidden/>
    <w:rsid w:val="0015442E"/>
    <w:pPr>
      <w:tabs>
        <w:tab w:val="left" w:pos="4321"/>
        <w:tab w:val="right" w:pos="8641"/>
      </w:tabs>
      <w:spacing w:before="60" w:after="120"/>
    </w:pPr>
    <w:rPr>
      <w:b/>
      <w:sz w:val="18"/>
    </w:rPr>
  </w:style>
  <w:style w:type="paragraph" w:customStyle="1" w:styleId="Headerpool">
    <w:name w:val="Header_pool"/>
    <w:basedOn w:val="Normal"/>
    <w:next w:val="Normal"/>
    <w:semiHidden/>
    <w:rsid w:val="0015442E"/>
    <w:pPr>
      <w:pBdr>
        <w:bottom w:val="single" w:sz="4" w:space="1" w:color="auto"/>
      </w:pBdr>
      <w:tabs>
        <w:tab w:val="center" w:pos="4536"/>
        <w:tab w:val="right" w:pos="9072"/>
      </w:tabs>
      <w:spacing w:after="120"/>
    </w:pPr>
    <w:rPr>
      <w:b/>
      <w:sz w:val="18"/>
    </w:rPr>
  </w:style>
  <w:style w:type="paragraph" w:customStyle="1" w:styleId="Normalpool">
    <w:name w:val="Normal_pool"/>
    <w:autoRedefine/>
    <w:semiHidden/>
    <w:rsid w:val="0015442E"/>
    <w:pPr>
      <w:tabs>
        <w:tab w:val="left" w:pos="1247"/>
        <w:tab w:val="left" w:pos="1814"/>
        <w:tab w:val="left" w:pos="2381"/>
        <w:tab w:val="left" w:pos="2948"/>
        <w:tab w:val="left" w:pos="3515"/>
        <w:tab w:val="left" w:pos="4082"/>
      </w:tabs>
    </w:pPr>
    <w:rPr>
      <w:rFonts w:eastAsia="SimSun"/>
      <w:lang w:val="fr-CA" w:eastAsia="en-US"/>
    </w:rPr>
  </w:style>
  <w:style w:type="paragraph" w:customStyle="1" w:styleId="Footer-pool">
    <w:name w:val="Footer-pool"/>
    <w:basedOn w:val="Normal-pool"/>
    <w:next w:val="Normal-pool"/>
    <w:rsid w:val="0015442E"/>
    <w:pPr>
      <w:tabs>
        <w:tab w:val="left" w:pos="4321"/>
        <w:tab w:val="right" w:pos="8641"/>
      </w:tabs>
      <w:spacing w:before="60" w:after="120"/>
    </w:pPr>
    <w:rPr>
      <w:b/>
      <w:sz w:val="18"/>
    </w:rPr>
  </w:style>
  <w:style w:type="paragraph" w:customStyle="1" w:styleId="Header-pool">
    <w:name w:val="Header-pool"/>
    <w:basedOn w:val="Normal-pool"/>
    <w:next w:val="Normal-pool"/>
    <w:rsid w:val="0015442E"/>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qFormat/>
    <w:rsid w:val="0015442E"/>
    <w:pPr>
      <w:tabs>
        <w:tab w:val="left" w:pos="1247"/>
        <w:tab w:val="left" w:pos="1814"/>
        <w:tab w:val="left" w:pos="2381"/>
        <w:tab w:val="left" w:pos="2948"/>
        <w:tab w:val="left" w:pos="3515"/>
        <w:tab w:val="left" w:pos="4082"/>
      </w:tabs>
    </w:pPr>
    <w:rPr>
      <w:rFonts w:eastAsia="SimSun"/>
      <w:lang w:val="en-US" w:eastAsia="en-US"/>
    </w:rPr>
  </w:style>
  <w:style w:type="paragraph" w:styleId="FootnoteText">
    <w:name w:val="footnote text"/>
    <w:aliases w:val="DNV-FT,Geneva 9,Font: Geneva 9,Boston 10,f,footnote3,text,Geneva,92,Font:,Boston,10,FOOTNOTES,fn,single space,Footnote Text Rail EIS,ft,Footnotes,Footnote ak,fn cafc,Footnotes Char Char,Footnote Text Char Char,fn Char Char,footnote text,93"/>
    <w:basedOn w:val="Normal"/>
    <w:link w:val="FootnoteTextChar"/>
    <w:uiPriority w:val="99"/>
    <w:qFormat/>
    <w:rsid w:val="0015442E"/>
    <w:pPr>
      <w:tabs>
        <w:tab w:val="left" w:pos="1247"/>
        <w:tab w:val="left" w:pos="1814"/>
        <w:tab w:val="left" w:pos="2381"/>
        <w:tab w:val="left" w:pos="2948"/>
        <w:tab w:val="left" w:pos="3515"/>
        <w:tab w:val="left" w:pos="4082"/>
      </w:tabs>
      <w:spacing w:before="20" w:after="40"/>
      <w:ind w:left="1247"/>
    </w:pPr>
    <w:rPr>
      <w:sz w:val="18"/>
      <w:lang w:val="fr-CA" w:eastAsia="en-US"/>
    </w:rPr>
  </w:style>
  <w:style w:type="character" w:customStyle="1" w:styleId="HeaderChar">
    <w:name w:val="Header Char"/>
    <w:link w:val="Header"/>
    <w:semiHidden/>
    <w:rsid w:val="00250B6D"/>
    <w:rPr>
      <w:rFonts w:eastAsia="SimSun"/>
      <w:b/>
      <w:sz w:val="18"/>
      <w:lang w:val="en-US" w:eastAsia="zh-CN"/>
    </w:rPr>
  </w:style>
  <w:style w:type="table" w:customStyle="1" w:styleId="AATable">
    <w:name w:val="AA_Table"/>
    <w:basedOn w:val="TableNormal"/>
    <w:semiHidden/>
    <w:rsid w:val="0015442E"/>
    <w:rPr>
      <w:rFonts w:eastAsia="SimSun"/>
      <w:lang w:val="fr-FR" w:eastAsia="zh-CN"/>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qFormat/>
    <w:rsid w:val="0015442E"/>
    <w:pPr>
      <w:keepNext/>
      <w:keepLines/>
      <w:suppressAutoHyphens/>
      <w:ind w:right="5103"/>
    </w:pPr>
    <w:rPr>
      <w:b/>
    </w:rPr>
  </w:style>
  <w:style w:type="paragraph" w:customStyle="1" w:styleId="AATitle2">
    <w:name w:val="AA_Title2"/>
    <w:basedOn w:val="AATitle"/>
    <w:qFormat/>
    <w:rsid w:val="0015442E"/>
    <w:pPr>
      <w:tabs>
        <w:tab w:val="clear" w:pos="4082"/>
      </w:tabs>
      <w:spacing w:before="120" w:after="120"/>
      <w:ind w:right="4536"/>
    </w:pPr>
  </w:style>
  <w:style w:type="paragraph" w:customStyle="1" w:styleId="BBTitle">
    <w:name w:val="BB_Title"/>
    <w:basedOn w:val="Normal-pool"/>
    <w:qFormat/>
    <w:rsid w:val="0015442E"/>
    <w:pPr>
      <w:keepNext/>
      <w:keepLines/>
      <w:suppressAutoHyphens/>
      <w:spacing w:before="320" w:after="240"/>
      <w:ind w:left="1247" w:right="567"/>
    </w:pPr>
    <w:rPr>
      <w:b/>
      <w:sz w:val="28"/>
      <w:szCs w:val="28"/>
    </w:rPr>
  </w:style>
  <w:style w:type="paragraph" w:styleId="Footer">
    <w:name w:val="footer"/>
    <w:basedOn w:val="Normal"/>
    <w:semiHidden/>
    <w:rsid w:val="0015442E"/>
    <w:pPr>
      <w:tabs>
        <w:tab w:val="center" w:pos="4320"/>
        <w:tab w:val="right" w:pos="8640"/>
      </w:tabs>
      <w:spacing w:before="60" w:after="120"/>
    </w:pPr>
    <w:rPr>
      <w:sz w:val="18"/>
    </w:rPr>
  </w:style>
  <w:style w:type="paragraph" w:styleId="Header">
    <w:name w:val="header"/>
    <w:basedOn w:val="Normal"/>
    <w:link w:val="HeaderChar"/>
    <w:semiHidden/>
    <w:rsid w:val="0015442E"/>
    <w:pPr>
      <w:pBdr>
        <w:bottom w:val="single" w:sz="4" w:space="1" w:color="auto"/>
      </w:pBdr>
      <w:tabs>
        <w:tab w:val="center" w:pos="4536"/>
        <w:tab w:val="right" w:pos="9072"/>
      </w:tabs>
      <w:spacing w:after="120"/>
    </w:pPr>
    <w:rPr>
      <w:b/>
      <w:sz w:val="18"/>
    </w:rPr>
  </w:style>
  <w:style w:type="character" w:styleId="Hyperlink">
    <w:name w:val="Hyperlink"/>
    <w:uiPriority w:val="99"/>
    <w:unhideWhenUsed/>
    <w:rsid w:val="0015442E"/>
    <w:rPr>
      <w:rFonts w:ascii="Times New Roman" w:hAnsi="Times New Roman"/>
      <w:color w:val="auto"/>
      <w:sz w:val="20"/>
      <w:szCs w:val="20"/>
      <w:u w:val="none"/>
      <w:lang w:val="en-US"/>
    </w:rPr>
  </w:style>
  <w:style w:type="numbering" w:customStyle="1" w:styleId="Normallist">
    <w:name w:val="Normal_list"/>
    <w:basedOn w:val="NoList"/>
    <w:rsid w:val="0015442E"/>
    <w:pPr>
      <w:numPr>
        <w:numId w:val="1"/>
      </w:numPr>
    </w:pPr>
  </w:style>
  <w:style w:type="paragraph" w:customStyle="1" w:styleId="NormalNonumber">
    <w:name w:val="Normal_No_number"/>
    <w:basedOn w:val="Normal-pool"/>
    <w:qFormat/>
    <w:rsid w:val="0015442E"/>
    <w:pPr>
      <w:spacing w:after="120"/>
      <w:ind w:left="1247"/>
    </w:pPr>
  </w:style>
  <w:style w:type="paragraph" w:customStyle="1" w:styleId="Normalnumber">
    <w:name w:val="Normal_number"/>
    <w:basedOn w:val="Normalpool"/>
    <w:link w:val="NormalnumberChar"/>
    <w:qFormat/>
    <w:rsid w:val="0015442E"/>
    <w:pPr>
      <w:spacing w:after="120"/>
    </w:pPr>
    <w:rPr>
      <w:rFonts w:eastAsia="Times New Roman"/>
    </w:rPr>
  </w:style>
  <w:style w:type="paragraph" w:customStyle="1" w:styleId="Titletable">
    <w:name w:val="Title_table"/>
    <w:basedOn w:val="Normal-pool"/>
    <w:next w:val="NormalNonumber"/>
    <w:rsid w:val="0015442E"/>
    <w:pPr>
      <w:keepNext/>
      <w:keepLines/>
      <w:suppressAutoHyphens/>
      <w:spacing w:after="60"/>
      <w:ind w:left="1247"/>
    </w:pPr>
    <w:rPr>
      <w:b/>
      <w:bCs/>
    </w:rPr>
  </w:style>
  <w:style w:type="paragraph" w:styleId="TOC1">
    <w:name w:val="toc 1"/>
    <w:basedOn w:val="Normal-pool"/>
    <w:next w:val="Normal-pool"/>
    <w:uiPriority w:val="39"/>
    <w:unhideWhenUsed/>
    <w:rsid w:val="0015442E"/>
    <w:pPr>
      <w:tabs>
        <w:tab w:val="right" w:leader="dot" w:pos="9486"/>
      </w:tabs>
      <w:spacing w:before="240"/>
      <w:ind w:left="1814" w:hanging="567"/>
    </w:pPr>
    <w:rPr>
      <w:bCs/>
    </w:rPr>
  </w:style>
  <w:style w:type="paragraph" w:styleId="TOC2">
    <w:name w:val="toc 2"/>
    <w:basedOn w:val="Normal-pool"/>
    <w:next w:val="Normal-pool"/>
    <w:unhideWhenUsed/>
    <w:rsid w:val="0015442E"/>
    <w:pPr>
      <w:tabs>
        <w:tab w:val="right" w:leader="dot" w:pos="9486"/>
      </w:tabs>
      <w:ind w:left="2381" w:hanging="567"/>
    </w:pPr>
  </w:style>
  <w:style w:type="paragraph" w:styleId="TOC3">
    <w:name w:val="toc 3"/>
    <w:basedOn w:val="Normal-pool"/>
    <w:next w:val="Normal-pool"/>
    <w:unhideWhenUsed/>
    <w:rsid w:val="0015442E"/>
    <w:pPr>
      <w:tabs>
        <w:tab w:val="right" w:leader="dot" w:pos="9486"/>
      </w:tabs>
      <w:ind w:left="2948" w:hanging="567"/>
    </w:pPr>
    <w:rPr>
      <w:iCs/>
    </w:rPr>
  </w:style>
  <w:style w:type="paragraph" w:styleId="TOC4">
    <w:name w:val="toc 4"/>
    <w:basedOn w:val="Normal-pool"/>
    <w:next w:val="Normal-pool"/>
    <w:unhideWhenUsed/>
    <w:rsid w:val="0015442E"/>
    <w:pPr>
      <w:tabs>
        <w:tab w:val="left" w:pos="1000"/>
        <w:tab w:val="right" w:leader="dot" w:pos="9486"/>
      </w:tabs>
      <w:ind w:left="3515" w:hanging="567"/>
    </w:pPr>
    <w:rPr>
      <w:szCs w:val="18"/>
    </w:rPr>
  </w:style>
  <w:style w:type="paragraph" w:styleId="TOC5">
    <w:name w:val="toc 5"/>
    <w:basedOn w:val="Normal-pool"/>
    <w:next w:val="Normal-pool"/>
    <w:rsid w:val="0015442E"/>
    <w:pPr>
      <w:ind w:left="800"/>
    </w:pPr>
    <w:rPr>
      <w:sz w:val="18"/>
      <w:szCs w:val="18"/>
    </w:rPr>
  </w:style>
  <w:style w:type="paragraph" w:customStyle="1" w:styleId="ZZAnxheader">
    <w:name w:val="ZZ_Anx_header"/>
    <w:basedOn w:val="Normal-pool"/>
    <w:link w:val="ZZAnxheaderChar"/>
    <w:rsid w:val="0015442E"/>
    <w:rPr>
      <w:b/>
      <w:bCs/>
      <w:sz w:val="28"/>
      <w:szCs w:val="22"/>
    </w:rPr>
  </w:style>
  <w:style w:type="paragraph" w:customStyle="1" w:styleId="ZZAnxtitle">
    <w:name w:val="ZZ_Anx_title"/>
    <w:basedOn w:val="Normal-pool"/>
    <w:link w:val="ZZAnxtitleChar"/>
    <w:rsid w:val="0015442E"/>
    <w:pPr>
      <w:spacing w:before="360" w:after="120"/>
      <w:ind w:left="1247"/>
    </w:pPr>
    <w:rPr>
      <w:b/>
      <w:bCs/>
      <w:sz w:val="28"/>
      <w:szCs w:val="26"/>
    </w:rPr>
  </w:style>
  <w:style w:type="paragraph" w:styleId="BalloonText">
    <w:name w:val="Balloon Text"/>
    <w:basedOn w:val="Normal"/>
    <w:link w:val="BalloonTextChar"/>
    <w:rsid w:val="003E6F41"/>
    <w:rPr>
      <w:rFonts w:ascii="Segoe UI" w:hAnsi="Segoe UI" w:cs="Segoe UI"/>
      <w:sz w:val="18"/>
      <w:szCs w:val="18"/>
    </w:rPr>
  </w:style>
  <w:style w:type="character" w:customStyle="1" w:styleId="BalloonTextChar">
    <w:name w:val="Balloon Text Char"/>
    <w:basedOn w:val="DefaultParagraphFont"/>
    <w:link w:val="BalloonText"/>
    <w:rsid w:val="003E6F41"/>
    <w:rPr>
      <w:rFonts w:ascii="Segoe UI" w:hAnsi="Segoe UI" w:cs="Segoe UI"/>
      <w:sz w:val="18"/>
      <w:szCs w:val="18"/>
      <w:lang w:val="fr-FR" w:eastAsia="en-US"/>
    </w:rPr>
  </w:style>
  <w:style w:type="character" w:styleId="CommentReference">
    <w:name w:val="annotation reference"/>
    <w:basedOn w:val="DefaultParagraphFont"/>
    <w:rsid w:val="003E6F41"/>
    <w:rPr>
      <w:sz w:val="16"/>
      <w:szCs w:val="16"/>
    </w:rPr>
  </w:style>
  <w:style w:type="paragraph" w:styleId="CommentText">
    <w:name w:val="annotation text"/>
    <w:basedOn w:val="Normal"/>
    <w:link w:val="CommentTextChar"/>
    <w:rsid w:val="003E6F41"/>
    <w:rPr>
      <w:sz w:val="24"/>
      <w:szCs w:val="24"/>
      <w:lang w:val="en-GB" w:eastAsia="en-GB"/>
    </w:rPr>
  </w:style>
  <w:style w:type="character" w:customStyle="1" w:styleId="CommentTextChar">
    <w:name w:val="Comment Text Char"/>
    <w:basedOn w:val="DefaultParagraphFont"/>
    <w:link w:val="CommentText"/>
    <w:rsid w:val="003E6F41"/>
    <w:rPr>
      <w:sz w:val="24"/>
      <w:szCs w:val="24"/>
    </w:rPr>
  </w:style>
  <w:style w:type="paragraph" w:styleId="CommentSubject">
    <w:name w:val="annotation subject"/>
    <w:basedOn w:val="CommentText"/>
    <w:next w:val="CommentText"/>
    <w:link w:val="CommentSubjectChar"/>
    <w:rsid w:val="007841F5"/>
    <w:pPr>
      <w:tabs>
        <w:tab w:val="left" w:pos="1247"/>
        <w:tab w:val="left" w:pos="1814"/>
        <w:tab w:val="left" w:pos="2381"/>
        <w:tab w:val="left" w:pos="2948"/>
        <w:tab w:val="left" w:pos="3515"/>
      </w:tabs>
    </w:pPr>
    <w:rPr>
      <w:b/>
      <w:bCs/>
      <w:sz w:val="20"/>
      <w:szCs w:val="20"/>
      <w:lang w:val="fr-FR" w:eastAsia="en-US"/>
    </w:rPr>
  </w:style>
  <w:style w:type="character" w:customStyle="1" w:styleId="CommentSubjectChar">
    <w:name w:val="Comment Subject Char"/>
    <w:basedOn w:val="CommentTextChar"/>
    <w:link w:val="CommentSubject"/>
    <w:rsid w:val="007841F5"/>
    <w:rPr>
      <w:b/>
      <w:bCs/>
      <w:sz w:val="24"/>
      <w:szCs w:val="24"/>
      <w:lang w:val="fr-FR" w:eastAsia="en-US"/>
    </w:rPr>
  </w:style>
  <w:style w:type="character" w:customStyle="1" w:styleId="FootnoteTextChar">
    <w:name w:val="Footnote Text Char"/>
    <w:aliases w:val="DNV-FT Char,Geneva 9 Char,Font: Geneva 9 Char,Boston 10 Char,f Char,footnote3 Char,text Char,Geneva Char,92 Char,Font: Char,Boston Char,10 Char,FOOTNOTES Char,fn Char,single space Char,Footnote Text Rail EIS Char,ft Char,fn cafc Char"/>
    <w:link w:val="FootnoteText"/>
    <w:uiPriority w:val="99"/>
    <w:locked/>
    <w:rsid w:val="0012644F"/>
    <w:rPr>
      <w:rFonts w:eastAsia="SimSun"/>
      <w:sz w:val="18"/>
      <w:lang w:val="fr-CA" w:eastAsia="en-US"/>
    </w:rPr>
  </w:style>
  <w:style w:type="paragraph" w:styleId="ListParagraph">
    <w:name w:val="List Paragraph"/>
    <w:aliases w:val="Unordered List,List Paragraph 2,Dot pt,F5 List Paragraph,List Paragraph1,No Spacing1,List Paragraph Char Char Char,Indicator Text,Numbered Para 1,Bullet 1,List Paragraph12,Bullet Points,MAIN CONTENT,Colorful List - Accent 11"/>
    <w:basedOn w:val="Normal"/>
    <w:link w:val="ListParagraphChar"/>
    <w:uiPriority w:val="34"/>
    <w:qFormat/>
    <w:rsid w:val="00D07EDB"/>
    <w:pPr>
      <w:ind w:left="720"/>
      <w:contextualSpacing/>
    </w:pPr>
  </w:style>
  <w:style w:type="character" w:styleId="FootnoteReference">
    <w:name w:val="footnote reference"/>
    <w:aliases w:val="16 Point,Superscript 6 Point,ftref,(Ref. de nota al pie),number,SUPERS,Footnote Reference Superscript,stylish,Footnote symbol,BVI fnr,-E Fußnotenzeichen,Source Reference,Footnote reference number,note TESI,Times 10 Point,Ref,cal,註腳內容"/>
    <w:link w:val="SUPERSCharCharCharCharCharCharCharChar"/>
    <w:qFormat/>
    <w:rsid w:val="0015442E"/>
    <w:rPr>
      <w:rFonts w:ascii="Times New Roman" w:hAnsi="Times New Roman"/>
      <w:color w:val="auto"/>
      <w:sz w:val="20"/>
      <w:szCs w:val="18"/>
      <w:vertAlign w:val="superscript"/>
    </w:rPr>
  </w:style>
  <w:style w:type="paragraph" w:styleId="NormalWeb">
    <w:name w:val="Normal (Web)"/>
    <w:basedOn w:val="Normal"/>
    <w:uiPriority w:val="99"/>
    <w:unhideWhenUsed/>
    <w:rsid w:val="0015442E"/>
    <w:pPr>
      <w:spacing w:before="100" w:beforeAutospacing="1" w:after="100" w:afterAutospacing="1"/>
    </w:pPr>
    <w:rPr>
      <w:rFonts w:eastAsiaTheme="minorEastAsia"/>
      <w:sz w:val="24"/>
      <w:szCs w:val="24"/>
      <w:lang w:eastAsia="en-US"/>
    </w:rPr>
  </w:style>
  <w:style w:type="table" w:styleId="TableGrid">
    <w:name w:val="Table Grid"/>
    <w:basedOn w:val="TableNormal"/>
    <w:uiPriority w:val="39"/>
    <w:rsid w:val="001544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poolChar">
    <w:name w:val="Normal-pool Char"/>
    <w:link w:val="Normal-pool"/>
    <w:rsid w:val="000B23F3"/>
    <w:rPr>
      <w:rFonts w:eastAsia="SimSun"/>
      <w:lang w:val="en-US" w:eastAsia="en-US"/>
    </w:rPr>
  </w:style>
  <w:style w:type="character" w:customStyle="1" w:styleId="NormalnumberChar">
    <w:name w:val="Normal_number Char"/>
    <w:link w:val="Normalnumber"/>
    <w:locked/>
    <w:rsid w:val="000B23F3"/>
    <w:rPr>
      <w:lang w:val="fr-CA" w:eastAsia="en-US"/>
    </w:rPr>
  </w:style>
  <w:style w:type="character" w:customStyle="1" w:styleId="CH2Char">
    <w:name w:val="CH2 Char"/>
    <w:link w:val="CH2"/>
    <w:rsid w:val="00364839"/>
    <w:rPr>
      <w:rFonts w:eastAsia="SimSun"/>
      <w:b/>
      <w:sz w:val="24"/>
      <w:szCs w:val="24"/>
      <w:lang w:val="en-US" w:eastAsia="en-US"/>
    </w:rPr>
  </w:style>
  <w:style w:type="character" w:customStyle="1" w:styleId="ZZAnxtitleChar">
    <w:name w:val="ZZ_Anx_title Char"/>
    <w:link w:val="ZZAnxtitle"/>
    <w:rsid w:val="00806E9D"/>
    <w:rPr>
      <w:rFonts w:eastAsia="SimSun"/>
      <w:b/>
      <w:bCs/>
      <w:sz w:val="28"/>
      <w:szCs w:val="26"/>
      <w:lang w:val="en-US" w:eastAsia="en-US"/>
    </w:rPr>
  </w:style>
  <w:style w:type="paragraph" w:styleId="Revision">
    <w:name w:val="Revision"/>
    <w:hidden/>
    <w:uiPriority w:val="99"/>
    <w:semiHidden/>
    <w:rsid w:val="00E30025"/>
    <w:rPr>
      <w:rFonts w:eastAsia="SimSun"/>
      <w:lang w:val="en-US" w:eastAsia="zh-CN"/>
    </w:rPr>
  </w:style>
  <w:style w:type="character" w:styleId="UnresolvedMention">
    <w:name w:val="Unresolved Mention"/>
    <w:basedOn w:val="DefaultParagraphFont"/>
    <w:uiPriority w:val="99"/>
    <w:semiHidden/>
    <w:unhideWhenUsed/>
    <w:rsid w:val="00BE6D2A"/>
    <w:rPr>
      <w:color w:val="605E5C"/>
      <w:shd w:val="clear" w:color="auto" w:fill="E1DFDD"/>
    </w:rPr>
  </w:style>
  <w:style w:type="character" w:customStyle="1" w:styleId="ZZAnxheaderChar">
    <w:name w:val="ZZ_Anx_header Char"/>
    <w:link w:val="ZZAnxheader"/>
    <w:locked/>
    <w:rsid w:val="00DD18A5"/>
    <w:rPr>
      <w:rFonts w:eastAsia="SimSun"/>
      <w:b/>
      <w:bCs/>
      <w:sz w:val="28"/>
      <w:szCs w:val="22"/>
      <w:lang w:val="en-US" w:eastAsia="en-US"/>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rsid w:val="00C07C49"/>
    <w:pPr>
      <w:spacing w:after="160" w:line="240" w:lineRule="exact"/>
    </w:pPr>
    <w:rPr>
      <w:rFonts w:eastAsiaTheme="minorEastAsia"/>
      <w:szCs w:val="18"/>
      <w:vertAlign w:val="superscript"/>
      <w:lang w:val="en-GB" w:eastAsia="en-GB"/>
    </w:rPr>
  </w:style>
  <w:style w:type="paragraph" w:customStyle="1" w:styleId="CM1">
    <w:name w:val="CM1"/>
    <w:basedOn w:val="Normal"/>
    <w:next w:val="Normal"/>
    <w:uiPriority w:val="99"/>
    <w:rsid w:val="00C07C49"/>
    <w:pPr>
      <w:autoSpaceDE w:val="0"/>
      <w:autoSpaceDN w:val="0"/>
      <w:adjustRightInd w:val="0"/>
    </w:pPr>
    <w:rPr>
      <w:rFonts w:eastAsiaTheme="minorHAnsi"/>
      <w:sz w:val="24"/>
      <w:szCs w:val="24"/>
      <w:lang w:val="en-IE" w:eastAsia="en-US"/>
      <w14:ligatures w14:val="standardContextual"/>
    </w:rPr>
  </w:style>
  <w:style w:type="paragraph" w:customStyle="1" w:styleId="CM4">
    <w:name w:val="CM4"/>
    <w:basedOn w:val="Normal"/>
    <w:next w:val="Normal"/>
    <w:uiPriority w:val="99"/>
    <w:rsid w:val="00C07C49"/>
    <w:pPr>
      <w:autoSpaceDE w:val="0"/>
      <w:autoSpaceDN w:val="0"/>
      <w:adjustRightInd w:val="0"/>
    </w:pPr>
    <w:rPr>
      <w:rFonts w:eastAsiaTheme="minorHAnsi"/>
      <w:sz w:val="24"/>
      <w:szCs w:val="24"/>
      <w:lang w:val="en-IE" w:eastAsia="en-US"/>
      <w14:ligatures w14:val="standardContextual"/>
    </w:rPr>
  </w:style>
  <w:style w:type="paragraph" w:customStyle="1" w:styleId="title-article-norm">
    <w:name w:val="title-article-norm"/>
    <w:basedOn w:val="Normal"/>
    <w:rsid w:val="00C07C49"/>
    <w:pPr>
      <w:spacing w:before="100" w:beforeAutospacing="1" w:after="100" w:afterAutospacing="1"/>
    </w:pPr>
    <w:rPr>
      <w:rFonts w:eastAsia="Times New Roman"/>
      <w:sz w:val="24"/>
      <w:szCs w:val="24"/>
      <w:lang w:val="en-IE" w:eastAsia="en-IE"/>
      <w14:ligatures w14:val="standardContextual"/>
    </w:rPr>
  </w:style>
  <w:style w:type="paragraph" w:customStyle="1" w:styleId="Default">
    <w:name w:val="Default"/>
    <w:rsid w:val="001505A4"/>
    <w:pPr>
      <w:autoSpaceDE w:val="0"/>
      <w:autoSpaceDN w:val="0"/>
      <w:adjustRightInd w:val="0"/>
    </w:pPr>
    <w:rPr>
      <w:rFonts w:ascii="Roboto" w:eastAsiaTheme="minorHAnsi" w:hAnsi="Roboto" w:cs="Roboto"/>
      <w:color w:val="000000"/>
      <w:sz w:val="24"/>
      <w:szCs w:val="24"/>
      <w:lang w:val="en-US" w:eastAsia="en-US"/>
    </w:rPr>
  </w:style>
  <w:style w:type="character" w:customStyle="1" w:styleId="A1">
    <w:name w:val="A1"/>
    <w:uiPriority w:val="99"/>
    <w:rsid w:val="001505A4"/>
    <w:rPr>
      <w:color w:val="000000"/>
      <w:sz w:val="22"/>
      <w:szCs w:val="22"/>
    </w:rPr>
  </w:style>
  <w:style w:type="paragraph" w:customStyle="1" w:styleId="Pa5">
    <w:name w:val="Pa5"/>
    <w:basedOn w:val="Default"/>
    <w:next w:val="Default"/>
    <w:uiPriority w:val="99"/>
    <w:rsid w:val="001505A4"/>
    <w:pPr>
      <w:spacing w:line="241" w:lineRule="atLeast"/>
    </w:pPr>
    <w:rPr>
      <w:rFonts w:ascii="Times New Roman" w:hAnsi="Times New Roman" w:cs="Times New Roman"/>
      <w:color w:val="auto"/>
    </w:rPr>
  </w:style>
  <w:style w:type="paragraph" w:customStyle="1" w:styleId="Pa6">
    <w:name w:val="Pa6"/>
    <w:basedOn w:val="Default"/>
    <w:next w:val="Default"/>
    <w:uiPriority w:val="99"/>
    <w:rsid w:val="001505A4"/>
    <w:pPr>
      <w:spacing w:line="241" w:lineRule="atLeast"/>
    </w:pPr>
    <w:rPr>
      <w:rFonts w:ascii="Times New Roman" w:hAnsi="Times New Roman" w:cs="Times New Roman"/>
      <w:color w:val="auto"/>
    </w:rPr>
  </w:style>
  <w:style w:type="paragraph" w:customStyle="1" w:styleId="Pa2">
    <w:name w:val="Pa2"/>
    <w:basedOn w:val="Default"/>
    <w:next w:val="Default"/>
    <w:uiPriority w:val="99"/>
    <w:rsid w:val="001505A4"/>
    <w:pPr>
      <w:spacing w:line="241" w:lineRule="atLeast"/>
    </w:pPr>
    <w:rPr>
      <w:rFonts w:ascii="Times New Roman" w:hAnsi="Times New Roman" w:cs="Times New Roman"/>
      <w:color w:val="auto"/>
    </w:rPr>
  </w:style>
  <w:style w:type="character" w:customStyle="1" w:styleId="ListParagraphChar">
    <w:name w:val="List Paragraph Char"/>
    <w:aliases w:val="Unordered List Char,List Paragraph 2 Char,Dot pt Char,F5 List Paragraph Char,List Paragraph1 Char,No Spacing1 Char,List Paragraph Char Char Char Char,Indicator Text Char,Numbered Para 1 Char,Bullet 1 Char,List Paragraph12 Char"/>
    <w:basedOn w:val="DefaultParagraphFont"/>
    <w:link w:val="ListParagraph"/>
    <w:uiPriority w:val="34"/>
    <w:rsid w:val="001C60ED"/>
    <w:rPr>
      <w:rFonts w:eastAsia="SimSun"/>
      <w:lang w:val="en-US" w:eastAsia="zh-CN"/>
    </w:rPr>
  </w:style>
  <w:style w:type="paragraph" w:customStyle="1" w:styleId="Brdtext">
    <w:name w:val="Brödtext"/>
    <w:rsid w:val="001C60ED"/>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left" w:pos="1247"/>
        <w:tab w:val="left" w:pos="1814"/>
        <w:tab w:val="left" w:pos="2381"/>
        <w:tab w:val="left" w:pos="2948"/>
        <w:tab w:val="left" w:pos="3515"/>
      </w:tabs>
    </w:pPr>
    <w:rPr>
      <w:rFonts w:eastAsia="Arial Unicode MS"/>
      <w:color w:val="000000"/>
      <w:sz w:val="24"/>
      <w:szCs w:val="24"/>
      <w:u w:color="000000"/>
      <w:lang w:eastAsia="zh-CN"/>
    </w:rPr>
  </w:style>
  <w:style w:type="paragraph" w:customStyle="1" w:styleId="BVIfnrCharCharCharChar">
    <w:name w:val="BVI fnr Char Char Char Char"/>
    <w:aliases w:val=" BVI fnr Car Car Char Char Char Char,BVI fnr Car Char Char Char Char, BVI fnr Car Car Car Car Char Char Char Char, BVI fnr Car Car Car Car Char Char Char1 Char Char,BVI fnr Car Car Char Char Char Char"/>
    <w:basedOn w:val="Normal"/>
    <w:unhideWhenUsed/>
    <w:rsid w:val="001C60ED"/>
    <w:pPr>
      <w:spacing w:before="120" w:after="160" w:line="240" w:lineRule="exact"/>
    </w:pPr>
    <w:rPr>
      <w:rFonts w:eastAsiaTheme="minorHAnsi" w:cstheme="minorBidi"/>
      <w:szCs w:val="18"/>
      <w:vertAlign w:val="superscript"/>
      <w:lang w:val="fr-FR" w:eastAsia="en-US"/>
    </w:rPr>
  </w:style>
  <w:style w:type="character" w:customStyle="1" w:styleId="Inget">
    <w:name w:val="Inget"/>
    <w:rsid w:val="001C60ED"/>
  </w:style>
  <w:style w:type="paragraph" w:styleId="TOCHeading">
    <w:name w:val="TOC Heading"/>
    <w:basedOn w:val="Heading1"/>
    <w:next w:val="Normal"/>
    <w:uiPriority w:val="39"/>
    <w:unhideWhenUsed/>
    <w:qFormat/>
    <w:rsid w:val="00755793"/>
    <w:pPr>
      <w:keepLines/>
      <w:spacing w:after="0" w:line="259" w:lineRule="auto"/>
      <w:ind w:left="0" w:firstLine="0"/>
      <w:outlineLvl w:val="9"/>
    </w:pPr>
    <w:rPr>
      <w:rFonts w:asciiTheme="majorHAnsi" w:eastAsiaTheme="majorEastAsia" w:hAnsiTheme="majorHAnsi" w:cstheme="majorBidi"/>
      <w:b w:val="0"/>
      <w:color w:val="2E74B5" w:themeColor="accent1" w:themeShade="BF"/>
      <w:sz w:val="32"/>
      <w:szCs w:val="32"/>
      <w:lang w:eastAsia="en-US"/>
    </w:rPr>
  </w:style>
  <w:style w:type="paragraph" w:customStyle="1" w:styleId="AATitle1">
    <w:name w:val="AA_Title1"/>
    <w:basedOn w:val="Normal-pool"/>
    <w:qFormat/>
    <w:rsid w:val="00755793"/>
    <w:pPr>
      <w:tabs>
        <w:tab w:val="clear" w:pos="1814"/>
        <w:tab w:val="clear" w:pos="2381"/>
        <w:tab w:val="clear" w:pos="2948"/>
        <w:tab w:val="clear" w:pos="3515"/>
        <w:tab w:val="clear" w:pos="4082"/>
        <w:tab w:val="left" w:pos="624"/>
        <w:tab w:val="left" w:pos="1871"/>
        <w:tab w:val="left" w:pos="2495"/>
        <w:tab w:val="left" w:pos="3119"/>
        <w:tab w:val="left" w:pos="3742"/>
        <w:tab w:val="left" w:pos="4366"/>
      </w:tabs>
    </w:pPr>
    <w:rPr>
      <w:rFonts w:eastAsia="Times New Roman"/>
    </w:rPr>
  </w:style>
  <w:style w:type="paragraph" w:styleId="Bibliography">
    <w:name w:val="Bibliography"/>
    <w:basedOn w:val="Normal"/>
    <w:next w:val="Normal"/>
    <w:uiPriority w:val="37"/>
    <w:semiHidden/>
    <w:unhideWhenUsed/>
    <w:rsid w:val="00830693"/>
  </w:style>
  <w:style w:type="paragraph" w:styleId="BlockText">
    <w:name w:val="Block Text"/>
    <w:basedOn w:val="Normal"/>
    <w:rsid w:val="0083069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rsid w:val="00830693"/>
    <w:pPr>
      <w:spacing w:after="120"/>
    </w:pPr>
  </w:style>
  <w:style w:type="character" w:customStyle="1" w:styleId="BodyTextChar">
    <w:name w:val="Body Text Char"/>
    <w:basedOn w:val="DefaultParagraphFont"/>
    <w:link w:val="BodyText"/>
    <w:rsid w:val="00830693"/>
    <w:rPr>
      <w:rFonts w:eastAsia="SimSun"/>
      <w:lang w:val="en-US" w:eastAsia="zh-CN"/>
    </w:rPr>
  </w:style>
  <w:style w:type="paragraph" w:styleId="BodyText2">
    <w:name w:val="Body Text 2"/>
    <w:basedOn w:val="Normal"/>
    <w:link w:val="BodyText2Char"/>
    <w:rsid w:val="00830693"/>
    <w:pPr>
      <w:spacing w:after="120" w:line="480" w:lineRule="auto"/>
    </w:pPr>
  </w:style>
  <w:style w:type="character" w:customStyle="1" w:styleId="BodyText2Char">
    <w:name w:val="Body Text 2 Char"/>
    <w:basedOn w:val="DefaultParagraphFont"/>
    <w:link w:val="BodyText2"/>
    <w:rsid w:val="00830693"/>
    <w:rPr>
      <w:rFonts w:eastAsia="SimSun"/>
      <w:lang w:val="en-US" w:eastAsia="zh-CN"/>
    </w:rPr>
  </w:style>
  <w:style w:type="paragraph" w:styleId="BodyText3">
    <w:name w:val="Body Text 3"/>
    <w:basedOn w:val="Normal"/>
    <w:link w:val="BodyText3Char"/>
    <w:rsid w:val="00830693"/>
    <w:pPr>
      <w:spacing w:after="120"/>
    </w:pPr>
    <w:rPr>
      <w:sz w:val="16"/>
      <w:szCs w:val="16"/>
    </w:rPr>
  </w:style>
  <w:style w:type="character" w:customStyle="1" w:styleId="BodyText3Char">
    <w:name w:val="Body Text 3 Char"/>
    <w:basedOn w:val="DefaultParagraphFont"/>
    <w:link w:val="BodyText3"/>
    <w:rsid w:val="00830693"/>
    <w:rPr>
      <w:rFonts w:eastAsia="SimSun"/>
      <w:sz w:val="16"/>
      <w:szCs w:val="16"/>
      <w:lang w:val="en-US" w:eastAsia="zh-CN"/>
    </w:rPr>
  </w:style>
  <w:style w:type="paragraph" w:styleId="BodyTextFirstIndent">
    <w:name w:val="Body Text First Indent"/>
    <w:basedOn w:val="BodyText"/>
    <w:link w:val="BodyTextFirstIndentChar"/>
    <w:rsid w:val="00830693"/>
    <w:pPr>
      <w:spacing w:after="0"/>
      <w:ind w:firstLine="360"/>
    </w:pPr>
  </w:style>
  <w:style w:type="character" w:customStyle="1" w:styleId="BodyTextFirstIndentChar">
    <w:name w:val="Body Text First Indent Char"/>
    <w:basedOn w:val="BodyTextChar"/>
    <w:link w:val="BodyTextFirstIndent"/>
    <w:rsid w:val="00830693"/>
    <w:rPr>
      <w:rFonts w:eastAsia="SimSun"/>
      <w:lang w:val="en-US" w:eastAsia="zh-CN"/>
    </w:rPr>
  </w:style>
  <w:style w:type="paragraph" w:styleId="BodyTextIndent">
    <w:name w:val="Body Text Indent"/>
    <w:basedOn w:val="Normal"/>
    <w:link w:val="BodyTextIndentChar"/>
    <w:rsid w:val="00830693"/>
    <w:pPr>
      <w:spacing w:after="120"/>
      <w:ind w:left="283"/>
    </w:pPr>
  </w:style>
  <w:style w:type="character" w:customStyle="1" w:styleId="BodyTextIndentChar">
    <w:name w:val="Body Text Indent Char"/>
    <w:basedOn w:val="DefaultParagraphFont"/>
    <w:link w:val="BodyTextIndent"/>
    <w:rsid w:val="00830693"/>
    <w:rPr>
      <w:rFonts w:eastAsia="SimSun"/>
      <w:lang w:val="en-US" w:eastAsia="zh-CN"/>
    </w:rPr>
  </w:style>
  <w:style w:type="paragraph" w:styleId="BodyTextFirstIndent2">
    <w:name w:val="Body Text First Indent 2"/>
    <w:basedOn w:val="BodyTextIndent"/>
    <w:link w:val="BodyTextFirstIndent2Char"/>
    <w:rsid w:val="00830693"/>
    <w:pPr>
      <w:spacing w:after="0"/>
      <w:ind w:left="360" w:firstLine="360"/>
    </w:pPr>
  </w:style>
  <w:style w:type="character" w:customStyle="1" w:styleId="BodyTextFirstIndent2Char">
    <w:name w:val="Body Text First Indent 2 Char"/>
    <w:basedOn w:val="BodyTextIndentChar"/>
    <w:link w:val="BodyTextFirstIndent2"/>
    <w:rsid w:val="00830693"/>
    <w:rPr>
      <w:rFonts w:eastAsia="SimSun"/>
      <w:lang w:val="en-US" w:eastAsia="zh-CN"/>
    </w:rPr>
  </w:style>
  <w:style w:type="paragraph" w:styleId="BodyTextIndent2">
    <w:name w:val="Body Text Indent 2"/>
    <w:basedOn w:val="Normal"/>
    <w:link w:val="BodyTextIndent2Char"/>
    <w:rsid w:val="00830693"/>
    <w:pPr>
      <w:spacing w:after="120" w:line="480" w:lineRule="auto"/>
      <w:ind w:left="283"/>
    </w:pPr>
  </w:style>
  <w:style w:type="character" w:customStyle="1" w:styleId="BodyTextIndent2Char">
    <w:name w:val="Body Text Indent 2 Char"/>
    <w:basedOn w:val="DefaultParagraphFont"/>
    <w:link w:val="BodyTextIndent2"/>
    <w:rsid w:val="00830693"/>
    <w:rPr>
      <w:rFonts w:eastAsia="SimSun"/>
      <w:lang w:val="en-US" w:eastAsia="zh-CN"/>
    </w:rPr>
  </w:style>
  <w:style w:type="paragraph" w:styleId="BodyTextIndent3">
    <w:name w:val="Body Text Indent 3"/>
    <w:basedOn w:val="Normal"/>
    <w:link w:val="BodyTextIndent3Char"/>
    <w:rsid w:val="00830693"/>
    <w:pPr>
      <w:spacing w:after="120"/>
      <w:ind w:left="283"/>
    </w:pPr>
    <w:rPr>
      <w:sz w:val="16"/>
      <w:szCs w:val="16"/>
    </w:rPr>
  </w:style>
  <w:style w:type="character" w:customStyle="1" w:styleId="BodyTextIndent3Char">
    <w:name w:val="Body Text Indent 3 Char"/>
    <w:basedOn w:val="DefaultParagraphFont"/>
    <w:link w:val="BodyTextIndent3"/>
    <w:rsid w:val="00830693"/>
    <w:rPr>
      <w:rFonts w:eastAsia="SimSun"/>
      <w:sz w:val="16"/>
      <w:szCs w:val="16"/>
      <w:lang w:val="en-US" w:eastAsia="zh-CN"/>
    </w:rPr>
  </w:style>
  <w:style w:type="paragraph" w:styleId="Caption">
    <w:name w:val="caption"/>
    <w:basedOn w:val="Normal"/>
    <w:next w:val="Normal"/>
    <w:semiHidden/>
    <w:unhideWhenUsed/>
    <w:qFormat/>
    <w:rsid w:val="00830693"/>
    <w:pPr>
      <w:spacing w:after="200"/>
    </w:pPr>
    <w:rPr>
      <w:i/>
      <w:iCs/>
      <w:color w:val="44546A" w:themeColor="text2"/>
      <w:sz w:val="18"/>
      <w:szCs w:val="18"/>
    </w:rPr>
  </w:style>
  <w:style w:type="paragraph" w:styleId="Closing">
    <w:name w:val="Closing"/>
    <w:basedOn w:val="Normal"/>
    <w:link w:val="ClosingChar"/>
    <w:rsid w:val="00830693"/>
    <w:pPr>
      <w:ind w:left="4252"/>
    </w:pPr>
  </w:style>
  <w:style w:type="character" w:customStyle="1" w:styleId="ClosingChar">
    <w:name w:val="Closing Char"/>
    <w:basedOn w:val="DefaultParagraphFont"/>
    <w:link w:val="Closing"/>
    <w:rsid w:val="00830693"/>
    <w:rPr>
      <w:rFonts w:eastAsia="SimSun"/>
      <w:lang w:val="en-US" w:eastAsia="zh-CN"/>
    </w:rPr>
  </w:style>
  <w:style w:type="paragraph" w:styleId="Date">
    <w:name w:val="Date"/>
    <w:basedOn w:val="Normal"/>
    <w:next w:val="Normal"/>
    <w:link w:val="DateChar"/>
    <w:rsid w:val="00830693"/>
  </w:style>
  <w:style w:type="character" w:customStyle="1" w:styleId="DateChar">
    <w:name w:val="Date Char"/>
    <w:basedOn w:val="DefaultParagraphFont"/>
    <w:link w:val="Date"/>
    <w:rsid w:val="00830693"/>
    <w:rPr>
      <w:rFonts w:eastAsia="SimSun"/>
      <w:lang w:val="en-US" w:eastAsia="zh-CN"/>
    </w:rPr>
  </w:style>
  <w:style w:type="paragraph" w:styleId="DocumentMap">
    <w:name w:val="Document Map"/>
    <w:basedOn w:val="Normal"/>
    <w:link w:val="DocumentMapChar"/>
    <w:rsid w:val="00830693"/>
    <w:rPr>
      <w:rFonts w:ascii="Segoe UI" w:hAnsi="Segoe UI" w:cs="Segoe UI"/>
      <w:sz w:val="16"/>
      <w:szCs w:val="16"/>
    </w:rPr>
  </w:style>
  <w:style w:type="character" w:customStyle="1" w:styleId="DocumentMapChar">
    <w:name w:val="Document Map Char"/>
    <w:basedOn w:val="DefaultParagraphFont"/>
    <w:link w:val="DocumentMap"/>
    <w:rsid w:val="00830693"/>
    <w:rPr>
      <w:rFonts w:ascii="Segoe UI" w:eastAsia="SimSun" w:hAnsi="Segoe UI" w:cs="Segoe UI"/>
      <w:sz w:val="16"/>
      <w:szCs w:val="16"/>
      <w:lang w:val="en-US" w:eastAsia="zh-CN"/>
    </w:rPr>
  </w:style>
  <w:style w:type="paragraph" w:styleId="E-mailSignature">
    <w:name w:val="E-mail Signature"/>
    <w:basedOn w:val="Normal"/>
    <w:link w:val="E-mailSignatureChar"/>
    <w:rsid w:val="00830693"/>
  </w:style>
  <w:style w:type="character" w:customStyle="1" w:styleId="E-mailSignatureChar">
    <w:name w:val="E-mail Signature Char"/>
    <w:basedOn w:val="DefaultParagraphFont"/>
    <w:link w:val="E-mailSignature"/>
    <w:rsid w:val="00830693"/>
    <w:rPr>
      <w:rFonts w:eastAsia="SimSun"/>
      <w:lang w:val="en-US" w:eastAsia="zh-CN"/>
    </w:rPr>
  </w:style>
  <w:style w:type="paragraph" w:styleId="EndnoteText">
    <w:name w:val="endnote text"/>
    <w:basedOn w:val="Normal"/>
    <w:link w:val="EndnoteTextChar"/>
    <w:rsid w:val="00830693"/>
  </w:style>
  <w:style w:type="character" w:customStyle="1" w:styleId="EndnoteTextChar">
    <w:name w:val="Endnote Text Char"/>
    <w:basedOn w:val="DefaultParagraphFont"/>
    <w:link w:val="EndnoteText"/>
    <w:rsid w:val="00830693"/>
    <w:rPr>
      <w:rFonts w:eastAsia="SimSun"/>
      <w:lang w:val="en-US" w:eastAsia="zh-CN"/>
    </w:rPr>
  </w:style>
  <w:style w:type="paragraph" w:styleId="EnvelopeAddress">
    <w:name w:val="envelope address"/>
    <w:basedOn w:val="Normal"/>
    <w:rsid w:val="00830693"/>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rsid w:val="00830693"/>
    <w:rPr>
      <w:rFonts w:asciiTheme="majorHAnsi" w:eastAsiaTheme="majorEastAsia" w:hAnsiTheme="majorHAnsi" w:cstheme="majorBidi"/>
    </w:rPr>
  </w:style>
  <w:style w:type="paragraph" w:styleId="HTMLAddress">
    <w:name w:val="HTML Address"/>
    <w:basedOn w:val="Normal"/>
    <w:link w:val="HTMLAddressChar"/>
    <w:rsid w:val="00830693"/>
    <w:rPr>
      <w:i/>
      <w:iCs/>
    </w:rPr>
  </w:style>
  <w:style w:type="character" w:customStyle="1" w:styleId="HTMLAddressChar">
    <w:name w:val="HTML Address Char"/>
    <w:basedOn w:val="DefaultParagraphFont"/>
    <w:link w:val="HTMLAddress"/>
    <w:rsid w:val="00830693"/>
    <w:rPr>
      <w:rFonts w:eastAsia="SimSun"/>
      <w:i/>
      <w:iCs/>
      <w:lang w:val="en-US" w:eastAsia="zh-CN"/>
    </w:rPr>
  </w:style>
  <w:style w:type="paragraph" w:styleId="HTMLPreformatted">
    <w:name w:val="HTML Preformatted"/>
    <w:basedOn w:val="Normal"/>
    <w:link w:val="HTMLPreformattedChar"/>
    <w:rsid w:val="00830693"/>
    <w:rPr>
      <w:rFonts w:ascii="Consolas" w:hAnsi="Consolas"/>
    </w:rPr>
  </w:style>
  <w:style w:type="character" w:customStyle="1" w:styleId="HTMLPreformattedChar">
    <w:name w:val="HTML Preformatted Char"/>
    <w:basedOn w:val="DefaultParagraphFont"/>
    <w:link w:val="HTMLPreformatted"/>
    <w:rsid w:val="00830693"/>
    <w:rPr>
      <w:rFonts w:ascii="Consolas" w:eastAsia="SimSun" w:hAnsi="Consolas"/>
      <w:lang w:val="en-US" w:eastAsia="zh-CN"/>
    </w:rPr>
  </w:style>
  <w:style w:type="paragraph" w:styleId="Index1">
    <w:name w:val="index 1"/>
    <w:basedOn w:val="Normal"/>
    <w:next w:val="Normal"/>
    <w:autoRedefine/>
    <w:rsid w:val="00830693"/>
    <w:pPr>
      <w:ind w:left="200" w:hanging="200"/>
    </w:pPr>
  </w:style>
  <w:style w:type="paragraph" w:styleId="Index2">
    <w:name w:val="index 2"/>
    <w:basedOn w:val="Normal"/>
    <w:next w:val="Normal"/>
    <w:autoRedefine/>
    <w:rsid w:val="00830693"/>
    <w:pPr>
      <w:ind w:left="400" w:hanging="200"/>
    </w:pPr>
  </w:style>
  <w:style w:type="paragraph" w:styleId="Index3">
    <w:name w:val="index 3"/>
    <w:basedOn w:val="Normal"/>
    <w:next w:val="Normal"/>
    <w:autoRedefine/>
    <w:rsid w:val="00830693"/>
    <w:pPr>
      <w:ind w:left="600" w:hanging="200"/>
    </w:pPr>
  </w:style>
  <w:style w:type="paragraph" w:styleId="Index4">
    <w:name w:val="index 4"/>
    <w:basedOn w:val="Normal"/>
    <w:next w:val="Normal"/>
    <w:autoRedefine/>
    <w:rsid w:val="00830693"/>
    <w:pPr>
      <w:ind w:left="800" w:hanging="200"/>
    </w:pPr>
  </w:style>
  <w:style w:type="paragraph" w:styleId="Index5">
    <w:name w:val="index 5"/>
    <w:basedOn w:val="Normal"/>
    <w:next w:val="Normal"/>
    <w:autoRedefine/>
    <w:rsid w:val="00830693"/>
    <w:pPr>
      <w:ind w:left="1000" w:hanging="200"/>
    </w:pPr>
  </w:style>
  <w:style w:type="paragraph" w:styleId="Index6">
    <w:name w:val="index 6"/>
    <w:basedOn w:val="Normal"/>
    <w:next w:val="Normal"/>
    <w:autoRedefine/>
    <w:rsid w:val="00830693"/>
    <w:pPr>
      <w:ind w:left="1200" w:hanging="200"/>
    </w:pPr>
  </w:style>
  <w:style w:type="paragraph" w:styleId="Index7">
    <w:name w:val="index 7"/>
    <w:basedOn w:val="Normal"/>
    <w:next w:val="Normal"/>
    <w:autoRedefine/>
    <w:rsid w:val="00830693"/>
    <w:pPr>
      <w:ind w:left="1400" w:hanging="200"/>
    </w:pPr>
  </w:style>
  <w:style w:type="paragraph" w:styleId="Index8">
    <w:name w:val="index 8"/>
    <w:basedOn w:val="Normal"/>
    <w:next w:val="Normal"/>
    <w:autoRedefine/>
    <w:rsid w:val="00830693"/>
    <w:pPr>
      <w:ind w:left="1600" w:hanging="200"/>
    </w:pPr>
  </w:style>
  <w:style w:type="paragraph" w:styleId="Index9">
    <w:name w:val="index 9"/>
    <w:basedOn w:val="Normal"/>
    <w:next w:val="Normal"/>
    <w:autoRedefine/>
    <w:rsid w:val="00830693"/>
    <w:pPr>
      <w:ind w:left="1800" w:hanging="200"/>
    </w:pPr>
  </w:style>
  <w:style w:type="paragraph" w:styleId="IndexHeading">
    <w:name w:val="index heading"/>
    <w:basedOn w:val="Normal"/>
    <w:next w:val="Index1"/>
    <w:rsid w:val="0083069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3069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30693"/>
    <w:rPr>
      <w:rFonts w:eastAsia="SimSun"/>
      <w:i/>
      <w:iCs/>
      <w:color w:val="5B9BD5" w:themeColor="accent1"/>
      <w:lang w:val="en-US" w:eastAsia="zh-CN"/>
    </w:rPr>
  </w:style>
  <w:style w:type="paragraph" w:styleId="List">
    <w:name w:val="List"/>
    <w:basedOn w:val="Normal"/>
    <w:rsid w:val="00830693"/>
    <w:pPr>
      <w:ind w:left="283" w:hanging="283"/>
      <w:contextualSpacing/>
    </w:pPr>
  </w:style>
  <w:style w:type="paragraph" w:styleId="List2">
    <w:name w:val="List 2"/>
    <w:basedOn w:val="Normal"/>
    <w:rsid w:val="00830693"/>
    <w:pPr>
      <w:ind w:left="566" w:hanging="283"/>
      <w:contextualSpacing/>
    </w:pPr>
  </w:style>
  <w:style w:type="paragraph" w:styleId="List3">
    <w:name w:val="List 3"/>
    <w:basedOn w:val="Normal"/>
    <w:rsid w:val="00830693"/>
    <w:pPr>
      <w:ind w:left="849" w:hanging="283"/>
      <w:contextualSpacing/>
    </w:pPr>
  </w:style>
  <w:style w:type="paragraph" w:styleId="List4">
    <w:name w:val="List 4"/>
    <w:basedOn w:val="Normal"/>
    <w:rsid w:val="00830693"/>
    <w:pPr>
      <w:ind w:left="1132" w:hanging="283"/>
      <w:contextualSpacing/>
    </w:pPr>
  </w:style>
  <w:style w:type="paragraph" w:styleId="List5">
    <w:name w:val="List 5"/>
    <w:basedOn w:val="Normal"/>
    <w:rsid w:val="00830693"/>
    <w:pPr>
      <w:ind w:left="1415" w:hanging="283"/>
      <w:contextualSpacing/>
    </w:pPr>
  </w:style>
  <w:style w:type="paragraph" w:styleId="ListBullet">
    <w:name w:val="List Bullet"/>
    <w:basedOn w:val="Normal"/>
    <w:rsid w:val="00830693"/>
    <w:pPr>
      <w:numPr>
        <w:numId w:val="20"/>
      </w:numPr>
      <w:contextualSpacing/>
    </w:pPr>
  </w:style>
  <w:style w:type="paragraph" w:styleId="ListBullet2">
    <w:name w:val="List Bullet 2"/>
    <w:basedOn w:val="Normal"/>
    <w:rsid w:val="00830693"/>
    <w:pPr>
      <w:numPr>
        <w:numId w:val="21"/>
      </w:numPr>
      <w:contextualSpacing/>
    </w:pPr>
  </w:style>
  <w:style w:type="paragraph" w:styleId="ListBullet3">
    <w:name w:val="List Bullet 3"/>
    <w:basedOn w:val="Normal"/>
    <w:rsid w:val="00830693"/>
    <w:pPr>
      <w:numPr>
        <w:numId w:val="22"/>
      </w:numPr>
      <w:contextualSpacing/>
    </w:pPr>
  </w:style>
  <w:style w:type="paragraph" w:styleId="ListBullet4">
    <w:name w:val="List Bullet 4"/>
    <w:basedOn w:val="Normal"/>
    <w:rsid w:val="00830693"/>
    <w:pPr>
      <w:numPr>
        <w:numId w:val="23"/>
      </w:numPr>
      <w:contextualSpacing/>
    </w:pPr>
  </w:style>
  <w:style w:type="paragraph" w:styleId="ListBullet5">
    <w:name w:val="List Bullet 5"/>
    <w:basedOn w:val="Normal"/>
    <w:rsid w:val="00830693"/>
    <w:pPr>
      <w:numPr>
        <w:numId w:val="24"/>
      </w:numPr>
      <w:contextualSpacing/>
    </w:pPr>
  </w:style>
  <w:style w:type="paragraph" w:styleId="ListContinue">
    <w:name w:val="List Continue"/>
    <w:basedOn w:val="Normal"/>
    <w:rsid w:val="00830693"/>
    <w:pPr>
      <w:spacing w:after="120"/>
      <w:ind w:left="283"/>
      <w:contextualSpacing/>
    </w:pPr>
  </w:style>
  <w:style w:type="paragraph" w:styleId="ListContinue2">
    <w:name w:val="List Continue 2"/>
    <w:basedOn w:val="Normal"/>
    <w:rsid w:val="00830693"/>
    <w:pPr>
      <w:spacing w:after="120"/>
      <w:ind w:left="566"/>
      <w:contextualSpacing/>
    </w:pPr>
  </w:style>
  <w:style w:type="paragraph" w:styleId="ListContinue3">
    <w:name w:val="List Continue 3"/>
    <w:basedOn w:val="Normal"/>
    <w:rsid w:val="00830693"/>
    <w:pPr>
      <w:spacing w:after="120"/>
      <w:ind w:left="849"/>
      <w:contextualSpacing/>
    </w:pPr>
  </w:style>
  <w:style w:type="paragraph" w:styleId="ListContinue4">
    <w:name w:val="List Continue 4"/>
    <w:basedOn w:val="Normal"/>
    <w:rsid w:val="00830693"/>
    <w:pPr>
      <w:spacing w:after="120"/>
      <w:ind w:left="1132"/>
      <w:contextualSpacing/>
    </w:pPr>
  </w:style>
  <w:style w:type="paragraph" w:styleId="ListContinue5">
    <w:name w:val="List Continue 5"/>
    <w:basedOn w:val="Normal"/>
    <w:rsid w:val="00830693"/>
    <w:pPr>
      <w:spacing w:after="120"/>
      <w:ind w:left="1415"/>
      <w:contextualSpacing/>
    </w:pPr>
  </w:style>
  <w:style w:type="paragraph" w:styleId="ListNumber">
    <w:name w:val="List Number"/>
    <w:basedOn w:val="Normal"/>
    <w:rsid w:val="00830693"/>
    <w:pPr>
      <w:numPr>
        <w:numId w:val="25"/>
      </w:numPr>
      <w:contextualSpacing/>
    </w:pPr>
  </w:style>
  <w:style w:type="paragraph" w:styleId="ListNumber2">
    <w:name w:val="List Number 2"/>
    <w:basedOn w:val="Normal"/>
    <w:rsid w:val="00830693"/>
    <w:pPr>
      <w:numPr>
        <w:numId w:val="26"/>
      </w:numPr>
      <w:contextualSpacing/>
    </w:pPr>
  </w:style>
  <w:style w:type="paragraph" w:styleId="ListNumber3">
    <w:name w:val="List Number 3"/>
    <w:basedOn w:val="Normal"/>
    <w:rsid w:val="00830693"/>
    <w:pPr>
      <w:numPr>
        <w:numId w:val="27"/>
      </w:numPr>
      <w:contextualSpacing/>
    </w:pPr>
  </w:style>
  <w:style w:type="paragraph" w:styleId="ListNumber4">
    <w:name w:val="List Number 4"/>
    <w:basedOn w:val="Normal"/>
    <w:rsid w:val="00830693"/>
    <w:pPr>
      <w:numPr>
        <w:numId w:val="28"/>
      </w:numPr>
      <w:contextualSpacing/>
    </w:pPr>
  </w:style>
  <w:style w:type="paragraph" w:styleId="ListNumber5">
    <w:name w:val="List Number 5"/>
    <w:basedOn w:val="Normal"/>
    <w:rsid w:val="00830693"/>
    <w:pPr>
      <w:numPr>
        <w:numId w:val="29"/>
      </w:numPr>
      <w:contextualSpacing/>
    </w:pPr>
  </w:style>
  <w:style w:type="paragraph" w:styleId="MacroText">
    <w:name w:val="macro"/>
    <w:link w:val="MacroTextChar"/>
    <w:rsid w:val="00830693"/>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lang w:val="en-US" w:eastAsia="zh-CN"/>
    </w:rPr>
  </w:style>
  <w:style w:type="character" w:customStyle="1" w:styleId="MacroTextChar">
    <w:name w:val="Macro Text Char"/>
    <w:basedOn w:val="DefaultParagraphFont"/>
    <w:link w:val="MacroText"/>
    <w:rsid w:val="00830693"/>
    <w:rPr>
      <w:rFonts w:ascii="Consolas" w:eastAsia="SimSun" w:hAnsi="Consolas"/>
      <w:lang w:val="en-US" w:eastAsia="zh-CN"/>
    </w:rPr>
  </w:style>
  <w:style w:type="paragraph" w:styleId="MessageHeader">
    <w:name w:val="Message Header"/>
    <w:basedOn w:val="Normal"/>
    <w:link w:val="MessageHeaderChar"/>
    <w:rsid w:val="0083069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30693"/>
    <w:rPr>
      <w:rFonts w:asciiTheme="majorHAnsi" w:eastAsiaTheme="majorEastAsia" w:hAnsiTheme="majorHAnsi" w:cstheme="majorBidi"/>
      <w:sz w:val="24"/>
      <w:szCs w:val="24"/>
      <w:shd w:val="pct20" w:color="auto" w:fill="auto"/>
      <w:lang w:val="en-US" w:eastAsia="zh-CN"/>
    </w:rPr>
  </w:style>
  <w:style w:type="paragraph" w:styleId="NoSpacing">
    <w:name w:val="No Spacing"/>
    <w:uiPriority w:val="1"/>
    <w:qFormat/>
    <w:rsid w:val="00830693"/>
    <w:rPr>
      <w:rFonts w:eastAsia="SimSun"/>
      <w:lang w:val="en-US" w:eastAsia="zh-CN"/>
    </w:rPr>
  </w:style>
  <w:style w:type="paragraph" w:styleId="NormalIndent">
    <w:name w:val="Normal Indent"/>
    <w:basedOn w:val="Normal"/>
    <w:rsid w:val="00830693"/>
    <w:pPr>
      <w:ind w:left="720"/>
    </w:pPr>
  </w:style>
  <w:style w:type="paragraph" w:styleId="NoteHeading">
    <w:name w:val="Note Heading"/>
    <w:basedOn w:val="Normal"/>
    <w:next w:val="Normal"/>
    <w:link w:val="NoteHeadingChar"/>
    <w:rsid w:val="00830693"/>
  </w:style>
  <w:style w:type="character" w:customStyle="1" w:styleId="NoteHeadingChar">
    <w:name w:val="Note Heading Char"/>
    <w:basedOn w:val="DefaultParagraphFont"/>
    <w:link w:val="NoteHeading"/>
    <w:rsid w:val="00830693"/>
    <w:rPr>
      <w:rFonts w:eastAsia="SimSun"/>
      <w:lang w:val="en-US" w:eastAsia="zh-CN"/>
    </w:rPr>
  </w:style>
  <w:style w:type="paragraph" w:styleId="PlainText">
    <w:name w:val="Plain Text"/>
    <w:basedOn w:val="Normal"/>
    <w:link w:val="PlainTextChar"/>
    <w:rsid w:val="00830693"/>
    <w:rPr>
      <w:rFonts w:ascii="Consolas" w:hAnsi="Consolas"/>
      <w:sz w:val="21"/>
      <w:szCs w:val="21"/>
    </w:rPr>
  </w:style>
  <w:style w:type="character" w:customStyle="1" w:styleId="PlainTextChar">
    <w:name w:val="Plain Text Char"/>
    <w:basedOn w:val="DefaultParagraphFont"/>
    <w:link w:val="PlainText"/>
    <w:rsid w:val="00830693"/>
    <w:rPr>
      <w:rFonts w:ascii="Consolas" w:eastAsia="SimSun" w:hAnsi="Consolas"/>
      <w:sz w:val="21"/>
      <w:szCs w:val="21"/>
      <w:lang w:val="en-US" w:eastAsia="zh-CN"/>
    </w:rPr>
  </w:style>
  <w:style w:type="paragraph" w:styleId="Quote">
    <w:name w:val="Quote"/>
    <w:basedOn w:val="Normal"/>
    <w:next w:val="Normal"/>
    <w:link w:val="QuoteChar"/>
    <w:uiPriority w:val="29"/>
    <w:qFormat/>
    <w:rsid w:val="0083069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30693"/>
    <w:rPr>
      <w:rFonts w:eastAsia="SimSun"/>
      <w:i/>
      <w:iCs/>
      <w:color w:val="404040" w:themeColor="text1" w:themeTint="BF"/>
      <w:lang w:val="en-US" w:eastAsia="zh-CN"/>
    </w:rPr>
  </w:style>
  <w:style w:type="paragraph" w:styleId="Salutation">
    <w:name w:val="Salutation"/>
    <w:basedOn w:val="Normal"/>
    <w:next w:val="Normal"/>
    <w:link w:val="SalutationChar"/>
    <w:rsid w:val="00830693"/>
  </w:style>
  <w:style w:type="character" w:customStyle="1" w:styleId="SalutationChar">
    <w:name w:val="Salutation Char"/>
    <w:basedOn w:val="DefaultParagraphFont"/>
    <w:link w:val="Salutation"/>
    <w:rsid w:val="00830693"/>
    <w:rPr>
      <w:rFonts w:eastAsia="SimSun"/>
      <w:lang w:val="en-US" w:eastAsia="zh-CN"/>
    </w:rPr>
  </w:style>
  <w:style w:type="paragraph" w:styleId="Signature">
    <w:name w:val="Signature"/>
    <w:basedOn w:val="Normal"/>
    <w:link w:val="SignatureChar"/>
    <w:rsid w:val="00830693"/>
    <w:pPr>
      <w:ind w:left="4252"/>
    </w:pPr>
  </w:style>
  <w:style w:type="character" w:customStyle="1" w:styleId="SignatureChar">
    <w:name w:val="Signature Char"/>
    <w:basedOn w:val="DefaultParagraphFont"/>
    <w:link w:val="Signature"/>
    <w:rsid w:val="00830693"/>
    <w:rPr>
      <w:rFonts w:eastAsia="SimSun"/>
      <w:lang w:val="en-US" w:eastAsia="zh-CN"/>
    </w:rPr>
  </w:style>
  <w:style w:type="paragraph" w:styleId="Subtitle">
    <w:name w:val="Subtitle"/>
    <w:basedOn w:val="Normal"/>
    <w:next w:val="Normal"/>
    <w:link w:val="SubtitleChar"/>
    <w:qFormat/>
    <w:rsid w:val="0083069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30693"/>
    <w:rPr>
      <w:rFonts w:asciiTheme="minorHAnsi" w:hAnsiTheme="minorHAnsi" w:cstheme="minorBidi"/>
      <w:color w:val="5A5A5A" w:themeColor="text1" w:themeTint="A5"/>
      <w:spacing w:val="15"/>
      <w:sz w:val="22"/>
      <w:szCs w:val="22"/>
      <w:lang w:val="en-US" w:eastAsia="zh-CN"/>
    </w:rPr>
  </w:style>
  <w:style w:type="paragraph" w:styleId="TableofAuthorities">
    <w:name w:val="table of authorities"/>
    <w:basedOn w:val="Normal"/>
    <w:next w:val="Normal"/>
    <w:rsid w:val="00830693"/>
    <w:pPr>
      <w:ind w:left="200" w:hanging="200"/>
    </w:pPr>
  </w:style>
  <w:style w:type="paragraph" w:styleId="Title">
    <w:name w:val="Title"/>
    <w:basedOn w:val="Normal"/>
    <w:next w:val="Normal"/>
    <w:link w:val="TitleChar"/>
    <w:qFormat/>
    <w:rsid w:val="0083069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30693"/>
    <w:rPr>
      <w:rFonts w:asciiTheme="majorHAnsi" w:eastAsiaTheme="majorEastAsia" w:hAnsiTheme="majorHAnsi" w:cstheme="majorBidi"/>
      <w:spacing w:val="-10"/>
      <w:kern w:val="28"/>
      <w:sz w:val="56"/>
      <w:szCs w:val="56"/>
      <w:lang w:val="en-US" w:eastAsia="zh-CN"/>
    </w:rPr>
  </w:style>
  <w:style w:type="paragraph" w:styleId="TOAHeading">
    <w:name w:val="toa heading"/>
    <w:basedOn w:val="Normal"/>
    <w:next w:val="Normal"/>
    <w:rsid w:val="00830693"/>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902645289">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mmission.europa.eu/strategy-and-policy/priorities-2019-2024/european-green-deal_en"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nvironment.ec.europa.eu/strategy/zero-pollution-action-plan_en"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vironment.ec.europa.eu/strategy/chemicals-strategy_en" TargetMode="External"/><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N/TXT/?uri=CELEX:31986L0278" TargetMode="External"/><Relationship Id="rId3" Type="http://schemas.openxmlformats.org/officeDocument/2006/relationships/hyperlink" Target="http://data.europa.eu/eli/reg/2024/1849/oj" TargetMode="External"/><Relationship Id="rId7" Type="http://schemas.openxmlformats.org/officeDocument/2006/relationships/hyperlink" Target="http://data.europa.eu/eli/dec/2003/33(1)/oj" TargetMode="External"/><Relationship Id="rId12" Type="http://schemas.openxmlformats.org/officeDocument/2006/relationships/hyperlink" Target="https://minamataconvention.org/en/topics/mercury-wastes/intersessional-work" TargetMode="External"/><Relationship Id="rId2" Type="http://schemas.openxmlformats.org/officeDocument/2006/relationships/hyperlink" Target="https://eur-lex.europa.eu/eli/reg/2024/1849/oj" TargetMode="External"/><Relationship Id="rId1" Type="http://schemas.openxmlformats.org/officeDocument/2006/relationships/hyperlink" Target="https://minamataconvention.org/en/topics/mercury-wastes/intersessional-work" TargetMode="External"/><Relationship Id="rId6" Type="http://schemas.openxmlformats.org/officeDocument/2006/relationships/hyperlink" Target="https://eur-lex.europa.eu/legal-content/EN/TXT/?uri=CELEX:32006L0021" TargetMode="External"/><Relationship Id="rId11" Type="http://schemas.openxmlformats.org/officeDocument/2006/relationships/hyperlink" Target="https://minamataconvention.org/en/topics/mercury-wastes/intersessional-work" TargetMode="External"/><Relationship Id="rId5" Type="http://schemas.openxmlformats.org/officeDocument/2006/relationships/hyperlink" Target="https://eur-lex.europa.eu/legal-content/EN/TXT/?uri=CELEX%3A32006R1013" TargetMode="External"/><Relationship Id="rId10" Type="http://schemas.openxmlformats.org/officeDocument/2006/relationships/hyperlink" Target="https://www.miteco.gob.es/content/dam/miteco/es/calidad-y-evaluacion-ambiental/temas/prevencion-y-gestion-residuos/spanishlegislationonwasteofelectricandelectronicequipmentsweeeroyaldecree1102015of20february_tcm30-170359.pdf" TargetMode="External"/><Relationship Id="rId4" Type="http://schemas.openxmlformats.org/officeDocument/2006/relationships/hyperlink" Target="https://eur-lex.europa.eu/legal-content/EN/TXT/?uri=CELEX%3A02008L0098-20180705" TargetMode="External"/><Relationship Id="rId9" Type="http://schemas.openxmlformats.org/officeDocument/2006/relationships/hyperlink" Target="https://www.boe.es/buscar/doc.php?id=BOE-A-2015-176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an\United%20Nations\Minamata%20Convention%20-%20Documents\General\COP4\Documents\New%20Document%20Templates\UNEP-MC-COP_EN%20-%20Cop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A186B34AAF4047A570F9DFA6808567" ma:contentTypeVersion="20" ma:contentTypeDescription="Create a new document." ma:contentTypeScope="" ma:versionID="f13a201125e5f9e352c416574e95b703">
  <xsd:schema xmlns:xsd="http://www.w3.org/2001/XMLSchema" xmlns:xs="http://www.w3.org/2001/XMLSchema" xmlns:p="http://schemas.microsoft.com/office/2006/metadata/properties" xmlns:ns2="822da31b-d518-49e2-88cd-1351ccd720a8" xmlns:ns3="8e99bad0-3155-475a-8063-b4d93685c2ad" xmlns:ns4="985ec44e-1bab-4c0b-9df0-6ba128686fc9" targetNamespace="http://schemas.microsoft.com/office/2006/metadata/properties" ma:root="true" ma:fieldsID="6bb3500de60d937cbdf21b4984b94c35" ns2:_="" ns3:_="" ns4:_="">
    <xsd:import namespace="822da31b-d518-49e2-88cd-1351ccd720a8"/>
    <xsd:import namespace="8e99bad0-3155-475a-8063-b4d93685c2ad"/>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Hype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2da31b-d518-49e2-88cd-1351ccd720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Hypelink" ma:index="26" nillable="true" ma:displayName="Hypelink" ma:format="Hyperlink" ma:internalName="Hyp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e99bad0-3155-475a-8063-b4d93685c2a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42ff2ae-b80c-41f6-b4f1-f813bc1fe85a}" ma:internalName="TaxCatchAll" ma:showField="CatchAllData" ma:web="8e99bad0-3155-475a-8063-b4d93685c2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822da31b-d518-49e2-88cd-1351ccd720a8">
      <Terms xmlns="http://schemas.microsoft.com/office/infopath/2007/PartnerControls"/>
    </lcf76f155ced4ddcb4097134ff3c332f>
    <Hypelink xmlns="822da31b-d518-49e2-88cd-1351ccd720a8">
      <Url xsi:nil="true"/>
      <Description xsi:nil="true"/>
    </Hypelink>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50EE0-FFEA-4C1A-AE9B-C0FF264A1B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2da31b-d518-49e2-88cd-1351ccd720a8"/>
    <ds:schemaRef ds:uri="8e99bad0-3155-475a-8063-b4d93685c2ad"/>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591B3D-AA87-49FB-9EF7-FD41B95EDECD}">
  <ds:schemaRefs>
    <ds:schemaRef ds:uri="http://schemas.microsoft.com/office/2006/metadata/properties"/>
    <ds:schemaRef ds:uri="http://schemas.microsoft.com/office/infopath/2007/PartnerControls"/>
    <ds:schemaRef ds:uri="985ec44e-1bab-4c0b-9df0-6ba128686fc9"/>
    <ds:schemaRef ds:uri="822da31b-d518-49e2-88cd-1351ccd720a8"/>
  </ds:schemaRefs>
</ds:datastoreItem>
</file>

<file path=customXml/itemProps3.xml><?xml version="1.0" encoding="utf-8"?>
<ds:datastoreItem xmlns:ds="http://schemas.openxmlformats.org/officeDocument/2006/customXml" ds:itemID="{9F1DA343-F8C2-4EE4-9F56-9973669BF703}">
  <ds:schemaRefs>
    <ds:schemaRef ds:uri="http://schemas.microsoft.com/sharepoint/v3/contenttype/forms"/>
  </ds:schemaRefs>
</ds:datastoreItem>
</file>

<file path=customXml/itemProps4.xml><?xml version="1.0" encoding="utf-8"?>
<ds:datastoreItem xmlns:ds="http://schemas.openxmlformats.org/officeDocument/2006/customXml" ds:itemID="{EB9794F7-CAF6-4011-9C2D-15CA87CA7C06}">
  <ds:schemaRefs>
    <ds:schemaRef ds:uri="http://schemas.openxmlformats.org/officeDocument/2006/bibliography"/>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UNEP-MC-COP_EN - Copy.dotm</Template>
  <TotalTime>90</TotalTime>
  <Pages>11</Pages>
  <Words>4189</Words>
  <Characters>24569</Characters>
  <Application>Microsoft Office Word</Application>
  <DocSecurity>0</DocSecurity>
  <Lines>204</Lines>
  <Paragraphs>57</Paragraphs>
  <ScaleCrop>false</ScaleCrop>
  <Company/>
  <LinksUpToDate>false</LinksUpToDate>
  <CharactersWithSpaces>28701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Eisaku Toda</dc:creator>
  <cp:keywords/>
  <dc:description/>
  <cp:lastModifiedBy>My Linh Doan</cp:lastModifiedBy>
  <cp:revision>79</cp:revision>
  <cp:lastPrinted>2025-07-04T08:43:00Z</cp:lastPrinted>
  <dcterms:created xsi:type="dcterms:W3CDTF">2025-05-19T08:02:00Z</dcterms:created>
  <dcterms:modified xsi:type="dcterms:W3CDTF">2025-09-02T07:26:00Z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0x010100D4A186B34AAF4047A570F9DFA6808567</vt:lpwstr>
  </property>
  <property fmtid="{D5CDD505-2E9C-101B-9397-08002B2CF9AE}" pid="3" name="MediaServiceImageTags">
    <vt:lpwstr/>
  </property>
</Properties>
</file>