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jc w:val="right"/>
        <w:tblLayout w:type="fixed"/>
        <w:tblLook w:val="0000" w:firstRow="0" w:lastRow="0" w:firstColumn="0" w:lastColumn="0" w:noHBand="0" w:noVBand="0"/>
      </w:tblPr>
      <w:tblGrid>
        <w:gridCol w:w="1613"/>
        <w:gridCol w:w="2073"/>
        <w:gridCol w:w="2734"/>
        <w:gridCol w:w="1660"/>
        <w:gridCol w:w="1416"/>
      </w:tblGrid>
      <w:tr w:rsidR="0015442E" w:rsidRPr="00483D97" w14:paraId="3875A4F0" w14:textId="77777777" w:rsidTr="00AE6AB6">
        <w:trPr>
          <w:trHeight w:val="57"/>
          <w:jc w:val="right"/>
        </w:trPr>
        <w:tc>
          <w:tcPr>
            <w:tcW w:w="1613" w:type="dxa"/>
          </w:tcPr>
          <w:p w14:paraId="237C9056" w14:textId="77777777" w:rsidR="0015442E" w:rsidRPr="00483D97" w:rsidRDefault="0015442E" w:rsidP="00AE6AB6">
            <w:pPr>
              <w:rPr>
                <w:rFonts w:ascii="Arial" w:hAnsi="Arial" w:cs="Arial"/>
                <w:b/>
                <w:bCs/>
                <w:sz w:val="27"/>
                <w:szCs w:val="27"/>
              </w:rPr>
            </w:pPr>
            <w:r w:rsidRPr="00483D97">
              <w:rPr>
                <w:rFonts w:ascii="Arial" w:hAnsi="Arial" w:cs="Arial"/>
                <w:b/>
                <w:bCs/>
                <w:sz w:val="27"/>
                <w:szCs w:val="27"/>
              </w:rPr>
              <w:t xml:space="preserve">UNITED </w:t>
            </w:r>
            <w:r w:rsidRPr="00483D97">
              <w:rPr>
                <w:rFonts w:ascii="Arial" w:hAnsi="Arial" w:cs="Arial"/>
                <w:b/>
                <w:bCs/>
                <w:sz w:val="27"/>
                <w:szCs w:val="27"/>
              </w:rPr>
              <w:br/>
              <w:t>NATIONS</w:t>
            </w:r>
          </w:p>
        </w:tc>
        <w:tc>
          <w:tcPr>
            <w:tcW w:w="6467" w:type="dxa"/>
            <w:gridSpan w:val="3"/>
          </w:tcPr>
          <w:p w14:paraId="7CB9E85D" w14:textId="77777777" w:rsidR="0015442E" w:rsidRPr="00483D97" w:rsidRDefault="0015442E" w:rsidP="00AE6AB6">
            <w:pPr>
              <w:spacing w:before="20"/>
            </w:pPr>
            <w:r w:rsidRPr="00483D97">
              <w:drawing>
                <wp:inline distT="0" distB="0" distL="0" distR="0" wp14:anchorId="52A71257" wp14:editId="6E7768F2">
                  <wp:extent cx="1267200" cy="549573"/>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UN-UNEP.png"/>
                          <pic:cNvPicPr/>
                        </pic:nvPicPr>
                        <pic:blipFill>
                          <a:blip r:embed="rId11"/>
                          <a:stretch>
                            <a:fillRect/>
                          </a:stretch>
                        </pic:blipFill>
                        <pic:spPr>
                          <a:xfrm>
                            <a:off x="0" y="0"/>
                            <a:ext cx="1267200" cy="549573"/>
                          </a:xfrm>
                          <a:prstGeom prst="rect">
                            <a:avLst/>
                          </a:prstGeom>
                        </pic:spPr>
                      </pic:pic>
                    </a:graphicData>
                  </a:graphic>
                </wp:inline>
              </w:drawing>
            </w:r>
          </w:p>
        </w:tc>
        <w:tc>
          <w:tcPr>
            <w:tcW w:w="1416" w:type="dxa"/>
          </w:tcPr>
          <w:p w14:paraId="03142FAD" w14:textId="77777777" w:rsidR="0015442E" w:rsidRPr="00483D97" w:rsidRDefault="00E3329D" w:rsidP="00AE6AB6">
            <w:pPr>
              <w:jc w:val="right"/>
              <w:rPr>
                <w:rFonts w:ascii="Arial" w:hAnsi="Arial" w:cs="Arial"/>
                <w:b/>
                <w:bCs/>
                <w:sz w:val="64"/>
                <w:szCs w:val="64"/>
              </w:rPr>
            </w:pPr>
            <w:r w:rsidRPr="00483D97">
              <w:rPr>
                <w:rFonts w:ascii="Arial" w:hAnsi="Arial" w:cs="Arial"/>
                <w:b/>
                <w:bCs/>
                <w:sz w:val="64"/>
                <w:szCs w:val="64"/>
              </w:rPr>
              <w:t>M</w:t>
            </w:r>
            <w:r w:rsidR="0015442E" w:rsidRPr="00483D97">
              <w:rPr>
                <w:rFonts w:ascii="Arial" w:hAnsi="Arial" w:cs="Arial"/>
                <w:b/>
                <w:bCs/>
                <w:sz w:val="64"/>
                <w:szCs w:val="64"/>
              </w:rPr>
              <w:t>C</w:t>
            </w:r>
          </w:p>
        </w:tc>
      </w:tr>
      <w:tr w:rsidR="0015442E" w:rsidRPr="00483D97" w14:paraId="3541900C" w14:textId="77777777" w:rsidTr="00F96910">
        <w:trPr>
          <w:trHeight w:val="57"/>
          <w:jc w:val="right"/>
        </w:trPr>
        <w:tc>
          <w:tcPr>
            <w:tcW w:w="1613" w:type="dxa"/>
            <w:tcBorders>
              <w:bottom w:val="single" w:sz="4" w:space="0" w:color="auto"/>
            </w:tcBorders>
          </w:tcPr>
          <w:p w14:paraId="144561A9" w14:textId="77777777" w:rsidR="0015442E" w:rsidRPr="00483D97" w:rsidRDefault="0015442E" w:rsidP="00AE6AB6"/>
        </w:tc>
        <w:tc>
          <w:tcPr>
            <w:tcW w:w="4807" w:type="dxa"/>
            <w:gridSpan w:val="2"/>
            <w:tcBorders>
              <w:bottom w:val="single" w:sz="4" w:space="0" w:color="auto"/>
            </w:tcBorders>
          </w:tcPr>
          <w:p w14:paraId="44C04C0A" w14:textId="77777777" w:rsidR="0015442E" w:rsidRPr="00483D97" w:rsidRDefault="0015442E" w:rsidP="00AE6AB6"/>
        </w:tc>
        <w:tc>
          <w:tcPr>
            <w:tcW w:w="3076" w:type="dxa"/>
            <w:gridSpan w:val="2"/>
            <w:tcBorders>
              <w:bottom w:val="single" w:sz="4" w:space="0" w:color="auto"/>
            </w:tcBorders>
          </w:tcPr>
          <w:p w14:paraId="2031E597" w14:textId="3D508830" w:rsidR="0015442E" w:rsidRPr="00483D97" w:rsidRDefault="0015442E" w:rsidP="00AE6AB6">
            <w:r w:rsidRPr="00483D97">
              <w:rPr>
                <w:b/>
                <w:bCs/>
                <w:sz w:val="28"/>
                <w:szCs w:val="28"/>
              </w:rPr>
              <w:t>UNEP</w:t>
            </w:r>
            <w:r w:rsidRPr="00483D97">
              <w:t>/</w:t>
            </w:r>
            <w:r w:rsidR="00962471" w:rsidRPr="00483D97">
              <w:t>MC</w:t>
            </w:r>
            <w:r w:rsidR="00EA2CF9" w:rsidRPr="00483D97">
              <w:t>/</w:t>
            </w:r>
            <w:r w:rsidR="00962471" w:rsidRPr="00483D97">
              <w:t>COP.</w:t>
            </w:r>
            <w:r w:rsidR="00587F77" w:rsidRPr="00483D97">
              <w:t>6</w:t>
            </w:r>
            <w:r w:rsidR="00ED155C" w:rsidRPr="00483D97">
              <w:t>/</w:t>
            </w:r>
            <w:r w:rsidR="006D1C7C" w:rsidRPr="00483D97">
              <w:t>INF/</w:t>
            </w:r>
            <w:r w:rsidR="00C27994">
              <w:t>7</w:t>
            </w:r>
          </w:p>
        </w:tc>
      </w:tr>
      <w:tr w:rsidR="0015442E" w:rsidRPr="00483D97" w14:paraId="6ED43051" w14:textId="77777777" w:rsidTr="009D7B82">
        <w:trPr>
          <w:trHeight w:val="57"/>
          <w:jc w:val="right"/>
        </w:trPr>
        <w:tc>
          <w:tcPr>
            <w:tcW w:w="3686" w:type="dxa"/>
            <w:gridSpan w:val="2"/>
            <w:tcBorders>
              <w:top w:val="single" w:sz="4" w:space="0" w:color="auto"/>
              <w:bottom w:val="single" w:sz="18" w:space="0" w:color="auto"/>
            </w:tcBorders>
          </w:tcPr>
          <w:p w14:paraId="2F3FED0F" w14:textId="77777777" w:rsidR="0015442E" w:rsidRPr="00483D97" w:rsidRDefault="009D7B82" w:rsidP="006520E8">
            <w:pPr>
              <w:spacing w:before="120" w:after="240"/>
              <w:ind w:left="-85"/>
              <w:rPr>
                <w:sz w:val="22"/>
              </w:rPr>
            </w:pPr>
            <w:r w:rsidRPr="00483D97">
              <w:rPr>
                <w:sz w:val="22"/>
              </w:rPr>
              <w:drawing>
                <wp:inline distT="0" distB="0" distL="0" distR="0" wp14:anchorId="760207D8" wp14:editId="46F3D417">
                  <wp:extent cx="2204961" cy="1029600"/>
                  <wp:effectExtent l="0" t="0" r="508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INAMATA-BW_EN.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204961" cy="1029600"/>
                          </a:xfrm>
                          <a:prstGeom prst="rect">
                            <a:avLst/>
                          </a:prstGeom>
                        </pic:spPr>
                      </pic:pic>
                    </a:graphicData>
                  </a:graphic>
                </wp:inline>
              </w:drawing>
            </w:r>
          </w:p>
        </w:tc>
        <w:tc>
          <w:tcPr>
            <w:tcW w:w="2734" w:type="dxa"/>
            <w:tcBorders>
              <w:top w:val="single" w:sz="4" w:space="0" w:color="auto"/>
              <w:bottom w:val="single" w:sz="18" w:space="0" w:color="auto"/>
            </w:tcBorders>
          </w:tcPr>
          <w:p w14:paraId="427623FA" w14:textId="77777777" w:rsidR="0015442E" w:rsidRPr="00C27994" w:rsidRDefault="0015442E" w:rsidP="00962471">
            <w:pPr>
              <w:spacing w:before="240" w:after="480"/>
              <w:rPr>
                <w:rFonts w:ascii="Arial" w:hAnsi="Arial" w:cs="Arial"/>
                <w:b/>
                <w:bCs/>
                <w:sz w:val="28"/>
                <w:szCs w:val="28"/>
              </w:rPr>
            </w:pPr>
          </w:p>
        </w:tc>
        <w:tc>
          <w:tcPr>
            <w:tcW w:w="3076" w:type="dxa"/>
            <w:gridSpan w:val="2"/>
            <w:tcBorders>
              <w:top w:val="single" w:sz="4" w:space="0" w:color="auto"/>
              <w:bottom w:val="single" w:sz="18" w:space="0" w:color="auto"/>
            </w:tcBorders>
          </w:tcPr>
          <w:p w14:paraId="494F0B41" w14:textId="03CB1647" w:rsidR="0015442E" w:rsidRPr="00C27994" w:rsidRDefault="0015442E" w:rsidP="00AE6AB6">
            <w:pPr>
              <w:spacing w:before="120"/>
              <w:rPr>
                <w:iCs/>
              </w:rPr>
            </w:pPr>
            <w:r w:rsidRPr="00C27994">
              <w:t xml:space="preserve">Distr.: General </w:t>
            </w:r>
            <w:r w:rsidRPr="00C27994">
              <w:br/>
            </w:r>
            <w:r w:rsidR="00C27994" w:rsidRPr="00C27994">
              <w:rPr>
                <w:iCs/>
              </w:rPr>
              <w:t xml:space="preserve">22 August </w:t>
            </w:r>
            <w:r w:rsidRPr="00C27994">
              <w:rPr>
                <w:iCs/>
              </w:rPr>
              <w:t>202</w:t>
            </w:r>
            <w:r w:rsidR="00587F77" w:rsidRPr="00C27994">
              <w:rPr>
                <w:iCs/>
              </w:rPr>
              <w:t>5</w:t>
            </w:r>
          </w:p>
          <w:p w14:paraId="786FA9DB" w14:textId="181EB2FF" w:rsidR="0015442E" w:rsidRPr="00C27994" w:rsidRDefault="0015442E" w:rsidP="00AE6AB6">
            <w:pPr>
              <w:spacing w:before="120"/>
              <w:rPr>
                <w:sz w:val="22"/>
              </w:rPr>
            </w:pPr>
            <w:r w:rsidRPr="00C27994">
              <w:t>English</w:t>
            </w:r>
            <w:r w:rsidR="000601B6" w:rsidRPr="00C27994">
              <w:t xml:space="preserve"> only</w:t>
            </w:r>
          </w:p>
        </w:tc>
      </w:tr>
    </w:tbl>
    <w:p w14:paraId="5D4E73B5" w14:textId="77777777" w:rsidR="00962471" w:rsidRPr="00483D97" w:rsidRDefault="00962471" w:rsidP="00962471">
      <w:pPr>
        <w:pStyle w:val="AATitle"/>
        <w:rPr>
          <w:lang w:val="en-GB"/>
        </w:rPr>
      </w:pPr>
      <w:r w:rsidRPr="00483D97">
        <w:rPr>
          <w:lang w:val="en-GB"/>
        </w:rPr>
        <w:t xml:space="preserve">Conference of the Parties to the </w:t>
      </w:r>
      <w:r w:rsidRPr="00483D97">
        <w:rPr>
          <w:lang w:val="en-GB"/>
        </w:rPr>
        <w:br/>
        <w:t>Minamata Convention on Mercury</w:t>
      </w:r>
    </w:p>
    <w:p w14:paraId="25B9D054" w14:textId="67D89B84" w:rsidR="00962471" w:rsidRPr="00483D97" w:rsidRDefault="00587F77" w:rsidP="00962471">
      <w:pPr>
        <w:pStyle w:val="AATitle"/>
        <w:rPr>
          <w:lang w:val="en-GB"/>
        </w:rPr>
      </w:pPr>
      <w:r w:rsidRPr="00483D97">
        <w:rPr>
          <w:lang w:val="en-GB"/>
        </w:rPr>
        <w:t>Sixth</w:t>
      </w:r>
      <w:r w:rsidR="00962471" w:rsidRPr="00483D97">
        <w:rPr>
          <w:lang w:val="en-GB"/>
        </w:rPr>
        <w:t xml:space="preserve"> meeting</w:t>
      </w:r>
    </w:p>
    <w:p w14:paraId="6479FDBB" w14:textId="26F55457" w:rsidR="005369CB" w:rsidRPr="00483D97" w:rsidRDefault="00ED155C" w:rsidP="0015442E">
      <w:pPr>
        <w:pStyle w:val="AATitle"/>
        <w:rPr>
          <w:b w:val="0"/>
          <w:lang w:val="en-GB"/>
        </w:rPr>
      </w:pPr>
      <w:r w:rsidRPr="00483D97">
        <w:rPr>
          <w:b w:val="0"/>
          <w:lang w:val="en-GB"/>
        </w:rPr>
        <w:t xml:space="preserve">Geneva, </w:t>
      </w:r>
      <w:r w:rsidR="00587F77" w:rsidRPr="00483D97">
        <w:rPr>
          <w:b w:val="0"/>
          <w:lang w:val="en-GB"/>
        </w:rPr>
        <w:t>3</w:t>
      </w:r>
      <w:r w:rsidRPr="00483D97">
        <w:rPr>
          <w:b w:val="0"/>
          <w:lang w:val="en-GB"/>
        </w:rPr>
        <w:t>–</w:t>
      </w:r>
      <w:r w:rsidR="00587F77" w:rsidRPr="00483D97">
        <w:rPr>
          <w:b w:val="0"/>
          <w:lang w:val="en-GB"/>
        </w:rPr>
        <w:t>7</w:t>
      </w:r>
      <w:r w:rsidRPr="00483D97">
        <w:rPr>
          <w:b w:val="0"/>
          <w:lang w:val="en-GB"/>
        </w:rPr>
        <w:t xml:space="preserve"> November 202</w:t>
      </w:r>
      <w:r w:rsidR="00587F77" w:rsidRPr="00483D97">
        <w:rPr>
          <w:b w:val="0"/>
          <w:lang w:val="en-GB"/>
        </w:rPr>
        <w:t>5</w:t>
      </w:r>
    </w:p>
    <w:p w14:paraId="1D83FFB8" w14:textId="56530FB9" w:rsidR="00435FD9" w:rsidRPr="00C27994" w:rsidRDefault="00435FD9" w:rsidP="00880CCB">
      <w:pPr>
        <w:pStyle w:val="AATitle"/>
        <w:rPr>
          <w:b w:val="0"/>
          <w:lang w:val="en-GB"/>
        </w:rPr>
      </w:pPr>
      <w:r w:rsidRPr="00C27994">
        <w:rPr>
          <w:b w:val="0"/>
          <w:lang w:val="en-GB"/>
        </w:rPr>
        <w:t xml:space="preserve">Item </w:t>
      </w:r>
      <w:r w:rsidR="00C27994" w:rsidRPr="00C27994">
        <w:rPr>
          <w:b w:val="0"/>
          <w:lang w:val="en-GB"/>
        </w:rPr>
        <w:t>4 (a)</w:t>
      </w:r>
      <w:r w:rsidRPr="00C27994">
        <w:rPr>
          <w:b w:val="0"/>
          <w:lang w:val="en-GB"/>
        </w:rPr>
        <w:t xml:space="preserve"> of the provisional agenda</w:t>
      </w:r>
      <w:r w:rsidR="00880CCB" w:rsidRPr="00C27994">
        <w:rPr>
          <w:rStyle w:val="FootnoteReference"/>
          <w:b w:val="0"/>
          <w:vertAlign w:val="baseline"/>
          <w:lang w:val="en-GB"/>
        </w:rPr>
        <w:footnoteReference w:customMarkFollows="1" w:id="2"/>
        <w:t>*</w:t>
      </w:r>
    </w:p>
    <w:p w14:paraId="3A82A9F2" w14:textId="68B84631" w:rsidR="00435FD9" w:rsidRPr="00483D97" w:rsidRDefault="00D846A2" w:rsidP="00D846A2">
      <w:pPr>
        <w:pStyle w:val="AATitle2"/>
        <w:keepNext w:val="0"/>
        <w:keepLines w:val="0"/>
        <w:tabs>
          <w:tab w:val="clear" w:pos="1814"/>
          <w:tab w:val="clear" w:pos="2381"/>
          <w:tab w:val="clear" w:pos="2948"/>
          <w:tab w:val="clear" w:pos="3515"/>
          <w:tab w:val="left" w:pos="624"/>
          <w:tab w:val="left" w:pos="1871"/>
          <w:tab w:val="left" w:pos="2495"/>
          <w:tab w:val="left" w:pos="3119"/>
          <w:tab w:val="left" w:pos="3742"/>
          <w:tab w:val="left" w:pos="4366"/>
        </w:tabs>
        <w:ind w:right="4706"/>
        <w:rPr>
          <w:rFonts w:eastAsia="Times New Roman"/>
          <w:lang w:val="en-GB"/>
        </w:rPr>
      </w:pPr>
      <w:r w:rsidRPr="00C27994">
        <w:rPr>
          <w:rFonts w:eastAsia="Times New Roman"/>
          <w:lang w:val="en-GB"/>
        </w:rPr>
        <w:t>Matters for consideration or action by the Conference of the Parties: mercury supply sources and trade</w:t>
      </w:r>
    </w:p>
    <w:p w14:paraId="3707D942" w14:textId="586BBD9B" w:rsidR="000C0F46" w:rsidRPr="00483D97" w:rsidRDefault="001D3B8B" w:rsidP="00F96910">
      <w:pPr>
        <w:pStyle w:val="BBTitle"/>
        <w:rPr>
          <w:lang w:val="en-GB"/>
        </w:rPr>
      </w:pPr>
      <w:r w:rsidRPr="00483D97">
        <w:rPr>
          <w:lang w:val="en-GB"/>
        </w:rPr>
        <w:t xml:space="preserve">Additional information on types of actions that could be taken to </w:t>
      </w:r>
      <w:proofErr w:type="spellStart"/>
      <w:r w:rsidRPr="00483D97">
        <w:rPr>
          <w:lang w:val="en-GB"/>
        </w:rPr>
        <w:t>fulfill</w:t>
      </w:r>
      <w:proofErr w:type="spellEnd"/>
      <w:r w:rsidRPr="00483D97">
        <w:rPr>
          <w:lang w:val="en-GB"/>
        </w:rPr>
        <w:t xml:space="preserve"> the ongoing obligation of </w:t>
      </w:r>
      <w:r w:rsidR="0009762F">
        <w:rPr>
          <w:lang w:val="en-GB"/>
        </w:rPr>
        <w:t>p</w:t>
      </w:r>
      <w:r w:rsidRPr="00483D97">
        <w:rPr>
          <w:lang w:val="en-GB"/>
        </w:rPr>
        <w:t>arties to identify individual stocks and sources of mercury and mercury compounds</w:t>
      </w:r>
      <w:r w:rsidR="007F0806" w:rsidRPr="00483D97">
        <w:rPr>
          <w:lang w:val="en-GB"/>
        </w:rPr>
        <w:footnoteReference w:customMarkFollows="1" w:id="3"/>
        <w:t>**</w:t>
      </w:r>
    </w:p>
    <w:p w14:paraId="5CC09887" w14:textId="4291CB10" w:rsidR="0079019B" w:rsidRPr="00483D97" w:rsidRDefault="0079019B" w:rsidP="00F96910">
      <w:pPr>
        <w:pStyle w:val="BBTitle"/>
        <w:rPr>
          <w:sz w:val="24"/>
          <w:szCs w:val="24"/>
          <w:lang w:val="en-GB"/>
        </w:rPr>
      </w:pPr>
      <w:r w:rsidRPr="00483D97">
        <w:rPr>
          <w:sz w:val="24"/>
          <w:szCs w:val="24"/>
          <w:lang w:val="en-GB"/>
        </w:rPr>
        <w:t xml:space="preserve">Note by the </w:t>
      </w:r>
      <w:r w:rsidR="001D3B8B" w:rsidRPr="00483D97">
        <w:rPr>
          <w:sz w:val="24"/>
          <w:szCs w:val="24"/>
          <w:lang w:val="en-GB"/>
        </w:rPr>
        <w:t>s</w:t>
      </w:r>
      <w:r w:rsidRPr="00483D97">
        <w:rPr>
          <w:sz w:val="24"/>
          <w:szCs w:val="24"/>
          <w:lang w:val="en-GB"/>
        </w:rPr>
        <w:t>ecretariat</w:t>
      </w:r>
    </w:p>
    <w:p w14:paraId="43268926" w14:textId="438E8C05" w:rsidR="00962471" w:rsidRPr="00483D97" w:rsidRDefault="00D05549" w:rsidP="008E32ED">
      <w:pPr>
        <w:pStyle w:val="Normalnumber"/>
        <w:keepNext/>
        <w:keepLines/>
        <w:numPr>
          <w:ilvl w:val="0"/>
          <w:numId w:val="2"/>
        </w:numPr>
        <w:tabs>
          <w:tab w:val="clear" w:pos="1247"/>
          <w:tab w:val="clear" w:pos="1814"/>
          <w:tab w:val="clear" w:pos="2381"/>
          <w:tab w:val="clear" w:pos="2948"/>
          <w:tab w:val="clear" w:pos="3515"/>
          <w:tab w:val="clear" w:pos="4082"/>
          <w:tab w:val="num" w:pos="624"/>
        </w:tabs>
        <w:spacing w:before="120"/>
        <w:ind w:left="1248" w:firstLine="0"/>
        <w:rPr>
          <w:lang w:val="en-GB"/>
        </w:rPr>
      </w:pPr>
      <w:r w:rsidRPr="00483D97">
        <w:rPr>
          <w:lang w:val="en-GB"/>
        </w:rPr>
        <w:t>The annex to the present note provides additional information to the draft updates to the guidance on the identification of individual stocks of mercury or mercury compounds exceeding 50 metric tons and sources of mercury supply generating stocks exceeding 10 metric tons per year (UNEP/MC/COP.6/5). The additional information includes</w:t>
      </w:r>
      <w:r w:rsidRPr="00483D97">
        <w:rPr>
          <w:lang w:val="en-GB"/>
        </w:rPr>
        <w:t>:</w:t>
      </w:r>
    </w:p>
    <w:p w14:paraId="3B8EA66C" w14:textId="3D65A2BF" w:rsidR="00061552" w:rsidRPr="00483D97" w:rsidRDefault="00061552" w:rsidP="00F16FD1">
      <w:pPr>
        <w:pStyle w:val="Normalnumber"/>
        <w:keepNext/>
        <w:keepLines/>
        <w:tabs>
          <w:tab w:val="clear" w:pos="1247"/>
          <w:tab w:val="clear" w:pos="1814"/>
          <w:tab w:val="clear" w:pos="2381"/>
          <w:tab w:val="clear" w:pos="2948"/>
          <w:tab w:val="clear" w:pos="3515"/>
          <w:tab w:val="clear" w:pos="4082"/>
          <w:tab w:val="num" w:pos="624"/>
        </w:tabs>
        <w:ind w:left="1247" w:firstLine="624"/>
        <w:rPr>
          <w:lang w:val="en-GB"/>
        </w:rPr>
      </w:pPr>
      <w:r w:rsidRPr="00483D97">
        <w:rPr>
          <w:lang w:val="en-GB"/>
        </w:rPr>
        <w:t>(a)</w:t>
      </w:r>
      <w:r w:rsidRPr="00483D97">
        <w:rPr>
          <w:lang w:val="en-GB"/>
        </w:rPr>
        <w:tab/>
        <w:t xml:space="preserve">Examples of how </w:t>
      </w:r>
      <w:r w:rsidR="00146D3F">
        <w:rPr>
          <w:lang w:val="en-GB"/>
        </w:rPr>
        <w:t>p</w:t>
      </w:r>
      <w:r w:rsidRPr="00483D97">
        <w:rPr>
          <w:lang w:val="en-GB"/>
        </w:rPr>
        <w:t>arties conducted their endeavours to identify stocks and sources of mercury, and</w:t>
      </w:r>
    </w:p>
    <w:p w14:paraId="6D3D1320" w14:textId="6A9350C7" w:rsidR="00F30D5E" w:rsidRPr="00483D97" w:rsidRDefault="00061552" w:rsidP="00F16FD1">
      <w:pPr>
        <w:pStyle w:val="Normalnumber"/>
        <w:keepNext/>
        <w:keepLines/>
        <w:tabs>
          <w:tab w:val="clear" w:pos="1247"/>
          <w:tab w:val="clear" w:pos="1814"/>
          <w:tab w:val="clear" w:pos="2381"/>
          <w:tab w:val="clear" w:pos="2948"/>
          <w:tab w:val="clear" w:pos="3515"/>
          <w:tab w:val="clear" w:pos="4082"/>
          <w:tab w:val="num" w:pos="624"/>
        </w:tabs>
        <w:ind w:left="1247" w:firstLine="624"/>
        <w:rPr>
          <w:lang w:val="en-GB"/>
        </w:rPr>
      </w:pPr>
      <w:r w:rsidRPr="00483D97">
        <w:rPr>
          <w:lang w:val="en-GB"/>
        </w:rPr>
        <w:t>(b)</w:t>
      </w:r>
      <w:r w:rsidRPr="00483D97">
        <w:rPr>
          <w:lang w:val="en-GB"/>
        </w:rPr>
        <w:tab/>
        <w:t>Examples of methodologies for quantification of large amounts of mercury or mercury compounds.</w:t>
      </w:r>
    </w:p>
    <w:p w14:paraId="38685E48" w14:textId="71460386" w:rsidR="00962471" w:rsidRPr="00483D97" w:rsidRDefault="00F30D5E" w:rsidP="008E32ED">
      <w:pPr>
        <w:pStyle w:val="Normalnumber"/>
        <w:keepNext/>
        <w:keepLines/>
        <w:numPr>
          <w:ilvl w:val="0"/>
          <w:numId w:val="2"/>
        </w:numPr>
        <w:tabs>
          <w:tab w:val="clear" w:pos="1247"/>
          <w:tab w:val="clear" w:pos="1814"/>
          <w:tab w:val="clear" w:pos="2381"/>
          <w:tab w:val="clear" w:pos="2948"/>
          <w:tab w:val="clear" w:pos="3515"/>
          <w:tab w:val="clear" w:pos="4082"/>
          <w:tab w:val="num" w:pos="624"/>
        </w:tabs>
        <w:spacing w:before="120"/>
        <w:ind w:left="1248" w:firstLine="0"/>
        <w:rPr>
          <w:lang w:val="en-GB"/>
        </w:rPr>
      </w:pPr>
      <w:r w:rsidRPr="00483D97">
        <w:rPr>
          <w:lang w:val="en-GB"/>
        </w:rPr>
        <w:t xml:space="preserve">The annex also contains on the types of actions that could be taken to </w:t>
      </w:r>
      <w:proofErr w:type="spellStart"/>
      <w:r w:rsidRPr="00483D97">
        <w:rPr>
          <w:lang w:val="en-GB"/>
        </w:rPr>
        <w:t>fulfill</w:t>
      </w:r>
      <w:proofErr w:type="spellEnd"/>
      <w:r w:rsidRPr="00483D97">
        <w:rPr>
          <w:lang w:val="en-GB"/>
        </w:rPr>
        <w:t xml:space="preserve"> the ongoing obligation of </w:t>
      </w:r>
      <w:r w:rsidR="00146D3F">
        <w:rPr>
          <w:lang w:val="en-GB"/>
        </w:rPr>
        <w:t>p</w:t>
      </w:r>
      <w:r w:rsidRPr="00483D97">
        <w:rPr>
          <w:lang w:val="en-GB"/>
        </w:rPr>
        <w:t>arties to identify individual stocks and sources of mercury and mercury compounds and methods of calculating stocks of mercury under paragraph 5 (a) of article 3. The document has not been formally edited.</w:t>
      </w:r>
    </w:p>
    <w:p w14:paraId="3D3EB902" w14:textId="34C670BA" w:rsidR="008B4456" w:rsidRPr="00483D97" w:rsidRDefault="008B4456">
      <w:pPr>
        <w:rPr>
          <w:rFonts w:eastAsia="Times New Roman"/>
          <w:lang w:eastAsia="en-US"/>
        </w:rPr>
      </w:pPr>
      <w:r w:rsidRPr="00483D97">
        <w:br w:type="page"/>
      </w:r>
    </w:p>
    <w:p w14:paraId="3BDF6763" w14:textId="482D9FC7" w:rsidR="008B4456" w:rsidRPr="00483D97" w:rsidRDefault="00E3591B" w:rsidP="00FB0BB9">
      <w:pPr>
        <w:pStyle w:val="Normalnumber"/>
        <w:snapToGrid w:val="0"/>
        <w:spacing w:after="0"/>
        <w:rPr>
          <w:b/>
          <w:bCs/>
          <w:sz w:val="28"/>
          <w:szCs w:val="28"/>
          <w:lang w:val="en-GB"/>
        </w:rPr>
      </w:pPr>
      <w:r w:rsidRPr="00483D97">
        <w:rPr>
          <w:b/>
          <w:bCs/>
          <w:sz w:val="28"/>
          <w:szCs w:val="28"/>
          <w:lang w:val="en-GB"/>
        </w:rPr>
        <w:lastRenderedPageBreak/>
        <w:t>Annex</w:t>
      </w:r>
    </w:p>
    <w:p w14:paraId="04F7175E" w14:textId="0A462EF0" w:rsidR="00E3591B" w:rsidRPr="00483D97" w:rsidRDefault="00494752" w:rsidP="00FB0BB9">
      <w:pPr>
        <w:pStyle w:val="Normalnumber"/>
        <w:snapToGrid w:val="0"/>
        <w:spacing w:before="360"/>
        <w:ind w:left="1247"/>
        <w:rPr>
          <w:b/>
          <w:bCs/>
          <w:sz w:val="28"/>
          <w:szCs w:val="28"/>
          <w:lang w:val="en-GB"/>
        </w:rPr>
      </w:pPr>
      <w:r w:rsidRPr="00483D97">
        <w:rPr>
          <w:b/>
          <w:bCs/>
          <w:sz w:val="28"/>
          <w:szCs w:val="28"/>
          <w:lang w:val="en-GB"/>
        </w:rPr>
        <w:t xml:space="preserve">Additional information on types of actions that could be taken to </w:t>
      </w:r>
      <w:proofErr w:type="spellStart"/>
      <w:r w:rsidRPr="00483D97">
        <w:rPr>
          <w:b/>
          <w:bCs/>
          <w:sz w:val="28"/>
          <w:szCs w:val="28"/>
          <w:lang w:val="en-GB"/>
        </w:rPr>
        <w:t>fulfill</w:t>
      </w:r>
      <w:proofErr w:type="spellEnd"/>
      <w:r w:rsidRPr="00483D97">
        <w:rPr>
          <w:b/>
          <w:bCs/>
          <w:sz w:val="28"/>
          <w:szCs w:val="28"/>
          <w:lang w:val="en-GB"/>
        </w:rPr>
        <w:t xml:space="preserve"> the ongoing obligation of Parties to identify individual stocks and sources of mercury and mercury compounds</w:t>
      </w:r>
    </w:p>
    <w:p w14:paraId="2A19AD9B" w14:textId="5885FE09" w:rsidR="000B5BC8" w:rsidRPr="00483D97" w:rsidRDefault="00545860" w:rsidP="00BC39F1">
      <w:pPr>
        <w:pStyle w:val="CH1"/>
        <w:keepNext w:val="0"/>
        <w:keepLines w:val="0"/>
        <w:tabs>
          <w:tab w:val="clear" w:pos="1814"/>
          <w:tab w:val="clear" w:pos="2381"/>
          <w:tab w:val="clear" w:pos="2948"/>
          <w:tab w:val="clear" w:pos="3515"/>
          <w:tab w:val="clear" w:pos="4082"/>
          <w:tab w:val="left" w:pos="1871"/>
          <w:tab w:val="left" w:pos="2495"/>
          <w:tab w:val="left" w:pos="3119"/>
          <w:tab w:val="left" w:pos="3742"/>
          <w:tab w:val="left" w:pos="4366"/>
        </w:tabs>
        <w:snapToGrid w:val="0"/>
        <w:rPr>
          <w:rFonts w:eastAsia="Times New Roman"/>
          <w:lang w:val="en-GB"/>
        </w:rPr>
      </w:pPr>
      <w:r w:rsidRPr="00483D97">
        <w:rPr>
          <w:rFonts w:eastAsia="Times New Roman"/>
          <w:lang w:val="en-GB"/>
        </w:rPr>
        <w:tab/>
      </w:r>
      <w:r w:rsidR="00B84D51" w:rsidRPr="00483D97">
        <w:rPr>
          <w:rFonts w:eastAsia="Times New Roman"/>
          <w:lang w:val="en-GB"/>
        </w:rPr>
        <w:t>I.</w:t>
      </w:r>
      <w:r w:rsidR="00B84D51" w:rsidRPr="00483D97">
        <w:rPr>
          <w:rFonts w:eastAsia="Times New Roman"/>
          <w:lang w:val="en-GB"/>
        </w:rPr>
        <w:tab/>
      </w:r>
      <w:r w:rsidR="003B7B21" w:rsidRPr="00483D97">
        <w:rPr>
          <w:rFonts w:eastAsia="Times New Roman"/>
          <w:lang w:val="en-GB"/>
        </w:rPr>
        <w:t>Introduction</w:t>
      </w:r>
    </w:p>
    <w:p w14:paraId="1C3F8803" w14:textId="2621DB47" w:rsidR="00331739" w:rsidRPr="00483D97" w:rsidRDefault="00331739" w:rsidP="00BC39F1">
      <w:pPr>
        <w:pStyle w:val="Normalnumber"/>
        <w:numPr>
          <w:ilvl w:val="0"/>
          <w:numId w:val="3"/>
        </w:numPr>
        <w:tabs>
          <w:tab w:val="clear" w:pos="1247"/>
          <w:tab w:val="clear" w:pos="1814"/>
          <w:tab w:val="clear" w:pos="2381"/>
          <w:tab w:val="clear" w:pos="2948"/>
          <w:tab w:val="clear" w:pos="3515"/>
          <w:tab w:val="clear" w:pos="4082"/>
          <w:tab w:val="num" w:pos="624"/>
        </w:tabs>
        <w:spacing w:before="120"/>
        <w:ind w:left="1247" w:firstLine="0"/>
        <w:rPr>
          <w:rFonts w:asciiTheme="majorBidi" w:hAnsiTheme="majorBidi" w:cstheme="majorBidi"/>
          <w:lang w:val="en-GB"/>
        </w:rPr>
      </w:pPr>
      <w:r w:rsidRPr="00483D97">
        <w:rPr>
          <w:rFonts w:asciiTheme="majorBidi" w:hAnsiTheme="majorBidi" w:cstheme="majorBidi"/>
          <w:lang w:val="en-GB"/>
        </w:rPr>
        <w:t xml:space="preserve">This </w:t>
      </w:r>
      <w:r w:rsidRPr="00483D97">
        <w:rPr>
          <w:lang w:val="en-GB"/>
        </w:rPr>
        <w:t>document</w:t>
      </w:r>
      <w:r w:rsidRPr="00483D97">
        <w:rPr>
          <w:rFonts w:asciiTheme="majorBidi" w:hAnsiTheme="majorBidi" w:cstheme="majorBidi"/>
          <w:lang w:val="en-GB"/>
        </w:rPr>
        <w:t xml:space="preserve"> was developed by the secretariat of the Minamata Convention on Mercury to provide additional information to the guidance on the identification of individual stocks of mercury or mercury compounds exceeding 50 metric tonnes and sources of mercury supply generating stocks exceeding 10 metric tonnes per year</w:t>
      </w:r>
      <w:r w:rsidRPr="00483D97">
        <w:rPr>
          <w:rStyle w:val="FootnoteReference"/>
          <w:rFonts w:asciiTheme="majorBidi" w:hAnsiTheme="majorBidi" w:cstheme="majorBidi"/>
          <w:lang w:val="en-GB"/>
        </w:rPr>
        <w:footnoteReference w:id="4"/>
      </w:r>
      <w:r w:rsidRPr="00483D97">
        <w:rPr>
          <w:rFonts w:asciiTheme="majorBidi" w:hAnsiTheme="majorBidi" w:cstheme="majorBidi"/>
          <w:lang w:val="en-GB"/>
        </w:rPr>
        <w:t xml:space="preserve">. </w:t>
      </w:r>
    </w:p>
    <w:p w14:paraId="7415B176" w14:textId="00E02D4E" w:rsidR="00331739" w:rsidRPr="00483D97" w:rsidRDefault="00331739" w:rsidP="00BC39F1">
      <w:pPr>
        <w:pStyle w:val="Normalnumber"/>
        <w:numPr>
          <w:ilvl w:val="0"/>
          <w:numId w:val="3"/>
        </w:numPr>
        <w:tabs>
          <w:tab w:val="clear" w:pos="1247"/>
          <w:tab w:val="clear" w:pos="1814"/>
          <w:tab w:val="clear" w:pos="2381"/>
          <w:tab w:val="clear" w:pos="2948"/>
          <w:tab w:val="clear" w:pos="3515"/>
          <w:tab w:val="clear" w:pos="4082"/>
          <w:tab w:val="num" w:pos="624"/>
        </w:tabs>
        <w:spacing w:before="120"/>
        <w:ind w:left="1247" w:firstLine="0"/>
        <w:rPr>
          <w:rFonts w:asciiTheme="majorBidi" w:hAnsiTheme="majorBidi" w:cstheme="majorBidi"/>
          <w:lang w:val="en-GB"/>
        </w:rPr>
      </w:pPr>
      <w:r w:rsidRPr="00483D97">
        <w:rPr>
          <w:rFonts w:asciiTheme="majorBidi" w:hAnsiTheme="majorBidi" w:cstheme="majorBidi"/>
          <w:lang w:val="en-GB"/>
        </w:rPr>
        <w:t xml:space="preserve">The Conference of the Parties, in decision MC-5/2, requested the secretariat to update the existing guidance on stocks adopted in decision MC-1/2 to include types of action that could be taken to fulfil the continuing obligation to endeavour to identify stocks and sources as per paragraph 5 (a) of Article 3 of the Convention. The proposed updates to the guidance are included in document UNEP/MC/COP.6/5. </w:t>
      </w:r>
    </w:p>
    <w:p w14:paraId="3757B927" w14:textId="3CA98E61" w:rsidR="00331739" w:rsidRPr="00483D97" w:rsidRDefault="00331739" w:rsidP="00BC39F1">
      <w:pPr>
        <w:pStyle w:val="Normalnumber"/>
        <w:numPr>
          <w:ilvl w:val="0"/>
          <w:numId w:val="3"/>
        </w:numPr>
        <w:tabs>
          <w:tab w:val="clear" w:pos="1247"/>
          <w:tab w:val="clear" w:pos="1814"/>
          <w:tab w:val="clear" w:pos="2381"/>
          <w:tab w:val="clear" w:pos="2948"/>
          <w:tab w:val="clear" w:pos="3515"/>
          <w:tab w:val="clear" w:pos="4082"/>
          <w:tab w:val="num" w:pos="624"/>
        </w:tabs>
        <w:spacing w:before="120"/>
        <w:ind w:left="1247" w:firstLine="0"/>
        <w:rPr>
          <w:rFonts w:asciiTheme="majorBidi" w:hAnsiTheme="majorBidi" w:cstheme="majorBidi"/>
          <w:lang w:val="en-GB"/>
        </w:rPr>
      </w:pPr>
      <w:r w:rsidRPr="00483D97">
        <w:rPr>
          <w:rFonts w:asciiTheme="majorBidi" w:hAnsiTheme="majorBidi" w:cstheme="majorBidi"/>
          <w:lang w:val="en-GB"/>
        </w:rPr>
        <w:t>The Implementation and Compliance Committee, at its fifth meeting in 2023, requested the secretariat to collect information on accumulated stocks and methods for calculating stocks of mercury, which could provide a first step to further clarify the accumulated stockpiles meaning and calculation method. Information on calculation methods would support efforts to identify individual stocks and sources benefitting Parties that have not yet undertaken these assessments.</w:t>
      </w:r>
    </w:p>
    <w:p w14:paraId="3B66EB81" w14:textId="2F66F51E" w:rsidR="00331739" w:rsidRPr="00483D97" w:rsidRDefault="00331739" w:rsidP="00BC39F1">
      <w:pPr>
        <w:pStyle w:val="Normalnumber"/>
        <w:numPr>
          <w:ilvl w:val="0"/>
          <w:numId w:val="3"/>
        </w:numPr>
        <w:tabs>
          <w:tab w:val="clear" w:pos="1247"/>
          <w:tab w:val="clear" w:pos="1814"/>
          <w:tab w:val="clear" w:pos="2381"/>
          <w:tab w:val="clear" w:pos="2948"/>
          <w:tab w:val="clear" w:pos="3515"/>
          <w:tab w:val="clear" w:pos="4082"/>
          <w:tab w:val="num" w:pos="624"/>
        </w:tabs>
        <w:spacing w:before="120"/>
        <w:ind w:left="1247" w:firstLine="0"/>
        <w:rPr>
          <w:rFonts w:asciiTheme="majorBidi" w:hAnsiTheme="majorBidi" w:cstheme="majorBidi"/>
          <w:lang w:val="en-GB"/>
        </w:rPr>
      </w:pPr>
      <w:r w:rsidRPr="00483D97">
        <w:rPr>
          <w:rFonts w:asciiTheme="majorBidi" w:hAnsiTheme="majorBidi" w:cstheme="majorBidi"/>
          <w:lang w:val="en-GB"/>
        </w:rPr>
        <w:t xml:space="preserve">This document provides additional information on the types of actions mentioned in the proposed updates to the guidance, as well as on calculation methods used by parties. </w:t>
      </w:r>
    </w:p>
    <w:p w14:paraId="5C8E7777" w14:textId="142298A7" w:rsidR="00474265" w:rsidRPr="00483D97" w:rsidRDefault="00EF542A" w:rsidP="00BC39F1">
      <w:pPr>
        <w:pStyle w:val="CH1"/>
        <w:keepNext w:val="0"/>
        <w:keepLines w:val="0"/>
        <w:tabs>
          <w:tab w:val="clear" w:pos="1814"/>
          <w:tab w:val="clear" w:pos="2381"/>
          <w:tab w:val="clear" w:pos="2948"/>
          <w:tab w:val="clear" w:pos="3515"/>
          <w:tab w:val="clear" w:pos="4082"/>
          <w:tab w:val="left" w:pos="1871"/>
          <w:tab w:val="left" w:pos="2495"/>
          <w:tab w:val="left" w:pos="3119"/>
          <w:tab w:val="left" w:pos="3742"/>
          <w:tab w:val="left" w:pos="4366"/>
        </w:tabs>
        <w:snapToGrid w:val="0"/>
        <w:rPr>
          <w:rFonts w:eastAsia="Times New Roman"/>
          <w:lang w:val="en-GB"/>
        </w:rPr>
      </w:pPr>
      <w:r w:rsidRPr="00483D97">
        <w:rPr>
          <w:rFonts w:eastAsia="Times New Roman"/>
          <w:lang w:val="en-GB"/>
        </w:rPr>
        <w:tab/>
      </w:r>
      <w:r w:rsidR="00474265" w:rsidRPr="00483D97">
        <w:rPr>
          <w:rFonts w:eastAsia="Times New Roman"/>
          <w:lang w:val="en-GB"/>
        </w:rPr>
        <w:t>II</w:t>
      </w:r>
      <w:r w:rsidR="00474265" w:rsidRPr="00483D97">
        <w:rPr>
          <w:rFonts w:eastAsia="Times New Roman"/>
          <w:lang w:val="en-GB"/>
        </w:rPr>
        <w:t>.</w:t>
      </w:r>
      <w:r w:rsidR="00474265" w:rsidRPr="00483D97">
        <w:rPr>
          <w:rFonts w:eastAsia="Times New Roman"/>
          <w:lang w:val="en-GB"/>
        </w:rPr>
        <w:tab/>
      </w:r>
      <w:r w:rsidRPr="00483D97">
        <w:rPr>
          <w:rFonts w:eastAsia="Times New Roman"/>
          <w:lang w:val="en-GB"/>
        </w:rPr>
        <w:t xml:space="preserve">Types of actions that could be taken to </w:t>
      </w:r>
      <w:proofErr w:type="spellStart"/>
      <w:r w:rsidRPr="00483D97">
        <w:rPr>
          <w:rFonts w:eastAsia="Times New Roman"/>
          <w:lang w:val="en-GB"/>
        </w:rPr>
        <w:t>fulfill</w:t>
      </w:r>
      <w:proofErr w:type="spellEnd"/>
      <w:r w:rsidRPr="00483D97">
        <w:rPr>
          <w:rFonts w:eastAsia="Times New Roman"/>
          <w:lang w:val="en-GB"/>
        </w:rPr>
        <w:t xml:space="preserve"> the ongoing obligation of Parties to identify individual stocks and sources of mercury</w:t>
      </w:r>
    </w:p>
    <w:p w14:paraId="72EADB63" w14:textId="77777777" w:rsidR="009C50B3" w:rsidRPr="00483D97" w:rsidRDefault="00BF2F25" w:rsidP="00BC39F1">
      <w:pPr>
        <w:pStyle w:val="Normalnumber"/>
        <w:numPr>
          <w:ilvl w:val="0"/>
          <w:numId w:val="3"/>
        </w:numPr>
        <w:tabs>
          <w:tab w:val="clear" w:pos="1247"/>
          <w:tab w:val="clear" w:pos="1814"/>
          <w:tab w:val="clear" w:pos="2381"/>
          <w:tab w:val="clear" w:pos="2948"/>
          <w:tab w:val="clear" w:pos="3515"/>
          <w:tab w:val="clear" w:pos="4082"/>
          <w:tab w:val="num" w:pos="624"/>
        </w:tabs>
        <w:spacing w:before="120"/>
        <w:ind w:left="1248" w:firstLine="0"/>
        <w:rPr>
          <w:rFonts w:asciiTheme="majorBidi" w:hAnsiTheme="majorBidi" w:cstheme="majorBidi"/>
          <w:lang w:val="en-GB"/>
        </w:rPr>
      </w:pPr>
      <w:r w:rsidRPr="00483D97">
        <w:rPr>
          <w:rFonts w:asciiTheme="majorBidi" w:hAnsiTheme="majorBidi" w:cstheme="majorBidi"/>
          <w:lang w:val="en-GB"/>
        </w:rPr>
        <w:t xml:space="preserve">The types of actions that may be undertaken to </w:t>
      </w:r>
      <w:proofErr w:type="spellStart"/>
      <w:r w:rsidRPr="00483D97">
        <w:rPr>
          <w:rFonts w:asciiTheme="majorBidi" w:hAnsiTheme="majorBidi" w:cstheme="majorBidi"/>
          <w:lang w:val="en-GB"/>
        </w:rPr>
        <w:t>fulfill</w:t>
      </w:r>
      <w:proofErr w:type="spellEnd"/>
      <w:r w:rsidRPr="00483D97">
        <w:rPr>
          <w:rFonts w:asciiTheme="majorBidi" w:hAnsiTheme="majorBidi" w:cstheme="majorBidi"/>
          <w:lang w:val="en-GB"/>
        </w:rPr>
        <w:t xml:space="preserve"> the ongoing obligation of Parties to identify individual stocks and sources of mercury following the initial endeavour may include:</w:t>
      </w:r>
    </w:p>
    <w:p w14:paraId="0B622948" w14:textId="2EF3C5AC" w:rsidR="00C3751A" w:rsidRPr="00483D97" w:rsidRDefault="009C50B3" w:rsidP="00BC39F1">
      <w:pPr>
        <w:pStyle w:val="Normalnumber"/>
        <w:tabs>
          <w:tab w:val="clear" w:pos="1247"/>
          <w:tab w:val="clear" w:pos="1814"/>
          <w:tab w:val="clear" w:pos="2381"/>
          <w:tab w:val="clear" w:pos="2948"/>
          <w:tab w:val="clear" w:pos="3515"/>
          <w:tab w:val="clear" w:pos="4082"/>
        </w:tabs>
        <w:spacing w:before="120"/>
        <w:ind w:left="1247" w:firstLine="624"/>
        <w:rPr>
          <w:lang w:val="en-GB"/>
        </w:rPr>
      </w:pPr>
      <w:r w:rsidRPr="00483D97">
        <w:rPr>
          <w:lang w:val="en-GB"/>
        </w:rPr>
        <w:t>(a)</w:t>
      </w:r>
      <w:r w:rsidRPr="00483D97">
        <w:rPr>
          <w:lang w:val="en-GB"/>
        </w:rPr>
        <w:tab/>
      </w:r>
      <w:r w:rsidR="00C3751A" w:rsidRPr="00483D97">
        <w:rPr>
          <w:lang w:val="en-GB"/>
        </w:rPr>
        <w:t xml:space="preserve">Identification and quantification of sources in national hazardous substances regulations or implementation plans under article 20 of the Convention; </w:t>
      </w:r>
    </w:p>
    <w:p w14:paraId="2B2DEA72" w14:textId="4C4CF982" w:rsidR="00483D97" w:rsidRPr="00483D97" w:rsidRDefault="00483D97" w:rsidP="00BC39F1">
      <w:pPr>
        <w:pStyle w:val="Normalnumber"/>
        <w:tabs>
          <w:tab w:val="clear" w:pos="1247"/>
          <w:tab w:val="clear" w:pos="1814"/>
          <w:tab w:val="clear" w:pos="2381"/>
          <w:tab w:val="clear" w:pos="2948"/>
          <w:tab w:val="clear" w:pos="3515"/>
          <w:tab w:val="clear" w:pos="4082"/>
        </w:tabs>
        <w:spacing w:before="120"/>
        <w:ind w:left="1247" w:firstLine="624"/>
        <w:rPr>
          <w:rStyle w:val="normaltextrun"/>
          <w:rFonts w:asciiTheme="majorBidi" w:eastAsiaTheme="majorEastAsia" w:hAnsiTheme="majorBidi" w:cstheme="majorBidi"/>
          <w:lang w:val="en-GB"/>
        </w:rPr>
      </w:pPr>
      <w:r w:rsidRPr="00483D97">
        <w:rPr>
          <w:lang w:val="en-GB"/>
        </w:rPr>
        <w:t>(b)</w:t>
      </w:r>
      <w:r w:rsidRPr="00483D97">
        <w:rPr>
          <w:lang w:val="en-GB"/>
        </w:rPr>
        <w:tab/>
      </w:r>
      <w:r w:rsidRPr="00483D97">
        <w:rPr>
          <w:lang w:val="en-GB"/>
        </w:rPr>
        <w:t>Updating</w:t>
      </w:r>
      <w:r w:rsidRPr="00483D97">
        <w:rPr>
          <w:rStyle w:val="normaltextrun"/>
          <w:rFonts w:asciiTheme="majorBidi" w:eastAsiaTheme="majorEastAsia" w:hAnsiTheme="majorBidi" w:cstheme="majorBidi"/>
          <w:lang w:val="en-GB"/>
        </w:rPr>
        <w:t xml:space="preserve"> or sustaining inventories conducted under the Minamata Convention initial assessments;</w:t>
      </w:r>
    </w:p>
    <w:p w14:paraId="49395C8B" w14:textId="7F187461" w:rsidR="00483D97" w:rsidRPr="00483D97" w:rsidRDefault="00483D97" w:rsidP="00BC39F1">
      <w:pPr>
        <w:pStyle w:val="Normalnumber"/>
        <w:tabs>
          <w:tab w:val="clear" w:pos="1247"/>
          <w:tab w:val="clear" w:pos="1814"/>
          <w:tab w:val="clear" w:pos="2381"/>
          <w:tab w:val="clear" w:pos="2948"/>
          <w:tab w:val="clear" w:pos="3515"/>
          <w:tab w:val="clear" w:pos="4082"/>
        </w:tabs>
        <w:spacing w:before="120"/>
        <w:ind w:left="1247" w:firstLine="624"/>
        <w:rPr>
          <w:lang w:val="en-GB"/>
        </w:rPr>
      </w:pPr>
      <w:r w:rsidRPr="00483D97">
        <w:rPr>
          <w:lang w:val="en-GB"/>
        </w:rPr>
        <w:t>(c)</w:t>
      </w:r>
      <w:r w:rsidRPr="00483D97">
        <w:rPr>
          <w:lang w:val="en-GB"/>
        </w:rPr>
        <w:tab/>
      </w:r>
      <w:r w:rsidRPr="00483D97">
        <w:rPr>
          <w:lang w:val="en-GB"/>
        </w:rPr>
        <w:t>Specific surveys for mercury inventories; and</w:t>
      </w:r>
    </w:p>
    <w:p w14:paraId="38A02221" w14:textId="38D8A13D" w:rsidR="00483D97" w:rsidRPr="00483D97" w:rsidRDefault="00483D97" w:rsidP="00BC39F1">
      <w:pPr>
        <w:pStyle w:val="Normalnumber"/>
        <w:tabs>
          <w:tab w:val="clear" w:pos="1247"/>
          <w:tab w:val="clear" w:pos="1814"/>
          <w:tab w:val="clear" w:pos="2381"/>
          <w:tab w:val="clear" w:pos="2948"/>
          <w:tab w:val="clear" w:pos="3515"/>
          <w:tab w:val="clear" w:pos="4082"/>
        </w:tabs>
        <w:spacing w:before="120"/>
        <w:ind w:left="1247" w:firstLine="624"/>
        <w:rPr>
          <w:rStyle w:val="normaltextrun"/>
          <w:rFonts w:asciiTheme="majorBidi" w:eastAsiaTheme="majorEastAsia" w:hAnsiTheme="majorBidi" w:cstheme="majorBidi"/>
          <w:lang w:val="en-GB"/>
        </w:rPr>
      </w:pPr>
      <w:r w:rsidRPr="00483D97">
        <w:rPr>
          <w:lang w:val="en-GB"/>
        </w:rPr>
        <w:t>(d)</w:t>
      </w:r>
      <w:r w:rsidRPr="00483D97">
        <w:rPr>
          <w:lang w:val="en-GB"/>
        </w:rPr>
        <w:tab/>
      </w:r>
      <w:r w:rsidRPr="00483D97">
        <w:rPr>
          <w:lang w:val="en-GB"/>
        </w:rPr>
        <w:t>Additional</w:t>
      </w:r>
      <w:r w:rsidRPr="00483D97">
        <w:rPr>
          <w:rStyle w:val="normaltextrun"/>
          <w:rFonts w:asciiTheme="majorBidi" w:eastAsiaTheme="majorEastAsia" w:hAnsiTheme="majorBidi" w:cstheme="majorBidi"/>
          <w:lang w:val="en-GB"/>
        </w:rPr>
        <w:t xml:space="preserve"> verification of information related to inventories of mercury stocks and sources.</w:t>
      </w:r>
    </w:p>
    <w:p w14:paraId="6213E7E1" w14:textId="68FE8486" w:rsidR="0086133F" w:rsidRPr="00245E45" w:rsidRDefault="0086133F" w:rsidP="00BC39F1">
      <w:pPr>
        <w:pStyle w:val="CH2"/>
        <w:keepNext w:val="0"/>
        <w:keepLines w:val="0"/>
      </w:pPr>
      <w:r w:rsidRPr="00245E45">
        <w:tab/>
      </w:r>
      <w:r>
        <w:t>A</w:t>
      </w:r>
      <w:r w:rsidRPr="00245E45">
        <w:t>.</w:t>
      </w:r>
      <w:r w:rsidRPr="00245E45">
        <w:tab/>
      </w:r>
      <w:r w:rsidR="008A0BD9" w:rsidRPr="008A0BD9">
        <w:t>Implementation of national hazardous substances regulations</w:t>
      </w:r>
    </w:p>
    <w:p w14:paraId="60E831C0" w14:textId="23E5ED6C" w:rsidR="00930186" w:rsidRPr="00930186" w:rsidRDefault="00930186" w:rsidP="00BC39F1">
      <w:pPr>
        <w:pStyle w:val="Normalnumber"/>
        <w:numPr>
          <w:ilvl w:val="0"/>
          <w:numId w:val="3"/>
        </w:numPr>
        <w:tabs>
          <w:tab w:val="clear" w:pos="1247"/>
          <w:tab w:val="clear" w:pos="1814"/>
          <w:tab w:val="clear" w:pos="2381"/>
          <w:tab w:val="clear" w:pos="2948"/>
          <w:tab w:val="clear" w:pos="3515"/>
          <w:tab w:val="clear" w:pos="4082"/>
          <w:tab w:val="num" w:pos="624"/>
        </w:tabs>
        <w:spacing w:before="120"/>
        <w:ind w:left="1248" w:firstLine="0"/>
        <w:rPr>
          <w:rFonts w:asciiTheme="majorBidi" w:hAnsiTheme="majorBidi" w:cstheme="majorBidi"/>
          <w:lang w:val="en-GB"/>
        </w:rPr>
      </w:pPr>
      <w:r w:rsidRPr="00F4180C">
        <w:rPr>
          <w:rFonts w:asciiTheme="majorBidi" w:hAnsiTheme="majorBidi" w:cstheme="majorBidi"/>
          <w:lang w:val="en-GB"/>
        </w:rPr>
        <w:t xml:space="preserve">National hazardous substances regulations typically enforce measures to control supply and trade, manage the use of substances in industrial processes, and ensure the environmentally sound storage of stocks and waste. These regulations may include specific mechanisms for identifying mercury stocks and sources. Such mechanisms can provide valuable information for updating national inventories of mercury supply, use, and trade, and support the effective tracking stocks and sources. Examples are as follows: </w:t>
      </w:r>
    </w:p>
    <w:p w14:paraId="46C9794A" w14:textId="26DB92CB" w:rsidR="00930186" w:rsidRPr="00F4180C" w:rsidRDefault="00930186" w:rsidP="00BC39F1">
      <w:pPr>
        <w:pStyle w:val="Normalnumber"/>
        <w:keepNext/>
        <w:numPr>
          <w:ilvl w:val="0"/>
          <w:numId w:val="6"/>
        </w:numPr>
        <w:tabs>
          <w:tab w:val="clear" w:pos="1247"/>
          <w:tab w:val="clear" w:pos="1814"/>
          <w:tab w:val="clear" w:pos="2381"/>
          <w:tab w:val="clear" w:pos="2948"/>
          <w:tab w:val="clear" w:pos="3515"/>
          <w:tab w:val="clear" w:pos="4082"/>
        </w:tabs>
        <w:ind w:left="1247" w:firstLine="624"/>
        <w:rPr>
          <w:rFonts w:asciiTheme="majorBidi" w:hAnsiTheme="majorBidi" w:cstheme="majorBidi"/>
          <w:lang w:val="en-GB"/>
        </w:rPr>
      </w:pPr>
      <w:r w:rsidRPr="00930186">
        <w:rPr>
          <w:lang w:val="en-GB"/>
        </w:rPr>
        <w:lastRenderedPageBreak/>
        <w:t>Environmental</w:t>
      </w:r>
      <w:r w:rsidRPr="00F4180C">
        <w:rPr>
          <w:rFonts w:asciiTheme="majorBidi" w:hAnsiTheme="majorBidi" w:cstheme="majorBidi"/>
          <w:lang w:val="en-GB"/>
        </w:rPr>
        <w:t xml:space="preserve"> licensing and permits </w:t>
      </w:r>
    </w:p>
    <w:tbl>
      <w:tblPr>
        <w:tblW w:w="8094" w:type="dxa"/>
        <w:tblInd w:w="126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094"/>
      </w:tblGrid>
      <w:tr w:rsidR="0069062C" w:rsidRPr="0069062C" w14:paraId="66691481" w14:textId="77777777" w:rsidTr="0069062C">
        <w:tc>
          <w:tcPr>
            <w:tcW w:w="8094" w:type="dxa"/>
            <w:shd w:val="clear" w:color="auto" w:fill="D9D9D9" w:themeFill="background1" w:themeFillShade="D9"/>
            <w:tcMar>
              <w:top w:w="100" w:type="dxa"/>
              <w:left w:w="100" w:type="dxa"/>
              <w:bottom w:w="100" w:type="dxa"/>
              <w:right w:w="100" w:type="dxa"/>
            </w:tcMar>
          </w:tcPr>
          <w:p w14:paraId="1EE81152" w14:textId="77777777" w:rsidR="0069062C" w:rsidRPr="0069062C" w:rsidRDefault="0069062C" w:rsidP="00BC39F1">
            <w:pPr>
              <w:keepNext/>
              <w:spacing w:after="120"/>
              <w:rPr>
                <w:rFonts w:asciiTheme="majorBidi" w:eastAsia="Times New Roman" w:hAnsiTheme="majorBidi" w:cstheme="majorBidi"/>
                <w:b/>
                <w:color w:val="000000" w:themeColor="text1"/>
                <w:sz w:val="18"/>
                <w:szCs w:val="18"/>
              </w:rPr>
            </w:pPr>
            <w:r w:rsidRPr="0069062C">
              <w:rPr>
                <w:rFonts w:asciiTheme="majorBidi" w:eastAsia="Times New Roman" w:hAnsiTheme="majorBidi" w:cstheme="majorBidi"/>
                <w:b/>
                <w:color w:val="000000" w:themeColor="text1"/>
                <w:sz w:val="18"/>
                <w:szCs w:val="18"/>
              </w:rPr>
              <w:t xml:space="preserve">Example: European Union Mercury Regulation </w:t>
            </w:r>
          </w:p>
          <w:p w14:paraId="731ED45E" w14:textId="77777777" w:rsidR="0069062C" w:rsidRPr="0069062C" w:rsidRDefault="0069062C" w:rsidP="00BC39F1">
            <w:pPr>
              <w:keepNext/>
              <w:spacing w:after="120"/>
              <w:rPr>
                <w:rFonts w:asciiTheme="majorBidi" w:eastAsia="Times New Roman" w:hAnsiTheme="majorBidi" w:cstheme="majorBidi"/>
                <w:color w:val="000000" w:themeColor="text1"/>
                <w:sz w:val="18"/>
                <w:szCs w:val="18"/>
              </w:rPr>
            </w:pPr>
            <w:hyperlink r:id="rId13">
              <w:r w:rsidRPr="0069062C">
                <w:rPr>
                  <w:rStyle w:val="Hyperlink"/>
                  <w:rFonts w:asciiTheme="majorBidi" w:eastAsia="Times New Roman" w:hAnsiTheme="majorBidi" w:cstheme="majorBidi"/>
                  <w:color w:val="000000" w:themeColor="text1"/>
                  <w:sz w:val="18"/>
                  <w:szCs w:val="18"/>
                </w:rPr>
                <w:t>Article 18(1)(d)(i)</w:t>
              </w:r>
            </w:hyperlink>
            <w:r w:rsidRPr="0069062C">
              <w:rPr>
                <w:rFonts w:asciiTheme="majorBidi" w:eastAsia="Times New Roman" w:hAnsiTheme="majorBidi" w:cstheme="majorBidi"/>
                <w:color w:val="000000" w:themeColor="text1"/>
                <w:sz w:val="18"/>
                <w:szCs w:val="18"/>
              </w:rPr>
              <w:t xml:space="preserve"> of the EU Mercury Regulation (Regulation (EU) 2017/852 on mercury) requires EU Member States to provide a report to the Commission and make publicly available on the internet. This report includes the following information, among others:</w:t>
            </w:r>
          </w:p>
          <w:p w14:paraId="00C60BBE" w14:textId="77777777" w:rsidR="0069062C" w:rsidRPr="0069062C" w:rsidRDefault="0069062C" w:rsidP="00BC39F1">
            <w:pPr>
              <w:pStyle w:val="Normalnumber"/>
              <w:keepNext/>
              <w:numPr>
                <w:ilvl w:val="0"/>
                <w:numId w:val="9"/>
              </w:numPr>
              <w:tabs>
                <w:tab w:val="clear" w:pos="1247"/>
                <w:tab w:val="clear" w:pos="1814"/>
                <w:tab w:val="clear" w:pos="2381"/>
                <w:tab w:val="clear" w:pos="2948"/>
                <w:tab w:val="clear" w:pos="3515"/>
                <w:tab w:val="clear" w:pos="4082"/>
                <w:tab w:val="left" w:pos="990"/>
              </w:tabs>
              <w:ind w:left="465" w:firstLine="0"/>
              <w:rPr>
                <w:rFonts w:asciiTheme="majorBidi" w:hAnsiTheme="majorBidi" w:cstheme="majorBidi"/>
                <w:color w:val="000000" w:themeColor="text1"/>
                <w:sz w:val="18"/>
                <w:szCs w:val="18"/>
                <w:lang w:val="en-GB"/>
              </w:rPr>
            </w:pPr>
            <w:r w:rsidRPr="0069062C">
              <w:rPr>
                <w:rFonts w:asciiTheme="majorBidi" w:hAnsiTheme="majorBidi" w:cstheme="majorBidi"/>
                <w:color w:val="000000" w:themeColor="text1"/>
                <w:sz w:val="18"/>
                <w:szCs w:val="18"/>
                <w:lang w:val="en-GB"/>
              </w:rPr>
              <w:t xml:space="preserve">Information needed for the fulfilment by the Union of its reporting obligation under Article 21 of the </w:t>
            </w:r>
            <w:r w:rsidRPr="0069062C">
              <w:rPr>
                <w:sz w:val="18"/>
                <w:szCs w:val="18"/>
                <w:lang w:val="en-GB"/>
              </w:rPr>
              <w:t>Convention</w:t>
            </w:r>
            <w:r w:rsidRPr="0069062C">
              <w:rPr>
                <w:rFonts w:asciiTheme="majorBidi" w:hAnsiTheme="majorBidi" w:cstheme="majorBidi"/>
                <w:color w:val="000000" w:themeColor="text1"/>
                <w:sz w:val="18"/>
                <w:szCs w:val="18"/>
                <w:lang w:val="en-GB"/>
              </w:rPr>
              <w:t>;</w:t>
            </w:r>
          </w:p>
          <w:p w14:paraId="48BD3996" w14:textId="77777777" w:rsidR="0069062C" w:rsidRPr="0069062C" w:rsidRDefault="0069062C" w:rsidP="00BC39F1">
            <w:pPr>
              <w:pStyle w:val="Normalnumber"/>
              <w:keepNext/>
              <w:numPr>
                <w:ilvl w:val="0"/>
                <w:numId w:val="9"/>
              </w:numPr>
              <w:tabs>
                <w:tab w:val="clear" w:pos="1247"/>
                <w:tab w:val="clear" w:pos="1814"/>
                <w:tab w:val="clear" w:pos="2381"/>
                <w:tab w:val="clear" w:pos="2948"/>
                <w:tab w:val="clear" w:pos="3515"/>
                <w:tab w:val="clear" w:pos="4082"/>
                <w:tab w:val="left" w:pos="990"/>
              </w:tabs>
              <w:ind w:left="465" w:firstLine="0"/>
              <w:rPr>
                <w:rFonts w:asciiTheme="majorBidi" w:hAnsiTheme="majorBidi" w:cstheme="majorBidi"/>
                <w:color w:val="000000" w:themeColor="text1"/>
                <w:sz w:val="18"/>
                <w:szCs w:val="18"/>
                <w:lang w:val="en-GB"/>
              </w:rPr>
            </w:pPr>
            <w:r w:rsidRPr="0069062C">
              <w:rPr>
                <w:rFonts w:asciiTheme="majorBidi" w:hAnsiTheme="majorBidi" w:cstheme="majorBidi"/>
                <w:color w:val="000000" w:themeColor="text1"/>
                <w:sz w:val="18"/>
                <w:szCs w:val="18"/>
                <w:lang w:val="en-GB"/>
              </w:rPr>
              <w:t>Information regarding mercury located in their territories:</w:t>
            </w:r>
          </w:p>
          <w:p w14:paraId="1E5706DD" w14:textId="77777777" w:rsidR="0069062C" w:rsidRPr="0069062C" w:rsidRDefault="0069062C" w:rsidP="00BC39F1">
            <w:pPr>
              <w:pStyle w:val="ListParagraph"/>
              <w:keepNext/>
              <w:numPr>
                <w:ilvl w:val="1"/>
                <w:numId w:val="7"/>
              </w:numPr>
              <w:spacing w:after="120" w:line="247" w:lineRule="auto"/>
              <w:ind w:left="1451" w:right="170" w:hanging="357"/>
              <w:contextualSpacing w:val="0"/>
              <w:rPr>
                <w:rFonts w:asciiTheme="majorBidi" w:hAnsiTheme="majorBidi" w:cstheme="majorBidi"/>
                <w:color w:val="000000" w:themeColor="text1"/>
                <w:sz w:val="18"/>
                <w:szCs w:val="18"/>
              </w:rPr>
            </w:pPr>
            <w:r w:rsidRPr="0069062C">
              <w:rPr>
                <w:rFonts w:asciiTheme="majorBidi" w:hAnsiTheme="majorBidi" w:cstheme="majorBidi"/>
                <w:color w:val="000000" w:themeColor="text1"/>
                <w:sz w:val="18"/>
                <w:szCs w:val="18"/>
              </w:rPr>
              <w:t>A list of sites where stocks of more than 50 metric tonnes of mercury other than mercury waste are located as well as the amount of mercury at each site;</w:t>
            </w:r>
          </w:p>
          <w:p w14:paraId="0BAF0349" w14:textId="77777777" w:rsidR="0069062C" w:rsidRPr="0069062C" w:rsidRDefault="0069062C" w:rsidP="00BC39F1">
            <w:pPr>
              <w:pStyle w:val="ListParagraph"/>
              <w:keepNext/>
              <w:numPr>
                <w:ilvl w:val="1"/>
                <w:numId w:val="7"/>
              </w:numPr>
              <w:spacing w:after="120" w:line="247" w:lineRule="auto"/>
              <w:ind w:left="1451" w:right="170" w:hanging="357"/>
              <w:contextualSpacing w:val="0"/>
              <w:rPr>
                <w:rFonts w:asciiTheme="majorBidi" w:hAnsiTheme="majorBidi" w:cstheme="majorBidi"/>
                <w:color w:val="000000" w:themeColor="text1"/>
                <w:sz w:val="18"/>
                <w:szCs w:val="18"/>
              </w:rPr>
            </w:pPr>
            <w:r w:rsidRPr="0069062C">
              <w:rPr>
                <w:rFonts w:asciiTheme="majorBidi" w:hAnsiTheme="majorBidi" w:cstheme="majorBidi"/>
                <w:color w:val="000000" w:themeColor="text1"/>
                <w:sz w:val="18"/>
                <w:szCs w:val="18"/>
              </w:rPr>
              <w:t>A list of sites where more than 50 metric tonnes of mercury waste is accumulated as well as the amount of mercury waste at each site; and</w:t>
            </w:r>
          </w:p>
          <w:p w14:paraId="541DC76F" w14:textId="77777777" w:rsidR="0069062C" w:rsidRPr="0069062C" w:rsidRDefault="0069062C" w:rsidP="00BC39F1">
            <w:pPr>
              <w:pStyle w:val="Normalnumber"/>
              <w:keepNext/>
              <w:numPr>
                <w:ilvl w:val="0"/>
                <w:numId w:val="9"/>
              </w:numPr>
              <w:tabs>
                <w:tab w:val="clear" w:pos="1247"/>
                <w:tab w:val="clear" w:pos="1814"/>
                <w:tab w:val="clear" w:pos="2381"/>
                <w:tab w:val="clear" w:pos="2948"/>
                <w:tab w:val="clear" w:pos="3515"/>
                <w:tab w:val="clear" w:pos="4082"/>
                <w:tab w:val="left" w:pos="990"/>
              </w:tabs>
              <w:ind w:left="465" w:firstLine="0"/>
              <w:rPr>
                <w:rFonts w:asciiTheme="majorBidi" w:hAnsiTheme="majorBidi" w:cstheme="majorBidi"/>
                <w:color w:val="000000" w:themeColor="text1"/>
                <w:sz w:val="18"/>
                <w:szCs w:val="18"/>
                <w:lang w:val="en-GB"/>
              </w:rPr>
            </w:pPr>
            <w:r w:rsidRPr="0069062C">
              <w:rPr>
                <w:rFonts w:asciiTheme="majorBidi" w:hAnsiTheme="majorBidi" w:cstheme="majorBidi"/>
                <w:color w:val="000000" w:themeColor="text1"/>
                <w:sz w:val="18"/>
                <w:szCs w:val="18"/>
                <w:lang w:val="en-GB"/>
              </w:rPr>
              <w:t>A list of sources supplying more than 10 metric tonnes of mercury per year, where Member States are made aware of such sources.</w:t>
            </w:r>
          </w:p>
          <w:p w14:paraId="1578C4D8" w14:textId="77777777" w:rsidR="0069062C" w:rsidRPr="0069062C" w:rsidRDefault="0069062C" w:rsidP="00BC39F1">
            <w:pPr>
              <w:keepNext/>
              <w:spacing w:after="120"/>
              <w:rPr>
                <w:rFonts w:asciiTheme="majorBidi" w:eastAsia="Times New Roman" w:hAnsiTheme="majorBidi" w:cstheme="majorBidi"/>
                <w:color w:val="000000" w:themeColor="text1"/>
                <w:sz w:val="18"/>
                <w:szCs w:val="18"/>
              </w:rPr>
            </w:pPr>
            <w:hyperlink r:id="rId14">
              <w:r w:rsidRPr="0069062C">
                <w:rPr>
                  <w:rStyle w:val="Hyperlink"/>
                  <w:rFonts w:asciiTheme="majorBidi" w:eastAsia="Times New Roman" w:hAnsiTheme="majorBidi" w:cstheme="majorBidi"/>
                  <w:color w:val="000000" w:themeColor="text1"/>
                  <w:sz w:val="18"/>
                  <w:szCs w:val="18"/>
                </w:rPr>
                <w:t>Commission Implementing Decision (EU) 2019/1752</w:t>
              </w:r>
            </w:hyperlink>
            <w:r w:rsidRPr="0069062C">
              <w:rPr>
                <w:rFonts w:asciiTheme="majorBidi" w:eastAsia="Times New Roman" w:hAnsiTheme="majorBidi" w:cstheme="majorBidi"/>
                <w:color w:val="000000" w:themeColor="text1"/>
                <w:sz w:val="18"/>
                <w:szCs w:val="18"/>
              </w:rPr>
              <w:t xml:space="preserve"> further establishes questionnaires, format and frequency of reports to be prepared by Member States, in accordance with Regulation (EU) 2017/852 on mercury. Following is the timetable for the reports:</w:t>
            </w:r>
          </w:p>
          <w:p w14:paraId="55244BF0" w14:textId="77777777" w:rsidR="0069062C" w:rsidRPr="0069062C" w:rsidRDefault="0069062C" w:rsidP="00BC39F1">
            <w:pPr>
              <w:pStyle w:val="Normalnumber"/>
              <w:keepNext/>
              <w:numPr>
                <w:ilvl w:val="0"/>
                <w:numId w:val="11"/>
              </w:numPr>
              <w:tabs>
                <w:tab w:val="clear" w:pos="1247"/>
                <w:tab w:val="clear" w:pos="1814"/>
                <w:tab w:val="clear" w:pos="2381"/>
                <w:tab w:val="clear" w:pos="2948"/>
                <w:tab w:val="clear" w:pos="3515"/>
                <w:tab w:val="clear" w:pos="4082"/>
                <w:tab w:val="left" w:pos="990"/>
              </w:tabs>
              <w:ind w:left="465" w:firstLine="0"/>
              <w:rPr>
                <w:rFonts w:asciiTheme="majorBidi" w:hAnsiTheme="majorBidi" w:cstheme="majorBidi"/>
                <w:color w:val="000000" w:themeColor="text1"/>
                <w:sz w:val="18"/>
                <w:szCs w:val="18"/>
                <w:lang w:val="en-GB"/>
              </w:rPr>
            </w:pPr>
            <w:r w:rsidRPr="0069062C">
              <w:rPr>
                <w:rFonts w:asciiTheme="majorBidi" w:hAnsiTheme="majorBidi" w:cstheme="majorBidi"/>
                <w:color w:val="000000" w:themeColor="text1"/>
                <w:sz w:val="18"/>
                <w:szCs w:val="18"/>
                <w:lang w:val="en-GB"/>
              </w:rPr>
              <w:t>The first report covering the reporting years 2017 available by 1 January 2020;</w:t>
            </w:r>
          </w:p>
          <w:p w14:paraId="6C821C3D" w14:textId="77777777" w:rsidR="0069062C" w:rsidRPr="0069062C" w:rsidRDefault="0069062C" w:rsidP="00BC39F1">
            <w:pPr>
              <w:pStyle w:val="Normalnumber"/>
              <w:keepNext/>
              <w:numPr>
                <w:ilvl w:val="0"/>
                <w:numId w:val="11"/>
              </w:numPr>
              <w:tabs>
                <w:tab w:val="clear" w:pos="1247"/>
                <w:tab w:val="clear" w:pos="1814"/>
                <w:tab w:val="clear" w:pos="2381"/>
                <w:tab w:val="clear" w:pos="2948"/>
                <w:tab w:val="clear" w:pos="3515"/>
                <w:tab w:val="clear" w:pos="4082"/>
                <w:tab w:val="left" w:pos="990"/>
              </w:tabs>
              <w:ind w:left="465" w:firstLine="0"/>
              <w:rPr>
                <w:rFonts w:asciiTheme="majorBidi" w:hAnsiTheme="majorBidi" w:cstheme="majorBidi"/>
                <w:color w:val="000000" w:themeColor="text1"/>
                <w:sz w:val="18"/>
                <w:szCs w:val="18"/>
                <w:lang w:val="en-GB"/>
              </w:rPr>
            </w:pPr>
            <w:r w:rsidRPr="0069062C">
              <w:rPr>
                <w:rFonts w:asciiTheme="majorBidi" w:hAnsiTheme="majorBidi" w:cstheme="majorBidi"/>
                <w:color w:val="000000" w:themeColor="text1"/>
                <w:sz w:val="18"/>
                <w:szCs w:val="18"/>
                <w:lang w:val="en-GB"/>
              </w:rPr>
              <w:t>The second report covering the reporting period 2019-2020 available by 30 September 2021;</w:t>
            </w:r>
          </w:p>
          <w:p w14:paraId="56823922" w14:textId="77777777" w:rsidR="0069062C" w:rsidRPr="0069062C" w:rsidRDefault="0069062C" w:rsidP="00BC39F1">
            <w:pPr>
              <w:pStyle w:val="Normalnumber"/>
              <w:keepNext/>
              <w:numPr>
                <w:ilvl w:val="0"/>
                <w:numId w:val="11"/>
              </w:numPr>
              <w:tabs>
                <w:tab w:val="clear" w:pos="1247"/>
                <w:tab w:val="clear" w:pos="1814"/>
                <w:tab w:val="clear" w:pos="2381"/>
                <w:tab w:val="clear" w:pos="2948"/>
                <w:tab w:val="clear" w:pos="3515"/>
                <w:tab w:val="clear" w:pos="4082"/>
                <w:tab w:val="left" w:pos="990"/>
              </w:tabs>
              <w:ind w:left="465" w:firstLine="0"/>
              <w:rPr>
                <w:rFonts w:asciiTheme="majorBidi" w:hAnsiTheme="majorBidi" w:cstheme="majorBidi"/>
                <w:color w:val="000000" w:themeColor="text1"/>
                <w:sz w:val="18"/>
                <w:szCs w:val="18"/>
                <w:lang w:val="en-GB"/>
              </w:rPr>
            </w:pPr>
            <w:r w:rsidRPr="0069062C">
              <w:rPr>
                <w:rFonts w:asciiTheme="majorBidi" w:hAnsiTheme="majorBidi" w:cstheme="majorBidi"/>
                <w:color w:val="000000" w:themeColor="text1"/>
                <w:sz w:val="18"/>
                <w:szCs w:val="18"/>
                <w:lang w:val="en-GB"/>
              </w:rPr>
              <w:t>The third report covering the reporting period 2021-2022 available by 30 September 2023;</w:t>
            </w:r>
          </w:p>
          <w:p w14:paraId="5CD6B99F" w14:textId="77777777" w:rsidR="0069062C" w:rsidRPr="0069062C" w:rsidRDefault="0069062C" w:rsidP="00BC39F1">
            <w:pPr>
              <w:pStyle w:val="Normalnumber"/>
              <w:keepNext/>
              <w:numPr>
                <w:ilvl w:val="0"/>
                <w:numId w:val="11"/>
              </w:numPr>
              <w:tabs>
                <w:tab w:val="clear" w:pos="1247"/>
                <w:tab w:val="clear" w:pos="1814"/>
                <w:tab w:val="clear" w:pos="2381"/>
                <w:tab w:val="clear" w:pos="2948"/>
                <w:tab w:val="clear" w:pos="3515"/>
                <w:tab w:val="clear" w:pos="4082"/>
                <w:tab w:val="left" w:pos="990"/>
              </w:tabs>
              <w:ind w:left="465" w:firstLine="0"/>
              <w:rPr>
                <w:rFonts w:asciiTheme="majorBidi" w:hAnsiTheme="majorBidi" w:cstheme="majorBidi"/>
                <w:color w:val="000000" w:themeColor="text1"/>
                <w:sz w:val="18"/>
                <w:szCs w:val="18"/>
                <w:lang w:val="en-GB"/>
              </w:rPr>
            </w:pPr>
            <w:r w:rsidRPr="0069062C">
              <w:rPr>
                <w:rFonts w:asciiTheme="majorBidi" w:hAnsiTheme="majorBidi" w:cstheme="majorBidi"/>
                <w:color w:val="000000" w:themeColor="text1"/>
                <w:sz w:val="18"/>
                <w:szCs w:val="18"/>
                <w:lang w:val="en-GB"/>
              </w:rPr>
              <w:t>The fourth report covering the reporting period 2023-2024 available by 30 September 2025;</w:t>
            </w:r>
          </w:p>
          <w:p w14:paraId="349BF4A9" w14:textId="77777777" w:rsidR="0069062C" w:rsidRPr="0069062C" w:rsidRDefault="0069062C" w:rsidP="00BC39F1">
            <w:pPr>
              <w:pStyle w:val="Normalnumber"/>
              <w:keepNext/>
              <w:numPr>
                <w:ilvl w:val="0"/>
                <w:numId w:val="11"/>
              </w:numPr>
              <w:tabs>
                <w:tab w:val="clear" w:pos="1247"/>
                <w:tab w:val="clear" w:pos="1814"/>
                <w:tab w:val="clear" w:pos="2381"/>
                <w:tab w:val="clear" w:pos="2948"/>
                <w:tab w:val="clear" w:pos="3515"/>
                <w:tab w:val="clear" w:pos="4082"/>
                <w:tab w:val="left" w:pos="990"/>
              </w:tabs>
              <w:ind w:left="465" w:firstLine="0"/>
              <w:rPr>
                <w:rFonts w:asciiTheme="majorBidi" w:hAnsiTheme="majorBidi" w:cstheme="majorBidi"/>
                <w:color w:val="000000" w:themeColor="text1"/>
                <w:sz w:val="18"/>
                <w:szCs w:val="18"/>
                <w:lang w:val="en-GB"/>
              </w:rPr>
            </w:pPr>
            <w:r w:rsidRPr="0069062C">
              <w:rPr>
                <w:rFonts w:asciiTheme="majorBidi" w:hAnsiTheme="majorBidi" w:cstheme="majorBidi"/>
                <w:color w:val="000000" w:themeColor="text1"/>
                <w:sz w:val="18"/>
                <w:szCs w:val="18"/>
                <w:lang w:val="en-GB"/>
              </w:rPr>
              <w:t>The fifth report covering the reporting period 2025-2028 available by 30 September 2029.</w:t>
            </w:r>
          </w:p>
          <w:p w14:paraId="5E05C073" w14:textId="77777777" w:rsidR="0069062C" w:rsidRPr="0069062C" w:rsidRDefault="0069062C" w:rsidP="00BC39F1">
            <w:pPr>
              <w:keepNext/>
              <w:spacing w:after="120"/>
              <w:rPr>
                <w:rFonts w:asciiTheme="majorBidi" w:eastAsia="Times New Roman" w:hAnsiTheme="majorBidi" w:cstheme="majorBidi"/>
                <w:color w:val="000000" w:themeColor="text1"/>
                <w:sz w:val="18"/>
                <w:szCs w:val="18"/>
              </w:rPr>
            </w:pPr>
            <w:r w:rsidRPr="0069062C">
              <w:rPr>
                <w:rFonts w:asciiTheme="majorBidi" w:eastAsia="Times New Roman" w:hAnsiTheme="majorBidi" w:cstheme="majorBidi"/>
                <w:color w:val="000000" w:themeColor="text1"/>
                <w:sz w:val="18"/>
                <w:szCs w:val="18"/>
              </w:rPr>
              <w:t>The information reported under these obligations are presented in the European Environment Agency (EEA) data viewer making it accessible to stakeholders, as shown in fig.1.</w:t>
            </w:r>
          </w:p>
          <w:p w14:paraId="3E06797A" w14:textId="77777777" w:rsidR="0069062C" w:rsidRPr="0069062C" w:rsidRDefault="0069062C" w:rsidP="00BC39F1">
            <w:pPr>
              <w:keepNext/>
              <w:spacing w:after="120"/>
              <w:rPr>
                <w:rFonts w:asciiTheme="majorBidi" w:eastAsia="Times New Roman" w:hAnsiTheme="majorBidi" w:cstheme="majorBidi"/>
                <w:color w:val="000000" w:themeColor="text1"/>
                <w:sz w:val="18"/>
                <w:szCs w:val="18"/>
              </w:rPr>
            </w:pPr>
            <w:r w:rsidRPr="0069062C">
              <w:rPr>
                <w:rFonts w:asciiTheme="majorBidi" w:eastAsia="Times New Roman" w:hAnsiTheme="majorBidi" w:cstheme="majorBidi"/>
                <w:color w:val="000000" w:themeColor="text1"/>
                <w:sz w:val="18"/>
                <w:szCs w:val="18"/>
              </w:rPr>
              <w:t>This system is supported by EU directives establishing a permit-based tracking framework, under which industrial installations must obtain permits disclosing quantities, locations, supply sources, and where best available techniques and monitoring protocols are incorporated into permit conditions. These permits require the submission of periodic compliance reports to authorities allowing for Member States to publish aggregated data online as per EU Mercury Regulation. Moreover, enforcement mechanisms include environmental inspections to verify reports and reviews of permit update records to reflect changes.</w:t>
            </w:r>
          </w:p>
          <w:p w14:paraId="0E1695A9" w14:textId="14CCAF47" w:rsidR="0069062C" w:rsidRPr="0069062C" w:rsidRDefault="0069062C" w:rsidP="00BC39F1">
            <w:pPr>
              <w:keepNext/>
              <w:spacing w:after="120"/>
              <w:rPr>
                <w:rFonts w:asciiTheme="majorBidi" w:eastAsia="Times New Roman" w:hAnsiTheme="majorBidi" w:cstheme="majorBidi"/>
                <w:iCs/>
                <w:color w:val="000000" w:themeColor="text1"/>
                <w:sz w:val="18"/>
                <w:szCs w:val="18"/>
              </w:rPr>
            </w:pPr>
            <w:r w:rsidRPr="0069062C">
              <w:rPr>
                <w:rFonts w:asciiTheme="majorBidi" w:eastAsia="Times New Roman" w:hAnsiTheme="majorBidi" w:cstheme="majorBidi"/>
                <w:iCs/>
                <w:color w:val="000000" w:themeColor="text1"/>
                <w:sz w:val="18"/>
                <w:szCs w:val="18"/>
              </w:rPr>
              <w:t>Fig</w:t>
            </w:r>
            <w:r w:rsidRPr="0069062C">
              <w:rPr>
                <w:rFonts w:asciiTheme="majorBidi" w:eastAsia="Times New Roman" w:hAnsiTheme="majorBidi" w:cstheme="majorBidi"/>
                <w:iCs/>
                <w:color w:val="000000" w:themeColor="text1"/>
                <w:sz w:val="18"/>
                <w:szCs w:val="18"/>
              </w:rPr>
              <w:t>ure</w:t>
            </w:r>
            <w:r w:rsidRPr="0069062C">
              <w:rPr>
                <w:rFonts w:asciiTheme="majorBidi" w:eastAsia="Times New Roman" w:hAnsiTheme="majorBidi" w:cstheme="majorBidi"/>
                <w:iCs/>
                <w:color w:val="000000" w:themeColor="text1"/>
                <w:sz w:val="18"/>
                <w:szCs w:val="18"/>
              </w:rPr>
              <w:t xml:space="preserve"> 1. </w:t>
            </w:r>
            <w:r w:rsidRPr="0069062C">
              <w:rPr>
                <w:rFonts w:asciiTheme="majorBidi" w:eastAsia="Times New Roman" w:hAnsiTheme="majorBidi" w:cstheme="majorBidi"/>
                <w:b/>
                <w:bCs/>
                <w:iCs/>
                <w:color w:val="000000" w:themeColor="text1"/>
                <w:sz w:val="18"/>
                <w:szCs w:val="18"/>
              </w:rPr>
              <w:t>EEA data viewer dashboard</w:t>
            </w:r>
            <w:r w:rsidRPr="0069062C">
              <w:rPr>
                <w:rFonts w:asciiTheme="majorBidi" w:eastAsia="Times New Roman" w:hAnsiTheme="majorBidi" w:cstheme="majorBidi"/>
                <w:iCs/>
                <w:color w:val="000000" w:themeColor="text1"/>
                <w:sz w:val="18"/>
                <w:szCs w:val="18"/>
                <w:vertAlign w:val="superscript"/>
              </w:rPr>
              <w:footnoteReference w:id="5"/>
            </w:r>
          </w:p>
          <w:p w14:paraId="47B42E82" w14:textId="0C042357" w:rsidR="0069062C" w:rsidRPr="0069062C" w:rsidRDefault="0069062C" w:rsidP="00BC39F1">
            <w:pPr>
              <w:keepNext/>
              <w:spacing w:after="120"/>
              <w:rPr>
                <w:rFonts w:asciiTheme="majorBidi" w:eastAsia="Times New Roman" w:hAnsiTheme="majorBidi" w:cstheme="majorBidi"/>
                <w:color w:val="000000" w:themeColor="text1"/>
                <w:sz w:val="18"/>
                <w:szCs w:val="18"/>
              </w:rPr>
            </w:pPr>
            <w:r w:rsidRPr="0069062C">
              <w:rPr>
                <w:rFonts w:asciiTheme="majorBidi" w:eastAsia="Times New Roman" w:hAnsiTheme="majorBidi" w:cstheme="majorBidi"/>
                <w:color w:val="000000" w:themeColor="text1"/>
                <w:sz w:val="18"/>
                <w:szCs w:val="18"/>
              </w:rPr>
              <w:drawing>
                <wp:inline distT="114300" distB="114300" distL="114300" distR="114300" wp14:anchorId="68448C8D" wp14:editId="28D0E872">
                  <wp:extent cx="3509963" cy="2082638"/>
                  <wp:effectExtent l="0" t="0" r="0" b="0"/>
                  <wp:docPr id="188796924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5"/>
                          <a:srcRect/>
                          <a:stretch>
                            <a:fillRect/>
                          </a:stretch>
                        </pic:blipFill>
                        <pic:spPr>
                          <a:xfrm>
                            <a:off x="0" y="0"/>
                            <a:ext cx="3509963" cy="2082638"/>
                          </a:xfrm>
                          <a:prstGeom prst="rect">
                            <a:avLst/>
                          </a:prstGeom>
                          <a:ln/>
                        </pic:spPr>
                      </pic:pic>
                    </a:graphicData>
                  </a:graphic>
                </wp:inline>
              </w:drawing>
            </w:r>
          </w:p>
        </w:tc>
      </w:tr>
    </w:tbl>
    <w:p w14:paraId="0441038B" w14:textId="77777777" w:rsidR="007F38C9" w:rsidRDefault="007F38C9" w:rsidP="007F38C9">
      <w:pPr>
        <w:pStyle w:val="Normalnumber"/>
        <w:keepNext/>
        <w:tabs>
          <w:tab w:val="clear" w:pos="1247"/>
          <w:tab w:val="clear" w:pos="1814"/>
          <w:tab w:val="clear" w:pos="2381"/>
          <w:tab w:val="clear" w:pos="2948"/>
          <w:tab w:val="clear" w:pos="3515"/>
          <w:tab w:val="clear" w:pos="4082"/>
        </w:tabs>
        <w:spacing w:before="240"/>
        <w:ind w:left="1871"/>
        <w:rPr>
          <w:rFonts w:asciiTheme="majorBidi" w:hAnsiTheme="majorBidi" w:cstheme="majorBidi"/>
          <w:lang w:val="en-GB"/>
        </w:rPr>
      </w:pPr>
    </w:p>
    <w:p w14:paraId="04F71943" w14:textId="77777777" w:rsidR="007F38C9" w:rsidRDefault="007F38C9" w:rsidP="007F38C9">
      <w:pPr>
        <w:pStyle w:val="Normalnumber"/>
        <w:keepNext/>
        <w:tabs>
          <w:tab w:val="clear" w:pos="1247"/>
          <w:tab w:val="clear" w:pos="1814"/>
          <w:tab w:val="clear" w:pos="2381"/>
          <w:tab w:val="clear" w:pos="2948"/>
          <w:tab w:val="clear" w:pos="3515"/>
          <w:tab w:val="clear" w:pos="4082"/>
        </w:tabs>
        <w:spacing w:before="240"/>
        <w:ind w:left="1871"/>
        <w:rPr>
          <w:rFonts w:asciiTheme="majorBidi" w:hAnsiTheme="majorBidi" w:cstheme="majorBidi"/>
          <w:lang w:val="en-GB"/>
        </w:rPr>
      </w:pPr>
    </w:p>
    <w:p w14:paraId="4ADAE5C8" w14:textId="77777777" w:rsidR="007F38C9" w:rsidRDefault="007F38C9" w:rsidP="007F38C9">
      <w:pPr>
        <w:pStyle w:val="Normalnumber"/>
        <w:keepNext/>
        <w:tabs>
          <w:tab w:val="clear" w:pos="1247"/>
          <w:tab w:val="clear" w:pos="1814"/>
          <w:tab w:val="clear" w:pos="2381"/>
          <w:tab w:val="clear" w:pos="2948"/>
          <w:tab w:val="clear" w:pos="3515"/>
          <w:tab w:val="clear" w:pos="4082"/>
        </w:tabs>
        <w:spacing w:before="240"/>
        <w:ind w:left="1871"/>
        <w:rPr>
          <w:rFonts w:asciiTheme="majorBidi" w:hAnsiTheme="majorBidi" w:cstheme="majorBidi"/>
          <w:lang w:val="en-GB"/>
        </w:rPr>
      </w:pPr>
    </w:p>
    <w:p w14:paraId="11390BC5" w14:textId="77777777" w:rsidR="007F38C9" w:rsidRDefault="007F38C9" w:rsidP="007F38C9">
      <w:pPr>
        <w:pStyle w:val="Normalnumber"/>
        <w:keepNext/>
        <w:tabs>
          <w:tab w:val="clear" w:pos="1247"/>
          <w:tab w:val="clear" w:pos="1814"/>
          <w:tab w:val="clear" w:pos="2381"/>
          <w:tab w:val="clear" w:pos="2948"/>
          <w:tab w:val="clear" w:pos="3515"/>
          <w:tab w:val="clear" w:pos="4082"/>
        </w:tabs>
        <w:spacing w:before="240"/>
        <w:ind w:left="1871"/>
        <w:rPr>
          <w:rFonts w:asciiTheme="majorBidi" w:hAnsiTheme="majorBidi" w:cstheme="majorBidi"/>
          <w:lang w:val="en-GB"/>
        </w:rPr>
      </w:pPr>
    </w:p>
    <w:p w14:paraId="149BBCFE" w14:textId="77777777" w:rsidR="007F38C9" w:rsidRDefault="007F38C9" w:rsidP="007F38C9">
      <w:pPr>
        <w:pStyle w:val="Normalnumber"/>
        <w:keepNext/>
        <w:tabs>
          <w:tab w:val="clear" w:pos="1247"/>
          <w:tab w:val="clear" w:pos="1814"/>
          <w:tab w:val="clear" w:pos="2381"/>
          <w:tab w:val="clear" w:pos="2948"/>
          <w:tab w:val="clear" w:pos="3515"/>
          <w:tab w:val="clear" w:pos="4082"/>
        </w:tabs>
        <w:spacing w:before="240"/>
        <w:ind w:left="1871"/>
        <w:rPr>
          <w:rFonts w:asciiTheme="majorBidi" w:hAnsiTheme="majorBidi" w:cstheme="majorBidi"/>
          <w:lang w:val="en-GB"/>
        </w:rPr>
      </w:pPr>
    </w:p>
    <w:p w14:paraId="4764D756" w14:textId="4D31A797" w:rsidR="003E7545" w:rsidRPr="003E7545" w:rsidRDefault="003E7545" w:rsidP="007F38C9">
      <w:pPr>
        <w:pStyle w:val="Normalnumber"/>
        <w:keepNext/>
        <w:numPr>
          <w:ilvl w:val="0"/>
          <w:numId w:val="6"/>
        </w:numPr>
        <w:tabs>
          <w:tab w:val="clear" w:pos="1247"/>
          <w:tab w:val="clear" w:pos="1814"/>
          <w:tab w:val="clear" w:pos="2381"/>
          <w:tab w:val="clear" w:pos="2948"/>
          <w:tab w:val="clear" w:pos="3515"/>
          <w:tab w:val="clear" w:pos="4082"/>
        </w:tabs>
        <w:spacing w:before="240"/>
        <w:ind w:left="1247" w:firstLine="624"/>
        <w:rPr>
          <w:rFonts w:asciiTheme="majorBidi" w:hAnsiTheme="majorBidi" w:cstheme="majorBidi"/>
          <w:lang w:val="en-GB"/>
        </w:rPr>
      </w:pPr>
      <w:r w:rsidRPr="00F4180C">
        <w:rPr>
          <w:rFonts w:asciiTheme="majorBidi" w:hAnsiTheme="majorBidi" w:cstheme="majorBidi"/>
          <w:lang w:val="en-GB"/>
        </w:rPr>
        <w:t>Mercury inventory reporting rules and publication of inventory reports</w:t>
      </w:r>
    </w:p>
    <w:tbl>
      <w:tblPr>
        <w:tblW w:w="8094" w:type="dxa"/>
        <w:tblInd w:w="126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094"/>
      </w:tblGrid>
      <w:tr w:rsidR="003E7545" w:rsidRPr="00E60CEC" w14:paraId="3F117147" w14:textId="77777777" w:rsidTr="00E60CEC">
        <w:tc>
          <w:tcPr>
            <w:tcW w:w="8094" w:type="dxa"/>
            <w:shd w:val="clear" w:color="auto" w:fill="D9D9D9" w:themeFill="background1" w:themeFillShade="D9"/>
            <w:tcMar>
              <w:top w:w="100" w:type="dxa"/>
              <w:left w:w="100" w:type="dxa"/>
              <w:bottom w:w="100" w:type="dxa"/>
              <w:right w:w="100" w:type="dxa"/>
            </w:tcMar>
          </w:tcPr>
          <w:p w14:paraId="02A5C820" w14:textId="77777777" w:rsidR="003E7545" w:rsidRPr="00E60CEC" w:rsidRDefault="003E7545" w:rsidP="007F38C9">
            <w:pPr>
              <w:keepNext/>
              <w:spacing w:after="120"/>
              <w:rPr>
                <w:rFonts w:asciiTheme="majorBidi" w:eastAsia="Times New Roman" w:hAnsiTheme="majorBidi" w:cstheme="majorBidi"/>
                <w:b/>
                <w:color w:val="000000" w:themeColor="text1"/>
                <w:sz w:val="18"/>
                <w:szCs w:val="18"/>
              </w:rPr>
            </w:pPr>
            <w:r w:rsidRPr="00E60CEC">
              <w:rPr>
                <w:rFonts w:asciiTheme="majorBidi" w:eastAsia="Times New Roman" w:hAnsiTheme="majorBidi" w:cstheme="majorBidi"/>
                <w:b/>
                <w:color w:val="000000" w:themeColor="text1"/>
                <w:sz w:val="18"/>
                <w:szCs w:val="18"/>
              </w:rPr>
              <w:lastRenderedPageBreak/>
              <w:t xml:space="preserve">Example: </w:t>
            </w:r>
            <w:proofErr w:type="gramStart"/>
            <w:r w:rsidRPr="00E60CEC">
              <w:rPr>
                <w:rFonts w:asciiTheme="majorBidi" w:eastAsia="Times New Roman" w:hAnsiTheme="majorBidi" w:cstheme="majorBidi"/>
                <w:b/>
                <w:color w:val="000000" w:themeColor="text1"/>
                <w:sz w:val="18"/>
                <w:szCs w:val="18"/>
              </w:rPr>
              <w:t>the</w:t>
            </w:r>
            <w:proofErr w:type="gramEnd"/>
            <w:r w:rsidRPr="00E60CEC">
              <w:rPr>
                <w:rFonts w:asciiTheme="majorBidi" w:eastAsia="Times New Roman" w:hAnsiTheme="majorBidi" w:cstheme="majorBidi"/>
                <w:b/>
                <w:color w:val="000000" w:themeColor="text1"/>
                <w:sz w:val="18"/>
                <w:szCs w:val="18"/>
              </w:rPr>
              <w:t xml:space="preserve"> United States Mercury Reporting Rule</w:t>
            </w:r>
          </w:p>
          <w:p w14:paraId="3AA79BA7" w14:textId="77777777" w:rsidR="003E7545" w:rsidRPr="00E60CEC" w:rsidRDefault="003E7545" w:rsidP="007F38C9">
            <w:pPr>
              <w:keepNext/>
              <w:spacing w:after="120"/>
              <w:rPr>
                <w:rFonts w:asciiTheme="majorBidi" w:eastAsia="Times New Roman" w:hAnsiTheme="majorBidi" w:cstheme="majorBidi"/>
                <w:bCs/>
                <w:color w:val="000000" w:themeColor="text1"/>
                <w:sz w:val="18"/>
                <w:szCs w:val="18"/>
              </w:rPr>
            </w:pPr>
            <w:r w:rsidRPr="00E60CEC">
              <w:rPr>
                <w:rFonts w:asciiTheme="majorBidi" w:eastAsia="Times New Roman" w:hAnsiTheme="majorBidi" w:cstheme="majorBidi"/>
                <w:bCs/>
                <w:color w:val="000000" w:themeColor="text1"/>
                <w:sz w:val="18"/>
                <w:szCs w:val="18"/>
              </w:rPr>
              <w:t>Since 2018, the United States has enforced a mercury reporting rule (</w:t>
            </w:r>
            <w:hyperlink r:id="rId16">
              <w:r w:rsidRPr="00E60CEC">
                <w:rPr>
                  <w:bCs/>
                  <w:color w:val="000000" w:themeColor="text1"/>
                  <w:sz w:val="18"/>
                  <w:szCs w:val="18"/>
                </w:rPr>
                <w:t>40 CFR Part 713</w:t>
              </w:r>
            </w:hyperlink>
            <w:r w:rsidRPr="00E60CEC">
              <w:rPr>
                <w:rFonts w:asciiTheme="majorBidi" w:eastAsia="Times New Roman" w:hAnsiTheme="majorBidi" w:cstheme="majorBidi"/>
                <w:bCs/>
                <w:color w:val="000000" w:themeColor="text1"/>
                <w:sz w:val="18"/>
                <w:szCs w:val="18"/>
              </w:rPr>
              <w:t xml:space="preserve">) under the Toxic Substances Control Act (TSCA) to assist in the preparation of an inventory of mercury supply, use, and trade in the United States. This rule specifies reporting and recordkeeping procedures for certain manufacturers (including importers) and processers of mercury and mercury compounds. It authorizes the US Environmental Protection Agency (EPA) to require any person who manufactures mercury or mercury-added products, or otherwise intentionally uses mercury in a manufacturing process, to compile and publish an inventory of mercury supply, use, and trade in the Federal Register. The rule requires them to use the online Mercury Electronic Reporting (MER) application. </w:t>
            </w:r>
          </w:p>
          <w:p w14:paraId="0869718C" w14:textId="77777777" w:rsidR="003E7545" w:rsidRPr="00E60CEC" w:rsidRDefault="003E7545" w:rsidP="007F38C9">
            <w:pPr>
              <w:keepNext/>
              <w:spacing w:after="120"/>
              <w:rPr>
                <w:rFonts w:asciiTheme="majorBidi" w:eastAsia="Times New Roman" w:hAnsiTheme="majorBidi" w:cstheme="majorBidi"/>
                <w:bCs/>
                <w:color w:val="000000" w:themeColor="text1"/>
                <w:sz w:val="18"/>
                <w:szCs w:val="18"/>
              </w:rPr>
            </w:pPr>
            <w:r w:rsidRPr="00E60CEC">
              <w:rPr>
                <w:rFonts w:asciiTheme="majorBidi" w:eastAsia="Times New Roman" w:hAnsiTheme="majorBidi" w:cstheme="majorBidi"/>
                <w:bCs/>
                <w:color w:val="000000" w:themeColor="text1"/>
                <w:sz w:val="18"/>
                <w:szCs w:val="18"/>
              </w:rPr>
              <w:t xml:space="preserve">The reporting requirements apply to the import, manufacture, intentional use in manufacturing process, distribution in commerce, storage of mercury, and export of a mercury compound and mercury-added product. </w:t>
            </w:r>
          </w:p>
          <w:p w14:paraId="38BF7FA6" w14:textId="77777777" w:rsidR="003E7545" w:rsidRPr="00E60CEC" w:rsidRDefault="003E7545" w:rsidP="007F38C9">
            <w:pPr>
              <w:keepNext/>
              <w:spacing w:after="120"/>
              <w:rPr>
                <w:rFonts w:asciiTheme="majorBidi" w:eastAsia="Times New Roman" w:hAnsiTheme="majorBidi" w:cstheme="majorBidi"/>
                <w:bCs/>
                <w:color w:val="000000" w:themeColor="text1"/>
                <w:sz w:val="18"/>
                <w:szCs w:val="18"/>
              </w:rPr>
            </w:pPr>
            <w:r w:rsidRPr="00E60CEC">
              <w:rPr>
                <w:rFonts w:asciiTheme="majorBidi" w:eastAsia="Times New Roman" w:hAnsiTheme="majorBidi" w:cstheme="majorBidi"/>
                <w:bCs/>
                <w:color w:val="000000" w:themeColor="text1"/>
                <w:sz w:val="18"/>
                <w:szCs w:val="18"/>
              </w:rPr>
              <w:t>General requirements for which information must be reported are as follows:</w:t>
            </w:r>
          </w:p>
          <w:p w14:paraId="2590C7CB" w14:textId="77777777" w:rsidR="003E7545" w:rsidRPr="00043078" w:rsidRDefault="003E7545" w:rsidP="007F38C9">
            <w:pPr>
              <w:pStyle w:val="Normalnumber"/>
              <w:keepNext/>
              <w:numPr>
                <w:ilvl w:val="0"/>
                <w:numId w:val="16"/>
              </w:numPr>
              <w:tabs>
                <w:tab w:val="clear" w:pos="1247"/>
                <w:tab w:val="clear" w:pos="1814"/>
                <w:tab w:val="clear" w:pos="2381"/>
                <w:tab w:val="clear" w:pos="2948"/>
                <w:tab w:val="clear" w:pos="3515"/>
                <w:tab w:val="clear" w:pos="4082"/>
                <w:tab w:val="left" w:pos="990"/>
              </w:tabs>
              <w:ind w:left="465" w:firstLine="0"/>
              <w:rPr>
                <w:rFonts w:asciiTheme="majorBidi" w:hAnsiTheme="majorBidi" w:cstheme="majorBidi"/>
                <w:color w:val="000000" w:themeColor="text1"/>
                <w:sz w:val="18"/>
                <w:szCs w:val="18"/>
                <w:lang w:val="en-GB"/>
              </w:rPr>
            </w:pPr>
            <w:r w:rsidRPr="00043078">
              <w:rPr>
                <w:rFonts w:asciiTheme="majorBidi" w:hAnsiTheme="majorBidi" w:cstheme="majorBidi"/>
                <w:color w:val="000000" w:themeColor="text1"/>
                <w:sz w:val="18"/>
                <w:szCs w:val="18"/>
                <w:lang w:val="en-GB"/>
              </w:rPr>
              <w:t>Amount of mercury stored</w:t>
            </w:r>
          </w:p>
          <w:p w14:paraId="3E4D6AF9" w14:textId="77777777" w:rsidR="003E7545" w:rsidRPr="00043078" w:rsidRDefault="003E7545" w:rsidP="007F38C9">
            <w:pPr>
              <w:pStyle w:val="Normalnumber"/>
              <w:keepNext/>
              <w:numPr>
                <w:ilvl w:val="0"/>
                <w:numId w:val="16"/>
              </w:numPr>
              <w:tabs>
                <w:tab w:val="clear" w:pos="1247"/>
                <w:tab w:val="clear" w:pos="1814"/>
                <w:tab w:val="clear" w:pos="2381"/>
                <w:tab w:val="clear" w:pos="2948"/>
                <w:tab w:val="clear" w:pos="3515"/>
                <w:tab w:val="clear" w:pos="4082"/>
                <w:tab w:val="left" w:pos="990"/>
              </w:tabs>
              <w:ind w:left="465" w:firstLine="0"/>
              <w:rPr>
                <w:rFonts w:asciiTheme="majorBidi" w:hAnsiTheme="majorBidi" w:cstheme="majorBidi"/>
                <w:color w:val="000000" w:themeColor="text1"/>
                <w:sz w:val="18"/>
                <w:szCs w:val="18"/>
                <w:lang w:val="en-GB"/>
              </w:rPr>
            </w:pPr>
            <w:r w:rsidRPr="00043078">
              <w:rPr>
                <w:rFonts w:asciiTheme="majorBidi" w:hAnsiTheme="majorBidi" w:cstheme="majorBidi"/>
                <w:color w:val="000000" w:themeColor="text1"/>
                <w:sz w:val="18"/>
                <w:szCs w:val="18"/>
                <w:lang w:val="en-GB"/>
              </w:rPr>
              <w:t>Amount of mercury distributed in commerce</w:t>
            </w:r>
          </w:p>
          <w:p w14:paraId="3B0D9D16" w14:textId="77777777" w:rsidR="003E7545" w:rsidRPr="00043078" w:rsidRDefault="003E7545" w:rsidP="007F38C9">
            <w:pPr>
              <w:pStyle w:val="Normalnumber"/>
              <w:keepNext/>
              <w:numPr>
                <w:ilvl w:val="0"/>
                <w:numId w:val="16"/>
              </w:numPr>
              <w:tabs>
                <w:tab w:val="clear" w:pos="1247"/>
                <w:tab w:val="clear" w:pos="1814"/>
                <w:tab w:val="clear" w:pos="2381"/>
                <w:tab w:val="clear" w:pos="2948"/>
                <w:tab w:val="clear" w:pos="3515"/>
                <w:tab w:val="clear" w:pos="4082"/>
                <w:tab w:val="left" w:pos="990"/>
              </w:tabs>
              <w:ind w:left="465" w:firstLine="0"/>
              <w:rPr>
                <w:rFonts w:asciiTheme="majorBidi" w:hAnsiTheme="majorBidi" w:cstheme="majorBidi"/>
                <w:color w:val="000000" w:themeColor="text1"/>
                <w:sz w:val="18"/>
                <w:szCs w:val="18"/>
                <w:lang w:val="en-GB"/>
              </w:rPr>
            </w:pPr>
            <w:r w:rsidRPr="00043078">
              <w:rPr>
                <w:rFonts w:asciiTheme="majorBidi" w:hAnsiTheme="majorBidi" w:cstheme="majorBidi"/>
                <w:color w:val="000000" w:themeColor="text1"/>
                <w:sz w:val="18"/>
                <w:szCs w:val="18"/>
                <w:lang w:val="en-GB"/>
              </w:rPr>
              <w:t>Amount of mercury manufactured</w:t>
            </w:r>
          </w:p>
          <w:p w14:paraId="14502B8A" w14:textId="77777777" w:rsidR="003E7545" w:rsidRPr="00043078" w:rsidRDefault="003E7545" w:rsidP="007F38C9">
            <w:pPr>
              <w:pStyle w:val="Normalnumber"/>
              <w:keepNext/>
              <w:numPr>
                <w:ilvl w:val="0"/>
                <w:numId w:val="16"/>
              </w:numPr>
              <w:tabs>
                <w:tab w:val="clear" w:pos="1247"/>
                <w:tab w:val="clear" w:pos="1814"/>
                <w:tab w:val="clear" w:pos="2381"/>
                <w:tab w:val="clear" w:pos="2948"/>
                <w:tab w:val="clear" w:pos="3515"/>
                <w:tab w:val="clear" w:pos="4082"/>
                <w:tab w:val="left" w:pos="990"/>
              </w:tabs>
              <w:ind w:left="465" w:firstLine="0"/>
              <w:rPr>
                <w:rFonts w:asciiTheme="majorBidi" w:hAnsiTheme="majorBidi" w:cstheme="majorBidi"/>
                <w:color w:val="000000" w:themeColor="text1"/>
                <w:sz w:val="18"/>
                <w:szCs w:val="18"/>
                <w:lang w:val="en-GB"/>
              </w:rPr>
            </w:pPr>
            <w:r w:rsidRPr="00043078">
              <w:rPr>
                <w:rFonts w:asciiTheme="majorBidi" w:hAnsiTheme="majorBidi" w:cstheme="majorBidi"/>
                <w:color w:val="000000" w:themeColor="text1"/>
                <w:sz w:val="18"/>
                <w:szCs w:val="18"/>
                <w:lang w:val="en-GB"/>
              </w:rPr>
              <w:t>Amount of mercury in manufactured products</w:t>
            </w:r>
          </w:p>
          <w:p w14:paraId="62A2F8BD" w14:textId="77777777" w:rsidR="003E7545" w:rsidRPr="00043078" w:rsidRDefault="003E7545" w:rsidP="007F38C9">
            <w:pPr>
              <w:pStyle w:val="Normalnumber"/>
              <w:keepNext/>
              <w:numPr>
                <w:ilvl w:val="0"/>
                <w:numId w:val="16"/>
              </w:numPr>
              <w:tabs>
                <w:tab w:val="clear" w:pos="1247"/>
                <w:tab w:val="clear" w:pos="1814"/>
                <w:tab w:val="clear" w:pos="2381"/>
                <w:tab w:val="clear" w:pos="2948"/>
                <w:tab w:val="clear" w:pos="3515"/>
                <w:tab w:val="clear" w:pos="4082"/>
                <w:tab w:val="left" w:pos="990"/>
              </w:tabs>
              <w:ind w:left="465" w:firstLine="0"/>
              <w:rPr>
                <w:rFonts w:asciiTheme="majorBidi" w:hAnsiTheme="majorBidi" w:cstheme="majorBidi"/>
                <w:color w:val="000000" w:themeColor="text1"/>
                <w:sz w:val="18"/>
                <w:szCs w:val="18"/>
                <w:lang w:val="en-GB"/>
              </w:rPr>
            </w:pPr>
            <w:r w:rsidRPr="00043078">
              <w:rPr>
                <w:rFonts w:asciiTheme="majorBidi" w:hAnsiTheme="majorBidi" w:cstheme="majorBidi"/>
                <w:color w:val="000000" w:themeColor="text1"/>
                <w:sz w:val="18"/>
                <w:szCs w:val="18"/>
                <w:lang w:val="en-GB"/>
              </w:rPr>
              <w:t>Amount of mercury imported</w:t>
            </w:r>
          </w:p>
          <w:p w14:paraId="212D5FED" w14:textId="77777777" w:rsidR="003E7545" w:rsidRPr="00043078" w:rsidRDefault="003E7545" w:rsidP="007F38C9">
            <w:pPr>
              <w:pStyle w:val="Normalnumber"/>
              <w:keepNext/>
              <w:numPr>
                <w:ilvl w:val="0"/>
                <w:numId w:val="16"/>
              </w:numPr>
              <w:tabs>
                <w:tab w:val="clear" w:pos="1247"/>
                <w:tab w:val="clear" w:pos="1814"/>
                <w:tab w:val="clear" w:pos="2381"/>
                <w:tab w:val="clear" w:pos="2948"/>
                <w:tab w:val="clear" w:pos="3515"/>
                <w:tab w:val="clear" w:pos="4082"/>
                <w:tab w:val="left" w:pos="990"/>
              </w:tabs>
              <w:ind w:left="465" w:firstLine="0"/>
              <w:rPr>
                <w:rFonts w:asciiTheme="majorBidi" w:hAnsiTheme="majorBidi" w:cstheme="majorBidi"/>
                <w:color w:val="000000" w:themeColor="text1"/>
                <w:sz w:val="18"/>
                <w:szCs w:val="18"/>
                <w:lang w:val="en-GB"/>
              </w:rPr>
            </w:pPr>
            <w:r w:rsidRPr="00043078">
              <w:rPr>
                <w:rFonts w:asciiTheme="majorBidi" w:hAnsiTheme="majorBidi" w:cstheme="majorBidi"/>
                <w:color w:val="000000" w:themeColor="text1"/>
                <w:sz w:val="18"/>
                <w:szCs w:val="18"/>
                <w:lang w:val="en-GB"/>
              </w:rPr>
              <w:t>Amount of mercury exported</w:t>
            </w:r>
          </w:p>
          <w:p w14:paraId="64C5C4D6" w14:textId="77777777" w:rsidR="003E7545" w:rsidRPr="00043078" w:rsidRDefault="003E7545" w:rsidP="007F38C9">
            <w:pPr>
              <w:pStyle w:val="Normalnumber"/>
              <w:keepNext/>
              <w:numPr>
                <w:ilvl w:val="0"/>
                <w:numId w:val="16"/>
              </w:numPr>
              <w:tabs>
                <w:tab w:val="clear" w:pos="1247"/>
                <w:tab w:val="clear" w:pos="1814"/>
                <w:tab w:val="clear" w:pos="2381"/>
                <w:tab w:val="clear" w:pos="2948"/>
                <w:tab w:val="clear" w:pos="3515"/>
                <w:tab w:val="clear" w:pos="4082"/>
                <w:tab w:val="left" w:pos="990"/>
              </w:tabs>
              <w:ind w:left="465" w:firstLine="0"/>
              <w:rPr>
                <w:rFonts w:asciiTheme="majorBidi" w:hAnsiTheme="majorBidi" w:cstheme="majorBidi"/>
                <w:color w:val="000000" w:themeColor="text1"/>
                <w:sz w:val="18"/>
                <w:szCs w:val="18"/>
                <w:lang w:val="en-GB"/>
              </w:rPr>
            </w:pPr>
            <w:r w:rsidRPr="00043078">
              <w:rPr>
                <w:rFonts w:asciiTheme="majorBidi" w:hAnsiTheme="majorBidi" w:cstheme="majorBidi"/>
                <w:color w:val="000000" w:themeColor="text1"/>
                <w:sz w:val="18"/>
                <w:szCs w:val="18"/>
                <w:lang w:val="en-GB"/>
              </w:rPr>
              <w:t>Amount of mercury in imported and exported products</w:t>
            </w:r>
          </w:p>
          <w:p w14:paraId="121D395C" w14:textId="77777777" w:rsidR="003E7545" w:rsidRPr="00043078" w:rsidRDefault="003E7545" w:rsidP="007F38C9">
            <w:pPr>
              <w:pStyle w:val="Normalnumber"/>
              <w:keepNext/>
              <w:numPr>
                <w:ilvl w:val="0"/>
                <w:numId w:val="16"/>
              </w:numPr>
              <w:tabs>
                <w:tab w:val="clear" w:pos="1247"/>
                <w:tab w:val="clear" w:pos="1814"/>
                <w:tab w:val="clear" w:pos="2381"/>
                <w:tab w:val="clear" w:pos="2948"/>
                <w:tab w:val="clear" w:pos="3515"/>
                <w:tab w:val="clear" w:pos="4082"/>
                <w:tab w:val="left" w:pos="990"/>
              </w:tabs>
              <w:ind w:left="465" w:firstLine="0"/>
              <w:rPr>
                <w:rFonts w:asciiTheme="majorBidi" w:hAnsiTheme="majorBidi" w:cstheme="majorBidi"/>
                <w:color w:val="000000" w:themeColor="text1"/>
                <w:sz w:val="18"/>
                <w:szCs w:val="18"/>
                <w:lang w:val="en-GB"/>
              </w:rPr>
            </w:pPr>
            <w:r w:rsidRPr="00043078">
              <w:rPr>
                <w:rFonts w:asciiTheme="majorBidi" w:hAnsiTheme="majorBidi" w:cstheme="majorBidi"/>
                <w:color w:val="000000" w:themeColor="text1"/>
                <w:sz w:val="18"/>
                <w:szCs w:val="18"/>
                <w:lang w:val="en-GB"/>
              </w:rPr>
              <w:t>Amount of mercury in products distributed in commerce</w:t>
            </w:r>
          </w:p>
          <w:p w14:paraId="062E3C51" w14:textId="77777777" w:rsidR="003E7545" w:rsidRPr="00043078" w:rsidRDefault="003E7545" w:rsidP="007F38C9">
            <w:pPr>
              <w:pStyle w:val="Normalnumber"/>
              <w:keepNext/>
              <w:numPr>
                <w:ilvl w:val="0"/>
                <w:numId w:val="16"/>
              </w:numPr>
              <w:tabs>
                <w:tab w:val="clear" w:pos="1247"/>
                <w:tab w:val="clear" w:pos="1814"/>
                <w:tab w:val="clear" w:pos="2381"/>
                <w:tab w:val="clear" w:pos="2948"/>
                <w:tab w:val="clear" w:pos="3515"/>
                <w:tab w:val="clear" w:pos="4082"/>
                <w:tab w:val="left" w:pos="990"/>
              </w:tabs>
              <w:ind w:left="465" w:firstLine="0"/>
              <w:rPr>
                <w:rFonts w:asciiTheme="majorBidi" w:hAnsiTheme="majorBidi" w:cstheme="majorBidi"/>
                <w:color w:val="000000" w:themeColor="text1"/>
                <w:sz w:val="18"/>
                <w:szCs w:val="18"/>
                <w:lang w:val="en-GB"/>
              </w:rPr>
            </w:pPr>
            <w:r w:rsidRPr="00043078">
              <w:rPr>
                <w:rFonts w:asciiTheme="majorBidi" w:hAnsiTheme="majorBidi" w:cstheme="majorBidi"/>
                <w:color w:val="000000" w:themeColor="text1"/>
                <w:sz w:val="18"/>
                <w:szCs w:val="18"/>
                <w:lang w:val="en-GB"/>
              </w:rPr>
              <w:t>Amount of mercury otherwise intentionally used in a manufacturing process</w:t>
            </w:r>
          </w:p>
          <w:p w14:paraId="63C60743" w14:textId="77777777" w:rsidR="003E7545" w:rsidRPr="00E60CEC" w:rsidRDefault="003E7545" w:rsidP="007F38C9">
            <w:pPr>
              <w:keepNext/>
              <w:spacing w:after="120"/>
              <w:rPr>
                <w:rFonts w:asciiTheme="majorBidi" w:eastAsia="Times New Roman" w:hAnsiTheme="majorBidi" w:cstheme="majorBidi"/>
                <w:b/>
                <w:color w:val="000000" w:themeColor="text1"/>
                <w:sz w:val="18"/>
                <w:szCs w:val="18"/>
              </w:rPr>
            </w:pPr>
            <w:r w:rsidRPr="00E60CEC">
              <w:rPr>
                <w:rFonts w:asciiTheme="majorBidi" w:eastAsia="Times New Roman" w:hAnsiTheme="majorBidi" w:cstheme="majorBidi"/>
                <w:bCs/>
                <w:color w:val="000000" w:themeColor="text1"/>
                <w:sz w:val="18"/>
                <w:szCs w:val="18"/>
              </w:rPr>
              <w:t xml:space="preserve">Data from the 2018 reporting year was used for the U.S. 2020 mercury inventory; data from the 2021 reporting year was be used for the 2023 mercury inventory; and so forth at three-year intervals. The EPA published its initial mercury inventory in 2017, followed by subsequent reports in 2021 and 2023 (the most recent). The 2017 inventory report relied on publicly available data on the mercury market in the United States, while the later reports contain data collected directly from persons who manufacture or import mercury or mercury-added products, or otherwise intentionally use mercury in a manufacturing process. This has helped the EPA narrow data gaps and limitations noted in its initial inventory and has supported its national reporting efforts. </w:t>
            </w:r>
          </w:p>
        </w:tc>
      </w:tr>
    </w:tbl>
    <w:p w14:paraId="57A31D2D" w14:textId="1ECAB9EC" w:rsidR="003E7545" w:rsidRPr="003E7545" w:rsidRDefault="003E7545" w:rsidP="00BC39F1">
      <w:pPr>
        <w:pStyle w:val="Normalnumber"/>
        <w:numPr>
          <w:ilvl w:val="0"/>
          <w:numId w:val="6"/>
        </w:numPr>
        <w:tabs>
          <w:tab w:val="clear" w:pos="1247"/>
          <w:tab w:val="clear" w:pos="1814"/>
          <w:tab w:val="clear" w:pos="2381"/>
          <w:tab w:val="clear" w:pos="2948"/>
          <w:tab w:val="clear" w:pos="3515"/>
          <w:tab w:val="clear" w:pos="4082"/>
        </w:tabs>
        <w:spacing w:before="240"/>
        <w:ind w:left="1247" w:firstLine="624"/>
        <w:rPr>
          <w:rFonts w:asciiTheme="majorBidi" w:hAnsiTheme="majorBidi" w:cstheme="majorBidi"/>
          <w:lang w:val="en-GB"/>
        </w:rPr>
      </w:pPr>
      <w:r w:rsidRPr="00F4180C">
        <w:rPr>
          <w:rFonts w:asciiTheme="majorBidi" w:hAnsiTheme="majorBidi" w:cstheme="majorBidi"/>
          <w:lang w:val="en-GB"/>
        </w:rPr>
        <w:t>Implementation of mercury regulatory frameworks</w:t>
      </w:r>
    </w:p>
    <w:tbl>
      <w:tblPr>
        <w:tblW w:w="8094" w:type="dxa"/>
        <w:tblInd w:w="126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094"/>
      </w:tblGrid>
      <w:tr w:rsidR="003E7545" w:rsidRPr="00E60CEC" w14:paraId="35A3FFE0" w14:textId="77777777" w:rsidTr="00E60CEC">
        <w:tc>
          <w:tcPr>
            <w:tcW w:w="8094" w:type="dxa"/>
            <w:shd w:val="clear" w:color="auto" w:fill="D9D9D9" w:themeFill="background1" w:themeFillShade="D9"/>
            <w:tcMar>
              <w:top w:w="100" w:type="dxa"/>
              <w:left w:w="100" w:type="dxa"/>
              <w:bottom w:w="100" w:type="dxa"/>
              <w:right w:w="100" w:type="dxa"/>
            </w:tcMar>
          </w:tcPr>
          <w:p w14:paraId="27A32396" w14:textId="77777777" w:rsidR="003E7545" w:rsidRPr="00807103" w:rsidRDefault="003E7545" w:rsidP="00BC39F1">
            <w:pPr>
              <w:pBdr>
                <w:top w:val="nil"/>
                <w:left w:val="nil"/>
                <w:bottom w:val="nil"/>
                <w:right w:val="nil"/>
                <w:between w:val="nil"/>
              </w:pBdr>
              <w:spacing w:after="120"/>
              <w:rPr>
                <w:rFonts w:asciiTheme="majorBidi" w:eastAsia="Times New Roman" w:hAnsiTheme="majorBidi" w:cstheme="majorBidi"/>
                <w:b/>
                <w:color w:val="000000" w:themeColor="text1"/>
                <w:sz w:val="18"/>
                <w:szCs w:val="18"/>
              </w:rPr>
            </w:pPr>
            <w:r w:rsidRPr="00807103">
              <w:rPr>
                <w:rFonts w:asciiTheme="majorBidi" w:eastAsia="Times New Roman" w:hAnsiTheme="majorBidi" w:cstheme="majorBidi"/>
                <w:b/>
                <w:color w:val="000000" w:themeColor="text1"/>
                <w:sz w:val="18"/>
                <w:szCs w:val="18"/>
              </w:rPr>
              <w:t>Example: Finland</w:t>
            </w:r>
          </w:p>
          <w:p w14:paraId="60074810" w14:textId="77777777" w:rsidR="003E7545" w:rsidRPr="00807103" w:rsidRDefault="003E7545" w:rsidP="00BC39F1">
            <w:pPr>
              <w:widowControl w:val="0"/>
              <w:pBdr>
                <w:top w:val="nil"/>
                <w:left w:val="nil"/>
                <w:bottom w:val="nil"/>
                <w:right w:val="nil"/>
                <w:between w:val="nil"/>
              </w:pBdr>
              <w:spacing w:after="120"/>
              <w:rPr>
                <w:rFonts w:asciiTheme="majorBidi" w:eastAsia="Times New Roman" w:hAnsiTheme="majorBidi" w:cstheme="majorBidi"/>
                <w:bCs/>
                <w:color w:val="000000" w:themeColor="text1"/>
                <w:sz w:val="18"/>
                <w:szCs w:val="18"/>
              </w:rPr>
            </w:pPr>
            <w:r w:rsidRPr="00807103">
              <w:rPr>
                <w:rFonts w:asciiTheme="majorBidi" w:eastAsia="Times New Roman" w:hAnsiTheme="majorBidi" w:cstheme="majorBidi"/>
                <w:bCs/>
                <w:color w:val="000000" w:themeColor="text1"/>
                <w:sz w:val="18"/>
                <w:szCs w:val="18"/>
              </w:rPr>
              <w:t xml:space="preserve">Finland’s first endeavour to identify stocks and sources of supply was carried out in 2005, during </w:t>
            </w:r>
            <w:r w:rsidRPr="00807103">
              <w:rPr>
                <w:rFonts w:asciiTheme="majorBidi" w:eastAsia="Times New Roman" w:hAnsiTheme="majorBidi" w:cstheme="majorBidi"/>
                <w:b/>
                <w:color w:val="000000" w:themeColor="text1"/>
                <w:sz w:val="18"/>
                <w:szCs w:val="18"/>
              </w:rPr>
              <w:t xml:space="preserve">open stakeholder consultations </w:t>
            </w:r>
            <w:r w:rsidRPr="00807103">
              <w:rPr>
                <w:rFonts w:asciiTheme="majorBidi" w:eastAsia="Times New Roman" w:hAnsiTheme="majorBidi" w:cstheme="majorBidi"/>
                <w:bCs/>
                <w:color w:val="000000" w:themeColor="text1"/>
                <w:sz w:val="18"/>
                <w:szCs w:val="18"/>
              </w:rPr>
              <w:t xml:space="preserve">held by the European Commission in preparation of the Mercury Export Ban Regulation. </w:t>
            </w:r>
          </w:p>
          <w:p w14:paraId="30F7A2B2" w14:textId="77777777" w:rsidR="003E7545" w:rsidRPr="00807103" w:rsidRDefault="003E7545" w:rsidP="00BC39F1">
            <w:pPr>
              <w:widowControl w:val="0"/>
              <w:pBdr>
                <w:top w:val="nil"/>
                <w:left w:val="nil"/>
                <w:bottom w:val="nil"/>
                <w:right w:val="nil"/>
                <w:between w:val="nil"/>
              </w:pBdr>
              <w:spacing w:after="120"/>
              <w:rPr>
                <w:rFonts w:asciiTheme="majorBidi" w:eastAsia="Times New Roman" w:hAnsiTheme="majorBidi" w:cstheme="majorBidi"/>
                <w:bCs/>
                <w:color w:val="000000" w:themeColor="text1"/>
                <w:sz w:val="18"/>
                <w:szCs w:val="18"/>
              </w:rPr>
            </w:pPr>
            <w:r w:rsidRPr="00807103">
              <w:rPr>
                <w:rFonts w:asciiTheme="majorBidi" w:eastAsia="Times New Roman" w:hAnsiTheme="majorBidi" w:cstheme="majorBidi"/>
                <w:bCs/>
                <w:color w:val="000000" w:themeColor="text1"/>
                <w:sz w:val="18"/>
                <w:szCs w:val="18"/>
              </w:rPr>
              <w:t>Further data was collected from Member States in 2007 for the “Impact Assessment to the Proposal for a Regulation of the European Parliament and the Council on the Banning of Exports and the Safe Storage of Metallic Mercury” (SEC (2006) 1369). This report identified Finland as the largest producer of by-product mercury in the EU-25, mainly from zinc and copper ores refining, including zinc concentrates imported from another country. Finland supported the proposed legislation, which then entered into force on 22 October 2008 (EC No 1102/2008).</w:t>
            </w:r>
          </w:p>
          <w:p w14:paraId="76404ADF" w14:textId="77777777" w:rsidR="003E7545" w:rsidRPr="00807103" w:rsidRDefault="003E7545" w:rsidP="00BC39F1">
            <w:pPr>
              <w:widowControl w:val="0"/>
              <w:pBdr>
                <w:top w:val="nil"/>
                <w:left w:val="nil"/>
                <w:bottom w:val="nil"/>
                <w:right w:val="nil"/>
                <w:between w:val="nil"/>
              </w:pBdr>
              <w:spacing w:after="120"/>
              <w:rPr>
                <w:rFonts w:asciiTheme="majorBidi" w:eastAsia="Times New Roman" w:hAnsiTheme="majorBidi" w:cstheme="majorBidi"/>
                <w:bCs/>
                <w:color w:val="000000" w:themeColor="text1"/>
                <w:sz w:val="18"/>
                <w:szCs w:val="18"/>
              </w:rPr>
            </w:pPr>
            <w:r w:rsidRPr="00807103">
              <w:rPr>
                <w:rFonts w:asciiTheme="majorBidi" w:eastAsia="Times New Roman" w:hAnsiTheme="majorBidi" w:cstheme="majorBidi"/>
                <w:bCs/>
                <w:color w:val="000000" w:themeColor="text1"/>
                <w:sz w:val="18"/>
                <w:szCs w:val="18"/>
              </w:rPr>
              <w:t>In 2013, the EU launched a public consultation on issues related to the ratification and implementation of the Minamata Convention.</w:t>
            </w:r>
            <w:r w:rsidRPr="00043078">
              <w:rPr>
                <w:bCs/>
                <w:color w:val="000000" w:themeColor="text1"/>
                <w:vertAlign w:val="superscript"/>
              </w:rPr>
              <w:footnoteReference w:id="6"/>
            </w:r>
            <w:r w:rsidRPr="00807103">
              <w:rPr>
                <w:rFonts w:asciiTheme="majorBidi" w:eastAsia="Times New Roman" w:hAnsiTheme="majorBidi" w:cstheme="majorBidi"/>
                <w:bCs/>
                <w:color w:val="000000" w:themeColor="text1"/>
                <w:sz w:val="18"/>
                <w:szCs w:val="18"/>
              </w:rPr>
              <w:t xml:space="preserve"> Stakeholders were invited to comment on the ratification package, which addressed:</w:t>
            </w:r>
          </w:p>
          <w:p w14:paraId="1B8553E3" w14:textId="77777777" w:rsidR="003E7545" w:rsidRPr="00043078" w:rsidRDefault="003E7545" w:rsidP="00BC39F1">
            <w:pPr>
              <w:pStyle w:val="Normalnumber"/>
              <w:numPr>
                <w:ilvl w:val="0"/>
                <w:numId w:val="17"/>
              </w:numPr>
              <w:pBdr>
                <w:top w:val="nil"/>
                <w:left w:val="nil"/>
                <w:bottom w:val="nil"/>
                <w:right w:val="nil"/>
                <w:between w:val="nil"/>
              </w:pBdr>
              <w:tabs>
                <w:tab w:val="clear" w:pos="1247"/>
                <w:tab w:val="clear" w:pos="1814"/>
                <w:tab w:val="clear" w:pos="2381"/>
                <w:tab w:val="clear" w:pos="2948"/>
                <w:tab w:val="clear" w:pos="3515"/>
                <w:tab w:val="clear" w:pos="4082"/>
                <w:tab w:val="left" w:pos="990"/>
              </w:tabs>
              <w:ind w:left="465" w:firstLine="0"/>
              <w:rPr>
                <w:rFonts w:asciiTheme="majorBidi" w:hAnsiTheme="majorBidi" w:cstheme="majorBidi"/>
                <w:color w:val="000000" w:themeColor="text1"/>
                <w:sz w:val="18"/>
                <w:szCs w:val="18"/>
                <w:lang w:val="en-GB"/>
              </w:rPr>
            </w:pPr>
            <w:r w:rsidRPr="00043078">
              <w:rPr>
                <w:rFonts w:asciiTheme="majorBidi" w:hAnsiTheme="majorBidi" w:cstheme="majorBidi"/>
                <w:color w:val="000000" w:themeColor="text1"/>
                <w:sz w:val="18"/>
                <w:szCs w:val="18"/>
                <w:lang w:val="en-GB"/>
              </w:rPr>
              <w:t>Ratification;</w:t>
            </w:r>
          </w:p>
          <w:p w14:paraId="64EFDD24" w14:textId="77777777" w:rsidR="003E7545" w:rsidRPr="00043078" w:rsidRDefault="003E7545" w:rsidP="00BC39F1">
            <w:pPr>
              <w:pStyle w:val="Normalnumber"/>
              <w:numPr>
                <w:ilvl w:val="0"/>
                <w:numId w:val="17"/>
              </w:numPr>
              <w:pBdr>
                <w:top w:val="nil"/>
                <w:left w:val="nil"/>
                <w:bottom w:val="nil"/>
                <w:right w:val="nil"/>
                <w:between w:val="nil"/>
              </w:pBdr>
              <w:tabs>
                <w:tab w:val="clear" w:pos="1247"/>
                <w:tab w:val="clear" w:pos="1814"/>
                <w:tab w:val="clear" w:pos="2381"/>
                <w:tab w:val="clear" w:pos="2948"/>
                <w:tab w:val="clear" w:pos="3515"/>
                <w:tab w:val="clear" w:pos="4082"/>
                <w:tab w:val="left" w:pos="990"/>
              </w:tabs>
              <w:ind w:left="465" w:firstLine="0"/>
              <w:rPr>
                <w:rFonts w:asciiTheme="majorBidi" w:hAnsiTheme="majorBidi" w:cstheme="majorBidi"/>
                <w:color w:val="000000" w:themeColor="text1"/>
                <w:sz w:val="18"/>
                <w:szCs w:val="18"/>
                <w:lang w:val="en-GB"/>
              </w:rPr>
            </w:pPr>
            <w:r w:rsidRPr="00043078">
              <w:rPr>
                <w:rFonts w:asciiTheme="majorBidi" w:hAnsiTheme="majorBidi" w:cstheme="majorBidi"/>
                <w:color w:val="000000" w:themeColor="text1"/>
                <w:sz w:val="18"/>
                <w:szCs w:val="18"/>
                <w:lang w:val="en-GB"/>
              </w:rPr>
              <w:t>Import restrictions;</w:t>
            </w:r>
          </w:p>
          <w:p w14:paraId="61039853" w14:textId="77777777" w:rsidR="003E7545" w:rsidRPr="00043078" w:rsidRDefault="003E7545" w:rsidP="00BC39F1">
            <w:pPr>
              <w:pStyle w:val="Normalnumber"/>
              <w:numPr>
                <w:ilvl w:val="0"/>
                <w:numId w:val="17"/>
              </w:numPr>
              <w:pBdr>
                <w:top w:val="nil"/>
                <w:left w:val="nil"/>
                <w:bottom w:val="nil"/>
                <w:right w:val="nil"/>
                <w:between w:val="nil"/>
              </w:pBdr>
              <w:tabs>
                <w:tab w:val="clear" w:pos="1247"/>
                <w:tab w:val="clear" w:pos="1814"/>
                <w:tab w:val="clear" w:pos="2381"/>
                <w:tab w:val="clear" w:pos="2948"/>
                <w:tab w:val="clear" w:pos="3515"/>
                <w:tab w:val="clear" w:pos="4082"/>
                <w:tab w:val="left" w:pos="990"/>
              </w:tabs>
              <w:ind w:left="465" w:firstLine="0"/>
              <w:rPr>
                <w:rFonts w:asciiTheme="majorBidi" w:hAnsiTheme="majorBidi" w:cstheme="majorBidi"/>
                <w:color w:val="000000" w:themeColor="text1"/>
                <w:sz w:val="18"/>
                <w:szCs w:val="18"/>
                <w:lang w:val="en-GB"/>
              </w:rPr>
            </w:pPr>
            <w:r w:rsidRPr="00043078">
              <w:rPr>
                <w:rFonts w:asciiTheme="majorBidi" w:hAnsiTheme="majorBidi" w:cstheme="majorBidi"/>
                <w:color w:val="000000" w:themeColor="text1"/>
                <w:sz w:val="18"/>
                <w:szCs w:val="18"/>
                <w:lang w:val="en-GB"/>
              </w:rPr>
              <w:t>Product exports;</w:t>
            </w:r>
          </w:p>
          <w:p w14:paraId="61F797B8" w14:textId="77777777" w:rsidR="003E7545" w:rsidRPr="00043078" w:rsidRDefault="003E7545" w:rsidP="00BC39F1">
            <w:pPr>
              <w:pStyle w:val="Normalnumber"/>
              <w:numPr>
                <w:ilvl w:val="0"/>
                <w:numId w:val="17"/>
              </w:numPr>
              <w:pBdr>
                <w:top w:val="nil"/>
                <w:left w:val="nil"/>
                <w:bottom w:val="nil"/>
                <w:right w:val="nil"/>
                <w:between w:val="nil"/>
              </w:pBdr>
              <w:tabs>
                <w:tab w:val="clear" w:pos="1247"/>
                <w:tab w:val="clear" w:pos="1814"/>
                <w:tab w:val="clear" w:pos="2381"/>
                <w:tab w:val="clear" w:pos="2948"/>
                <w:tab w:val="clear" w:pos="3515"/>
                <w:tab w:val="clear" w:pos="4082"/>
                <w:tab w:val="left" w:pos="990"/>
              </w:tabs>
              <w:ind w:left="465" w:firstLine="0"/>
              <w:rPr>
                <w:rFonts w:asciiTheme="majorBidi" w:hAnsiTheme="majorBidi" w:cstheme="majorBidi"/>
                <w:color w:val="000000" w:themeColor="text1"/>
                <w:sz w:val="18"/>
                <w:szCs w:val="18"/>
                <w:lang w:val="en-GB"/>
              </w:rPr>
            </w:pPr>
            <w:r w:rsidRPr="00043078">
              <w:rPr>
                <w:rFonts w:asciiTheme="majorBidi" w:hAnsiTheme="majorBidi" w:cstheme="majorBidi"/>
                <w:color w:val="000000" w:themeColor="text1"/>
                <w:sz w:val="18"/>
                <w:szCs w:val="18"/>
                <w:lang w:val="en-GB"/>
              </w:rPr>
              <w:t>Mercury use in new products/processes;</w:t>
            </w:r>
          </w:p>
          <w:p w14:paraId="72845970" w14:textId="77777777" w:rsidR="003E7545" w:rsidRPr="00043078" w:rsidRDefault="003E7545" w:rsidP="00BC39F1">
            <w:pPr>
              <w:pStyle w:val="Normalnumber"/>
              <w:numPr>
                <w:ilvl w:val="0"/>
                <w:numId w:val="17"/>
              </w:numPr>
              <w:pBdr>
                <w:top w:val="nil"/>
                <w:left w:val="nil"/>
                <w:bottom w:val="nil"/>
                <w:right w:val="nil"/>
                <w:between w:val="nil"/>
              </w:pBdr>
              <w:tabs>
                <w:tab w:val="clear" w:pos="1247"/>
                <w:tab w:val="clear" w:pos="1814"/>
                <w:tab w:val="clear" w:pos="2381"/>
                <w:tab w:val="clear" w:pos="2948"/>
                <w:tab w:val="clear" w:pos="3515"/>
                <w:tab w:val="clear" w:pos="4082"/>
                <w:tab w:val="left" w:pos="990"/>
              </w:tabs>
              <w:ind w:left="465" w:firstLine="0"/>
              <w:rPr>
                <w:rFonts w:asciiTheme="majorBidi" w:hAnsiTheme="majorBidi" w:cstheme="majorBidi"/>
                <w:color w:val="000000" w:themeColor="text1"/>
                <w:sz w:val="18"/>
                <w:szCs w:val="18"/>
                <w:lang w:val="en-GB"/>
              </w:rPr>
            </w:pPr>
            <w:r w:rsidRPr="00043078">
              <w:rPr>
                <w:rFonts w:asciiTheme="majorBidi" w:hAnsiTheme="majorBidi" w:cstheme="majorBidi"/>
                <w:color w:val="000000" w:themeColor="text1"/>
                <w:sz w:val="18"/>
                <w:szCs w:val="18"/>
                <w:lang w:val="en-GB"/>
              </w:rPr>
              <w:t>Restrictions on certain processes using mercury;</w:t>
            </w:r>
          </w:p>
          <w:p w14:paraId="5A681798" w14:textId="77777777" w:rsidR="003E7545" w:rsidRPr="00043078" w:rsidRDefault="003E7545" w:rsidP="00BC39F1">
            <w:pPr>
              <w:pStyle w:val="Normalnumber"/>
              <w:numPr>
                <w:ilvl w:val="0"/>
                <w:numId w:val="17"/>
              </w:numPr>
              <w:pBdr>
                <w:top w:val="nil"/>
                <w:left w:val="nil"/>
                <w:bottom w:val="nil"/>
                <w:right w:val="nil"/>
                <w:between w:val="nil"/>
              </w:pBdr>
              <w:tabs>
                <w:tab w:val="clear" w:pos="1247"/>
                <w:tab w:val="clear" w:pos="1814"/>
                <w:tab w:val="clear" w:pos="2381"/>
                <w:tab w:val="clear" w:pos="2948"/>
                <w:tab w:val="clear" w:pos="3515"/>
                <w:tab w:val="clear" w:pos="4082"/>
                <w:tab w:val="left" w:pos="990"/>
              </w:tabs>
              <w:ind w:left="465" w:firstLine="0"/>
              <w:rPr>
                <w:rFonts w:asciiTheme="majorBidi" w:hAnsiTheme="majorBidi" w:cstheme="majorBidi"/>
                <w:color w:val="000000" w:themeColor="text1"/>
                <w:sz w:val="18"/>
                <w:szCs w:val="18"/>
                <w:lang w:val="en-GB"/>
              </w:rPr>
            </w:pPr>
            <w:r w:rsidRPr="00043078">
              <w:rPr>
                <w:rFonts w:asciiTheme="majorBidi" w:hAnsiTheme="majorBidi" w:cstheme="majorBidi"/>
                <w:color w:val="000000" w:themeColor="text1"/>
                <w:sz w:val="18"/>
                <w:szCs w:val="18"/>
                <w:lang w:val="en-GB"/>
              </w:rPr>
              <w:t>Dental amalgam;</w:t>
            </w:r>
          </w:p>
          <w:p w14:paraId="665E1070" w14:textId="77777777" w:rsidR="003E7545" w:rsidRPr="00043078" w:rsidRDefault="003E7545" w:rsidP="00BC39F1">
            <w:pPr>
              <w:pStyle w:val="Normalnumber"/>
              <w:numPr>
                <w:ilvl w:val="0"/>
                <w:numId w:val="17"/>
              </w:numPr>
              <w:pBdr>
                <w:top w:val="nil"/>
                <w:left w:val="nil"/>
                <w:bottom w:val="nil"/>
                <w:right w:val="nil"/>
                <w:between w:val="nil"/>
              </w:pBdr>
              <w:tabs>
                <w:tab w:val="clear" w:pos="1247"/>
                <w:tab w:val="clear" w:pos="1814"/>
                <w:tab w:val="clear" w:pos="2381"/>
                <w:tab w:val="clear" w:pos="2948"/>
                <w:tab w:val="clear" w:pos="3515"/>
                <w:tab w:val="clear" w:pos="4082"/>
                <w:tab w:val="left" w:pos="990"/>
              </w:tabs>
              <w:ind w:left="465" w:firstLine="0"/>
              <w:rPr>
                <w:rFonts w:asciiTheme="majorBidi" w:hAnsiTheme="majorBidi" w:cstheme="majorBidi"/>
                <w:color w:val="000000" w:themeColor="text1"/>
                <w:sz w:val="18"/>
                <w:szCs w:val="18"/>
                <w:lang w:val="en-GB"/>
              </w:rPr>
            </w:pPr>
            <w:r w:rsidRPr="00043078">
              <w:rPr>
                <w:rFonts w:asciiTheme="majorBidi" w:hAnsiTheme="majorBidi" w:cstheme="majorBidi"/>
                <w:color w:val="000000" w:themeColor="text1"/>
                <w:sz w:val="18"/>
                <w:szCs w:val="18"/>
                <w:lang w:val="en-GB"/>
              </w:rPr>
              <w:lastRenderedPageBreak/>
              <w:t>Feedback on current legal framework; and</w:t>
            </w:r>
          </w:p>
          <w:p w14:paraId="41A979F2" w14:textId="77777777" w:rsidR="003E7545" w:rsidRPr="00043078" w:rsidRDefault="003E7545" w:rsidP="00BC39F1">
            <w:pPr>
              <w:pStyle w:val="Normalnumber"/>
              <w:numPr>
                <w:ilvl w:val="0"/>
                <w:numId w:val="17"/>
              </w:numPr>
              <w:pBdr>
                <w:top w:val="nil"/>
                <w:left w:val="nil"/>
                <w:bottom w:val="nil"/>
                <w:right w:val="nil"/>
                <w:between w:val="nil"/>
              </w:pBdr>
              <w:tabs>
                <w:tab w:val="clear" w:pos="1247"/>
                <w:tab w:val="clear" w:pos="1814"/>
                <w:tab w:val="clear" w:pos="2381"/>
                <w:tab w:val="clear" w:pos="2948"/>
                <w:tab w:val="clear" w:pos="3515"/>
                <w:tab w:val="clear" w:pos="4082"/>
                <w:tab w:val="left" w:pos="990"/>
              </w:tabs>
              <w:ind w:left="465" w:firstLine="0"/>
              <w:rPr>
                <w:rFonts w:asciiTheme="majorBidi" w:hAnsiTheme="majorBidi" w:cstheme="majorBidi"/>
                <w:color w:val="000000" w:themeColor="text1"/>
                <w:sz w:val="18"/>
                <w:szCs w:val="18"/>
                <w:lang w:val="en-GB"/>
              </w:rPr>
            </w:pPr>
            <w:r w:rsidRPr="00043078">
              <w:rPr>
                <w:rFonts w:asciiTheme="majorBidi" w:hAnsiTheme="majorBidi" w:cstheme="majorBidi"/>
                <w:color w:val="000000" w:themeColor="text1"/>
                <w:sz w:val="18"/>
                <w:szCs w:val="18"/>
                <w:lang w:val="en-GB"/>
              </w:rPr>
              <w:t>Other issues</w:t>
            </w:r>
          </w:p>
          <w:p w14:paraId="3861170C" w14:textId="77777777" w:rsidR="003E7545" w:rsidRPr="00807103" w:rsidRDefault="003E7545" w:rsidP="00BC39F1">
            <w:pPr>
              <w:widowControl w:val="0"/>
              <w:spacing w:after="120"/>
              <w:rPr>
                <w:rFonts w:asciiTheme="majorBidi" w:eastAsia="Times New Roman" w:hAnsiTheme="majorBidi" w:cstheme="majorBidi"/>
                <w:bCs/>
                <w:color w:val="000000" w:themeColor="text1"/>
                <w:sz w:val="18"/>
                <w:szCs w:val="18"/>
              </w:rPr>
            </w:pPr>
            <w:r w:rsidRPr="00807103">
              <w:rPr>
                <w:rFonts w:asciiTheme="majorBidi" w:eastAsia="Times New Roman" w:hAnsiTheme="majorBidi" w:cstheme="majorBidi"/>
                <w:bCs/>
                <w:color w:val="000000" w:themeColor="text1"/>
                <w:sz w:val="18"/>
                <w:szCs w:val="18"/>
              </w:rPr>
              <w:t xml:space="preserve">In preparation of the EU Regulation on Mercury (Regulation (EU) 2017/852, the European Commission carried out a study on EU implementation of the Minamata Convention. Finland, along with other countries, responded to a Commission </w:t>
            </w:r>
            <w:r w:rsidRPr="00043078">
              <w:rPr>
                <w:rFonts w:asciiTheme="majorBidi" w:eastAsia="Times New Roman" w:hAnsiTheme="majorBidi" w:cstheme="majorBidi"/>
                <w:b/>
                <w:color w:val="000000" w:themeColor="text1"/>
                <w:sz w:val="18"/>
                <w:szCs w:val="18"/>
              </w:rPr>
              <w:t>questionnaire</w:t>
            </w:r>
            <w:r w:rsidRPr="00807103">
              <w:rPr>
                <w:rFonts w:asciiTheme="majorBidi" w:eastAsia="Times New Roman" w:hAnsiTheme="majorBidi" w:cstheme="majorBidi"/>
                <w:bCs/>
                <w:color w:val="000000" w:themeColor="text1"/>
                <w:sz w:val="18"/>
                <w:szCs w:val="18"/>
              </w:rPr>
              <w:t>,</w:t>
            </w:r>
            <w:r w:rsidRPr="00043078">
              <w:rPr>
                <w:bCs/>
                <w:color w:val="000000" w:themeColor="text1"/>
                <w:vertAlign w:val="superscript"/>
              </w:rPr>
              <w:footnoteReference w:id="7"/>
            </w:r>
            <w:r w:rsidRPr="00807103">
              <w:rPr>
                <w:rFonts w:asciiTheme="majorBidi" w:eastAsia="Times New Roman" w:hAnsiTheme="majorBidi" w:cstheme="majorBidi"/>
                <w:bCs/>
                <w:color w:val="000000" w:themeColor="text1"/>
                <w:sz w:val="18"/>
                <w:szCs w:val="18"/>
              </w:rPr>
              <w:t xml:space="preserve"> providing updated information on mercury sources and stocks. As part of its national engagement, Finland’s Ministry of the Environment also conducted a </w:t>
            </w:r>
            <w:r w:rsidRPr="00043078">
              <w:rPr>
                <w:rFonts w:asciiTheme="majorBidi" w:eastAsia="Times New Roman" w:hAnsiTheme="majorBidi" w:cstheme="majorBidi"/>
                <w:b/>
                <w:color w:val="000000" w:themeColor="text1"/>
                <w:sz w:val="18"/>
                <w:szCs w:val="18"/>
              </w:rPr>
              <w:t>survey with the industry</w:t>
            </w:r>
            <w:r w:rsidRPr="00807103">
              <w:rPr>
                <w:rFonts w:asciiTheme="majorBidi" w:eastAsia="Times New Roman" w:hAnsiTheme="majorBidi" w:cstheme="majorBidi"/>
                <w:bCs/>
                <w:color w:val="000000" w:themeColor="text1"/>
                <w:sz w:val="18"/>
                <w:szCs w:val="18"/>
              </w:rPr>
              <w:t xml:space="preserve"> to inform both the EU questionnaire response and national implementation of the new EU regulation.</w:t>
            </w:r>
          </w:p>
          <w:p w14:paraId="35526972" w14:textId="77777777" w:rsidR="003E7545" w:rsidRPr="00807103" w:rsidRDefault="003E7545" w:rsidP="00BC39F1">
            <w:pPr>
              <w:widowControl w:val="0"/>
              <w:spacing w:after="120"/>
              <w:rPr>
                <w:rFonts w:asciiTheme="majorBidi" w:eastAsia="Times New Roman" w:hAnsiTheme="majorBidi" w:cstheme="majorBidi"/>
                <w:b/>
                <w:color w:val="000000" w:themeColor="text1"/>
                <w:sz w:val="18"/>
                <w:szCs w:val="18"/>
              </w:rPr>
            </w:pPr>
            <w:r w:rsidRPr="00807103">
              <w:rPr>
                <w:rFonts w:asciiTheme="majorBidi" w:eastAsia="Times New Roman" w:hAnsiTheme="majorBidi" w:cstheme="majorBidi"/>
                <w:bCs/>
                <w:color w:val="000000" w:themeColor="text1"/>
                <w:sz w:val="18"/>
                <w:szCs w:val="18"/>
              </w:rPr>
              <w:t>In 2020, Finland undertook an additional effort to compile and review the results of earlier studies and to gather other existing information on mercury</w:t>
            </w:r>
            <w:r w:rsidRPr="00807103">
              <w:rPr>
                <w:rFonts w:asciiTheme="majorBidi" w:eastAsia="Times New Roman" w:hAnsiTheme="majorBidi" w:cstheme="majorBidi"/>
                <w:bCs/>
                <w:color w:val="000000" w:themeColor="text1"/>
                <w:sz w:val="18"/>
                <w:szCs w:val="18"/>
                <w:vertAlign w:val="superscript"/>
              </w:rPr>
              <w:t>.</w:t>
            </w:r>
            <w:r w:rsidRPr="00807103">
              <w:rPr>
                <w:rFonts w:asciiTheme="majorBidi" w:eastAsia="Times New Roman" w:hAnsiTheme="majorBidi" w:cstheme="majorBidi"/>
                <w:bCs/>
                <w:color w:val="000000" w:themeColor="text1"/>
                <w:sz w:val="18"/>
                <w:szCs w:val="18"/>
                <w:vertAlign w:val="superscript"/>
              </w:rPr>
              <w:footnoteReference w:id="8"/>
            </w:r>
            <w:r w:rsidRPr="00807103">
              <w:rPr>
                <w:rFonts w:asciiTheme="majorBidi" w:eastAsia="Times New Roman" w:hAnsiTheme="majorBidi" w:cstheme="majorBidi"/>
                <w:bCs/>
                <w:color w:val="000000" w:themeColor="text1"/>
                <w:sz w:val="18"/>
                <w:szCs w:val="18"/>
                <w:vertAlign w:val="superscript"/>
              </w:rPr>
              <w:t xml:space="preserve"> </w:t>
            </w:r>
            <w:r w:rsidRPr="00807103">
              <w:rPr>
                <w:rFonts w:asciiTheme="majorBidi" w:eastAsia="Times New Roman" w:hAnsiTheme="majorBidi" w:cstheme="majorBidi"/>
                <w:bCs/>
                <w:color w:val="000000" w:themeColor="text1"/>
                <w:sz w:val="18"/>
                <w:szCs w:val="18"/>
              </w:rPr>
              <w:t>In its 2023 short report, it identified two facilities relevant to the identification of stocks and sources—a chlor-alkali facility and a zinc smelter. The chlor-alkali facility was shut down in 2017, as required by EU Regulation on Mercury, while the zinc smelter generates mercury, with quantities exceeding 10 metric tonnes in both 2021 and 2022. Mercury from both facilities is considered waste under the EU Regulation on Mercury.</w:t>
            </w:r>
            <w:r w:rsidRPr="00807103">
              <w:rPr>
                <w:rFonts w:asciiTheme="majorBidi" w:eastAsia="Times New Roman" w:hAnsiTheme="majorBidi" w:cstheme="majorBidi"/>
                <w:b/>
                <w:color w:val="000000" w:themeColor="text1"/>
                <w:sz w:val="18"/>
                <w:szCs w:val="18"/>
              </w:rPr>
              <w:t xml:space="preserve"> </w:t>
            </w:r>
          </w:p>
        </w:tc>
      </w:tr>
    </w:tbl>
    <w:p w14:paraId="6F9BF676" w14:textId="77777777" w:rsidR="003E7545" w:rsidRPr="00F4180C" w:rsidRDefault="003E7545" w:rsidP="00BC39F1">
      <w:pPr>
        <w:rPr>
          <w:rFonts w:asciiTheme="majorBidi" w:eastAsia="Roboto" w:hAnsiTheme="majorBidi" w:cstheme="majorBidi"/>
          <w:iCs/>
        </w:rPr>
      </w:pPr>
    </w:p>
    <w:tbl>
      <w:tblPr>
        <w:tblW w:w="8094" w:type="dxa"/>
        <w:tblInd w:w="126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094"/>
      </w:tblGrid>
      <w:tr w:rsidR="003E7545" w:rsidRPr="00043078" w14:paraId="36A32803" w14:textId="77777777" w:rsidTr="00043078">
        <w:tc>
          <w:tcPr>
            <w:tcW w:w="8094" w:type="dxa"/>
            <w:shd w:val="clear" w:color="auto" w:fill="D9D9D9" w:themeFill="background1" w:themeFillShade="D9"/>
            <w:tcMar>
              <w:top w:w="100" w:type="dxa"/>
              <w:left w:w="100" w:type="dxa"/>
              <w:bottom w:w="100" w:type="dxa"/>
              <w:right w:w="100" w:type="dxa"/>
            </w:tcMar>
          </w:tcPr>
          <w:p w14:paraId="4EB231CB" w14:textId="77777777" w:rsidR="003E7545" w:rsidRPr="00043078" w:rsidRDefault="003E7545" w:rsidP="00BC39F1">
            <w:pPr>
              <w:widowControl w:val="0"/>
              <w:pBdr>
                <w:top w:val="nil"/>
                <w:left w:val="nil"/>
                <w:bottom w:val="nil"/>
                <w:right w:val="nil"/>
                <w:between w:val="nil"/>
              </w:pBdr>
              <w:spacing w:after="120"/>
              <w:rPr>
                <w:rFonts w:asciiTheme="majorBidi" w:eastAsia="Times New Roman" w:hAnsiTheme="majorBidi" w:cstheme="majorBidi"/>
                <w:b/>
                <w:sz w:val="18"/>
                <w:szCs w:val="18"/>
              </w:rPr>
            </w:pPr>
            <w:r w:rsidRPr="00043078">
              <w:rPr>
                <w:rFonts w:asciiTheme="majorBidi" w:eastAsia="Times New Roman" w:hAnsiTheme="majorBidi" w:cstheme="majorBidi"/>
                <w:b/>
                <w:sz w:val="18"/>
                <w:szCs w:val="18"/>
              </w:rPr>
              <w:t xml:space="preserve">Example: Australia’s Consultations </w:t>
            </w:r>
          </w:p>
          <w:p w14:paraId="4BEFC485" w14:textId="77777777" w:rsidR="003E7545" w:rsidRPr="00043078" w:rsidRDefault="003E7545" w:rsidP="00BC39F1">
            <w:pPr>
              <w:widowControl w:val="0"/>
              <w:pBdr>
                <w:top w:val="nil"/>
                <w:left w:val="nil"/>
                <w:bottom w:val="nil"/>
                <w:right w:val="nil"/>
                <w:between w:val="nil"/>
              </w:pBdr>
              <w:spacing w:after="120"/>
              <w:rPr>
                <w:rFonts w:asciiTheme="majorBidi" w:eastAsia="Times New Roman" w:hAnsiTheme="majorBidi" w:cstheme="majorBidi"/>
                <w:sz w:val="18"/>
                <w:szCs w:val="18"/>
              </w:rPr>
            </w:pPr>
            <w:r w:rsidRPr="00043078">
              <w:rPr>
                <w:rFonts w:asciiTheme="majorBidi" w:eastAsia="Times New Roman" w:hAnsiTheme="majorBidi" w:cstheme="majorBidi"/>
                <w:sz w:val="18"/>
                <w:szCs w:val="18"/>
              </w:rPr>
              <w:t>Since 2010, the Department of Agriculture, Water and the Environment (DAWE) has conducted several stakeholder consultation rounds—both public and targeted—to support Australia’s signing and later ratifying the Minamata Convention. These consultations included public workshops in every state and territory,</w:t>
            </w:r>
            <w:r w:rsidRPr="00043078">
              <w:rPr>
                <w:rStyle w:val="FootnoteReference"/>
                <w:rFonts w:asciiTheme="majorBidi" w:eastAsia="Times New Roman" w:hAnsiTheme="majorBidi" w:cstheme="majorBidi"/>
                <w:sz w:val="18"/>
              </w:rPr>
              <w:footnoteReference w:id="9"/>
            </w:r>
            <w:r w:rsidRPr="00043078">
              <w:rPr>
                <w:rFonts w:asciiTheme="majorBidi" w:eastAsia="Times New Roman" w:hAnsiTheme="majorBidi" w:cstheme="majorBidi"/>
                <w:sz w:val="18"/>
                <w:szCs w:val="18"/>
              </w:rPr>
              <w:t xml:space="preserve"> increasing the likelihood of uncovering site-specific information relevant to mercury stocks and sources of supply. This approach was repeated during the preparation of Australia’s 2023 national report.</w:t>
            </w:r>
            <w:r w:rsidRPr="00043078">
              <w:rPr>
                <w:rStyle w:val="FootnoteReference"/>
                <w:rFonts w:asciiTheme="majorBidi" w:eastAsia="Times New Roman" w:hAnsiTheme="majorBidi" w:cstheme="majorBidi"/>
                <w:sz w:val="18"/>
              </w:rPr>
              <w:footnoteReference w:id="10"/>
            </w:r>
          </w:p>
          <w:p w14:paraId="321F0206" w14:textId="77777777" w:rsidR="003E7545" w:rsidRPr="00043078" w:rsidRDefault="003E7545" w:rsidP="00BC39F1">
            <w:pPr>
              <w:widowControl w:val="0"/>
              <w:pBdr>
                <w:top w:val="nil"/>
                <w:left w:val="nil"/>
                <w:bottom w:val="nil"/>
                <w:right w:val="nil"/>
                <w:between w:val="nil"/>
              </w:pBdr>
              <w:spacing w:after="120"/>
              <w:rPr>
                <w:rFonts w:asciiTheme="majorBidi" w:eastAsia="Times New Roman" w:hAnsiTheme="majorBidi" w:cstheme="majorBidi"/>
                <w:sz w:val="18"/>
                <w:szCs w:val="18"/>
              </w:rPr>
            </w:pPr>
            <w:r w:rsidRPr="00043078">
              <w:rPr>
                <w:rFonts w:asciiTheme="majorBidi" w:eastAsia="Times New Roman" w:hAnsiTheme="majorBidi" w:cstheme="majorBidi"/>
                <w:sz w:val="18"/>
                <w:szCs w:val="18"/>
              </w:rPr>
              <w:t>A 2014 consultation paper issued by DAWE sought public input on the potential impacts of meeting the Convention’s obligations. It extracted and reproduced relevant articles in the Convention’s text and posed related questions. For Article 3, one question specifically asked:</w:t>
            </w:r>
            <w:r w:rsidRPr="00043078">
              <w:rPr>
                <w:rStyle w:val="FootnoteReference"/>
                <w:rFonts w:asciiTheme="majorBidi" w:eastAsia="Times New Roman" w:hAnsiTheme="majorBidi" w:cstheme="majorBidi"/>
                <w:sz w:val="18"/>
              </w:rPr>
              <w:footnoteReference w:id="11"/>
            </w:r>
          </w:p>
          <w:p w14:paraId="6A9D7333" w14:textId="77777777" w:rsidR="003E7545" w:rsidRPr="00043078" w:rsidRDefault="003E7545" w:rsidP="00BC39F1">
            <w:pPr>
              <w:widowControl w:val="0"/>
              <w:pBdr>
                <w:top w:val="nil"/>
                <w:left w:val="nil"/>
                <w:bottom w:val="nil"/>
                <w:right w:val="nil"/>
                <w:between w:val="nil"/>
              </w:pBdr>
              <w:spacing w:after="120"/>
              <w:ind w:left="318"/>
              <w:rPr>
                <w:rFonts w:asciiTheme="majorBidi" w:eastAsia="Times New Roman" w:hAnsiTheme="majorBidi" w:cstheme="majorBidi"/>
                <w:i/>
                <w:iCs/>
                <w:sz w:val="18"/>
                <w:szCs w:val="18"/>
              </w:rPr>
            </w:pPr>
            <w:r w:rsidRPr="00043078">
              <w:rPr>
                <w:rFonts w:asciiTheme="majorBidi" w:eastAsia="Times New Roman" w:hAnsiTheme="majorBidi" w:cstheme="majorBidi"/>
                <w:i/>
                <w:iCs/>
                <w:sz w:val="18"/>
                <w:szCs w:val="18"/>
              </w:rPr>
              <w:t>Paragraph 5 requires Parties to identify stocks of mercury and mercury compounds, and sources of mercury supply; where may be such stocks and sources in Australia?</w:t>
            </w:r>
          </w:p>
          <w:p w14:paraId="3E4267C0" w14:textId="77777777" w:rsidR="003E7545" w:rsidRPr="00043078" w:rsidRDefault="003E7545" w:rsidP="00BC39F1">
            <w:pPr>
              <w:widowControl w:val="0"/>
              <w:pBdr>
                <w:top w:val="nil"/>
                <w:left w:val="nil"/>
                <w:bottom w:val="nil"/>
                <w:right w:val="nil"/>
                <w:between w:val="nil"/>
              </w:pBdr>
              <w:spacing w:after="120"/>
              <w:rPr>
                <w:rFonts w:asciiTheme="majorBidi" w:eastAsia="Times New Roman" w:hAnsiTheme="majorBidi" w:cstheme="majorBidi"/>
                <w:sz w:val="18"/>
                <w:szCs w:val="18"/>
              </w:rPr>
            </w:pPr>
            <w:r w:rsidRPr="00043078">
              <w:rPr>
                <w:rFonts w:asciiTheme="majorBidi" w:eastAsia="Times New Roman" w:hAnsiTheme="majorBidi" w:cstheme="majorBidi"/>
                <w:sz w:val="18"/>
                <w:szCs w:val="18"/>
              </w:rPr>
              <w:t>Through these consultations, potential problems identified by government, industry and non-government organizations were documented and informed the consideration and development of possible pathways to ratification. Targeted stakeholder consultation in 2020 further explored:</w:t>
            </w:r>
          </w:p>
          <w:p w14:paraId="14930340" w14:textId="77777777" w:rsidR="003E7545" w:rsidRPr="00043078" w:rsidRDefault="003E7545" w:rsidP="00BC39F1">
            <w:pPr>
              <w:pStyle w:val="ListParagraph"/>
              <w:widowControl w:val="0"/>
              <w:numPr>
                <w:ilvl w:val="0"/>
                <w:numId w:val="15"/>
              </w:numPr>
              <w:pBdr>
                <w:top w:val="nil"/>
                <w:left w:val="nil"/>
                <w:bottom w:val="nil"/>
                <w:right w:val="nil"/>
                <w:between w:val="nil"/>
              </w:pBdr>
              <w:spacing w:after="120"/>
              <w:ind w:right="170"/>
              <w:rPr>
                <w:rFonts w:asciiTheme="majorBidi" w:hAnsiTheme="majorBidi" w:cstheme="majorBidi"/>
                <w:sz w:val="18"/>
                <w:szCs w:val="18"/>
              </w:rPr>
            </w:pPr>
            <w:r w:rsidRPr="00043078">
              <w:rPr>
                <w:rFonts w:asciiTheme="majorBidi" w:hAnsiTheme="majorBidi" w:cstheme="majorBidi"/>
                <w:sz w:val="18"/>
                <w:szCs w:val="18"/>
              </w:rPr>
              <w:t>The impacts on industry of the Convention’s prohibition on the import, export and manufacture of certain mercury-added products;</w:t>
            </w:r>
          </w:p>
          <w:p w14:paraId="66F06133" w14:textId="77777777" w:rsidR="003E7545" w:rsidRPr="00043078" w:rsidRDefault="003E7545" w:rsidP="00BC39F1">
            <w:pPr>
              <w:pStyle w:val="ListParagraph"/>
              <w:widowControl w:val="0"/>
              <w:numPr>
                <w:ilvl w:val="0"/>
                <w:numId w:val="15"/>
              </w:numPr>
              <w:pBdr>
                <w:top w:val="nil"/>
                <w:left w:val="nil"/>
                <w:bottom w:val="nil"/>
                <w:right w:val="nil"/>
                <w:between w:val="nil"/>
              </w:pBdr>
              <w:spacing w:after="120"/>
              <w:ind w:right="170"/>
              <w:rPr>
                <w:rFonts w:asciiTheme="majorBidi" w:hAnsiTheme="majorBidi" w:cstheme="majorBidi"/>
                <w:bCs/>
                <w:sz w:val="18"/>
                <w:szCs w:val="18"/>
              </w:rPr>
            </w:pPr>
            <w:r w:rsidRPr="00043078">
              <w:rPr>
                <w:rFonts w:asciiTheme="majorBidi" w:hAnsiTheme="majorBidi" w:cstheme="majorBidi"/>
                <w:bCs/>
                <w:sz w:val="18"/>
                <w:szCs w:val="18"/>
              </w:rPr>
              <w:t>The development of guidance material to aid the interpretation of some articles in the Convention.</w:t>
            </w:r>
          </w:p>
          <w:p w14:paraId="2890B4AE" w14:textId="77777777" w:rsidR="003E7545" w:rsidRPr="00043078" w:rsidRDefault="003E7545" w:rsidP="00BC39F1">
            <w:pPr>
              <w:widowControl w:val="0"/>
              <w:pBdr>
                <w:top w:val="nil"/>
                <w:left w:val="nil"/>
                <w:bottom w:val="nil"/>
                <w:right w:val="nil"/>
                <w:between w:val="nil"/>
              </w:pBdr>
              <w:spacing w:after="120"/>
              <w:rPr>
                <w:rFonts w:asciiTheme="majorBidi" w:eastAsia="Times New Roman" w:hAnsiTheme="majorBidi" w:cstheme="majorBidi"/>
                <w:bCs/>
                <w:sz w:val="18"/>
                <w:szCs w:val="18"/>
              </w:rPr>
            </w:pPr>
            <w:r w:rsidRPr="00043078">
              <w:rPr>
                <w:rFonts w:asciiTheme="majorBidi" w:eastAsia="Times New Roman" w:hAnsiTheme="majorBidi" w:cstheme="majorBidi"/>
                <w:bCs/>
                <w:sz w:val="18"/>
                <w:szCs w:val="18"/>
              </w:rPr>
              <w:t>In December 2020, the Department issued the final Regulation Impact Statement on the ratification of the Minamata Convention. This included identified sources of mercury pollution and industry contributions based on information provided to its National Pollutant Inventory (NPI).</w:t>
            </w:r>
          </w:p>
          <w:p w14:paraId="37C009F8" w14:textId="77777777" w:rsidR="003E7545" w:rsidRPr="00043078" w:rsidRDefault="003E7545" w:rsidP="00BC39F1">
            <w:pPr>
              <w:widowControl w:val="0"/>
              <w:pBdr>
                <w:top w:val="nil"/>
                <w:left w:val="nil"/>
                <w:bottom w:val="nil"/>
                <w:right w:val="nil"/>
                <w:between w:val="nil"/>
              </w:pBdr>
              <w:spacing w:after="120"/>
              <w:rPr>
                <w:rFonts w:asciiTheme="majorBidi" w:eastAsia="Times New Roman" w:hAnsiTheme="majorBidi" w:cstheme="majorBidi"/>
                <w:i/>
                <w:iCs/>
                <w:sz w:val="18"/>
                <w:szCs w:val="18"/>
              </w:rPr>
            </w:pPr>
            <w:r w:rsidRPr="00043078">
              <w:rPr>
                <w:rFonts w:asciiTheme="majorBidi" w:eastAsia="Times New Roman" w:hAnsiTheme="majorBidi" w:cstheme="majorBidi"/>
                <w:i/>
                <w:iCs/>
                <w:sz w:val="18"/>
                <w:szCs w:val="18"/>
              </w:rPr>
              <w:t>What’s new:</w:t>
            </w:r>
          </w:p>
          <w:p w14:paraId="28C47255" w14:textId="77777777" w:rsidR="003E7545" w:rsidRPr="00043078" w:rsidRDefault="003E7545" w:rsidP="00BC39F1">
            <w:pPr>
              <w:widowControl w:val="0"/>
              <w:pBdr>
                <w:top w:val="nil"/>
                <w:left w:val="nil"/>
                <w:bottom w:val="nil"/>
                <w:right w:val="nil"/>
                <w:between w:val="nil"/>
              </w:pBdr>
              <w:spacing w:after="120"/>
              <w:rPr>
                <w:rFonts w:asciiTheme="majorBidi" w:eastAsia="Times New Roman" w:hAnsiTheme="majorBidi" w:cstheme="majorBidi"/>
                <w:i/>
                <w:iCs/>
                <w:sz w:val="18"/>
                <w:szCs w:val="18"/>
              </w:rPr>
            </w:pPr>
            <w:r w:rsidRPr="00043078">
              <w:rPr>
                <w:rFonts w:asciiTheme="majorBidi" w:eastAsia="Times New Roman" w:hAnsiTheme="majorBidi" w:cstheme="majorBidi"/>
                <w:i/>
                <w:iCs/>
                <w:sz w:val="18"/>
                <w:szCs w:val="18"/>
              </w:rPr>
              <w:t>Australia is currently holding consultation on proposed standards for industrial chemicals, including mercury and mercury compounds, under the development of the Industrial Chemicals Environmental Management Standard (</w:t>
            </w:r>
            <w:proofErr w:type="spellStart"/>
            <w:r w:rsidRPr="00043078">
              <w:rPr>
                <w:rFonts w:asciiTheme="majorBidi" w:eastAsia="Times New Roman" w:hAnsiTheme="majorBidi" w:cstheme="majorBidi"/>
                <w:i/>
                <w:iCs/>
                <w:sz w:val="18"/>
                <w:szCs w:val="18"/>
              </w:rPr>
              <w:t>IChEMS</w:t>
            </w:r>
            <w:proofErr w:type="spellEnd"/>
            <w:r w:rsidRPr="00043078">
              <w:rPr>
                <w:rFonts w:asciiTheme="majorBidi" w:eastAsia="Times New Roman" w:hAnsiTheme="majorBidi" w:cstheme="majorBidi"/>
                <w:i/>
                <w:iCs/>
                <w:sz w:val="18"/>
                <w:szCs w:val="18"/>
              </w:rPr>
              <w:t xml:space="preserve">). </w:t>
            </w:r>
            <w:proofErr w:type="spellStart"/>
            <w:r w:rsidRPr="00043078">
              <w:rPr>
                <w:rFonts w:asciiTheme="majorBidi" w:eastAsia="Times New Roman" w:hAnsiTheme="majorBidi" w:cstheme="majorBidi"/>
                <w:i/>
                <w:iCs/>
                <w:sz w:val="18"/>
                <w:szCs w:val="18"/>
              </w:rPr>
              <w:t>IChEMS</w:t>
            </w:r>
            <w:proofErr w:type="spellEnd"/>
            <w:r w:rsidRPr="00043078">
              <w:rPr>
                <w:rFonts w:asciiTheme="majorBidi" w:eastAsia="Times New Roman" w:hAnsiTheme="majorBidi" w:cstheme="majorBidi"/>
                <w:i/>
                <w:iCs/>
                <w:sz w:val="18"/>
                <w:szCs w:val="18"/>
              </w:rPr>
              <w:t xml:space="preserve"> aims to establish nationally consistent standards for managing import, manufacture, export, use, and disposal of chemicals of concern, including mercury.</w:t>
            </w:r>
            <w:r w:rsidRPr="00043078">
              <w:rPr>
                <w:rStyle w:val="FootnoteReference"/>
                <w:rFonts w:asciiTheme="majorBidi" w:eastAsia="Times New Roman" w:hAnsiTheme="majorBidi" w:cstheme="majorBidi"/>
                <w:i/>
                <w:iCs/>
                <w:sz w:val="18"/>
              </w:rPr>
              <w:footnoteReference w:id="12"/>
            </w:r>
            <w:r w:rsidRPr="00043078">
              <w:rPr>
                <w:rFonts w:asciiTheme="majorBidi" w:eastAsia="Times New Roman" w:hAnsiTheme="majorBidi" w:cstheme="majorBidi"/>
                <w:i/>
                <w:iCs/>
                <w:sz w:val="18"/>
                <w:szCs w:val="18"/>
              </w:rPr>
              <w:t xml:space="preserve"> </w:t>
            </w:r>
          </w:p>
          <w:p w14:paraId="52CCE1D1" w14:textId="77777777" w:rsidR="003E7545" w:rsidRPr="00043078" w:rsidRDefault="003E7545" w:rsidP="00BC39F1">
            <w:pPr>
              <w:widowControl w:val="0"/>
              <w:pBdr>
                <w:top w:val="nil"/>
                <w:left w:val="nil"/>
                <w:bottom w:val="nil"/>
                <w:right w:val="nil"/>
                <w:between w:val="nil"/>
              </w:pBdr>
              <w:spacing w:after="120"/>
              <w:rPr>
                <w:rFonts w:asciiTheme="majorBidi" w:eastAsia="Times New Roman" w:hAnsiTheme="majorBidi" w:cstheme="majorBidi"/>
                <w:sz w:val="18"/>
                <w:szCs w:val="18"/>
              </w:rPr>
            </w:pPr>
            <w:r w:rsidRPr="00043078">
              <w:rPr>
                <w:rFonts w:asciiTheme="majorBidi" w:eastAsia="Times New Roman" w:hAnsiTheme="majorBidi" w:cstheme="majorBidi"/>
                <w:sz w:val="18"/>
                <w:szCs w:val="18"/>
              </w:rPr>
              <w:t xml:space="preserve">Similar consultations as this can assist in enhancing the identification and control of mercury supply sources. By engaging directly with stakeholders, they offer a mechanism for updating inventories and addressing any </w:t>
            </w:r>
            <w:r w:rsidRPr="00043078">
              <w:rPr>
                <w:rFonts w:asciiTheme="majorBidi" w:eastAsia="Times New Roman" w:hAnsiTheme="majorBidi" w:cstheme="majorBidi"/>
                <w:sz w:val="18"/>
                <w:szCs w:val="18"/>
              </w:rPr>
              <w:lastRenderedPageBreak/>
              <w:t>emerging sources.</w:t>
            </w:r>
          </w:p>
          <w:p w14:paraId="2C077F16" w14:textId="77777777" w:rsidR="003E7545" w:rsidRPr="00043078" w:rsidRDefault="003E7545" w:rsidP="00BC39F1">
            <w:pPr>
              <w:widowControl w:val="0"/>
              <w:pBdr>
                <w:top w:val="nil"/>
                <w:left w:val="nil"/>
                <w:bottom w:val="nil"/>
                <w:right w:val="nil"/>
                <w:between w:val="nil"/>
              </w:pBdr>
              <w:spacing w:after="120"/>
              <w:rPr>
                <w:rFonts w:asciiTheme="majorBidi" w:eastAsia="Times New Roman" w:hAnsiTheme="majorBidi" w:cstheme="majorBidi"/>
                <w:bCs/>
                <w:i/>
                <w:iCs/>
                <w:sz w:val="18"/>
                <w:szCs w:val="18"/>
              </w:rPr>
            </w:pPr>
            <w:r w:rsidRPr="00043078">
              <w:rPr>
                <w:rFonts w:asciiTheme="majorBidi" w:eastAsia="Times New Roman" w:hAnsiTheme="majorBidi" w:cstheme="majorBidi"/>
                <w:bCs/>
                <w:sz w:val="18"/>
                <w:szCs w:val="18"/>
              </w:rPr>
              <w:t>In this example, consultations have served as a practical tool for gathering information on mercury stocks and sources, supporting both the development and implementation of national mercury inventory and reporting systems.</w:t>
            </w:r>
          </w:p>
        </w:tc>
      </w:tr>
    </w:tbl>
    <w:p w14:paraId="13DFFBFA" w14:textId="162E2281" w:rsidR="003E7545" w:rsidRPr="003E7545" w:rsidRDefault="003E7545" w:rsidP="00BC39F1">
      <w:pPr>
        <w:pStyle w:val="Normalnumber"/>
        <w:numPr>
          <w:ilvl w:val="0"/>
          <w:numId w:val="6"/>
        </w:numPr>
        <w:tabs>
          <w:tab w:val="clear" w:pos="1247"/>
          <w:tab w:val="clear" w:pos="1814"/>
          <w:tab w:val="clear" w:pos="2381"/>
          <w:tab w:val="clear" w:pos="2948"/>
          <w:tab w:val="clear" w:pos="3515"/>
          <w:tab w:val="clear" w:pos="4082"/>
        </w:tabs>
        <w:spacing w:before="240"/>
        <w:ind w:left="1247" w:firstLine="624"/>
        <w:rPr>
          <w:rFonts w:asciiTheme="majorBidi" w:hAnsiTheme="majorBidi" w:cstheme="majorBidi"/>
          <w:lang w:val="en-GB"/>
        </w:rPr>
      </w:pPr>
      <w:r w:rsidRPr="00F4180C">
        <w:rPr>
          <w:rFonts w:asciiTheme="majorBidi" w:hAnsiTheme="majorBidi" w:cstheme="majorBidi"/>
          <w:lang w:val="en-GB"/>
        </w:rPr>
        <w:lastRenderedPageBreak/>
        <w:t>Implementation plans under article 20 of the Convention</w:t>
      </w:r>
    </w:p>
    <w:tbl>
      <w:tblPr>
        <w:tblW w:w="8094" w:type="dxa"/>
        <w:tblInd w:w="126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094"/>
      </w:tblGrid>
      <w:tr w:rsidR="003E7545" w:rsidRPr="00615C5D" w14:paraId="4323AE6A" w14:textId="77777777" w:rsidTr="00615C5D">
        <w:tc>
          <w:tcPr>
            <w:tcW w:w="8094" w:type="dxa"/>
            <w:shd w:val="clear" w:color="auto" w:fill="D9D9D9"/>
            <w:tcMar>
              <w:top w:w="100" w:type="dxa"/>
              <w:left w:w="100" w:type="dxa"/>
              <w:bottom w:w="100" w:type="dxa"/>
              <w:right w:w="100" w:type="dxa"/>
            </w:tcMar>
          </w:tcPr>
          <w:p w14:paraId="12D2552E" w14:textId="77777777" w:rsidR="003E7545" w:rsidRPr="00615C5D" w:rsidRDefault="003E7545" w:rsidP="00BC39F1">
            <w:pPr>
              <w:widowControl w:val="0"/>
              <w:pBdr>
                <w:top w:val="nil"/>
                <w:left w:val="nil"/>
                <w:bottom w:val="nil"/>
                <w:right w:val="nil"/>
                <w:between w:val="nil"/>
              </w:pBdr>
              <w:spacing w:after="120"/>
              <w:rPr>
                <w:rFonts w:asciiTheme="majorBidi" w:eastAsia="Times New Roman" w:hAnsiTheme="majorBidi" w:cstheme="majorBidi"/>
                <w:b/>
                <w:sz w:val="18"/>
                <w:szCs w:val="18"/>
              </w:rPr>
            </w:pPr>
            <w:r w:rsidRPr="00615C5D">
              <w:rPr>
                <w:rFonts w:asciiTheme="majorBidi" w:eastAsia="Times New Roman" w:hAnsiTheme="majorBidi" w:cstheme="majorBidi"/>
                <w:b/>
                <w:sz w:val="18"/>
                <w:szCs w:val="18"/>
              </w:rPr>
              <w:t>Implementation plans and identification of stocks and sources</w:t>
            </w:r>
          </w:p>
          <w:p w14:paraId="537D058F" w14:textId="77777777" w:rsidR="003E7545" w:rsidRPr="00615C5D" w:rsidRDefault="003E7545" w:rsidP="00BC39F1">
            <w:pPr>
              <w:spacing w:after="120"/>
              <w:rPr>
                <w:rFonts w:asciiTheme="majorBidi" w:eastAsia="Times New Roman" w:hAnsiTheme="majorBidi" w:cstheme="majorBidi"/>
                <w:sz w:val="18"/>
                <w:szCs w:val="18"/>
              </w:rPr>
            </w:pPr>
            <w:r w:rsidRPr="00615C5D">
              <w:rPr>
                <w:rFonts w:asciiTheme="majorBidi" w:eastAsia="Times New Roman" w:hAnsiTheme="majorBidi" w:cstheme="majorBidi"/>
                <w:sz w:val="18"/>
                <w:szCs w:val="18"/>
              </w:rPr>
              <w:t xml:space="preserve">Australia, Japan, Montenegro, and Peru have submitted their NIPs to inform the COP and the public about their implementation of the Convention obligations, including related measures on identification and assessment of stocks and sources and information sharing measures. </w:t>
            </w:r>
          </w:p>
          <w:p w14:paraId="22EE8474" w14:textId="77777777" w:rsidR="003E7545" w:rsidRPr="00615C5D" w:rsidRDefault="003E7545" w:rsidP="00BC39F1">
            <w:pPr>
              <w:numPr>
                <w:ilvl w:val="0"/>
                <w:numId w:val="12"/>
              </w:numPr>
              <w:spacing w:after="120" w:line="276" w:lineRule="auto"/>
              <w:rPr>
                <w:rFonts w:asciiTheme="majorBidi" w:eastAsia="Times New Roman" w:hAnsiTheme="majorBidi" w:cstheme="majorBidi"/>
                <w:sz w:val="18"/>
                <w:szCs w:val="18"/>
              </w:rPr>
            </w:pPr>
            <w:r w:rsidRPr="00615C5D">
              <w:rPr>
                <w:rFonts w:asciiTheme="majorBidi" w:eastAsia="Times New Roman" w:hAnsiTheme="majorBidi" w:cstheme="majorBidi"/>
                <w:b/>
                <w:bCs/>
                <w:sz w:val="18"/>
                <w:szCs w:val="18"/>
              </w:rPr>
              <w:t xml:space="preserve">Montenegro’s National Implementation Plan of the Minamata Convention on Mercury with the Action Plan for the period 2022-2023 and the Minamata Initial Assessment Report </w:t>
            </w:r>
            <w:r w:rsidRPr="00615C5D">
              <w:rPr>
                <w:rFonts w:asciiTheme="majorBidi" w:eastAsia="Times New Roman" w:hAnsiTheme="majorBidi" w:cstheme="majorBidi"/>
                <w:sz w:val="18"/>
                <w:szCs w:val="18"/>
              </w:rPr>
              <w:t>(December 2021)</w:t>
            </w:r>
            <w:r w:rsidRPr="00615C5D">
              <w:rPr>
                <w:rFonts w:asciiTheme="majorBidi" w:eastAsia="Times New Roman" w:hAnsiTheme="majorBidi" w:cstheme="majorBidi"/>
                <w:sz w:val="18"/>
                <w:szCs w:val="18"/>
                <w:vertAlign w:val="superscript"/>
              </w:rPr>
              <w:footnoteReference w:id="13"/>
            </w:r>
            <w:r w:rsidRPr="00615C5D">
              <w:rPr>
                <w:rFonts w:asciiTheme="majorBidi" w:eastAsia="Times New Roman" w:hAnsiTheme="majorBidi" w:cstheme="majorBidi"/>
                <w:sz w:val="18"/>
                <w:szCs w:val="18"/>
              </w:rPr>
              <w:t xml:space="preserve"> incorporated a mercury inventory as an integral component of its NIP.</w:t>
            </w:r>
          </w:p>
          <w:p w14:paraId="335C1083" w14:textId="77777777" w:rsidR="003E7545" w:rsidRPr="00615C5D" w:rsidRDefault="003E7545" w:rsidP="00BC39F1">
            <w:pPr>
              <w:numPr>
                <w:ilvl w:val="0"/>
                <w:numId w:val="12"/>
              </w:numPr>
              <w:spacing w:after="120" w:line="276" w:lineRule="auto"/>
              <w:rPr>
                <w:rFonts w:asciiTheme="majorBidi" w:eastAsia="Times New Roman" w:hAnsiTheme="majorBidi" w:cstheme="majorBidi"/>
                <w:sz w:val="18"/>
                <w:szCs w:val="18"/>
              </w:rPr>
            </w:pPr>
            <w:r w:rsidRPr="00615C5D">
              <w:rPr>
                <w:rFonts w:asciiTheme="majorBidi" w:eastAsia="Times New Roman" w:hAnsiTheme="majorBidi" w:cstheme="majorBidi"/>
                <w:b/>
                <w:bCs/>
                <w:sz w:val="18"/>
                <w:szCs w:val="18"/>
              </w:rPr>
              <w:t xml:space="preserve">Japan’s National Implementation Plan for Preventing Environmental Pollution of Mercury and Mercury Compounds </w:t>
            </w:r>
            <w:r w:rsidRPr="00615C5D">
              <w:rPr>
                <w:rFonts w:asciiTheme="majorBidi" w:eastAsia="Times New Roman" w:hAnsiTheme="majorBidi" w:cstheme="majorBidi"/>
                <w:sz w:val="18"/>
                <w:szCs w:val="18"/>
              </w:rPr>
              <w:t>(October 2017)</w:t>
            </w:r>
            <w:r w:rsidRPr="00615C5D">
              <w:rPr>
                <w:rFonts w:asciiTheme="majorBidi" w:eastAsia="Times New Roman" w:hAnsiTheme="majorBidi" w:cstheme="majorBidi"/>
                <w:sz w:val="18"/>
                <w:szCs w:val="18"/>
                <w:vertAlign w:val="superscript"/>
              </w:rPr>
              <w:footnoteReference w:id="14"/>
            </w:r>
            <w:r w:rsidRPr="00615C5D">
              <w:rPr>
                <w:rFonts w:asciiTheme="majorBidi" w:eastAsia="Times New Roman" w:hAnsiTheme="majorBidi" w:cstheme="majorBidi"/>
                <w:sz w:val="18"/>
                <w:szCs w:val="18"/>
              </w:rPr>
              <w:t xml:space="preserve"> explicitly included the identification of individual stocks and sources through legally mandated regular reporting of mercury and mercury compounds storage.</w:t>
            </w:r>
          </w:p>
          <w:p w14:paraId="6DF2382B" w14:textId="77777777" w:rsidR="003E7545" w:rsidRPr="00615C5D" w:rsidRDefault="003E7545" w:rsidP="00BC39F1">
            <w:pPr>
              <w:numPr>
                <w:ilvl w:val="0"/>
                <w:numId w:val="12"/>
              </w:numPr>
              <w:spacing w:after="120" w:line="276" w:lineRule="auto"/>
              <w:rPr>
                <w:rFonts w:asciiTheme="majorBidi" w:eastAsia="Times New Roman" w:hAnsiTheme="majorBidi" w:cstheme="majorBidi"/>
                <w:sz w:val="18"/>
                <w:szCs w:val="18"/>
              </w:rPr>
            </w:pPr>
            <w:r w:rsidRPr="00615C5D">
              <w:rPr>
                <w:rFonts w:asciiTheme="majorBidi" w:eastAsia="Times New Roman" w:hAnsiTheme="majorBidi" w:cstheme="majorBidi"/>
                <w:b/>
                <w:bCs/>
                <w:sz w:val="18"/>
                <w:szCs w:val="18"/>
              </w:rPr>
              <w:t xml:space="preserve">Australia’s National Implementation Plan (Minamata Convention on Mercury) </w:t>
            </w:r>
            <w:r w:rsidRPr="00615C5D">
              <w:rPr>
                <w:rFonts w:asciiTheme="majorBidi" w:eastAsia="Times New Roman" w:hAnsiTheme="majorBidi" w:cstheme="majorBidi"/>
                <w:sz w:val="18"/>
                <w:szCs w:val="18"/>
              </w:rPr>
              <w:t>(October 2024)</w:t>
            </w:r>
            <w:r w:rsidRPr="00615C5D">
              <w:rPr>
                <w:rFonts w:asciiTheme="majorBidi" w:eastAsia="Times New Roman" w:hAnsiTheme="majorBidi" w:cstheme="majorBidi"/>
                <w:b/>
                <w:bCs/>
                <w:sz w:val="18"/>
                <w:szCs w:val="18"/>
                <w:vertAlign w:val="superscript"/>
              </w:rPr>
              <w:footnoteReference w:id="15"/>
            </w:r>
            <w:r w:rsidRPr="00615C5D">
              <w:rPr>
                <w:rFonts w:asciiTheme="majorBidi" w:eastAsia="Times New Roman" w:hAnsiTheme="majorBidi" w:cstheme="majorBidi"/>
                <w:b/>
                <w:bCs/>
                <w:sz w:val="18"/>
                <w:szCs w:val="18"/>
              </w:rPr>
              <w:t xml:space="preserve"> </w:t>
            </w:r>
            <w:r w:rsidRPr="00615C5D">
              <w:rPr>
                <w:rFonts w:asciiTheme="majorBidi" w:eastAsia="Times New Roman" w:hAnsiTheme="majorBidi" w:cstheme="majorBidi"/>
                <w:sz w:val="18"/>
                <w:szCs w:val="18"/>
              </w:rPr>
              <w:t>has a section on existing regulatory and assessment schemes.</w:t>
            </w:r>
          </w:p>
          <w:p w14:paraId="0061CDE0" w14:textId="77777777" w:rsidR="003E7545" w:rsidRPr="00615C5D" w:rsidRDefault="003E7545" w:rsidP="00BC39F1">
            <w:pPr>
              <w:numPr>
                <w:ilvl w:val="0"/>
                <w:numId w:val="12"/>
              </w:numPr>
              <w:spacing w:after="120" w:line="276" w:lineRule="auto"/>
              <w:rPr>
                <w:rFonts w:asciiTheme="majorBidi" w:eastAsia="Times New Roman" w:hAnsiTheme="majorBidi" w:cstheme="majorBidi"/>
                <w:sz w:val="18"/>
                <w:szCs w:val="18"/>
              </w:rPr>
            </w:pPr>
            <w:r w:rsidRPr="00615C5D">
              <w:rPr>
                <w:rFonts w:asciiTheme="majorBidi" w:eastAsia="Times New Roman" w:hAnsiTheme="majorBidi" w:cstheme="majorBidi"/>
                <w:b/>
                <w:bCs/>
                <w:sz w:val="18"/>
                <w:szCs w:val="18"/>
              </w:rPr>
              <w:t xml:space="preserve">Peru’s National Implementation Plan (Minamata Convention on Mercury) </w:t>
            </w:r>
            <w:r w:rsidRPr="00615C5D">
              <w:rPr>
                <w:rFonts w:asciiTheme="majorBidi" w:eastAsia="Times New Roman" w:hAnsiTheme="majorBidi" w:cstheme="majorBidi"/>
                <w:sz w:val="18"/>
                <w:szCs w:val="18"/>
              </w:rPr>
              <w:t>established its regulatory framework for mercury stock identification and supply source monitoring. The document (</w:t>
            </w:r>
            <w:proofErr w:type="spellStart"/>
            <w:r w:rsidRPr="00615C5D">
              <w:rPr>
                <w:rFonts w:asciiTheme="majorBidi" w:eastAsia="Times New Roman" w:hAnsiTheme="majorBidi" w:cstheme="majorBidi"/>
                <w:sz w:val="18"/>
                <w:szCs w:val="18"/>
              </w:rPr>
              <w:t>Decreto</w:t>
            </w:r>
            <w:proofErr w:type="spellEnd"/>
            <w:r w:rsidRPr="00615C5D">
              <w:rPr>
                <w:rFonts w:asciiTheme="majorBidi" w:eastAsia="Times New Roman" w:hAnsiTheme="majorBidi" w:cstheme="majorBidi"/>
                <w:sz w:val="18"/>
                <w:szCs w:val="18"/>
              </w:rPr>
              <w:t xml:space="preserve"> Supremo N° 004-2019-MINAM)</w:t>
            </w:r>
            <w:r w:rsidRPr="00615C5D">
              <w:rPr>
                <w:rFonts w:asciiTheme="majorBidi" w:eastAsia="Times New Roman" w:hAnsiTheme="majorBidi" w:cstheme="majorBidi"/>
                <w:sz w:val="18"/>
                <w:szCs w:val="18"/>
                <w:vertAlign w:val="superscript"/>
              </w:rPr>
              <w:footnoteReference w:id="16"/>
            </w:r>
            <w:r w:rsidRPr="00615C5D">
              <w:rPr>
                <w:rFonts w:asciiTheme="majorBidi" w:eastAsia="Times New Roman" w:hAnsiTheme="majorBidi" w:cstheme="majorBidi"/>
                <w:sz w:val="18"/>
                <w:szCs w:val="18"/>
              </w:rPr>
              <w:t xml:space="preserve"> constitutes Peru’s first comprehensive update to its 2017 baseline inventory report, evaluating current mercury stocks and active supply sources. These documents are available in the Minamata Convention website.</w:t>
            </w:r>
            <w:r w:rsidRPr="00615C5D">
              <w:rPr>
                <w:rFonts w:asciiTheme="majorBidi" w:eastAsia="Times New Roman" w:hAnsiTheme="majorBidi" w:cstheme="majorBidi"/>
                <w:sz w:val="18"/>
                <w:szCs w:val="18"/>
              </w:rPr>
              <w:tab/>
            </w:r>
          </w:p>
        </w:tc>
      </w:tr>
    </w:tbl>
    <w:p w14:paraId="4BCE9272" w14:textId="6CCF1202" w:rsidR="00006532" w:rsidRPr="00245E45" w:rsidRDefault="00006532" w:rsidP="00BC39F1">
      <w:pPr>
        <w:pStyle w:val="CH2"/>
        <w:keepNext w:val="0"/>
        <w:keepLines w:val="0"/>
      </w:pPr>
      <w:r w:rsidRPr="00245E45">
        <w:tab/>
      </w:r>
      <w:r w:rsidR="00495D26">
        <w:t>B</w:t>
      </w:r>
      <w:r w:rsidRPr="00245E45">
        <w:t>.</w:t>
      </w:r>
      <w:r w:rsidRPr="00245E45">
        <w:tab/>
      </w:r>
      <w:r w:rsidR="00495D26" w:rsidRPr="00495D26">
        <w:t>Updating or sustaining inventories conducted under the Minamata Convention initial assessments</w:t>
      </w:r>
    </w:p>
    <w:p w14:paraId="2BBDCE36" w14:textId="77777777" w:rsidR="00376908" w:rsidRPr="00F4180C" w:rsidRDefault="00376908" w:rsidP="00BC39F1">
      <w:pPr>
        <w:pStyle w:val="Normalnumber"/>
        <w:numPr>
          <w:ilvl w:val="0"/>
          <w:numId w:val="3"/>
        </w:numPr>
        <w:tabs>
          <w:tab w:val="clear" w:pos="1247"/>
          <w:tab w:val="clear" w:pos="1814"/>
          <w:tab w:val="clear" w:pos="2381"/>
          <w:tab w:val="clear" w:pos="2948"/>
          <w:tab w:val="clear" w:pos="3515"/>
          <w:tab w:val="clear" w:pos="4082"/>
          <w:tab w:val="num" w:pos="624"/>
        </w:tabs>
        <w:spacing w:before="120"/>
        <w:ind w:left="1248" w:firstLine="0"/>
        <w:rPr>
          <w:rFonts w:asciiTheme="majorBidi" w:hAnsiTheme="majorBidi" w:cstheme="majorBidi"/>
          <w:lang w:val="en-GB"/>
        </w:rPr>
      </w:pPr>
      <w:r w:rsidRPr="00F4180C">
        <w:rPr>
          <w:rFonts w:asciiTheme="majorBidi" w:hAnsiTheme="majorBidi" w:cstheme="majorBidi"/>
          <w:lang w:val="en-GB"/>
        </w:rPr>
        <w:t>Minamata Convention initial assessments (MIA) were designed to help countries identify the requirements for ratifying the Convention and provide basis for implementation. To support this, the Global Environmental Fund (GEF) released the Initial Guidelines for Enabling Activities for the Minamata Convention on Mercury</w:t>
      </w:r>
      <w:r w:rsidRPr="00376908">
        <w:rPr>
          <w:rFonts w:asciiTheme="majorBidi" w:hAnsiTheme="majorBidi" w:cstheme="majorBidi"/>
          <w:lang w:val="en-GB"/>
        </w:rPr>
        <w:footnoteReference w:id="17"/>
      </w:r>
      <w:r w:rsidRPr="00376908">
        <w:rPr>
          <w:rFonts w:asciiTheme="majorBidi" w:hAnsiTheme="majorBidi" w:cstheme="majorBidi"/>
          <w:lang w:val="en-GB"/>
        </w:rPr>
        <w:t xml:space="preserve"> </w:t>
      </w:r>
      <w:r w:rsidRPr="00F4180C">
        <w:rPr>
          <w:rFonts w:asciiTheme="majorBidi" w:hAnsiTheme="majorBidi" w:cstheme="majorBidi"/>
          <w:lang w:val="en-GB"/>
        </w:rPr>
        <w:t xml:space="preserve">in 2014. These guidelines outline the </w:t>
      </w:r>
      <w:r w:rsidRPr="00376908">
        <w:rPr>
          <w:rFonts w:asciiTheme="majorBidi" w:hAnsiTheme="majorBidi" w:cstheme="majorBidi"/>
          <w:lang w:val="en-GB"/>
        </w:rPr>
        <w:t>elements that may be included in a MIA and the type of data to be collected during its development. These guidelines also address the national action plans (NAP</w:t>
      </w:r>
      <w:r w:rsidRPr="00F4180C">
        <w:rPr>
          <w:rFonts w:asciiTheme="majorBidi" w:hAnsiTheme="majorBidi" w:cstheme="majorBidi"/>
          <w:lang w:val="en-GB"/>
        </w:rPr>
        <w:t>) on Artisanal and Small-Scale Gold Mining (ASGM) required under article 7 of the Convention.</w:t>
      </w:r>
    </w:p>
    <w:p w14:paraId="62C5A735" w14:textId="77777777" w:rsidR="00BC39F1" w:rsidRPr="00F4180C" w:rsidRDefault="00BC39F1" w:rsidP="00BC39F1">
      <w:pPr>
        <w:pStyle w:val="Normalnumber"/>
        <w:numPr>
          <w:ilvl w:val="0"/>
          <w:numId w:val="3"/>
        </w:numPr>
        <w:tabs>
          <w:tab w:val="clear" w:pos="1247"/>
          <w:tab w:val="clear" w:pos="1814"/>
          <w:tab w:val="clear" w:pos="2381"/>
          <w:tab w:val="clear" w:pos="2948"/>
          <w:tab w:val="clear" w:pos="3515"/>
          <w:tab w:val="clear" w:pos="4082"/>
          <w:tab w:val="num" w:pos="624"/>
        </w:tabs>
        <w:spacing w:before="120"/>
        <w:ind w:left="1248" w:firstLine="0"/>
        <w:rPr>
          <w:rFonts w:asciiTheme="majorBidi" w:hAnsiTheme="majorBidi" w:cstheme="majorBidi"/>
          <w:lang w:val="en-GB"/>
        </w:rPr>
      </w:pPr>
      <w:r w:rsidRPr="00F4180C">
        <w:rPr>
          <w:rFonts w:asciiTheme="majorBidi" w:hAnsiTheme="majorBidi" w:cstheme="majorBidi"/>
          <w:lang w:val="en-GB"/>
        </w:rPr>
        <w:t>The mercury inventory component of MIAs is important to compliance with Article 3 of the Convention. Both the GEF guidelines and the United Nations Development Programme’s Suggested Structure and Contents for MIA Reports</w:t>
      </w:r>
      <w:r w:rsidRPr="00F4180C">
        <w:rPr>
          <w:rStyle w:val="FootnoteReference"/>
          <w:rFonts w:asciiTheme="majorBidi" w:hAnsiTheme="majorBidi" w:cstheme="majorBidi"/>
          <w:lang w:val="en-GB"/>
        </w:rPr>
        <w:footnoteReference w:id="18"/>
      </w:r>
      <w:r w:rsidRPr="00F4180C">
        <w:rPr>
          <w:rFonts w:asciiTheme="majorBidi" w:hAnsiTheme="majorBidi" w:cstheme="majorBidi"/>
          <w:lang w:val="en-GB"/>
        </w:rPr>
        <w:t xml:space="preserve"> recommend that inventories cover the following:</w:t>
      </w:r>
    </w:p>
    <w:p w14:paraId="53AC74BE" w14:textId="4E2E1199" w:rsidR="00BC39F1" w:rsidRPr="00FF77C9" w:rsidRDefault="00BC39F1" w:rsidP="007D1212">
      <w:pPr>
        <w:pStyle w:val="Normalnumber"/>
        <w:numPr>
          <w:ilvl w:val="2"/>
          <w:numId w:val="7"/>
        </w:numPr>
        <w:tabs>
          <w:tab w:val="clear" w:pos="1247"/>
          <w:tab w:val="clear" w:pos="1814"/>
          <w:tab w:val="clear" w:pos="2381"/>
          <w:tab w:val="clear" w:pos="2948"/>
          <w:tab w:val="clear" w:pos="3515"/>
          <w:tab w:val="clear" w:pos="4082"/>
          <w:tab w:val="num" w:pos="624"/>
        </w:tabs>
        <w:ind w:left="1247" w:firstLine="624"/>
        <w:rPr>
          <w:lang w:val="en-GB"/>
        </w:rPr>
      </w:pPr>
      <w:r w:rsidRPr="00FF77C9">
        <w:rPr>
          <w:lang w:val="en-GB"/>
        </w:rPr>
        <w:lastRenderedPageBreak/>
        <w:t xml:space="preserve">Stocks of mercury and/or mercury compounds, including current storage and potential future storage needs; </w:t>
      </w:r>
    </w:p>
    <w:p w14:paraId="1A078AB9" w14:textId="77777777" w:rsidR="00BC39F1" w:rsidRPr="00FF77C9" w:rsidRDefault="00BC39F1" w:rsidP="007D1212">
      <w:pPr>
        <w:pStyle w:val="Normalnumber"/>
        <w:numPr>
          <w:ilvl w:val="2"/>
          <w:numId w:val="7"/>
        </w:numPr>
        <w:tabs>
          <w:tab w:val="clear" w:pos="1247"/>
          <w:tab w:val="clear" w:pos="1814"/>
          <w:tab w:val="clear" w:pos="2381"/>
          <w:tab w:val="clear" w:pos="2948"/>
          <w:tab w:val="clear" w:pos="3515"/>
          <w:tab w:val="clear" w:pos="4082"/>
          <w:tab w:val="num" w:pos="624"/>
        </w:tabs>
        <w:ind w:left="1247" w:firstLine="624"/>
        <w:rPr>
          <w:lang w:val="en-GB"/>
        </w:rPr>
      </w:pPr>
      <w:r w:rsidRPr="00FF77C9">
        <w:rPr>
          <w:lang w:val="en-GB"/>
        </w:rPr>
        <w:t>Sources of supply of mercury, including sources, recycling activities and quantities;</w:t>
      </w:r>
    </w:p>
    <w:p w14:paraId="2E618BB0" w14:textId="77777777" w:rsidR="00BC39F1" w:rsidRPr="00FF77C9" w:rsidRDefault="00BC39F1" w:rsidP="007D1212">
      <w:pPr>
        <w:pStyle w:val="Normalnumber"/>
        <w:numPr>
          <w:ilvl w:val="2"/>
          <w:numId w:val="7"/>
        </w:numPr>
        <w:tabs>
          <w:tab w:val="clear" w:pos="1247"/>
          <w:tab w:val="clear" w:pos="1814"/>
          <w:tab w:val="clear" w:pos="2381"/>
          <w:tab w:val="clear" w:pos="2948"/>
          <w:tab w:val="clear" w:pos="3515"/>
          <w:tab w:val="clear" w:pos="4082"/>
          <w:tab w:val="num" w:pos="624"/>
        </w:tabs>
        <w:ind w:left="1247" w:firstLine="624"/>
        <w:rPr>
          <w:lang w:val="en-GB"/>
        </w:rPr>
      </w:pPr>
      <w:r w:rsidRPr="00FF77C9">
        <w:rPr>
          <w:lang w:val="en-GB"/>
        </w:rPr>
        <w:t>Sectors using mercury or mercury compounds and the amounts per year, such as manufacturing, ASGM, and production of mercury added products; and</w:t>
      </w:r>
    </w:p>
    <w:p w14:paraId="6B553BA6" w14:textId="51787A42" w:rsidR="00BC39F1" w:rsidRPr="00FF77C9" w:rsidRDefault="00BC39F1" w:rsidP="007D1212">
      <w:pPr>
        <w:pStyle w:val="Normalnumber"/>
        <w:numPr>
          <w:ilvl w:val="2"/>
          <w:numId w:val="7"/>
        </w:numPr>
        <w:tabs>
          <w:tab w:val="clear" w:pos="1247"/>
          <w:tab w:val="clear" w:pos="1814"/>
          <w:tab w:val="clear" w:pos="2381"/>
          <w:tab w:val="clear" w:pos="2948"/>
          <w:tab w:val="clear" w:pos="3515"/>
          <w:tab w:val="clear" w:pos="4082"/>
          <w:tab w:val="num" w:pos="624"/>
        </w:tabs>
        <w:ind w:left="1247" w:firstLine="624"/>
        <w:rPr>
          <w:lang w:val="en-GB"/>
        </w:rPr>
      </w:pPr>
      <w:r w:rsidRPr="00FF77C9">
        <w:rPr>
          <w:lang w:val="en-GB"/>
        </w:rPr>
        <w:t xml:space="preserve">Trade in mercury and mercury containing compounds, including imports and exports of mercury-added products. </w:t>
      </w:r>
    </w:p>
    <w:p w14:paraId="3FDE34FC" w14:textId="0D71B599" w:rsidR="00BC39F1" w:rsidRPr="00F4180C" w:rsidRDefault="00BC39F1" w:rsidP="00BC39F1">
      <w:pPr>
        <w:pStyle w:val="Normalnumber"/>
        <w:numPr>
          <w:ilvl w:val="0"/>
          <w:numId w:val="3"/>
        </w:numPr>
        <w:tabs>
          <w:tab w:val="clear" w:pos="1247"/>
          <w:tab w:val="clear" w:pos="1814"/>
          <w:tab w:val="clear" w:pos="2381"/>
          <w:tab w:val="clear" w:pos="2948"/>
          <w:tab w:val="clear" w:pos="3515"/>
          <w:tab w:val="clear" w:pos="4082"/>
          <w:tab w:val="num" w:pos="624"/>
        </w:tabs>
        <w:spacing w:before="120"/>
        <w:ind w:left="1248" w:firstLine="0"/>
        <w:rPr>
          <w:rFonts w:asciiTheme="majorBidi" w:hAnsiTheme="majorBidi" w:cstheme="majorBidi"/>
          <w:lang w:val="en-GB"/>
        </w:rPr>
      </w:pPr>
      <w:r w:rsidRPr="00F4180C">
        <w:rPr>
          <w:rFonts w:asciiTheme="majorBidi" w:hAnsiTheme="majorBidi" w:cstheme="majorBidi"/>
          <w:lang w:val="en-GB"/>
        </w:rPr>
        <w:t>Countries that have completed their MIAs and established baseline mercury inventories should update this information periodically using new data sources. Updates can draw from facility-level reports, local authority submissions, or national stakeholders’ consultations.</w:t>
      </w:r>
    </w:p>
    <w:tbl>
      <w:tblPr>
        <w:tblW w:w="8094" w:type="dxa"/>
        <w:tblInd w:w="126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094"/>
      </w:tblGrid>
      <w:tr w:rsidR="00B94FAE" w:rsidRPr="00201BC3" w14:paraId="47AD52D0" w14:textId="77777777" w:rsidTr="00201BC3">
        <w:tc>
          <w:tcPr>
            <w:tcW w:w="8094" w:type="dxa"/>
            <w:shd w:val="clear" w:color="auto" w:fill="D9D9D9" w:themeFill="background1" w:themeFillShade="D9"/>
            <w:tcMar>
              <w:top w:w="100" w:type="dxa"/>
              <w:left w:w="100" w:type="dxa"/>
              <w:bottom w:w="100" w:type="dxa"/>
              <w:right w:w="100" w:type="dxa"/>
            </w:tcMar>
          </w:tcPr>
          <w:p w14:paraId="4766B6AF" w14:textId="77777777" w:rsidR="00B94FAE" w:rsidRPr="00201BC3" w:rsidRDefault="00B94FAE" w:rsidP="00201BC3">
            <w:pPr>
              <w:spacing w:after="120"/>
              <w:rPr>
                <w:rFonts w:asciiTheme="majorBidi" w:eastAsia="Times New Roman" w:hAnsiTheme="majorBidi" w:cstheme="majorBidi"/>
                <w:b/>
                <w:sz w:val="18"/>
                <w:szCs w:val="18"/>
              </w:rPr>
            </w:pPr>
            <w:r w:rsidRPr="00201BC3">
              <w:rPr>
                <w:rFonts w:asciiTheme="majorBidi" w:eastAsia="Times New Roman" w:hAnsiTheme="majorBidi" w:cstheme="majorBidi"/>
                <w:b/>
                <w:sz w:val="18"/>
                <w:szCs w:val="18"/>
              </w:rPr>
              <w:t>Example: Indonesia’s MIA/NAP</w:t>
            </w:r>
          </w:p>
          <w:p w14:paraId="727FA88C" w14:textId="77777777" w:rsidR="00B94FAE" w:rsidRPr="00201BC3" w:rsidRDefault="00B94FAE" w:rsidP="00201BC3">
            <w:pPr>
              <w:spacing w:after="120"/>
              <w:rPr>
                <w:rFonts w:asciiTheme="majorBidi" w:eastAsia="Times New Roman" w:hAnsiTheme="majorBidi" w:cstheme="majorBidi"/>
                <w:sz w:val="18"/>
                <w:szCs w:val="18"/>
              </w:rPr>
            </w:pPr>
            <w:r w:rsidRPr="00201BC3">
              <w:rPr>
                <w:rFonts w:asciiTheme="majorBidi" w:eastAsia="Times New Roman" w:hAnsiTheme="majorBidi" w:cstheme="majorBidi"/>
                <w:sz w:val="18"/>
                <w:szCs w:val="18"/>
              </w:rPr>
              <w:t>In 2020, Indonesia identified and inventoried potential sources of mercury, as detailed in its MIA and National Action Plan for Mercury Reduction and Elimination (</w:t>
            </w:r>
            <w:proofErr w:type="spellStart"/>
            <w:r w:rsidRPr="00201BC3">
              <w:rPr>
                <w:rFonts w:asciiTheme="majorBidi" w:eastAsia="Times New Roman" w:hAnsiTheme="majorBidi" w:cstheme="majorBidi"/>
                <w:i/>
                <w:iCs/>
                <w:sz w:val="18"/>
                <w:szCs w:val="18"/>
              </w:rPr>
              <w:t>Rencana</w:t>
            </w:r>
            <w:proofErr w:type="spellEnd"/>
            <w:r w:rsidRPr="00201BC3">
              <w:rPr>
                <w:rFonts w:asciiTheme="majorBidi" w:eastAsia="Times New Roman" w:hAnsiTheme="majorBidi" w:cstheme="majorBidi"/>
                <w:i/>
                <w:iCs/>
                <w:sz w:val="18"/>
                <w:szCs w:val="18"/>
              </w:rPr>
              <w:t xml:space="preserve"> </w:t>
            </w:r>
            <w:proofErr w:type="spellStart"/>
            <w:r w:rsidRPr="00201BC3">
              <w:rPr>
                <w:rFonts w:asciiTheme="majorBidi" w:eastAsia="Times New Roman" w:hAnsiTheme="majorBidi" w:cstheme="majorBidi"/>
                <w:i/>
                <w:iCs/>
                <w:sz w:val="18"/>
                <w:szCs w:val="18"/>
              </w:rPr>
              <w:t>Aksi</w:t>
            </w:r>
            <w:proofErr w:type="spellEnd"/>
            <w:r w:rsidRPr="00201BC3">
              <w:rPr>
                <w:rFonts w:asciiTheme="majorBidi" w:eastAsia="Times New Roman" w:hAnsiTheme="majorBidi" w:cstheme="majorBidi"/>
                <w:i/>
                <w:iCs/>
                <w:sz w:val="18"/>
                <w:szCs w:val="18"/>
              </w:rPr>
              <w:t xml:space="preserve"> Nasional </w:t>
            </w:r>
            <w:proofErr w:type="spellStart"/>
            <w:r w:rsidRPr="00201BC3">
              <w:rPr>
                <w:rFonts w:asciiTheme="majorBidi" w:eastAsia="Times New Roman" w:hAnsiTheme="majorBidi" w:cstheme="majorBidi"/>
                <w:i/>
                <w:iCs/>
                <w:sz w:val="18"/>
                <w:szCs w:val="18"/>
              </w:rPr>
              <w:t>Pengurangan</w:t>
            </w:r>
            <w:proofErr w:type="spellEnd"/>
            <w:r w:rsidRPr="00201BC3">
              <w:rPr>
                <w:rFonts w:asciiTheme="majorBidi" w:eastAsia="Times New Roman" w:hAnsiTheme="majorBidi" w:cstheme="majorBidi"/>
                <w:i/>
                <w:iCs/>
                <w:sz w:val="18"/>
                <w:szCs w:val="18"/>
              </w:rPr>
              <w:t xml:space="preserve"> dan </w:t>
            </w:r>
            <w:proofErr w:type="spellStart"/>
            <w:r w:rsidRPr="00201BC3">
              <w:rPr>
                <w:rFonts w:asciiTheme="majorBidi" w:eastAsia="Times New Roman" w:hAnsiTheme="majorBidi" w:cstheme="majorBidi"/>
                <w:i/>
                <w:iCs/>
                <w:sz w:val="18"/>
                <w:szCs w:val="18"/>
              </w:rPr>
              <w:t>Penghapusan</w:t>
            </w:r>
            <w:proofErr w:type="spellEnd"/>
            <w:r w:rsidRPr="00201BC3">
              <w:rPr>
                <w:rFonts w:asciiTheme="majorBidi" w:eastAsia="Times New Roman" w:hAnsiTheme="majorBidi" w:cstheme="majorBidi"/>
                <w:i/>
                <w:iCs/>
                <w:sz w:val="18"/>
                <w:szCs w:val="18"/>
              </w:rPr>
              <w:t xml:space="preserve"> </w:t>
            </w:r>
            <w:proofErr w:type="spellStart"/>
            <w:r w:rsidRPr="00201BC3">
              <w:rPr>
                <w:rFonts w:asciiTheme="majorBidi" w:eastAsia="Times New Roman" w:hAnsiTheme="majorBidi" w:cstheme="majorBidi"/>
                <w:i/>
                <w:iCs/>
                <w:sz w:val="18"/>
                <w:szCs w:val="18"/>
              </w:rPr>
              <w:t>Merkuri</w:t>
            </w:r>
            <w:proofErr w:type="spellEnd"/>
            <w:r w:rsidRPr="00201BC3">
              <w:rPr>
                <w:rFonts w:asciiTheme="majorBidi" w:eastAsia="Times New Roman" w:hAnsiTheme="majorBidi" w:cstheme="majorBidi"/>
                <w:i/>
                <w:iCs/>
                <w:sz w:val="18"/>
                <w:szCs w:val="18"/>
              </w:rPr>
              <w:t xml:space="preserve"> or</w:t>
            </w:r>
            <w:r w:rsidRPr="00201BC3">
              <w:rPr>
                <w:rFonts w:asciiTheme="majorBidi" w:eastAsia="Times New Roman" w:hAnsiTheme="majorBidi" w:cstheme="majorBidi"/>
                <w:sz w:val="18"/>
                <w:szCs w:val="18"/>
              </w:rPr>
              <w:t xml:space="preserve"> RAN-PPM) documents submitted in 2022.</w:t>
            </w:r>
            <w:r w:rsidRPr="00201BC3">
              <w:rPr>
                <w:rFonts w:asciiTheme="majorBidi" w:eastAsia="Times New Roman" w:hAnsiTheme="majorBidi" w:cstheme="majorBidi"/>
                <w:sz w:val="18"/>
                <w:szCs w:val="18"/>
                <w:vertAlign w:val="superscript"/>
              </w:rPr>
              <w:footnoteReference w:id="19"/>
            </w:r>
            <w:r w:rsidRPr="00201BC3">
              <w:rPr>
                <w:rFonts w:asciiTheme="majorBidi" w:eastAsia="Times New Roman" w:hAnsiTheme="majorBidi" w:cstheme="majorBidi"/>
                <w:sz w:val="18"/>
                <w:szCs w:val="18"/>
              </w:rPr>
              <w:t xml:space="preserve"> The MIA also includes several recommended action plans that have not been included in its NAP (RAN-PPM), which aims to eliminate the use of mercury in ASGM and illegal mining in Indonesia by 2025, to support the </w:t>
            </w:r>
            <w:proofErr w:type="spellStart"/>
            <w:r w:rsidRPr="00201BC3">
              <w:rPr>
                <w:rFonts w:asciiTheme="majorBidi" w:eastAsia="Times New Roman" w:hAnsiTheme="majorBidi" w:cstheme="majorBidi"/>
                <w:sz w:val="18"/>
                <w:szCs w:val="18"/>
              </w:rPr>
              <w:t>fulfillment</w:t>
            </w:r>
            <w:proofErr w:type="spellEnd"/>
            <w:r w:rsidRPr="00201BC3">
              <w:rPr>
                <w:rFonts w:asciiTheme="majorBidi" w:eastAsia="Times New Roman" w:hAnsiTheme="majorBidi" w:cstheme="majorBidi"/>
                <w:sz w:val="18"/>
                <w:szCs w:val="18"/>
              </w:rPr>
              <w:t xml:space="preserve"> of the provisions of the Minamata Convention.</w:t>
            </w:r>
          </w:p>
          <w:p w14:paraId="7F90271C" w14:textId="77777777" w:rsidR="00B94FAE" w:rsidRPr="00201BC3" w:rsidRDefault="00B94FAE" w:rsidP="00201BC3">
            <w:pPr>
              <w:spacing w:after="120"/>
              <w:rPr>
                <w:rFonts w:asciiTheme="majorBidi" w:eastAsia="Times New Roman" w:hAnsiTheme="majorBidi" w:cstheme="majorBidi"/>
                <w:sz w:val="18"/>
                <w:szCs w:val="18"/>
              </w:rPr>
            </w:pPr>
            <w:r w:rsidRPr="00201BC3">
              <w:rPr>
                <w:rFonts w:asciiTheme="majorBidi" w:eastAsia="Times New Roman" w:hAnsiTheme="majorBidi" w:cstheme="majorBidi"/>
                <w:sz w:val="18"/>
                <w:szCs w:val="18"/>
              </w:rPr>
              <w:t xml:space="preserve">The MIA document includes specific sections on: </w:t>
            </w:r>
          </w:p>
          <w:p w14:paraId="58395834" w14:textId="77777777" w:rsidR="00B94FAE" w:rsidRPr="00201BC3" w:rsidRDefault="00B94FAE" w:rsidP="00201BC3">
            <w:pPr>
              <w:pStyle w:val="ListParagraph"/>
              <w:numPr>
                <w:ilvl w:val="0"/>
                <w:numId w:val="19"/>
              </w:numPr>
              <w:spacing w:after="120" w:line="248" w:lineRule="auto"/>
              <w:ind w:right="170"/>
              <w:rPr>
                <w:rFonts w:asciiTheme="majorBidi" w:hAnsiTheme="majorBidi" w:cstheme="majorBidi"/>
                <w:sz w:val="18"/>
                <w:szCs w:val="18"/>
              </w:rPr>
            </w:pPr>
            <w:r w:rsidRPr="00201BC3">
              <w:rPr>
                <w:rFonts w:asciiTheme="majorBidi" w:hAnsiTheme="majorBidi" w:cstheme="majorBidi"/>
                <w:sz w:val="18"/>
                <w:szCs w:val="18"/>
              </w:rPr>
              <w:t>Stocks of mercury and/or mercury compounds, and storage conditions; and</w:t>
            </w:r>
          </w:p>
          <w:p w14:paraId="2AF9A69F" w14:textId="77777777" w:rsidR="00B94FAE" w:rsidRPr="00201BC3" w:rsidRDefault="00B94FAE" w:rsidP="00201BC3">
            <w:pPr>
              <w:pStyle w:val="ListParagraph"/>
              <w:numPr>
                <w:ilvl w:val="0"/>
                <w:numId w:val="19"/>
              </w:numPr>
              <w:spacing w:after="120" w:line="248" w:lineRule="auto"/>
              <w:ind w:right="170"/>
              <w:rPr>
                <w:rFonts w:asciiTheme="majorBidi" w:hAnsiTheme="majorBidi" w:cstheme="majorBidi"/>
                <w:sz w:val="18"/>
                <w:szCs w:val="18"/>
              </w:rPr>
            </w:pPr>
            <w:r w:rsidRPr="00201BC3">
              <w:rPr>
                <w:rFonts w:asciiTheme="majorBidi" w:hAnsiTheme="majorBidi" w:cstheme="majorBidi"/>
                <w:sz w:val="18"/>
                <w:szCs w:val="18"/>
              </w:rPr>
              <w:t>Supply and trade of mercury and mercury containing compounds, including sources, recycling activities and quantities.</w:t>
            </w:r>
          </w:p>
          <w:p w14:paraId="4F5A4444" w14:textId="77777777" w:rsidR="00B94FAE" w:rsidRPr="00201BC3" w:rsidRDefault="00B94FAE" w:rsidP="00201BC3">
            <w:pPr>
              <w:spacing w:after="120"/>
              <w:rPr>
                <w:rFonts w:asciiTheme="majorBidi" w:hAnsiTheme="majorBidi" w:cstheme="majorBidi"/>
                <w:sz w:val="18"/>
                <w:szCs w:val="18"/>
              </w:rPr>
            </w:pPr>
            <w:r w:rsidRPr="00201BC3">
              <w:rPr>
                <w:rFonts w:asciiTheme="majorBidi" w:hAnsiTheme="majorBidi" w:cstheme="majorBidi"/>
                <w:sz w:val="18"/>
                <w:szCs w:val="18"/>
              </w:rPr>
              <w:t xml:space="preserve">The first section provides records of arrests and confiscated quantities of cinnabar ore and mercury illegally distributed for use in the ASGM sector. It also refers to the temporary storage of mercury-containing medical devices in health care facilities. </w:t>
            </w:r>
          </w:p>
          <w:p w14:paraId="0BFB8D14" w14:textId="77777777" w:rsidR="00B94FAE" w:rsidRPr="00201BC3" w:rsidRDefault="00B94FAE" w:rsidP="00201BC3">
            <w:pPr>
              <w:spacing w:after="120"/>
              <w:rPr>
                <w:rFonts w:asciiTheme="majorBidi" w:hAnsiTheme="majorBidi" w:cstheme="majorBidi"/>
                <w:sz w:val="18"/>
                <w:szCs w:val="18"/>
              </w:rPr>
            </w:pPr>
            <w:r w:rsidRPr="00201BC3">
              <w:rPr>
                <w:rFonts w:asciiTheme="majorBidi" w:hAnsiTheme="majorBidi" w:cstheme="majorBidi"/>
                <w:sz w:val="18"/>
                <w:szCs w:val="18"/>
              </w:rPr>
              <w:t xml:space="preserve">The second section offers a historical account of mercury trade in Indonesia and highlights both legal and illegal sources, including online sales of mercury and emerging domestic sources of mercury from cinnabar mining. </w:t>
            </w:r>
          </w:p>
          <w:p w14:paraId="15655AE6" w14:textId="77777777" w:rsidR="00B94FAE" w:rsidRPr="00201BC3" w:rsidRDefault="00B94FAE" w:rsidP="00201BC3">
            <w:pPr>
              <w:spacing w:after="120"/>
              <w:rPr>
                <w:rFonts w:asciiTheme="majorBidi" w:eastAsia="Times New Roman" w:hAnsiTheme="majorBidi" w:cstheme="majorBidi"/>
                <w:sz w:val="18"/>
                <w:szCs w:val="18"/>
              </w:rPr>
            </w:pPr>
            <w:r w:rsidRPr="00201BC3">
              <w:rPr>
                <w:rFonts w:asciiTheme="majorBidi" w:eastAsia="Times New Roman" w:hAnsiTheme="majorBidi" w:cstheme="majorBidi"/>
                <w:sz w:val="18"/>
                <w:szCs w:val="18"/>
              </w:rPr>
              <w:t xml:space="preserve">Similarly, the NAP document addresses domestic sources of mercury supply, citing cinnabar mining and smelting activities. It documents measures to prevent illegal cinnabar ore trade and monitor local mercury traders.   </w:t>
            </w:r>
          </w:p>
          <w:p w14:paraId="432D9B58" w14:textId="77777777" w:rsidR="00B94FAE" w:rsidRPr="00201BC3" w:rsidRDefault="00B94FAE" w:rsidP="00201BC3">
            <w:pPr>
              <w:spacing w:after="120"/>
              <w:rPr>
                <w:rFonts w:asciiTheme="majorBidi" w:eastAsia="Times New Roman" w:hAnsiTheme="majorBidi" w:cstheme="majorBidi"/>
                <w:sz w:val="18"/>
                <w:szCs w:val="18"/>
              </w:rPr>
            </w:pPr>
            <w:r w:rsidRPr="00201BC3">
              <w:rPr>
                <w:rFonts w:asciiTheme="majorBidi" w:eastAsia="Times New Roman" w:hAnsiTheme="majorBidi" w:cstheme="majorBidi"/>
                <w:sz w:val="18"/>
                <w:szCs w:val="18"/>
              </w:rPr>
              <w:t>Indonesia’s 2022 RAN-PPM focuses on four priority sectors: manufacturing, energy, ASGM and health, and ensures that mercury use in these sectors is updated annually. Additionally, Indonesia has developed policies requiring provincial governments to establish corresponding Local Action Plan for Mercury Reduction and Elimination (RAD-PPM).</w:t>
            </w:r>
            <w:r w:rsidRPr="00201BC3">
              <w:rPr>
                <w:rStyle w:val="FootnoteReference"/>
                <w:rFonts w:asciiTheme="majorBidi" w:eastAsia="Times New Roman" w:hAnsiTheme="majorBidi" w:cstheme="majorBidi"/>
                <w:sz w:val="18"/>
              </w:rPr>
              <w:footnoteReference w:id="20"/>
            </w:r>
            <w:r w:rsidRPr="00201BC3">
              <w:rPr>
                <w:rFonts w:asciiTheme="majorBidi" w:eastAsia="Times New Roman" w:hAnsiTheme="majorBidi" w:cstheme="majorBidi"/>
                <w:sz w:val="18"/>
                <w:szCs w:val="18"/>
              </w:rPr>
              <w:t xml:space="preserve"> The amount of mercury identified is updated when new information from RAD-PPMs becomes available, ensuring that national inventories reflect local developments.</w:t>
            </w:r>
          </w:p>
        </w:tc>
      </w:tr>
    </w:tbl>
    <w:p w14:paraId="11DFE6C1" w14:textId="13D47A92" w:rsidR="00C71632" w:rsidRPr="00245E45" w:rsidRDefault="00C71632" w:rsidP="00C71632">
      <w:pPr>
        <w:pStyle w:val="CH2"/>
        <w:keepNext w:val="0"/>
        <w:keepLines w:val="0"/>
      </w:pPr>
      <w:r w:rsidRPr="00245E45">
        <w:tab/>
      </w:r>
      <w:r>
        <w:t>C.</w:t>
      </w:r>
      <w:r w:rsidRPr="00245E45">
        <w:tab/>
      </w:r>
      <w:r w:rsidR="0014442D" w:rsidRPr="0014442D">
        <w:t>Conducting specific surveys for mercury inventories</w:t>
      </w:r>
    </w:p>
    <w:p w14:paraId="2207AB89" w14:textId="77777777" w:rsidR="00CD5B08" w:rsidRPr="00F4180C" w:rsidRDefault="00CD5B08" w:rsidP="00CD5B08">
      <w:pPr>
        <w:pStyle w:val="Normalnumber"/>
        <w:numPr>
          <w:ilvl w:val="0"/>
          <w:numId w:val="3"/>
        </w:numPr>
        <w:tabs>
          <w:tab w:val="clear" w:pos="1247"/>
          <w:tab w:val="clear" w:pos="1814"/>
          <w:tab w:val="clear" w:pos="2381"/>
          <w:tab w:val="clear" w:pos="2948"/>
          <w:tab w:val="clear" w:pos="3515"/>
          <w:tab w:val="clear" w:pos="4082"/>
          <w:tab w:val="num" w:pos="624"/>
        </w:tabs>
        <w:spacing w:before="120"/>
        <w:ind w:left="1248" w:firstLine="0"/>
        <w:rPr>
          <w:rFonts w:asciiTheme="majorBidi" w:hAnsiTheme="majorBidi" w:cstheme="majorBidi"/>
          <w:lang w:val="en-GB"/>
        </w:rPr>
      </w:pPr>
      <w:r w:rsidRPr="00F4180C">
        <w:rPr>
          <w:rFonts w:asciiTheme="majorBidi" w:hAnsiTheme="majorBidi" w:cstheme="majorBidi"/>
          <w:lang w:val="en-GB"/>
        </w:rPr>
        <w:t>National inventory periodically updated, or a survey provides a quantitative assessment of mercury use, quantities of stocks, supply, and flows, and therefore directly inform the identification of individual stocks and sources. Actions may include statistical survey, sector or industry-specific survey, emissions survey (identification and quantification of mercury releases), digital tracking systems, trade and supply chain analysis, and mapping of locations of institutions or facilities with stocks and/or sources (e.g., GIS datasets, database reports, and other geographical resources). Inter-agency reports and digital platforms may facilitate information exchange</w:t>
      </w:r>
      <w:r w:rsidRPr="00F4180C">
        <w:rPr>
          <w:rFonts w:asciiTheme="majorBidi" w:hAnsiTheme="majorBidi" w:cstheme="majorBidi"/>
          <w:vertAlign w:val="superscript"/>
          <w:lang w:val="en-GB"/>
        </w:rPr>
        <w:footnoteReference w:id="21"/>
      </w:r>
      <w:r w:rsidRPr="00F4180C">
        <w:rPr>
          <w:rFonts w:asciiTheme="majorBidi" w:hAnsiTheme="majorBidi" w:cstheme="majorBidi"/>
          <w:lang w:val="en-GB"/>
        </w:rPr>
        <w:t xml:space="preserve"> and collaboration. </w:t>
      </w:r>
    </w:p>
    <w:tbl>
      <w:tblPr>
        <w:tblW w:w="8094" w:type="dxa"/>
        <w:tblInd w:w="126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094"/>
      </w:tblGrid>
      <w:tr w:rsidR="00CD5B08" w:rsidRPr="00FF77C9" w14:paraId="760E8C3E" w14:textId="77777777" w:rsidTr="00FF77C9">
        <w:tc>
          <w:tcPr>
            <w:tcW w:w="8094" w:type="dxa"/>
            <w:shd w:val="clear" w:color="auto" w:fill="D9D9D9"/>
            <w:tcMar>
              <w:top w:w="100" w:type="dxa"/>
              <w:left w:w="100" w:type="dxa"/>
              <w:bottom w:w="100" w:type="dxa"/>
              <w:right w:w="100" w:type="dxa"/>
            </w:tcMar>
          </w:tcPr>
          <w:p w14:paraId="23689161" w14:textId="77777777" w:rsidR="00CD5B08" w:rsidRPr="00FF77C9" w:rsidRDefault="00CD5B08" w:rsidP="00FF77C9">
            <w:pPr>
              <w:keepNext/>
              <w:pBdr>
                <w:top w:val="nil"/>
                <w:left w:val="nil"/>
                <w:bottom w:val="nil"/>
                <w:right w:val="nil"/>
                <w:between w:val="nil"/>
              </w:pBdr>
              <w:spacing w:after="120"/>
              <w:rPr>
                <w:rFonts w:asciiTheme="majorBidi" w:eastAsia="Times New Roman" w:hAnsiTheme="majorBidi" w:cstheme="majorBidi"/>
                <w:b/>
                <w:sz w:val="18"/>
                <w:szCs w:val="18"/>
              </w:rPr>
            </w:pPr>
            <w:r w:rsidRPr="00FF77C9">
              <w:rPr>
                <w:rFonts w:asciiTheme="majorBidi" w:eastAsia="Times New Roman" w:hAnsiTheme="majorBidi" w:cstheme="majorBidi"/>
                <w:b/>
                <w:sz w:val="18"/>
                <w:szCs w:val="18"/>
              </w:rPr>
              <w:lastRenderedPageBreak/>
              <w:t>Example: Canada</w:t>
            </w:r>
          </w:p>
          <w:p w14:paraId="6083E869" w14:textId="16FBF847" w:rsidR="00CD5B08" w:rsidRPr="00FF77C9" w:rsidRDefault="00CD5B08" w:rsidP="00FF77C9">
            <w:pPr>
              <w:spacing w:after="120"/>
              <w:rPr>
                <w:rFonts w:asciiTheme="majorBidi" w:eastAsia="Times New Roman" w:hAnsiTheme="majorBidi" w:cstheme="majorBidi"/>
                <w:sz w:val="18"/>
                <w:szCs w:val="18"/>
              </w:rPr>
            </w:pPr>
            <w:r w:rsidRPr="00FF77C9">
              <w:rPr>
                <w:rFonts w:asciiTheme="majorBidi" w:eastAsia="Times New Roman" w:hAnsiTheme="majorBidi" w:cstheme="majorBidi"/>
                <w:sz w:val="18"/>
                <w:szCs w:val="18"/>
              </w:rPr>
              <w:t>Canada has endeavoured to identify stocks of mercury or mercury compounds exceeding 50</w:t>
            </w:r>
            <w:r w:rsidR="00FF77C9">
              <w:rPr>
                <w:rFonts w:asciiTheme="majorBidi" w:eastAsia="Times New Roman" w:hAnsiTheme="majorBidi" w:cstheme="majorBidi"/>
                <w:sz w:val="18"/>
                <w:szCs w:val="18"/>
              </w:rPr>
              <w:t xml:space="preserve"> </w:t>
            </w:r>
            <w:r w:rsidRPr="00FF77C9">
              <w:rPr>
                <w:rFonts w:asciiTheme="majorBidi" w:eastAsia="Times New Roman" w:hAnsiTheme="majorBidi" w:cstheme="majorBidi"/>
                <w:sz w:val="18"/>
                <w:szCs w:val="18"/>
              </w:rPr>
              <w:t>metric tonnes and sources of mercury supply generating stocks exceeding 10 metric tonnes per</w:t>
            </w:r>
            <w:r w:rsidR="00FF77C9">
              <w:rPr>
                <w:rFonts w:asciiTheme="majorBidi" w:eastAsia="Times New Roman" w:hAnsiTheme="majorBidi" w:cstheme="majorBidi"/>
                <w:sz w:val="18"/>
                <w:szCs w:val="18"/>
              </w:rPr>
              <w:t xml:space="preserve"> </w:t>
            </w:r>
            <w:r w:rsidRPr="00FF77C9">
              <w:rPr>
                <w:rFonts w:asciiTheme="majorBidi" w:eastAsia="Times New Roman" w:hAnsiTheme="majorBidi" w:cstheme="majorBidi"/>
                <w:sz w:val="18"/>
                <w:szCs w:val="18"/>
              </w:rPr>
              <w:t>year. It follows the "Guidance on the identification of individual stocks of mercury or mercury</w:t>
            </w:r>
            <w:r w:rsidR="00FF77C9">
              <w:rPr>
                <w:rFonts w:asciiTheme="majorBidi" w:eastAsia="Times New Roman" w:hAnsiTheme="majorBidi" w:cstheme="majorBidi"/>
                <w:sz w:val="18"/>
                <w:szCs w:val="18"/>
              </w:rPr>
              <w:t xml:space="preserve"> </w:t>
            </w:r>
            <w:r w:rsidRPr="00FF77C9">
              <w:rPr>
                <w:rFonts w:asciiTheme="majorBidi" w:eastAsia="Times New Roman" w:hAnsiTheme="majorBidi" w:cstheme="majorBidi"/>
                <w:sz w:val="18"/>
                <w:szCs w:val="18"/>
              </w:rPr>
              <w:t xml:space="preserve">compounds exceeding 50 metric tons and source of mercury supply generating stocks exceeding 10 metric tons per year." </w:t>
            </w:r>
          </w:p>
          <w:p w14:paraId="7796DB2B" w14:textId="77777777" w:rsidR="00CD5B08" w:rsidRPr="00FF77C9" w:rsidRDefault="00CD5B08" w:rsidP="00FF77C9">
            <w:pPr>
              <w:spacing w:after="120"/>
              <w:rPr>
                <w:rFonts w:asciiTheme="majorBidi" w:eastAsia="Times New Roman" w:hAnsiTheme="majorBidi" w:cstheme="majorBidi"/>
                <w:sz w:val="18"/>
                <w:szCs w:val="18"/>
              </w:rPr>
            </w:pPr>
            <w:r w:rsidRPr="00FF77C9">
              <w:rPr>
                <w:rFonts w:asciiTheme="majorBidi" w:eastAsia="Times New Roman" w:hAnsiTheme="majorBidi" w:cstheme="majorBidi"/>
                <w:sz w:val="18"/>
                <w:szCs w:val="18"/>
              </w:rPr>
              <w:t xml:space="preserve">To support this effort, Canada conducts comprehensive </w:t>
            </w:r>
            <w:r w:rsidRPr="00FF77C9">
              <w:rPr>
                <w:rFonts w:asciiTheme="majorBidi" w:eastAsia="Times New Roman" w:hAnsiTheme="majorBidi" w:cstheme="majorBidi"/>
                <w:b/>
                <w:bCs/>
                <w:sz w:val="18"/>
                <w:szCs w:val="18"/>
              </w:rPr>
              <w:t>reviews of mercury import and export data</w:t>
            </w:r>
            <w:r w:rsidRPr="00FF77C9">
              <w:rPr>
                <w:rFonts w:asciiTheme="majorBidi" w:eastAsia="Times New Roman" w:hAnsiTheme="majorBidi" w:cstheme="majorBidi"/>
                <w:sz w:val="18"/>
                <w:szCs w:val="18"/>
              </w:rPr>
              <w:t xml:space="preserve"> using the Canadian International Merchandise Trade Database. This ongoing monitoring, supplemented by routine inspections, helps identify potential imports and exports of mercury. </w:t>
            </w:r>
          </w:p>
          <w:p w14:paraId="7D6E5878" w14:textId="77777777" w:rsidR="00CD5B08" w:rsidRPr="00FF77C9" w:rsidRDefault="00CD5B08" w:rsidP="00FF77C9">
            <w:pPr>
              <w:spacing w:after="120"/>
              <w:rPr>
                <w:rFonts w:asciiTheme="majorBidi" w:eastAsia="Times New Roman" w:hAnsiTheme="majorBidi" w:cstheme="majorBidi"/>
                <w:sz w:val="18"/>
                <w:szCs w:val="18"/>
              </w:rPr>
            </w:pPr>
            <w:r w:rsidRPr="00FF77C9">
              <w:rPr>
                <w:rFonts w:asciiTheme="majorBidi" w:eastAsia="Times New Roman" w:hAnsiTheme="majorBidi" w:cstheme="majorBidi"/>
                <w:sz w:val="18"/>
                <w:szCs w:val="18"/>
              </w:rPr>
              <w:t xml:space="preserve">A key element of Canada’s system is the National Pollutant Release Inventory (NPRI)— a publicly accessible database mandated under the Canadian Environmental Protection Act, 1999 (CEPA). The NPRI requires annual reporting of releases, disposals, and transfers. </w:t>
            </w:r>
          </w:p>
          <w:p w14:paraId="27E53AE5" w14:textId="77777777" w:rsidR="00CD5B08" w:rsidRPr="00FF77C9" w:rsidRDefault="00CD5B08" w:rsidP="00FF77C9">
            <w:pPr>
              <w:spacing w:after="120"/>
              <w:rPr>
                <w:rFonts w:asciiTheme="majorBidi" w:eastAsia="Times New Roman" w:hAnsiTheme="majorBidi" w:cstheme="majorBidi"/>
                <w:sz w:val="18"/>
                <w:szCs w:val="18"/>
              </w:rPr>
            </w:pPr>
            <w:r w:rsidRPr="00FF77C9">
              <w:rPr>
                <w:rFonts w:asciiTheme="majorBidi" w:eastAsia="Times New Roman" w:hAnsiTheme="majorBidi" w:cstheme="majorBidi"/>
                <w:sz w:val="18"/>
                <w:szCs w:val="18"/>
              </w:rPr>
              <w:t>In monitoring production facilities for mercury-added products, Canada’s regulations, which prohibit the import and manufacture of most products containing mercury, require these importers and manufacturers to report on the quantity of mercury containing products every three years. For facilities that may produce mercury by-products, they are required to report annually on the amount of by-product mercury and mercury compounds that are transferred off-site through the NPRI.</w:t>
            </w:r>
          </w:p>
          <w:p w14:paraId="4D70EF55" w14:textId="77777777" w:rsidR="00CD5B08" w:rsidRPr="00FF77C9" w:rsidRDefault="00CD5B08" w:rsidP="00FF77C9">
            <w:pPr>
              <w:spacing w:after="120"/>
              <w:rPr>
                <w:rFonts w:asciiTheme="majorBidi" w:eastAsia="Times New Roman" w:hAnsiTheme="majorBidi" w:cstheme="majorBidi"/>
                <w:sz w:val="18"/>
                <w:szCs w:val="18"/>
              </w:rPr>
            </w:pPr>
            <w:r w:rsidRPr="00FF77C9">
              <w:rPr>
                <w:rFonts w:asciiTheme="majorBidi" w:eastAsia="Times New Roman" w:hAnsiTheme="majorBidi" w:cstheme="majorBidi"/>
                <w:sz w:val="18"/>
                <w:szCs w:val="18"/>
              </w:rPr>
              <w:t xml:space="preserve">Further regulatory support comes from the Products Containing Mercury Regulations, also under CEPA. These regulations govern the import and manufacture of products containing mercury, with mandatory reporting by importers and manufacturers every three years, starting in 2016. </w:t>
            </w:r>
          </w:p>
          <w:p w14:paraId="3EFBE7D6" w14:textId="77777777" w:rsidR="00CD5B08" w:rsidRPr="00FF77C9" w:rsidRDefault="00CD5B08" w:rsidP="00FF77C9">
            <w:pPr>
              <w:spacing w:after="120"/>
              <w:rPr>
                <w:rFonts w:asciiTheme="majorBidi" w:eastAsia="Times New Roman" w:hAnsiTheme="majorBidi" w:cstheme="majorBidi"/>
                <w:sz w:val="18"/>
                <w:szCs w:val="18"/>
              </w:rPr>
            </w:pPr>
            <w:r w:rsidRPr="00FF77C9">
              <w:rPr>
                <w:rFonts w:asciiTheme="majorBidi" w:eastAsia="Times New Roman" w:hAnsiTheme="majorBidi" w:cstheme="majorBidi"/>
                <w:sz w:val="18"/>
                <w:szCs w:val="18"/>
              </w:rPr>
              <w:t xml:space="preserve">In the same year, Canada released its first </w:t>
            </w:r>
            <w:r w:rsidRPr="00FF77C9">
              <w:rPr>
                <w:rFonts w:asciiTheme="majorBidi" w:eastAsia="Times New Roman" w:hAnsiTheme="majorBidi" w:cstheme="majorBidi"/>
                <w:b/>
                <w:bCs/>
                <w:sz w:val="18"/>
                <w:szCs w:val="18"/>
              </w:rPr>
              <w:t>comprehensive scientific evaluation and synthesis of mercury</w:t>
            </w:r>
            <w:r w:rsidRPr="00FF77C9">
              <w:rPr>
                <w:rFonts w:asciiTheme="majorBidi" w:eastAsia="Times New Roman" w:hAnsiTheme="majorBidi" w:cstheme="majorBidi"/>
                <w:sz w:val="18"/>
                <w:szCs w:val="18"/>
              </w:rPr>
              <w:t xml:space="preserve"> in the Canadian environment—</w:t>
            </w:r>
            <w:hyperlink r:id="rId17">
              <w:r w:rsidRPr="00FF77C9">
                <w:rPr>
                  <w:rStyle w:val="Hyperlink"/>
                  <w:rFonts w:asciiTheme="majorBidi" w:eastAsia="Times New Roman" w:hAnsiTheme="majorBidi" w:cstheme="majorBidi"/>
                  <w:sz w:val="18"/>
                  <w:szCs w:val="18"/>
                </w:rPr>
                <w:t>The Canadian Mercury Science Assessment</w:t>
              </w:r>
            </w:hyperlink>
            <w:r w:rsidRPr="00FF77C9">
              <w:rPr>
                <w:rFonts w:asciiTheme="majorBidi" w:eastAsia="Times New Roman" w:hAnsiTheme="majorBidi" w:cstheme="majorBidi"/>
                <w:sz w:val="18"/>
                <w:szCs w:val="18"/>
              </w:rPr>
              <w:t>. This assessment provided a scientific baseline to measure future changes in mercury levels in the environment. The assessment involved a series of workshops involving scientists and policymakers from the federal, provincial, and territorial governments and from universities. Science questions were developed that articulate the information needs of the science and policy communities, to provide a national context for regional environmental mercury information.</w:t>
            </w:r>
          </w:p>
          <w:p w14:paraId="69512A4B" w14:textId="77777777" w:rsidR="00CD5B08" w:rsidRPr="00FF77C9" w:rsidRDefault="00CD5B08" w:rsidP="00FF77C9">
            <w:pPr>
              <w:spacing w:after="120"/>
              <w:rPr>
                <w:rFonts w:asciiTheme="majorBidi" w:eastAsia="Times New Roman" w:hAnsiTheme="majorBidi" w:cstheme="majorBidi"/>
                <w:sz w:val="18"/>
                <w:szCs w:val="18"/>
              </w:rPr>
            </w:pPr>
            <w:r w:rsidRPr="00FF77C9">
              <w:rPr>
                <w:rFonts w:asciiTheme="majorBidi" w:eastAsia="Times New Roman" w:hAnsiTheme="majorBidi" w:cstheme="majorBidi"/>
                <w:sz w:val="18"/>
                <w:szCs w:val="18"/>
              </w:rPr>
              <w:t xml:space="preserve">Canada’s efforts are coordinated by Environment and Climate Change Canada (ECCC), which collaborates with federal partners and provincial and territorial governments. These entities provide data that ECCC </w:t>
            </w:r>
            <w:proofErr w:type="spellStart"/>
            <w:r w:rsidRPr="00FF77C9">
              <w:rPr>
                <w:rFonts w:asciiTheme="majorBidi" w:eastAsia="Times New Roman" w:hAnsiTheme="majorBidi" w:cstheme="majorBidi"/>
                <w:sz w:val="18"/>
                <w:szCs w:val="18"/>
              </w:rPr>
              <w:t>analyzes</w:t>
            </w:r>
            <w:proofErr w:type="spellEnd"/>
            <w:r w:rsidRPr="00FF77C9">
              <w:rPr>
                <w:rFonts w:asciiTheme="majorBidi" w:eastAsia="Times New Roman" w:hAnsiTheme="majorBidi" w:cstheme="majorBidi"/>
                <w:sz w:val="18"/>
                <w:szCs w:val="18"/>
              </w:rPr>
              <w:t xml:space="preserve"> to assess potential sources and quantities of mercury before reporting to Minamata Convention. </w:t>
            </w:r>
          </w:p>
          <w:p w14:paraId="7A49A366" w14:textId="77777777" w:rsidR="00CD5B08" w:rsidRPr="00FF77C9" w:rsidRDefault="00CD5B08" w:rsidP="00FF77C9">
            <w:pPr>
              <w:spacing w:after="120"/>
              <w:rPr>
                <w:rFonts w:asciiTheme="majorBidi" w:eastAsia="Times New Roman" w:hAnsiTheme="majorBidi" w:cstheme="majorBidi"/>
                <w:sz w:val="18"/>
                <w:szCs w:val="18"/>
              </w:rPr>
            </w:pPr>
            <w:r w:rsidRPr="00FF77C9">
              <w:rPr>
                <w:rFonts w:asciiTheme="majorBidi" w:eastAsia="Times New Roman" w:hAnsiTheme="majorBidi" w:cstheme="majorBidi"/>
                <w:sz w:val="18"/>
                <w:szCs w:val="18"/>
              </w:rPr>
              <w:t xml:space="preserve">For example, authorization for facilities that recover mercury from end-of-life products and other wastes falls under </w:t>
            </w:r>
            <w:r w:rsidRPr="00FF77C9">
              <w:rPr>
                <w:rFonts w:asciiTheme="majorBidi" w:eastAsia="Times New Roman" w:hAnsiTheme="majorBidi" w:cstheme="majorBidi"/>
                <w:b/>
                <w:bCs/>
                <w:sz w:val="18"/>
                <w:szCs w:val="18"/>
              </w:rPr>
              <w:t>provincial and territorial jurisdictions</w:t>
            </w:r>
            <w:r w:rsidRPr="00FF77C9">
              <w:rPr>
                <w:rFonts w:asciiTheme="majorBidi" w:eastAsia="Times New Roman" w:hAnsiTheme="majorBidi" w:cstheme="majorBidi"/>
                <w:sz w:val="18"/>
                <w:szCs w:val="18"/>
              </w:rPr>
              <w:t xml:space="preserve">. All mercury recycling and recovery operations must comply with applicable provincial and federal laws and regulations. Canada works with provinces and territories to collect information from these authorized facilities as part of its national mercury inventory process. </w:t>
            </w:r>
          </w:p>
        </w:tc>
      </w:tr>
    </w:tbl>
    <w:p w14:paraId="27272108" w14:textId="77777777" w:rsidR="00CD5B08" w:rsidRPr="00F4180C" w:rsidRDefault="00CD5B08" w:rsidP="00CD5B08">
      <w:pPr>
        <w:rPr>
          <w:rFonts w:asciiTheme="majorBidi" w:eastAsia="Times New Roman" w:hAnsiTheme="majorBidi" w:cstheme="majorBidi"/>
          <w:b/>
          <w:i/>
        </w:rPr>
      </w:pPr>
    </w:p>
    <w:tbl>
      <w:tblPr>
        <w:tblW w:w="8094" w:type="dxa"/>
        <w:tblInd w:w="126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094"/>
      </w:tblGrid>
      <w:tr w:rsidR="00CD5B08" w:rsidRPr="00FF77C9" w14:paraId="62FC2793" w14:textId="77777777" w:rsidTr="00FF77C9">
        <w:tc>
          <w:tcPr>
            <w:tcW w:w="8094" w:type="dxa"/>
            <w:shd w:val="clear" w:color="auto" w:fill="D9D9D9"/>
            <w:tcMar>
              <w:top w:w="100" w:type="dxa"/>
              <w:left w:w="100" w:type="dxa"/>
              <w:bottom w:w="100" w:type="dxa"/>
              <w:right w:w="100" w:type="dxa"/>
            </w:tcMar>
          </w:tcPr>
          <w:p w14:paraId="232B0926" w14:textId="77777777" w:rsidR="00CD5B08" w:rsidRPr="00FF77C9" w:rsidRDefault="00CD5B08" w:rsidP="00FF77C9">
            <w:pPr>
              <w:widowControl w:val="0"/>
              <w:pBdr>
                <w:top w:val="nil"/>
                <w:left w:val="nil"/>
                <w:bottom w:val="nil"/>
                <w:right w:val="nil"/>
                <w:between w:val="nil"/>
              </w:pBdr>
              <w:spacing w:after="120"/>
              <w:rPr>
                <w:rFonts w:asciiTheme="majorBidi" w:eastAsia="Times New Roman" w:hAnsiTheme="majorBidi" w:cstheme="majorBidi"/>
                <w:b/>
                <w:sz w:val="18"/>
                <w:szCs w:val="18"/>
              </w:rPr>
            </w:pPr>
            <w:r w:rsidRPr="00FF77C9">
              <w:rPr>
                <w:rFonts w:asciiTheme="majorBidi" w:eastAsia="Times New Roman" w:hAnsiTheme="majorBidi" w:cstheme="majorBidi"/>
                <w:b/>
                <w:sz w:val="18"/>
                <w:szCs w:val="18"/>
              </w:rPr>
              <w:t>Example: China</w:t>
            </w:r>
          </w:p>
          <w:p w14:paraId="471EE7B7" w14:textId="77777777" w:rsidR="00CD5B08" w:rsidRPr="00FF77C9" w:rsidRDefault="00CD5B08" w:rsidP="00FF77C9">
            <w:pPr>
              <w:spacing w:after="120"/>
              <w:rPr>
                <w:rFonts w:asciiTheme="majorBidi" w:eastAsia="Times New Roman" w:hAnsiTheme="majorBidi" w:cstheme="majorBidi"/>
                <w:sz w:val="18"/>
                <w:szCs w:val="18"/>
              </w:rPr>
            </w:pPr>
            <w:r w:rsidRPr="00FF77C9">
              <w:rPr>
                <w:rFonts w:asciiTheme="majorBidi" w:eastAsia="Times New Roman" w:hAnsiTheme="majorBidi" w:cstheme="majorBidi"/>
                <w:sz w:val="18"/>
                <w:szCs w:val="18"/>
              </w:rPr>
              <w:t xml:space="preserve">China’s Ministry of Ecology and Environment (MEE) has conducted surveys to collect information of chemical substances and asses their associated risks. The </w:t>
            </w:r>
            <w:r w:rsidRPr="00FF77C9">
              <w:rPr>
                <w:rFonts w:asciiTheme="majorBidi" w:eastAsia="Times New Roman" w:hAnsiTheme="majorBidi" w:cstheme="majorBidi"/>
                <w:b/>
                <w:bCs/>
                <w:sz w:val="18"/>
                <w:szCs w:val="18"/>
              </w:rPr>
              <w:t>Statistical Survey System on Environmental Information of Chemical Substances</w:t>
            </w:r>
            <w:r w:rsidRPr="00FF77C9">
              <w:rPr>
                <w:rFonts w:asciiTheme="majorBidi" w:eastAsia="Times New Roman" w:hAnsiTheme="majorBidi" w:cstheme="majorBidi"/>
                <w:sz w:val="18"/>
                <w:szCs w:val="18"/>
              </w:rPr>
              <w:t xml:space="preserve"> incorporates Convention compliance information, covering mercury and mercury compounds.</w:t>
            </w:r>
            <w:r w:rsidRPr="00FF77C9">
              <w:rPr>
                <w:rFonts w:asciiTheme="majorBidi" w:eastAsia="Times New Roman" w:hAnsiTheme="majorBidi" w:cstheme="majorBidi"/>
                <w:sz w:val="18"/>
                <w:szCs w:val="18"/>
                <w:vertAlign w:val="superscript"/>
              </w:rPr>
              <w:footnoteReference w:id="22"/>
            </w:r>
            <w:r w:rsidRPr="00FF77C9">
              <w:rPr>
                <w:rFonts w:asciiTheme="majorBidi" w:eastAsia="Times New Roman" w:hAnsiTheme="majorBidi" w:cstheme="majorBidi"/>
                <w:sz w:val="18"/>
                <w:szCs w:val="18"/>
              </w:rPr>
              <w:t xml:space="preserve"> </w:t>
            </w:r>
          </w:p>
          <w:p w14:paraId="71BC61AD" w14:textId="77777777" w:rsidR="00CD5B08" w:rsidRPr="00FF77C9" w:rsidRDefault="00CD5B08" w:rsidP="00FF77C9">
            <w:pPr>
              <w:spacing w:after="120"/>
              <w:rPr>
                <w:rFonts w:asciiTheme="majorBidi" w:eastAsia="Times New Roman" w:hAnsiTheme="majorBidi" w:cstheme="majorBidi"/>
                <w:sz w:val="18"/>
                <w:szCs w:val="18"/>
              </w:rPr>
            </w:pPr>
            <w:r w:rsidRPr="00FF77C9">
              <w:rPr>
                <w:rFonts w:asciiTheme="majorBidi" w:eastAsia="Times New Roman" w:hAnsiTheme="majorBidi" w:cstheme="majorBidi"/>
                <w:sz w:val="18"/>
                <w:szCs w:val="18"/>
              </w:rPr>
              <w:t xml:space="preserve">Mercury is subject to mandatory reporting as “mercury and mercury compounds” are included in the List of Priority Control Chemicals (first batch). To support this process, an online platform has been developed for enterprises to report the chemicals manufacture and use. Following submission by enterprises, </w:t>
            </w:r>
            <w:r w:rsidRPr="00FF77C9">
              <w:rPr>
                <w:rFonts w:asciiTheme="majorBidi" w:eastAsia="Times New Roman" w:hAnsiTheme="majorBidi" w:cstheme="majorBidi"/>
                <w:b/>
                <w:bCs/>
                <w:sz w:val="18"/>
                <w:szCs w:val="18"/>
              </w:rPr>
              <w:t>local environmental authorities may conduct on-site audits</w:t>
            </w:r>
            <w:r w:rsidRPr="00FF77C9">
              <w:rPr>
                <w:rFonts w:asciiTheme="majorBidi" w:eastAsia="Times New Roman" w:hAnsiTheme="majorBidi" w:cstheme="majorBidi"/>
                <w:sz w:val="18"/>
                <w:szCs w:val="18"/>
              </w:rPr>
              <w:t xml:space="preserve"> to verify the information. The collected information is then compiled and submitted to </w:t>
            </w:r>
            <w:r w:rsidRPr="00FF77C9">
              <w:rPr>
                <w:rFonts w:asciiTheme="majorBidi" w:eastAsia="Times New Roman" w:hAnsiTheme="majorBidi" w:cstheme="majorBidi"/>
                <w:b/>
                <w:bCs/>
                <w:sz w:val="18"/>
                <w:szCs w:val="18"/>
              </w:rPr>
              <w:t>provincial-level authorities,</w:t>
            </w:r>
            <w:r w:rsidRPr="00FF77C9">
              <w:rPr>
                <w:rFonts w:asciiTheme="majorBidi" w:eastAsia="Times New Roman" w:hAnsiTheme="majorBidi" w:cstheme="majorBidi"/>
                <w:sz w:val="18"/>
                <w:szCs w:val="18"/>
              </w:rPr>
              <w:t xml:space="preserve"> and to the </w:t>
            </w:r>
            <w:r w:rsidRPr="00FF77C9">
              <w:rPr>
                <w:rFonts w:asciiTheme="majorBidi" w:eastAsia="Times New Roman" w:hAnsiTheme="majorBidi" w:cstheme="majorBidi"/>
                <w:b/>
                <w:bCs/>
                <w:sz w:val="18"/>
                <w:szCs w:val="18"/>
              </w:rPr>
              <w:t>MEE</w:t>
            </w:r>
            <w:r w:rsidRPr="00FF77C9">
              <w:rPr>
                <w:rFonts w:asciiTheme="majorBidi" w:eastAsia="Times New Roman" w:hAnsiTheme="majorBidi" w:cstheme="majorBidi"/>
                <w:sz w:val="18"/>
                <w:szCs w:val="18"/>
              </w:rPr>
              <w:t xml:space="preserve">. </w:t>
            </w:r>
          </w:p>
        </w:tc>
      </w:tr>
    </w:tbl>
    <w:p w14:paraId="7A61B317" w14:textId="0BA1714E" w:rsidR="00CD5B08" w:rsidRPr="00F4180C" w:rsidRDefault="00CD5B08" w:rsidP="00FF77C9">
      <w:pPr>
        <w:pStyle w:val="Normalnumber"/>
        <w:numPr>
          <w:ilvl w:val="0"/>
          <w:numId w:val="3"/>
        </w:numPr>
        <w:tabs>
          <w:tab w:val="clear" w:pos="1247"/>
          <w:tab w:val="clear" w:pos="1814"/>
          <w:tab w:val="clear" w:pos="2381"/>
          <w:tab w:val="clear" w:pos="2948"/>
          <w:tab w:val="clear" w:pos="3515"/>
          <w:tab w:val="clear" w:pos="4082"/>
          <w:tab w:val="num" w:pos="624"/>
        </w:tabs>
        <w:spacing w:before="240"/>
        <w:ind w:left="1248" w:firstLine="0"/>
        <w:rPr>
          <w:rFonts w:asciiTheme="majorBidi" w:hAnsiTheme="majorBidi" w:cstheme="majorBidi"/>
          <w:lang w:val="en-GB"/>
        </w:rPr>
      </w:pPr>
      <w:r w:rsidRPr="00F4180C">
        <w:rPr>
          <w:rFonts w:asciiTheme="majorBidi" w:hAnsiTheme="majorBidi" w:cstheme="majorBidi"/>
          <w:lang w:val="en-GB"/>
        </w:rPr>
        <w:t xml:space="preserve">Some Parties have submissions related to their endeavours to identify significant mercury stocks and supply sources, either as short annexes to national reports or through dedicated studies. </w:t>
      </w:r>
    </w:p>
    <w:tbl>
      <w:tblPr>
        <w:tblW w:w="8094" w:type="dxa"/>
        <w:tblInd w:w="126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094"/>
      </w:tblGrid>
      <w:tr w:rsidR="00CD5B08" w:rsidRPr="00FF77C9" w14:paraId="57DAE578" w14:textId="77777777" w:rsidTr="00FF77C9">
        <w:tc>
          <w:tcPr>
            <w:tcW w:w="8094" w:type="dxa"/>
            <w:shd w:val="clear" w:color="auto" w:fill="D9D9D9"/>
            <w:tcMar>
              <w:top w:w="100" w:type="dxa"/>
              <w:left w:w="100" w:type="dxa"/>
              <w:bottom w:w="100" w:type="dxa"/>
              <w:right w:w="100" w:type="dxa"/>
            </w:tcMar>
          </w:tcPr>
          <w:p w14:paraId="262651CC" w14:textId="77777777" w:rsidR="00CD5B08" w:rsidRPr="00FF77C9" w:rsidRDefault="00CD5B08" w:rsidP="00FF77C9">
            <w:pPr>
              <w:spacing w:after="120"/>
              <w:rPr>
                <w:rFonts w:asciiTheme="majorBidi" w:eastAsia="Times New Roman" w:hAnsiTheme="majorBidi" w:cstheme="majorBidi"/>
                <w:sz w:val="18"/>
                <w:szCs w:val="18"/>
              </w:rPr>
            </w:pPr>
            <w:r w:rsidRPr="00FF77C9">
              <w:rPr>
                <w:rFonts w:asciiTheme="majorBidi" w:eastAsia="Times New Roman" w:hAnsiTheme="majorBidi" w:cstheme="majorBidi"/>
                <w:b/>
                <w:sz w:val="18"/>
                <w:szCs w:val="18"/>
              </w:rPr>
              <w:t>Example: Peru’s Reporting on Individual Stocks and Sources</w:t>
            </w:r>
            <w:r w:rsidRPr="00FF77C9">
              <w:rPr>
                <w:rFonts w:asciiTheme="majorBidi" w:eastAsia="Times New Roman" w:hAnsiTheme="majorBidi" w:cstheme="majorBidi"/>
                <w:b/>
                <w:sz w:val="18"/>
                <w:szCs w:val="18"/>
                <w:vertAlign w:val="superscript"/>
              </w:rPr>
              <w:footnoteReference w:id="23"/>
            </w:r>
            <w:r w:rsidRPr="00FF77C9">
              <w:rPr>
                <w:rFonts w:asciiTheme="majorBidi" w:eastAsia="Times New Roman" w:hAnsiTheme="majorBidi" w:cstheme="majorBidi"/>
                <w:sz w:val="18"/>
                <w:szCs w:val="18"/>
              </w:rPr>
              <w:t xml:space="preserve"> </w:t>
            </w:r>
          </w:p>
          <w:p w14:paraId="180C5BD7" w14:textId="77777777" w:rsidR="00CD5B08" w:rsidRPr="00FF77C9" w:rsidRDefault="00CD5B08" w:rsidP="00FF77C9">
            <w:pPr>
              <w:spacing w:after="120"/>
              <w:rPr>
                <w:rFonts w:asciiTheme="majorBidi" w:eastAsia="Times New Roman" w:hAnsiTheme="majorBidi" w:cstheme="majorBidi"/>
                <w:sz w:val="18"/>
                <w:szCs w:val="18"/>
              </w:rPr>
            </w:pPr>
            <w:r w:rsidRPr="00FF77C9">
              <w:rPr>
                <w:rFonts w:asciiTheme="majorBidi" w:eastAsia="Times New Roman" w:hAnsiTheme="majorBidi" w:cstheme="majorBidi"/>
                <w:sz w:val="18"/>
                <w:szCs w:val="18"/>
              </w:rPr>
              <w:t xml:space="preserve">Assessments identifying significant mercury stocks and supply sources may be conducted, as exemplified by Peru's case. It has developed reports in 2017 and 2021 assessing mercury stocks and supply sources under the </w:t>
            </w:r>
            <w:r w:rsidRPr="00FF77C9">
              <w:rPr>
                <w:rFonts w:asciiTheme="majorBidi" w:eastAsia="Times New Roman" w:hAnsiTheme="majorBidi" w:cstheme="majorBidi"/>
                <w:sz w:val="18"/>
                <w:szCs w:val="18"/>
              </w:rPr>
              <w:lastRenderedPageBreak/>
              <w:t>Minamata Convention. These studies particularly focused on the key thresholds: (1) stocks exceeding 50 metric tonnes, and (2) supply sources generating over 10 metric tonnes annually.</w:t>
            </w:r>
          </w:p>
          <w:p w14:paraId="0E5533FB" w14:textId="77777777" w:rsidR="00CD5B08" w:rsidRPr="00FF77C9" w:rsidRDefault="00CD5B08" w:rsidP="00FF77C9">
            <w:pPr>
              <w:spacing w:after="120"/>
              <w:rPr>
                <w:rFonts w:asciiTheme="majorBidi" w:eastAsia="Times New Roman" w:hAnsiTheme="majorBidi" w:cstheme="majorBidi"/>
                <w:sz w:val="18"/>
                <w:szCs w:val="18"/>
              </w:rPr>
            </w:pPr>
            <w:r w:rsidRPr="00FF77C9">
              <w:rPr>
                <w:rFonts w:asciiTheme="majorBidi" w:eastAsia="Times New Roman" w:hAnsiTheme="majorBidi" w:cstheme="majorBidi"/>
                <w:sz w:val="18"/>
                <w:szCs w:val="18"/>
              </w:rPr>
              <w:t>For the 2021 report,</w:t>
            </w:r>
            <w:r w:rsidRPr="00FF77C9">
              <w:rPr>
                <w:rFonts w:asciiTheme="majorBidi" w:eastAsia="Times New Roman" w:hAnsiTheme="majorBidi" w:cstheme="majorBidi"/>
                <w:sz w:val="18"/>
                <w:szCs w:val="18"/>
                <w:vertAlign w:val="superscript"/>
              </w:rPr>
              <w:footnoteReference w:id="24"/>
            </w:r>
            <w:r w:rsidRPr="00FF77C9">
              <w:rPr>
                <w:rFonts w:asciiTheme="majorBidi" w:eastAsia="Times New Roman" w:hAnsiTheme="majorBidi" w:cstheme="majorBidi"/>
                <w:sz w:val="18"/>
                <w:szCs w:val="18"/>
              </w:rPr>
              <w:t xml:space="preserve"> the methodology combined descriptive and analytical approaches. It drew from the following key frameworks: the Minamata Convention (Article 3), Peru’s National Implementation Plan (Supreme Decree No. 004-2019-MINAM), and UNEP (DTIE)/Hg/INC.6/9 - factors which may be considered in the identification of stocks of mercury or mercury compounds. While no standardized template exists, they defined parameters for inventorying significant mercury stocks (&gt;50 metric tonnes/year) and major supply sources (&gt;10 metric tonnes/year). The process incorporated the identification factors from the UNEP document, inventory development approaches from the Guidance on stocks and sources, and baseline references from Peru's 2017 national report.</w:t>
            </w:r>
          </w:p>
          <w:p w14:paraId="2A2F50AE" w14:textId="77777777" w:rsidR="00CD5B08" w:rsidRPr="00FF77C9" w:rsidRDefault="00CD5B08" w:rsidP="00FF77C9">
            <w:pPr>
              <w:spacing w:after="120"/>
              <w:rPr>
                <w:rFonts w:asciiTheme="majorBidi" w:eastAsia="Times New Roman" w:hAnsiTheme="majorBidi" w:cstheme="majorBidi"/>
                <w:sz w:val="18"/>
                <w:szCs w:val="18"/>
              </w:rPr>
            </w:pPr>
            <w:r w:rsidRPr="00FF77C9">
              <w:rPr>
                <w:rFonts w:asciiTheme="majorBidi" w:eastAsia="Times New Roman" w:hAnsiTheme="majorBidi" w:cstheme="majorBidi"/>
                <w:sz w:val="18"/>
                <w:szCs w:val="18"/>
              </w:rPr>
              <w:t>In this report, four primary mercury sources were identified: mining operations recovering mercury as a byproduct (mainly large-scale gold mining), industrial users like chlor-alkali plants, storage sites for confiscated illegal mercury, and commercial traders handling imports/exports. After identifying potential mercury stocks and supply sources, a list of key public institutions and private enterprises potentially holding data on mercury storage, usage, or trade were then compiled. The compiled information was systematically processed and compared to 2017 baseline data to track inventory trends.</w:t>
            </w:r>
          </w:p>
          <w:p w14:paraId="7807A1E6" w14:textId="77777777" w:rsidR="00CD5B08" w:rsidRPr="00FF77C9" w:rsidRDefault="00CD5B08" w:rsidP="00FF77C9">
            <w:pPr>
              <w:spacing w:after="120"/>
              <w:rPr>
                <w:rFonts w:asciiTheme="majorBidi" w:eastAsia="Times New Roman" w:hAnsiTheme="majorBidi" w:cstheme="majorBidi"/>
                <w:b/>
                <w:bCs/>
                <w:i/>
                <w:iCs/>
                <w:sz w:val="18"/>
                <w:szCs w:val="18"/>
              </w:rPr>
            </w:pPr>
            <w:r w:rsidRPr="00FF77C9">
              <w:rPr>
                <w:rFonts w:asciiTheme="majorBidi" w:eastAsia="Times New Roman" w:hAnsiTheme="majorBidi" w:cstheme="majorBidi"/>
                <w:sz w:val="18"/>
                <w:szCs w:val="18"/>
              </w:rPr>
              <w:t>The results identified such stocks in two primary categories: mining entities, where mercury is recovered as a byproduct during mineral processing and mercury use in ASGM operators and domestic traders; and non-mining entities, including the domestic chlor-alkali producer and chemical distributors.</w:t>
            </w:r>
          </w:p>
        </w:tc>
      </w:tr>
    </w:tbl>
    <w:p w14:paraId="2631B96A" w14:textId="7655428E" w:rsidR="00CD5B08" w:rsidRDefault="001F5490" w:rsidP="00CD5B08">
      <w:pPr>
        <w:pStyle w:val="CH2"/>
        <w:keepNext w:val="0"/>
        <w:keepLines w:val="0"/>
      </w:pPr>
      <w:r>
        <w:lastRenderedPageBreak/>
        <w:tab/>
      </w:r>
      <w:r w:rsidR="00CD5B08">
        <w:t>D</w:t>
      </w:r>
      <w:r w:rsidR="00CD5B08">
        <w:t>.</w:t>
      </w:r>
      <w:r w:rsidR="00CD5B08" w:rsidRPr="00245E45">
        <w:tab/>
      </w:r>
      <w:r w:rsidR="00626D70" w:rsidRPr="00626D70">
        <w:t>Conducting additional verification of information</w:t>
      </w:r>
    </w:p>
    <w:p w14:paraId="39D02008" w14:textId="28079107" w:rsidR="00D00D13" w:rsidRPr="001F5490" w:rsidRDefault="00D00D13" w:rsidP="001F5490">
      <w:pPr>
        <w:pStyle w:val="Normalnumber"/>
        <w:numPr>
          <w:ilvl w:val="0"/>
          <w:numId w:val="3"/>
        </w:numPr>
        <w:tabs>
          <w:tab w:val="clear" w:pos="1247"/>
          <w:tab w:val="clear" w:pos="1814"/>
          <w:tab w:val="clear" w:pos="2381"/>
          <w:tab w:val="clear" w:pos="2948"/>
          <w:tab w:val="clear" w:pos="3515"/>
          <w:tab w:val="clear" w:pos="4082"/>
          <w:tab w:val="num" w:pos="624"/>
        </w:tabs>
        <w:spacing w:before="120"/>
        <w:ind w:left="1248" w:firstLine="0"/>
        <w:rPr>
          <w:rFonts w:asciiTheme="majorBidi" w:hAnsiTheme="majorBidi" w:cstheme="majorBidi"/>
          <w:lang w:val="en-GB"/>
        </w:rPr>
      </w:pPr>
      <w:r w:rsidRPr="00F4180C">
        <w:rPr>
          <w:rFonts w:asciiTheme="majorBidi" w:hAnsiTheme="majorBidi" w:cstheme="majorBidi"/>
          <w:lang w:val="en-GB"/>
        </w:rPr>
        <w:t>Additional verification of information may be conducted to support the identification of mercury stocks and sources. These verification efforts may include, among others, review of mercury import and export data, routine inspections, environmental sampling, data tracking (e.g., creation of timestamps and audit logs), and field data verification.</w:t>
      </w:r>
    </w:p>
    <w:p w14:paraId="77312E07" w14:textId="430DA2FC" w:rsidR="00D00D13" w:rsidRPr="001F5490" w:rsidRDefault="00D00D13" w:rsidP="001F5490">
      <w:pPr>
        <w:pStyle w:val="Normalnumber"/>
        <w:numPr>
          <w:ilvl w:val="0"/>
          <w:numId w:val="3"/>
        </w:numPr>
        <w:tabs>
          <w:tab w:val="clear" w:pos="1247"/>
          <w:tab w:val="clear" w:pos="1814"/>
          <w:tab w:val="clear" w:pos="2381"/>
          <w:tab w:val="clear" w:pos="2948"/>
          <w:tab w:val="clear" w:pos="3515"/>
          <w:tab w:val="clear" w:pos="4082"/>
          <w:tab w:val="num" w:pos="624"/>
        </w:tabs>
        <w:spacing w:before="120"/>
        <w:ind w:left="1248" w:firstLine="0"/>
        <w:rPr>
          <w:rFonts w:asciiTheme="majorBidi" w:hAnsiTheme="majorBidi" w:cstheme="majorBidi"/>
          <w:lang w:val="en-GB"/>
        </w:rPr>
      </w:pPr>
      <w:r w:rsidRPr="00F4180C">
        <w:rPr>
          <w:rFonts w:asciiTheme="majorBidi" w:hAnsiTheme="majorBidi" w:cstheme="majorBidi"/>
          <w:lang w:val="en-GB"/>
        </w:rPr>
        <w:t xml:space="preserve">Site assessments and field surveys in ASGM areas, for example, can help estimate mercury use and gold production at the plant level, directly informing estimates of mercury use. Data tracking systems or maintaining logs of data submissions and modifications can help confirm the origin or accuracy of mercury stock and flow information. Field data verification validation can identify discrepancies or confirm reported figures. For example, data from inventories can be compared with findings from on-site inspections or environmental audits to verify quantities of declared mercury stockpiles or identify sources not previously captured. </w:t>
      </w:r>
    </w:p>
    <w:p w14:paraId="71EC56AF" w14:textId="3FE72B9C" w:rsidR="00CD5B08" w:rsidRPr="00245E45" w:rsidRDefault="001F5490" w:rsidP="00CD5B08">
      <w:pPr>
        <w:pStyle w:val="CH2"/>
        <w:keepNext w:val="0"/>
        <w:keepLines w:val="0"/>
      </w:pPr>
      <w:r>
        <w:tab/>
      </w:r>
      <w:r w:rsidR="00CD5B08">
        <w:t>E</w:t>
      </w:r>
      <w:r w:rsidR="00CD5B08">
        <w:t>.</w:t>
      </w:r>
      <w:r w:rsidR="00CD5B08" w:rsidRPr="00245E45">
        <w:tab/>
      </w:r>
      <w:r w:rsidR="00443ABC" w:rsidRPr="00443ABC">
        <w:t>Reporting and monitoring frequency</w:t>
      </w:r>
    </w:p>
    <w:p w14:paraId="03A2229C" w14:textId="56A67B64" w:rsidR="00CD5B08" w:rsidRPr="00F4180C" w:rsidRDefault="001F5490" w:rsidP="001F5490">
      <w:pPr>
        <w:pStyle w:val="Normalnumber"/>
        <w:numPr>
          <w:ilvl w:val="0"/>
          <w:numId w:val="3"/>
        </w:numPr>
        <w:tabs>
          <w:tab w:val="clear" w:pos="1247"/>
          <w:tab w:val="clear" w:pos="1814"/>
          <w:tab w:val="clear" w:pos="2381"/>
          <w:tab w:val="clear" w:pos="2948"/>
          <w:tab w:val="clear" w:pos="3515"/>
          <w:tab w:val="clear" w:pos="4082"/>
          <w:tab w:val="num" w:pos="624"/>
        </w:tabs>
        <w:spacing w:before="120"/>
        <w:ind w:left="1248" w:firstLine="0"/>
        <w:rPr>
          <w:rFonts w:asciiTheme="majorBidi" w:hAnsiTheme="majorBidi" w:cstheme="majorBidi"/>
          <w:b/>
          <w:i/>
          <w:sz w:val="24"/>
          <w:szCs w:val="24"/>
          <w:lang w:val="en-GB"/>
        </w:rPr>
      </w:pPr>
      <w:r w:rsidRPr="00F4180C">
        <w:rPr>
          <w:rFonts w:asciiTheme="majorBidi" w:hAnsiTheme="majorBidi" w:cstheme="majorBidi"/>
          <w:lang w:val="en-GB"/>
        </w:rPr>
        <w:t xml:space="preserve">Due to the fluctuations of mercury stocks, establishing the timing or frequency of conducting inventories is important. In determining the timing or frequency here are some factors to </w:t>
      </w:r>
      <w:proofErr w:type="gramStart"/>
      <w:r w:rsidRPr="00F4180C">
        <w:rPr>
          <w:rFonts w:asciiTheme="majorBidi" w:hAnsiTheme="majorBidi" w:cstheme="majorBidi"/>
          <w:lang w:val="en-GB"/>
        </w:rPr>
        <w:t>consider:</w:t>
      </w:r>
      <w:proofErr w:type="gramEnd"/>
      <w:r w:rsidRPr="00F4180C">
        <w:rPr>
          <w:rFonts w:asciiTheme="majorBidi" w:hAnsiTheme="majorBidi" w:cstheme="majorBidi"/>
          <w:lang w:val="en-GB"/>
        </w:rPr>
        <w:t xml:space="preserve"> resources needed for data collection, existence of methods for tracking changes in stocks and supplies over time, capacity to report on data gathered, and Minamata Convention national reporting cycles</w:t>
      </w:r>
    </w:p>
    <w:p w14:paraId="7E16715E" w14:textId="7084B262" w:rsidR="00CD5B08" w:rsidRPr="00F4180C" w:rsidRDefault="00934F8E" w:rsidP="00934F8E">
      <w:pPr>
        <w:pStyle w:val="CH1"/>
        <w:keepNext w:val="0"/>
        <w:keepLines w:val="0"/>
        <w:tabs>
          <w:tab w:val="clear" w:pos="1814"/>
          <w:tab w:val="clear" w:pos="2381"/>
          <w:tab w:val="clear" w:pos="2948"/>
          <w:tab w:val="clear" w:pos="3515"/>
          <w:tab w:val="clear" w:pos="4082"/>
          <w:tab w:val="left" w:pos="1871"/>
          <w:tab w:val="left" w:pos="2495"/>
          <w:tab w:val="left" w:pos="3119"/>
          <w:tab w:val="left" w:pos="3742"/>
          <w:tab w:val="left" w:pos="4366"/>
        </w:tabs>
        <w:snapToGrid w:val="0"/>
        <w:rPr>
          <w:rFonts w:asciiTheme="majorBidi" w:eastAsia="Times New Roman" w:hAnsiTheme="majorBidi" w:cstheme="majorBidi"/>
          <w:b w:val="0"/>
          <w:i/>
          <w:sz w:val="24"/>
          <w:szCs w:val="24"/>
          <w:lang w:val="en-GB"/>
        </w:rPr>
      </w:pPr>
      <w:r>
        <w:rPr>
          <w:rFonts w:eastAsia="Times New Roman"/>
          <w:lang w:val="en-GB"/>
        </w:rPr>
        <w:tab/>
      </w:r>
      <w:r w:rsidRPr="00934F8E">
        <w:rPr>
          <w:rFonts w:eastAsia="Times New Roman"/>
          <w:lang w:val="en-GB"/>
        </w:rPr>
        <w:t>III.</w:t>
      </w:r>
      <w:r w:rsidRPr="00934F8E">
        <w:rPr>
          <w:rFonts w:eastAsia="Times New Roman"/>
          <w:lang w:val="en-GB"/>
        </w:rPr>
        <w:tab/>
        <w:t xml:space="preserve">Methodologies for quantification of large amounts of mercury or mercury compounds </w:t>
      </w:r>
    </w:p>
    <w:p w14:paraId="3AF54B9C" w14:textId="774964D8" w:rsidR="00FA0DDF" w:rsidRPr="00245E45" w:rsidRDefault="00FA0DDF" w:rsidP="00FA0DDF">
      <w:pPr>
        <w:pStyle w:val="CH2"/>
        <w:keepNext w:val="0"/>
        <w:keepLines w:val="0"/>
      </w:pPr>
      <w:r>
        <w:tab/>
      </w:r>
      <w:r>
        <w:t>A.</w:t>
      </w:r>
      <w:r w:rsidRPr="00245E45">
        <w:tab/>
      </w:r>
      <w:r w:rsidR="009E7190" w:rsidRPr="009E7190">
        <w:t>UNEP Mercury Inventory Toolkit for Identification and Quantification of Mercury Releases</w:t>
      </w:r>
    </w:p>
    <w:p w14:paraId="02CA5395" w14:textId="77777777" w:rsidR="001F1AA9" w:rsidRPr="00F4180C" w:rsidRDefault="001F1AA9" w:rsidP="00201BC3">
      <w:pPr>
        <w:pStyle w:val="Normalnumber"/>
        <w:numPr>
          <w:ilvl w:val="0"/>
          <w:numId w:val="3"/>
        </w:numPr>
        <w:tabs>
          <w:tab w:val="clear" w:pos="1247"/>
          <w:tab w:val="clear" w:pos="1814"/>
          <w:tab w:val="clear" w:pos="2381"/>
          <w:tab w:val="clear" w:pos="2948"/>
          <w:tab w:val="clear" w:pos="3515"/>
          <w:tab w:val="clear" w:pos="4082"/>
          <w:tab w:val="num" w:pos="624"/>
        </w:tabs>
        <w:spacing w:before="120"/>
        <w:ind w:left="1248" w:firstLine="0"/>
        <w:rPr>
          <w:rFonts w:asciiTheme="majorBidi" w:hAnsiTheme="majorBidi" w:cstheme="majorBidi"/>
          <w:lang w:val="en-GB"/>
        </w:rPr>
      </w:pPr>
      <w:r w:rsidRPr="00F4180C">
        <w:rPr>
          <w:rFonts w:asciiTheme="majorBidi" w:hAnsiTheme="majorBidi" w:cstheme="majorBidi"/>
          <w:lang w:val="en-GB"/>
        </w:rPr>
        <w:t>To support countries in preparing their MIAs, the United Nations Environment Programme (UNEP) developed the Toolkit for Identification and Quantification of Mercury Releases.</w:t>
      </w:r>
      <w:r w:rsidRPr="00F4180C">
        <w:rPr>
          <w:rStyle w:val="FootnoteReference"/>
          <w:rFonts w:asciiTheme="majorBidi" w:hAnsiTheme="majorBidi" w:cstheme="majorBidi"/>
          <w:lang w:val="en-GB"/>
        </w:rPr>
        <w:footnoteReference w:id="25"/>
      </w:r>
      <w:r w:rsidRPr="00F4180C">
        <w:rPr>
          <w:rFonts w:asciiTheme="majorBidi" w:hAnsiTheme="majorBidi" w:cstheme="majorBidi"/>
          <w:lang w:val="en-GB"/>
        </w:rPr>
        <w:t xml:space="preserve"> This Toolkit is designed to assist countries in identifying and quantifying mercury emissions and releases across sectors, and to guide users through all stages of inventory development. Based on the mass balance principle (“what comes in must come out”), it enables countries to track mercury inputs (i.e. via raw materials and fuels) and their subsequent outputs to the environmental or product streams, helping establish comprehensive national mercury inventories.</w:t>
      </w:r>
    </w:p>
    <w:p w14:paraId="28A1EF9F" w14:textId="7C0D9C66" w:rsidR="001F1AA9" w:rsidRPr="00F4180C" w:rsidRDefault="001F1AA9" w:rsidP="00201BC3">
      <w:pPr>
        <w:pStyle w:val="Normalnumber"/>
        <w:numPr>
          <w:ilvl w:val="0"/>
          <w:numId w:val="3"/>
        </w:numPr>
        <w:tabs>
          <w:tab w:val="clear" w:pos="1247"/>
          <w:tab w:val="clear" w:pos="1814"/>
          <w:tab w:val="clear" w:pos="2381"/>
          <w:tab w:val="clear" w:pos="2948"/>
          <w:tab w:val="clear" w:pos="3515"/>
          <w:tab w:val="clear" w:pos="4082"/>
          <w:tab w:val="num" w:pos="624"/>
        </w:tabs>
        <w:spacing w:before="120"/>
        <w:ind w:left="1248" w:firstLine="0"/>
        <w:rPr>
          <w:rFonts w:asciiTheme="majorBidi" w:hAnsiTheme="majorBidi" w:cstheme="majorBidi"/>
          <w:lang w:val="en-GB"/>
        </w:rPr>
      </w:pPr>
      <w:r w:rsidRPr="00F4180C">
        <w:rPr>
          <w:rFonts w:asciiTheme="majorBidi" w:hAnsiTheme="majorBidi" w:cstheme="majorBidi"/>
          <w:lang w:val="en-GB"/>
        </w:rPr>
        <w:lastRenderedPageBreak/>
        <w:t>The Toolkit has been widely used by developing countries and countries with economies in transition as part of the MIA process. The following approaches are employed, with most MIA reports utilizing Inventory Levels 1 and 2. The full application of Inventory Level 2 is often constrained by country-specific data limitations:</w:t>
      </w:r>
    </w:p>
    <w:p w14:paraId="2AE831B8" w14:textId="77777777" w:rsidR="001F1AA9" w:rsidRPr="00977E68" w:rsidRDefault="001F1AA9" w:rsidP="003C1B62">
      <w:pPr>
        <w:pStyle w:val="Normalnumber"/>
        <w:numPr>
          <w:ilvl w:val="0"/>
          <w:numId w:val="24"/>
        </w:numPr>
        <w:tabs>
          <w:tab w:val="clear" w:pos="1247"/>
          <w:tab w:val="clear" w:pos="1814"/>
          <w:tab w:val="clear" w:pos="2381"/>
          <w:tab w:val="clear" w:pos="2948"/>
          <w:tab w:val="clear" w:pos="3515"/>
          <w:tab w:val="clear" w:pos="4082"/>
          <w:tab w:val="num" w:pos="624"/>
        </w:tabs>
        <w:ind w:left="1247" w:firstLine="624"/>
        <w:rPr>
          <w:lang w:val="en-GB"/>
        </w:rPr>
      </w:pPr>
      <w:r w:rsidRPr="00977E68">
        <w:rPr>
          <w:lang w:val="en-GB"/>
        </w:rPr>
        <w:t>Inventory Level 1 provides preliminary assessments using default input (mercury concentration in materials) and output distribution (release pathways) factors, yielding simplified results.</w:t>
      </w:r>
    </w:p>
    <w:p w14:paraId="28C82B13" w14:textId="77777777" w:rsidR="001F1AA9" w:rsidRPr="00977E68" w:rsidRDefault="001F1AA9" w:rsidP="003C1B62">
      <w:pPr>
        <w:pStyle w:val="Normalnumber"/>
        <w:numPr>
          <w:ilvl w:val="0"/>
          <w:numId w:val="24"/>
        </w:numPr>
        <w:tabs>
          <w:tab w:val="clear" w:pos="1247"/>
          <w:tab w:val="clear" w:pos="1814"/>
          <w:tab w:val="clear" w:pos="2381"/>
          <w:tab w:val="clear" w:pos="2948"/>
          <w:tab w:val="clear" w:pos="3515"/>
          <w:tab w:val="clear" w:pos="4082"/>
          <w:tab w:val="num" w:pos="624"/>
        </w:tabs>
        <w:ind w:left="1247" w:firstLine="624"/>
        <w:rPr>
          <w:lang w:val="en-GB"/>
        </w:rPr>
      </w:pPr>
      <w:r w:rsidRPr="00977E68">
        <w:rPr>
          <w:lang w:val="en-GB"/>
        </w:rPr>
        <w:t>Inventory Level 2 refines Inventory Level 1 and offers more comprehensive analysis through detailed source category descriptions and customizable factors that better reflect national data.</w:t>
      </w:r>
    </w:p>
    <w:p w14:paraId="22293977" w14:textId="77777777" w:rsidR="001F1AA9" w:rsidRPr="00977E68" w:rsidRDefault="001F1AA9" w:rsidP="003C1B62">
      <w:pPr>
        <w:pStyle w:val="Normalnumber"/>
        <w:numPr>
          <w:ilvl w:val="0"/>
          <w:numId w:val="24"/>
        </w:numPr>
        <w:tabs>
          <w:tab w:val="clear" w:pos="1247"/>
          <w:tab w:val="clear" w:pos="1814"/>
          <w:tab w:val="clear" w:pos="2381"/>
          <w:tab w:val="clear" w:pos="2948"/>
          <w:tab w:val="clear" w:pos="3515"/>
          <w:tab w:val="clear" w:pos="4082"/>
          <w:tab w:val="num" w:pos="624"/>
        </w:tabs>
        <w:ind w:left="1247" w:firstLine="624"/>
        <w:rPr>
          <w:lang w:val="en-GB"/>
        </w:rPr>
      </w:pPr>
      <w:r w:rsidRPr="00977E68">
        <w:rPr>
          <w:lang w:val="en-GB"/>
        </w:rPr>
        <w:t>Inventory Level 3 integrates all mercury sources into their entire mass flow through and out of society to the environment, highlighting the links between different mercury sources.</w:t>
      </w:r>
    </w:p>
    <w:p w14:paraId="4B42FC7A" w14:textId="6E322D0D" w:rsidR="001F1AA9" w:rsidRPr="00F4180C" w:rsidRDefault="001F1AA9" w:rsidP="00FF77C9">
      <w:pPr>
        <w:pStyle w:val="Normalnumber"/>
        <w:numPr>
          <w:ilvl w:val="0"/>
          <w:numId w:val="3"/>
        </w:numPr>
        <w:tabs>
          <w:tab w:val="clear" w:pos="1247"/>
          <w:tab w:val="clear" w:pos="1814"/>
          <w:tab w:val="clear" w:pos="2381"/>
          <w:tab w:val="clear" w:pos="2948"/>
          <w:tab w:val="clear" w:pos="3515"/>
          <w:tab w:val="clear" w:pos="4082"/>
          <w:tab w:val="num" w:pos="624"/>
        </w:tabs>
        <w:spacing w:before="120"/>
        <w:ind w:left="1248" w:firstLine="0"/>
        <w:rPr>
          <w:rFonts w:asciiTheme="majorBidi" w:hAnsiTheme="majorBidi" w:cstheme="majorBidi"/>
          <w:lang w:val="en-GB"/>
        </w:rPr>
      </w:pPr>
      <w:r w:rsidRPr="00F4180C">
        <w:rPr>
          <w:rFonts w:asciiTheme="majorBidi" w:hAnsiTheme="majorBidi" w:cstheme="majorBidi"/>
          <w:lang w:val="en-GB"/>
        </w:rPr>
        <w:t xml:space="preserve">Although the Toolkit’s primary focus is on identifying mercury emissions and releases, it also supports the identification of major source categories relevant to Article 3 of the Convention. </w:t>
      </w:r>
      <w:proofErr w:type="gramStart"/>
      <w:r w:rsidRPr="00F4180C">
        <w:rPr>
          <w:rFonts w:asciiTheme="majorBidi" w:hAnsiTheme="majorBidi" w:cstheme="majorBidi"/>
          <w:lang w:val="en-GB"/>
        </w:rPr>
        <w:t>In particular, Inventory</w:t>
      </w:r>
      <w:proofErr w:type="gramEnd"/>
      <w:r w:rsidRPr="00F4180C">
        <w:rPr>
          <w:rFonts w:asciiTheme="majorBidi" w:hAnsiTheme="majorBidi" w:cstheme="majorBidi"/>
          <w:lang w:val="en-GB"/>
        </w:rPr>
        <w:t xml:space="preserve"> Level 2 and Level 3 facilitate the identification of significant sources of mercury stocks and supply through more detailed sectoral analysis and mercury flows, respectively. </w:t>
      </w:r>
    </w:p>
    <w:p w14:paraId="015B7C38" w14:textId="4B2C03FF" w:rsidR="001F1AA9" w:rsidRPr="003C1B62" w:rsidRDefault="001F1AA9" w:rsidP="003C1B62">
      <w:pPr>
        <w:pStyle w:val="Normalnumber"/>
        <w:numPr>
          <w:ilvl w:val="0"/>
          <w:numId w:val="3"/>
        </w:numPr>
        <w:tabs>
          <w:tab w:val="clear" w:pos="1247"/>
          <w:tab w:val="clear" w:pos="1814"/>
          <w:tab w:val="clear" w:pos="2381"/>
          <w:tab w:val="clear" w:pos="2948"/>
          <w:tab w:val="clear" w:pos="3515"/>
          <w:tab w:val="clear" w:pos="4082"/>
          <w:tab w:val="num" w:pos="624"/>
        </w:tabs>
        <w:spacing w:before="120"/>
        <w:ind w:left="1248" w:firstLine="0"/>
        <w:rPr>
          <w:rFonts w:asciiTheme="majorBidi" w:hAnsiTheme="majorBidi" w:cstheme="majorBidi"/>
          <w:lang w:val="en-GB"/>
        </w:rPr>
      </w:pPr>
      <w:r w:rsidRPr="00F4180C">
        <w:rPr>
          <w:rFonts w:asciiTheme="majorBidi" w:hAnsiTheme="majorBidi" w:cstheme="majorBidi"/>
          <w:lang w:val="en-GB"/>
        </w:rPr>
        <w:t xml:space="preserve">A key limitation of the Toolkit Inventory Level 2, in relation to the obligation under Article 3, is its exclusion of certain economic activities such as mercury trade, production, sales, and manufacturing. In Level 2, import, production, and export data are combined to calculate mercury input, without disaggregating these activities or addressing trade flows and stockpiles in detail. The UNEP Reporting Template categories do not include the categories mentioned, as detailed in the GEF Initial Guidelines and UNDP’s Suggested Structure and Contents for MIA reports (mentioned in the implementation of MIA section above). To address this, countries are encouraged to prioritize the identification of large mercury stocks and sources of supply, in line with the updates to the guidance on identification of individual stocks of mercury or mercury compounds exceeding 50 metric tonnes and sources of mercury supply generating stocks exceeding 10 metric tonnes per year. They may also consider utilising Inventory Level 3, which tracks mercury flows throughout the system—except for a few flows not in focus for exposure—as discussed in the following section. </w:t>
      </w:r>
    </w:p>
    <w:tbl>
      <w:tblPr>
        <w:tblW w:w="8094" w:type="dxa"/>
        <w:tblInd w:w="126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094"/>
      </w:tblGrid>
      <w:tr w:rsidR="001F1AA9" w:rsidRPr="003C1B62" w14:paraId="47017129" w14:textId="77777777" w:rsidTr="003C1B62">
        <w:tc>
          <w:tcPr>
            <w:tcW w:w="8094" w:type="dxa"/>
            <w:shd w:val="clear" w:color="auto" w:fill="D9D9D9"/>
            <w:tcMar>
              <w:top w:w="100" w:type="dxa"/>
              <w:left w:w="100" w:type="dxa"/>
              <w:bottom w:w="100" w:type="dxa"/>
              <w:right w:w="100" w:type="dxa"/>
            </w:tcMar>
          </w:tcPr>
          <w:p w14:paraId="34B6A8E9" w14:textId="71942DF5" w:rsidR="001F1AA9" w:rsidRPr="003C1B62" w:rsidRDefault="001F1AA9" w:rsidP="003C1B62">
            <w:pPr>
              <w:spacing w:after="120"/>
              <w:rPr>
                <w:rFonts w:asciiTheme="majorBidi" w:eastAsia="Times New Roman" w:hAnsiTheme="majorBidi" w:cstheme="majorBidi"/>
                <w:b/>
                <w:sz w:val="18"/>
                <w:szCs w:val="18"/>
              </w:rPr>
            </w:pPr>
            <w:r w:rsidRPr="003C1B62">
              <w:rPr>
                <w:rFonts w:asciiTheme="majorBidi" w:eastAsia="Times New Roman" w:hAnsiTheme="majorBidi" w:cstheme="majorBidi"/>
                <w:b/>
                <w:sz w:val="18"/>
                <w:szCs w:val="18"/>
              </w:rPr>
              <w:t>Example: MIA reports using UNEP Toolkit</w:t>
            </w:r>
          </w:p>
          <w:p w14:paraId="24088091" w14:textId="121EBD6E" w:rsidR="001F1AA9" w:rsidRPr="003C1B62" w:rsidRDefault="001F1AA9" w:rsidP="003C1B62">
            <w:pPr>
              <w:numPr>
                <w:ilvl w:val="0"/>
                <w:numId w:val="23"/>
              </w:numPr>
              <w:spacing w:after="120" w:line="276" w:lineRule="auto"/>
              <w:ind w:left="734"/>
              <w:rPr>
                <w:rFonts w:asciiTheme="majorBidi" w:eastAsia="Times New Roman" w:hAnsiTheme="majorBidi" w:cstheme="majorBidi"/>
                <w:sz w:val="18"/>
                <w:szCs w:val="18"/>
              </w:rPr>
            </w:pPr>
            <w:r w:rsidRPr="003C1B62">
              <w:rPr>
                <w:rFonts w:asciiTheme="majorBidi" w:eastAsia="Times New Roman" w:hAnsiTheme="majorBidi" w:cstheme="majorBidi"/>
                <w:sz w:val="18"/>
                <w:szCs w:val="18"/>
              </w:rPr>
              <w:t>Mauritius’ 2018 Minamata initial assessment document</w:t>
            </w:r>
            <w:r w:rsidRPr="003C1B62">
              <w:rPr>
                <w:rFonts w:asciiTheme="majorBidi" w:eastAsia="Times New Roman" w:hAnsiTheme="majorBidi" w:cstheme="majorBidi"/>
                <w:sz w:val="18"/>
                <w:szCs w:val="18"/>
                <w:vertAlign w:val="superscript"/>
              </w:rPr>
              <w:footnoteReference w:id="26"/>
            </w:r>
            <w:r w:rsidRPr="003C1B62">
              <w:rPr>
                <w:rFonts w:asciiTheme="majorBidi" w:eastAsia="Times New Roman" w:hAnsiTheme="majorBidi" w:cstheme="majorBidi"/>
                <w:sz w:val="18"/>
                <w:szCs w:val="18"/>
              </w:rPr>
              <w:t xml:space="preserve"> </w:t>
            </w:r>
            <w:r w:rsidRPr="003C1B62">
              <w:rPr>
                <w:rFonts w:asciiTheme="majorBidi" w:eastAsia="Times New Roman" w:hAnsiTheme="majorBidi" w:cstheme="majorBidi"/>
                <w:b/>
                <w:bCs/>
                <w:sz w:val="18"/>
                <w:szCs w:val="18"/>
              </w:rPr>
              <w:t>specified categories</w:t>
            </w:r>
            <w:r w:rsidRPr="003C1B62">
              <w:rPr>
                <w:rFonts w:asciiTheme="majorBidi" w:eastAsia="Times New Roman" w:hAnsiTheme="majorBidi" w:cstheme="majorBidi"/>
                <w:sz w:val="18"/>
                <w:szCs w:val="18"/>
              </w:rPr>
              <w:t xml:space="preserve"> for </w:t>
            </w:r>
            <w:r w:rsidRPr="003C1B62">
              <w:rPr>
                <w:rFonts w:asciiTheme="majorBidi" w:eastAsia="Times New Roman" w:hAnsiTheme="majorBidi" w:cstheme="majorBidi"/>
                <w:i/>
                <w:iCs/>
                <w:sz w:val="18"/>
                <w:szCs w:val="18"/>
              </w:rPr>
              <w:t>mercury stockpiles, and supply and trade</w:t>
            </w:r>
            <w:r w:rsidRPr="003C1B62">
              <w:rPr>
                <w:rFonts w:asciiTheme="majorBidi" w:eastAsia="Times New Roman" w:hAnsiTheme="majorBidi" w:cstheme="majorBidi"/>
                <w:sz w:val="18"/>
                <w:szCs w:val="18"/>
              </w:rPr>
              <w:t xml:space="preserve"> and </w:t>
            </w:r>
            <w:r w:rsidRPr="003C1B62">
              <w:rPr>
                <w:rFonts w:asciiTheme="majorBidi" w:eastAsia="Times New Roman" w:hAnsiTheme="majorBidi" w:cstheme="majorBidi"/>
                <w:i/>
                <w:iCs/>
                <w:sz w:val="18"/>
                <w:szCs w:val="18"/>
              </w:rPr>
              <w:t>stocks of mercury and/or mercury compounds, and storage conditions</w:t>
            </w:r>
            <w:r w:rsidRPr="003C1B62">
              <w:rPr>
                <w:rFonts w:asciiTheme="majorBidi" w:eastAsia="Times New Roman" w:hAnsiTheme="majorBidi" w:cstheme="majorBidi"/>
                <w:sz w:val="18"/>
                <w:szCs w:val="18"/>
              </w:rPr>
              <w:t xml:space="preserve"> in its mercury inventory. Furthermore, its implementation plan was </w:t>
            </w:r>
            <w:r w:rsidRPr="003C1B62">
              <w:rPr>
                <w:rFonts w:asciiTheme="majorBidi" w:eastAsia="Times New Roman" w:hAnsiTheme="majorBidi" w:cstheme="majorBidi"/>
                <w:b/>
                <w:bCs/>
                <w:sz w:val="18"/>
                <w:szCs w:val="18"/>
              </w:rPr>
              <w:t>structured according to the Convention’s articles</w:t>
            </w:r>
            <w:r w:rsidRPr="003C1B62">
              <w:rPr>
                <w:rFonts w:asciiTheme="majorBidi" w:eastAsia="Times New Roman" w:hAnsiTheme="majorBidi" w:cstheme="majorBidi"/>
                <w:sz w:val="18"/>
                <w:szCs w:val="18"/>
              </w:rPr>
              <w:t xml:space="preserve">, enabling a succinct assessment of measures to </w:t>
            </w:r>
            <w:proofErr w:type="spellStart"/>
            <w:r w:rsidRPr="003C1B62">
              <w:rPr>
                <w:rFonts w:asciiTheme="majorBidi" w:eastAsia="Times New Roman" w:hAnsiTheme="majorBidi" w:cstheme="majorBidi"/>
                <w:sz w:val="18"/>
                <w:szCs w:val="18"/>
              </w:rPr>
              <w:t>fulfill</w:t>
            </w:r>
            <w:proofErr w:type="spellEnd"/>
            <w:r w:rsidRPr="003C1B62">
              <w:rPr>
                <w:rFonts w:asciiTheme="majorBidi" w:eastAsia="Times New Roman" w:hAnsiTheme="majorBidi" w:cstheme="majorBidi"/>
                <w:sz w:val="18"/>
                <w:szCs w:val="18"/>
              </w:rPr>
              <w:t xml:space="preserve"> its obligations, particularly those under Article 3. </w:t>
            </w:r>
          </w:p>
          <w:p w14:paraId="27599A35" w14:textId="15C8489A" w:rsidR="001F1AA9" w:rsidRPr="003C1B62" w:rsidRDefault="001F1AA9" w:rsidP="003C1B62">
            <w:pPr>
              <w:numPr>
                <w:ilvl w:val="0"/>
                <w:numId w:val="20"/>
              </w:numPr>
              <w:spacing w:after="120" w:line="276" w:lineRule="auto"/>
              <w:rPr>
                <w:rFonts w:asciiTheme="majorBidi" w:eastAsia="Times New Roman" w:hAnsiTheme="majorBidi" w:cstheme="majorBidi"/>
                <w:sz w:val="18"/>
                <w:szCs w:val="18"/>
              </w:rPr>
            </w:pPr>
            <w:r w:rsidRPr="003C1B62">
              <w:rPr>
                <w:rFonts w:asciiTheme="majorBidi" w:eastAsia="Times New Roman" w:hAnsiTheme="majorBidi" w:cstheme="majorBidi"/>
                <w:sz w:val="18"/>
                <w:szCs w:val="18"/>
              </w:rPr>
              <w:t>Ghana’s 2018 MIA report</w:t>
            </w:r>
            <w:r w:rsidRPr="003C1B62">
              <w:rPr>
                <w:rStyle w:val="FootnoteReference"/>
                <w:rFonts w:asciiTheme="majorBidi" w:eastAsia="Times New Roman" w:hAnsiTheme="majorBidi" w:cstheme="majorBidi"/>
                <w:sz w:val="18"/>
              </w:rPr>
              <w:footnoteReference w:id="27"/>
            </w:r>
            <w:r w:rsidRPr="003C1B62">
              <w:rPr>
                <w:rFonts w:asciiTheme="majorBidi" w:eastAsia="Times New Roman" w:hAnsiTheme="majorBidi" w:cstheme="majorBidi"/>
                <w:sz w:val="18"/>
                <w:szCs w:val="18"/>
              </w:rPr>
              <w:t xml:space="preserve"> utilized Toolkit Levels 1 and 2 and included the categories related to Article3. Its inventory quantified the amount of mercury circulating in primary metal production and </w:t>
            </w:r>
            <w:proofErr w:type="spellStart"/>
            <w:r w:rsidRPr="003C1B62">
              <w:rPr>
                <w:rFonts w:asciiTheme="majorBidi" w:eastAsia="Times New Roman" w:hAnsiTheme="majorBidi" w:cstheme="majorBidi"/>
                <w:sz w:val="18"/>
                <w:szCs w:val="18"/>
              </w:rPr>
              <w:t>analyzed</w:t>
            </w:r>
            <w:proofErr w:type="spellEnd"/>
            <w:r w:rsidRPr="003C1B62">
              <w:rPr>
                <w:rFonts w:asciiTheme="majorBidi" w:eastAsia="Times New Roman" w:hAnsiTheme="majorBidi" w:cstheme="majorBidi"/>
                <w:sz w:val="18"/>
                <w:szCs w:val="18"/>
              </w:rPr>
              <w:t xml:space="preserve"> mercury import and export trade data, including tracking transient stocks held by individual traders in informal networks. While the inventory has not identified specific stocks of mercury or industrial sectors holding significant quantities, it emphasized that it is necessary to consider how mercury is being traded for ASGM. </w:t>
            </w:r>
          </w:p>
          <w:p w14:paraId="783F653C" w14:textId="6B9FDA35" w:rsidR="001F1AA9" w:rsidRPr="003C1B62" w:rsidRDefault="001F1AA9" w:rsidP="003C1B62">
            <w:pPr>
              <w:numPr>
                <w:ilvl w:val="0"/>
                <w:numId w:val="22"/>
              </w:numPr>
              <w:spacing w:after="120" w:line="276" w:lineRule="auto"/>
              <w:rPr>
                <w:rFonts w:asciiTheme="majorBidi" w:eastAsia="Times New Roman" w:hAnsiTheme="majorBidi" w:cstheme="majorBidi"/>
                <w:sz w:val="18"/>
                <w:szCs w:val="18"/>
              </w:rPr>
            </w:pPr>
            <w:r w:rsidRPr="003C1B62">
              <w:rPr>
                <w:rFonts w:asciiTheme="majorBidi" w:eastAsia="Times New Roman" w:hAnsiTheme="majorBidi" w:cstheme="majorBidi"/>
                <w:sz w:val="18"/>
                <w:szCs w:val="18"/>
              </w:rPr>
              <w:t xml:space="preserve">Honduras’ 2015 inventory report employed Toolkit Levels 1 and 2 to assess mercury sources and releases, combining field inspections with data collection from organizations and institutions. Level 2 was finalized under the MIA-National Action Plan to provide for more precise and country-specific results. </w:t>
            </w:r>
          </w:p>
          <w:p w14:paraId="331BA7CF" w14:textId="77777777" w:rsidR="001F1AA9" w:rsidRPr="003C1B62" w:rsidRDefault="001F1AA9" w:rsidP="003C1B62">
            <w:pPr>
              <w:spacing w:after="120"/>
              <w:ind w:left="720"/>
              <w:rPr>
                <w:rFonts w:asciiTheme="majorBidi" w:eastAsia="Times New Roman" w:hAnsiTheme="majorBidi" w:cstheme="majorBidi"/>
                <w:sz w:val="18"/>
                <w:szCs w:val="18"/>
              </w:rPr>
            </w:pPr>
            <w:r w:rsidRPr="003C1B62">
              <w:rPr>
                <w:rFonts w:asciiTheme="majorBidi" w:eastAsia="Times New Roman" w:hAnsiTheme="majorBidi" w:cstheme="majorBidi"/>
                <w:sz w:val="18"/>
                <w:szCs w:val="18"/>
              </w:rPr>
              <w:t xml:space="preserve">The inventory employed a two-phase validation approach. Site visits to industries and companies identified as potential mercury emitters established baseline profiles in Level 1. For the more detailed Level 2 assessment, follow-up visits were conducted at prioritized sites, with complete material flow balances achieved for select companies (enabling precise tracking of mercury inputs, outputs, and losses). Data from remaining facilities were used to address gaps and inconsistencies in Level 1 estimates, particularly where process-specific information was initially lacking. This </w:t>
            </w:r>
            <w:r w:rsidRPr="003C1B62">
              <w:rPr>
                <w:rFonts w:asciiTheme="majorBidi" w:eastAsia="Times New Roman" w:hAnsiTheme="majorBidi" w:cstheme="majorBidi"/>
                <w:sz w:val="18"/>
                <w:szCs w:val="18"/>
              </w:rPr>
              <w:lastRenderedPageBreak/>
              <w:t>validation strategy optimized resource allocation while ensuring representative sectoral coverage, using material balance completeness as the key criterion for methodological rigor.</w:t>
            </w:r>
          </w:p>
        </w:tc>
      </w:tr>
    </w:tbl>
    <w:p w14:paraId="6517FD06" w14:textId="70EE1E35" w:rsidR="001F1AA9" w:rsidRDefault="001F1AA9" w:rsidP="00FF77C9">
      <w:pPr>
        <w:pStyle w:val="Normalnumber"/>
        <w:numPr>
          <w:ilvl w:val="0"/>
          <w:numId w:val="3"/>
        </w:numPr>
        <w:tabs>
          <w:tab w:val="clear" w:pos="1247"/>
          <w:tab w:val="clear" w:pos="1814"/>
          <w:tab w:val="clear" w:pos="2381"/>
          <w:tab w:val="clear" w:pos="2948"/>
          <w:tab w:val="clear" w:pos="3515"/>
          <w:tab w:val="clear" w:pos="4082"/>
          <w:tab w:val="num" w:pos="624"/>
        </w:tabs>
        <w:spacing w:before="120"/>
        <w:ind w:left="1248" w:firstLine="0"/>
        <w:rPr>
          <w:rFonts w:asciiTheme="majorBidi" w:hAnsiTheme="majorBidi" w:cstheme="majorBidi"/>
          <w:color w:val="000000"/>
          <w:kern w:val="2"/>
          <w:lang w:val="en-GB"/>
          <w14:ligatures w14:val="standardContextual"/>
        </w:rPr>
      </w:pPr>
      <w:r w:rsidRPr="00F4180C">
        <w:rPr>
          <w:rFonts w:asciiTheme="majorBidi" w:hAnsiTheme="majorBidi" w:cstheme="majorBidi"/>
          <w:color w:val="000000"/>
          <w:kern w:val="2"/>
          <w:lang w:val="en-GB"/>
          <w14:ligatures w14:val="standardContextual"/>
        </w:rPr>
        <w:lastRenderedPageBreak/>
        <w:t xml:space="preserve">Inventory Level 3 of the Toolkit provides a quantitative assessment of all key mercury flows through society. It </w:t>
      </w:r>
      <w:r w:rsidRPr="00FF77C9">
        <w:rPr>
          <w:rFonts w:asciiTheme="majorBidi" w:hAnsiTheme="majorBidi" w:cstheme="majorBidi"/>
          <w:lang w:val="en-GB"/>
        </w:rPr>
        <w:t>offers</w:t>
      </w:r>
      <w:r w:rsidRPr="00F4180C">
        <w:rPr>
          <w:rFonts w:asciiTheme="majorBidi" w:hAnsiTheme="majorBidi" w:cstheme="majorBidi"/>
          <w:color w:val="000000"/>
          <w:kern w:val="2"/>
          <w:lang w:val="en-GB"/>
          <w14:ligatures w14:val="standardContextual"/>
        </w:rPr>
        <w:t xml:space="preserve"> improved inventory and mass flow accuracy with built-in quantification of changes in accumulation, data checks, and calculations. Level 3 allows for separate quantification of mercury imports, exports, and production contributions, which are individually calculated before being aggregated. Additionally, it enables comparisons between estimated mercury inputs for manufacturing and other processes using mercury and mercury compounds with mercury trade data. Developing Inventory Level 3 requires the collection of statistics data on import, export, and production rates.</w:t>
      </w:r>
    </w:p>
    <w:p w14:paraId="0372C5A7" w14:textId="3FFC6F89" w:rsidR="003C1B62" w:rsidRPr="003C1B62" w:rsidRDefault="003C1B62" w:rsidP="003C1B62">
      <w:pPr>
        <w:pStyle w:val="Normalnumber"/>
        <w:tabs>
          <w:tab w:val="clear" w:pos="1247"/>
          <w:tab w:val="clear" w:pos="1814"/>
          <w:tab w:val="clear" w:pos="2381"/>
          <w:tab w:val="clear" w:pos="2948"/>
          <w:tab w:val="clear" w:pos="3515"/>
          <w:tab w:val="clear" w:pos="4082"/>
        </w:tabs>
        <w:spacing w:before="120" w:after="0"/>
        <w:ind w:left="1248"/>
        <w:rPr>
          <w:rFonts w:asciiTheme="majorBidi" w:hAnsiTheme="majorBidi" w:cstheme="majorBidi"/>
          <w:color w:val="000000"/>
          <w:kern w:val="2"/>
          <w:lang w:val="en-GB"/>
          <w14:ligatures w14:val="standardContextual"/>
        </w:rPr>
      </w:pPr>
      <w:r w:rsidRPr="003C1B62">
        <w:rPr>
          <w:rFonts w:asciiTheme="majorBidi" w:hAnsiTheme="majorBidi" w:cstheme="majorBidi"/>
          <w:lang w:val="en-GB"/>
        </w:rPr>
        <w:t>Fig</w:t>
      </w:r>
      <w:r w:rsidRPr="003C1B62">
        <w:rPr>
          <w:rFonts w:asciiTheme="majorBidi" w:hAnsiTheme="majorBidi" w:cstheme="majorBidi"/>
          <w:lang w:val="en-GB"/>
        </w:rPr>
        <w:t>ure</w:t>
      </w:r>
      <w:r w:rsidRPr="003C1B62">
        <w:rPr>
          <w:rFonts w:asciiTheme="majorBidi" w:hAnsiTheme="majorBidi" w:cstheme="majorBidi"/>
          <w:lang w:val="en-GB"/>
        </w:rPr>
        <w:t xml:space="preserve"> 2. </w:t>
      </w:r>
      <w:r w:rsidRPr="003C1B62">
        <w:rPr>
          <w:rFonts w:asciiTheme="majorBidi" w:hAnsiTheme="majorBidi" w:cstheme="majorBidi"/>
          <w:b/>
          <w:bCs/>
          <w:lang w:val="en-GB"/>
        </w:rPr>
        <w:t>Conceptual diagram of UNEP Mercury Toolkit Inventory Level 3</w:t>
      </w:r>
      <w:r w:rsidRPr="003C1B62">
        <w:rPr>
          <w:rFonts w:asciiTheme="majorBidi" w:hAnsiTheme="majorBidi" w:cstheme="majorBidi"/>
          <w:lang w:val="en-GB"/>
        </w:rPr>
        <w:t xml:space="preserve"> </w:t>
      </w:r>
      <w:r w:rsidRPr="003C1B62">
        <w:rPr>
          <w:rFonts w:asciiTheme="majorBidi" w:hAnsiTheme="majorBidi" w:cstheme="majorBidi"/>
          <w:i/>
          <w:iCs/>
          <w:lang w:val="en-GB"/>
        </w:rPr>
        <w:t>(source: UNEP)</w:t>
      </w:r>
    </w:p>
    <w:p w14:paraId="54C8B85B" w14:textId="58E47A21" w:rsidR="001F1AA9" w:rsidRPr="00F4180C" w:rsidRDefault="001F1AA9" w:rsidP="003C1B62">
      <w:pPr>
        <w:ind w:left="1276"/>
        <w:rPr>
          <w:rFonts w:asciiTheme="majorBidi" w:hAnsiTheme="majorBidi" w:cstheme="majorBidi"/>
        </w:rPr>
      </w:pPr>
      <w:r w:rsidRPr="00F4180C">
        <w:rPr>
          <w:rFonts w:asciiTheme="majorBidi" w:hAnsiTheme="majorBidi" w:cstheme="majorBidi"/>
        </w:rPr>
        <w:drawing>
          <wp:anchor distT="0" distB="0" distL="114300" distR="114300" simplePos="0" relativeHeight="251659264" behindDoc="0" locked="0" layoutInCell="1" allowOverlap="1" wp14:anchorId="6B6A6FF1" wp14:editId="6D5553C1">
            <wp:simplePos x="0" y="0"/>
            <wp:positionH relativeFrom="column">
              <wp:posOffset>821055</wp:posOffset>
            </wp:positionH>
            <wp:positionV relativeFrom="paragraph">
              <wp:posOffset>78105</wp:posOffset>
            </wp:positionV>
            <wp:extent cx="5113655" cy="1454785"/>
            <wp:effectExtent l="0" t="0" r="4445" b="5715"/>
            <wp:wrapTopAndBottom/>
            <wp:docPr id="5281408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140866" name="Picture 528140866"/>
                    <pic:cNvPicPr/>
                  </pic:nvPicPr>
                  <pic:blipFill>
                    <a:blip r:embed="rId18">
                      <a:extLst>
                        <a:ext uri="{28A0092B-C50C-407E-A947-70E740481C1C}">
                          <a14:useLocalDpi xmlns:a14="http://schemas.microsoft.com/office/drawing/2010/main" val="0"/>
                        </a:ext>
                      </a:extLst>
                    </a:blip>
                    <a:stretch>
                      <a:fillRect/>
                    </a:stretch>
                  </pic:blipFill>
                  <pic:spPr>
                    <a:xfrm>
                      <a:off x="0" y="0"/>
                      <a:ext cx="5113655" cy="1454785"/>
                    </a:xfrm>
                    <a:prstGeom prst="rect">
                      <a:avLst/>
                    </a:prstGeom>
                  </pic:spPr>
                </pic:pic>
              </a:graphicData>
            </a:graphic>
            <wp14:sizeRelH relativeFrom="page">
              <wp14:pctWidth>0</wp14:pctWidth>
            </wp14:sizeRelH>
            <wp14:sizeRelV relativeFrom="page">
              <wp14:pctHeight>0</wp14:pctHeight>
            </wp14:sizeRelV>
          </wp:anchor>
        </w:drawing>
      </w:r>
    </w:p>
    <w:p w14:paraId="33555353" w14:textId="2D7567FB" w:rsidR="001F1AA9" w:rsidRPr="00F4180C" w:rsidRDefault="001F1AA9" w:rsidP="00FF77C9">
      <w:pPr>
        <w:pStyle w:val="Normalnumber"/>
        <w:numPr>
          <w:ilvl w:val="0"/>
          <w:numId w:val="3"/>
        </w:numPr>
        <w:tabs>
          <w:tab w:val="clear" w:pos="1247"/>
          <w:tab w:val="clear" w:pos="1814"/>
          <w:tab w:val="clear" w:pos="2381"/>
          <w:tab w:val="clear" w:pos="2948"/>
          <w:tab w:val="clear" w:pos="3515"/>
          <w:tab w:val="clear" w:pos="4082"/>
          <w:tab w:val="num" w:pos="624"/>
        </w:tabs>
        <w:spacing w:before="120"/>
        <w:ind w:left="1248" w:firstLine="0"/>
        <w:rPr>
          <w:rFonts w:asciiTheme="majorBidi" w:hAnsiTheme="majorBidi" w:cstheme="majorBidi"/>
          <w:lang w:val="en-GB"/>
        </w:rPr>
      </w:pPr>
      <w:r w:rsidRPr="00F4180C">
        <w:rPr>
          <w:rFonts w:asciiTheme="majorBidi" w:hAnsiTheme="majorBidi" w:cstheme="majorBidi"/>
          <w:lang w:val="en-GB"/>
        </w:rPr>
        <w:t xml:space="preserve">Inventory Level 3 also estimates the accumulation of mercury in society over time, including mercury currently in use in products and processes and mercury stockpiles awaiting final disposal. This </w:t>
      </w:r>
      <w:r w:rsidRPr="00FF77C9">
        <w:rPr>
          <w:rFonts w:asciiTheme="majorBidi" w:hAnsiTheme="majorBidi" w:cstheme="majorBidi"/>
          <w:color w:val="000000"/>
          <w:kern w:val="2"/>
          <w:lang w:val="en-GB"/>
          <w14:ligatures w14:val="standardContextual"/>
        </w:rPr>
        <w:t>approach</w:t>
      </w:r>
      <w:r w:rsidRPr="00F4180C">
        <w:rPr>
          <w:rFonts w:asciiTheme="majorBidi" w:hAnsiTheme="majorBidi" w:cstheme="majorBidi"/>
          <w:lang w:val="en-GB"/>
        </w:rPr>
        <w:t xml:space="preserve"> could be useful for identifying and quantifying potential sources of mercury supply and existing stockpiles.</w:t>
      </w:r>
    </w:p>
    <w:p w14:paraId="2A43AE37" w14:textId="0FFEB9DC" w:rsidR="001F1AA9" w:rsidRPr="00245E45" w:rsidRDefault="001F1AA9" w:rsidP="001F1AA9">
      <w:pPr>
        <w:pStyle w:val="CH2"/>
        <w:keepNext w:val="0"/>
        <w:keepLines w:val="0"/>
      </w:pPr>
      <w:r>
        <w:tab/>
      </w:r>
      <w:r w:rsidR="008D7F23">
        <w:t>B</w:t>
      </w:r>
      <w:r>
        <w:t>.</w:t>
      </w:r>
      <w:r w:rsidRPr="00245E45">
        <w:tab/>
      </w:r>
      <w:r w:rsidR="008D7F23" w:rsidRPr="008D7F23">
        <w:t>Mercury material flow</w:t>
      </w:r>
    </w:p>
    <w:p w14:paraId="779B75CB" w14:textId="5A31A09A" w:rsidR="00201BC3" w:rsidRPr="005B2E83" w:rsidRDefault="00201BC3" w:rsidP="005B2E83">
      <w:pPr>
        <w:pStyle w:val="Normalnumber"/>
        <w:numPr>
          <w:ilvl w:val="0"/>
          <w:numId w:val="3"/>
        </w:numPr>
        <w:tabs>
          <w:tab w:val="clear" w:pos="1247"/>
          <w:tab w:val="clear" w:pos="1814"/>
          <w:tab w:val="clear" w:pos="2381"/>
          <w:tab w:val="clear" w:pos="2948"/>
          <w:tab w:val="clear" w:pos="3515"/>
          <w:tab w:val="clear" w:pos="4082"/>
          <w:tab w:val="num" w:pos="624"/>
        </w:tabs>
        <w:spacing w:before="120"/>
        <w:ind w:left="1248" w:firstLine="0"/>
        <w:rPr>
          <w:rFonts w:asciiTheme="majorBidi" w:hAnsiTheme="majorBidi" w:cstheme="majorBidi"/>
          <w:lang w:val="en-GB"/>
        </w:rPr>
      </w:pPr>
      <w:r w:rsidRPr="00F4180C">
        <w:rPr>
          <w:rFonts w:asciiTheme="majorBidi" w:hAnsiTheme="majorBidi" w:cstheme="majorBidi"/>
          <w:lang w:val="en-GB"/>
        </w:rPr>
        <w:t>Mercury material flow (MMF) analysis is a systematic method to quantify the flows and stocks of mercury across a country’s economy. It applies the principles of material flow analysis, a method that tracks material flows and stocks of material. By building a comprehensive mass flow model, MMF characterizes a country’s mercury situation across its full life cycle—from import and production to use and final disposal. It accounts for mercury involved in economic activities such as mercury trade, production, use (sales), and manufacturing, and the accumulation of mercury in products and in processes.</w:t>
      </w:r>
      <w:r w:rsidRPr="00F4180C">
        <w:rPr>
          <w:rFonts w:asciiTheme="majorBidi" w:hAnsiTheme="majorBidi" w:cstheme="majorBidi"/>
          <w:vertAlign w:val="superscript"/>
          <w:lang w:val="en-GB"/>
        </w:rPr>
        <w:footnoteReference w:id="28"/>
      </w:r>
      <w:r w:rsidRPr="00F4180C">
        <w:rPr>
          <w:rFonts w:asciiTheme="majorBidi" w:hAnsiTheme="majorBidi" w:cstheme="majorBidi"/>
          <w:lang w:val="en-GB"/>
        </w:rPr>
        <w:t xml:space="preserve"> </w:t>
      </w:r>
    </w:p>
    <w:p w14:paraId="2202DB91" w14:textId="1AAB410D" w:rsidR="00201BC3" w:rsidRPr="005B2E83" w:rsidRDefault="005B2E83" w:rsidP="00201BC3">
      <w:pPr>
        <w:ind w:left="1276"/>
        <w:rPr>
          <w:rFonts w:asciiTheme="majorBidi" w:eastAsia="Times New Roman" w:hAnsiTheme="majorBidi" w:cstheme="majorBidi"/>
          <w:iCs/>
        </w:rPr>
      </w:pPr>
      <w:r w:rsidRPr="00CB1694">
        <w:rPr>
          <w:rFonts w:asciiTheme="majorBidi" w:eastAsia="Times New Roman" w:hAnsiTheme="majorBidi" w:cstheme="majorBidi"/>
          <w:iCs/>
          <w:sz w:val="24"/>
          <w:szCs w:val="24"/>
        </w:rPr>
        <w:drawing>
          <wp:anchor distT="0" distB="0" distL="114300" distR="114300" simplePos="0" relativeHeight="251663360" behindDoc="0" locked="0" layoutInCell="1" allowOverlap="1" wp14:anchorId="5E23555E" wp14:editId="23773B30">
            <wp:simplePos x="0" y="0"/>
            <wp:positionH relativeFrom="column">
              <wp:posOffset>819150</wp:posOffset>
            </wp:positionH>
            <wp:positionV relativeFrom="paragraph">
              <wp:posOffset>183515</wp:posOffset>
            </wp:positionV>
            <wp:extent cx="4139621" cy="2040466"/>
            <wp:effectExtent l="0" t="0" r="635" b="4445"/>
            <wp:wrapTopAndBottom/>
            <wp:docPr id="77502274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9" cstate="print">
                      <a:extLst>
                        <a:ext uri="{28A0092B-C50C-407E-A947-70E740481C1C}">
                          <a14:useLocalDpi xmlns:a14="http://schemas.microsoft.com/office/drawing/2010/main" val="0"/>
                        </a:ext>
                      </a:extLst>
                    </a:blip>
                    <a:srcRect/>
                    <a:stretch>
                      <a:fillRect/>
                    </a:stretch>
                  </pic:blipFill>
                  <pic:spPr>
                    <a:xfrm>
                      <a:off x="0" y="0"/>
                      <a:ext cx="4139621" cy="2040466"/>
                    </a:xfrm>
                    <a:prstGeom prst="rect">
                      <a:avLst/>
                    </a:prstGeom>
                    <a:ln/>
                  </pic:spPr>
                </pic:pic>
              </a:graphicData>
            </a:graphic>
            <wp14:sizeRelH relativeFrom="page">
              <wp14:pctWidth>0</wp14:pctWidth>
            </wp14:sizeRelH>
            <wp14:sizeRelV relativeFrom="page">
              <wp14:pctHeight>0</wp14:pctHeight>
            </wp14:sizeRelV>
          </wp:anchor>
        </w:drawing>
      </w:r>
      <w:r w:rsidR="00201BC3" w:rsidRPr="005B2E83">
        <w:rPr>
          <w:rFonts w:asciiTheme="majorBidi" w:eastAsia="Times New Roman" w:hAnsiTheme="majorBidi" w:cstheme="majorBidi"/>
          <w:iCs/>
        </w:rPr>
        <w:t>Fig</w:t>
      </w:r>
      <w:r w:rsidRPr="005B2E83">
        <w:rPr>
          <w:rFonts w:asciiTheme="majorBidi" w:eastAsia="Times New Roman" w:hAnsiTheme="majorBidi" w:cstheme="majorBidi"/>
          <w:iCs/>
        </w:rPr>
        <w:t>ure</w:t>
      </w:r>
      <w:r w:rsidR="00201BC3" w:rsidRPr="005B2E83">
        <w:rPr>
          <w:rFonts w:asciiTheme="majorBidi" w:eastAsia="Times New Roman" w:hAnsiTheme="majorBidi" w:cstheme="majorBidi"/>
          <w:iCs/>
        </w:rPr>
        <w:t xml:space="preserve"> 3</w:t>
      </w:r>
      <w:r>
        <w:rPr>
          <w:rFonts w:asciiTheme="majorBidi" w:eastAsia="Times New Roman" w:hAnsiTheme="majorBidi" w:cstheme="majorBidi"/>
          <w:iCs/>
        </w:rPr>
        <w:t xml:space="preserve">: </w:t>
      </w:r>
      <w:r w:rsidR="00201BC3" w:rsidRPr="005B2E83">
        <w:rPr>
          <w:rFonts w:asciiTheme="majorBidi" w:eastAsia="Times New Roman" w:hAnsiTheme="majorBidi" w:cstheme="majorBidi"/>
          <w:b/>
          <w:bCs/>
          <w:iCs/>
        </w:rPr>
        <w:t>Conceptual diagram of material flow</w:t>
      </w:r>
      <w:r w:rsidR="00201BC3" w:rsidRPr="005B2E83">
        <w:rPr>
          <w:rFonts w:asciiTheme="majorBidi" w:eastAsia="Times New Roman" w:hAnsiTheme="majorBidi" w:cstheme="majorBidi"/>
          <w:iCs/>
        </w:rPr>
        <w:t xml:space="preserve"> </w:t>
      </w:r>
      <w:r w:rsidR="00201BC3" w:rsidRPr="005B2E83">
        <w:rPr>
          <w:rFonts w:asciiTheme="majorBidi" w:eastAsia="Times New Roman" w:hAnsiTheme="majorBidi" w:cstheme="majorBidi"/>
          <w:i/>
        </w:rPr>
        <w:t>(source: MMF in Japan)</w:t>
      </w:r>
      <w:r w:rsidR="00201BC3" w:rsidRPr="005B2E83">
        <w:rPr>
          <w:rFonts w:asciiTheme="majorBidi" w:eastAsia="Times New Roman" w:hAnsiTheme="majorBidi" w:cstheme="majorBidi"/>
          <w:iCs/>
        </w:rPr>
        <w:t xml:space="preserve"> </w:t>
      </w:r>
    </w:p>
    <w:p w14:paraId="6AC06F31" w14:textId="418D43DD" w:rsidR="00201BC3" w:rsidRPr="005B2E83" w:rsidRDefault="00201BC3" w:rsidP="005B2E83">
      <w:pPr>
        <w:pStyle w:val="Normalnumber"/>
        <w:numPr>
          <w:ilvl w:val="0"/>
          <w:numId w:val="3"/>
        </w:numPr>
        <w:tabs>
          <w:tab w:val="clear" w:pos="1247"/>
          <w:tab w:val="clear" w:pos="1814"/>
          <w:tab w:val="clear" w:pos="2381"/>
          <w:tab w:val="clear" w:pos="2948"/>
          <w:tab w:val="clear" w:pos="3515"/>
          <w:tab w:val="clear" w:pos="4082"/>
          <w:tab w:val="num" w:pos="624"/>
        </w:tabs>
        <w:spacing w:before="120"/>
        <w:ind w:left="1248" w:firstLine="0"/>
        <w:rPr>
          <w:rFonts w:asciiTheme="majorBidi" w:hAnsiTheme="majorBidi" w:cstheme="majorBidi"/>
          <w:lang w:val="en-GB"/>
        </w:rPr>
      </w:pPr>
      <w:r w:rsidRPr="00F4180C">
        <w:rPr>
          <w:rFonts w:asciiTheme="majorBidi" w:hAnsiTheme="majorBidi" w:cstheme="majorBidi"/>
          <w:lang w:val="en-GB"/>
        </w:rPr>
        <w:t xml:space="preserve">Using the mass balance principle, an MMF helps to show the complex and intricate links between sources and releases in the life cycle of mercury within the territorial boundary. The inflow to (e.g. imports, domestic mining) and outflow (exports, emissions, landfill) from a boundary will affect </w:t>
      </w:r>
      <w:r w:rsidRPr="00F4180C">
        <w:rPr>
          <w:rFonts w:asciiTheme="majorBidi" w:hAnsiTheme="majorBidi" w:cstheme="majorBidi"/>
          <w:lang w:val="en-GB"/>
        </w:rPr>
        <w:lastRenderedPageBreak/>
        <w:t xml:space="preserve">the accumulation (e.g. mercury stores in facilities or accumulated in the economy) or depletion of the stock within the boundary if the mass balance is maintained. </w:t>
      </w:r>
    </w:p>
    <w:p w14:paraId="41D6D07B" w14:textId="7FCF1DC6" w:rsidR="005B2E83" w:rsidRDefault="00201BC3" w:rsidP="005B2E83">
      <w:pPr>
        <w:pStyle w:val="Normalnumber"/>
        <w:numPr>
          <w:ilvl w:val="0"/>
          <w:numId w:val="3"/>
        </w:numPr>
        <w:tabs>
          <w:tab w:val="clear" w:pos="1247"/>
          <w:tab w:val="clear" w:pos="1814"/>
          <w:tab w:val="clear" w:pos="2381"/>
          <w:tab w:val="clear" w:pos="2948"/>
          <w:tab w:val="clear" w:pos="3515"/>
          <w:tab w:val="clear" w:pos="4082"/>
          <w:tab w:val="num" w:pos="624"/>
        </w:tabs>
        <w:spacing w:before="120"/>
        <w:ind w:left="1248" w:firstLine="0"/>
        <w:rPr>
          <w:rFonts w:asciiTheme="majorBidi" w:hAnsiTheme="majorBidi" w:cstheme="majorBidi"/>
          <w:lang w:val="en-GB"/>
        </w:rPr>
      </w:pPr>
      <w:r w:rsidRPr="00F4180C">
        <w:rPr>
          <w:rFonts w:asciiTheme="majorBidi" w:hAnsiTheme="majorBidi" w:cstheme="majorBidi"/>
          <w:lang w:val="en-GB"/>
        </w:rPr>
        <w:t>MMF can provide key insights for implementing Article 3. By tracking mercury flows, MMF can help detect quantities accumulated in industrial processes, mercury recovered from recycling or treatment facilities, surplus mercury from closed industries or confiscated mercury from illegal activities (e.g. from illegal trade or mining), stockpiled mercury in manufacturing processes or storage, or mercury flows through import and export streams. These data allow Parties to determine whether significant stocks and sources of supply exist, or pinpoint supply sources that exceed 10 metric tonnes per year, as required under Article 3. MMF may also complement trade reporting under the Convention by integrating import/export data directly into its analysis.</w:t>
      </w:r>
    </w:p>
    <w:p w14:paraId="71ECA6ED" w14:textId="77777777" w:rsidR="007F38C9" w:rsidRDefault="00271304" w:rsidP="005B2E83">
      <w:pPr>
        <w:pStyle w:val="Normalnumber"/>
        <w:tabs>
          <w:tab w:val="clear" w:pos="1247"/>
          <w:tab w:val="clear" w:pos="1814"/>
          <w:tab w:val="clear" w:pos="2381"/>
          <w:tab w:val="clear" w:pos="2948"/>
          <w:tab w:val="clear" w:pos="3515"/>
          <w:tab w:val="clear" w:pos="4082"/>
        </w:tabs>
        <w:spacing w:before="120"/>
        <w:ind w:left="1248"/>
        <w:rPr>
          <w:rFonts w:asciiTheme="majorBidi" w:hAnsiTheme="majorBidi" w:cstheme="majorBidi"/>
          <w:i/>
        </w:rPr>
      </w:pPr>
      <w:r w:rsidRPr="00F4180C">
        <w:rPr>
          <w:rFonts w:asciiTheme="majorBidi" w:hAnsiTheme="majorBidi" w:cstheme="majorBidi"/>
          <w:sz w:val="24"/>
          <w:lang w:val="en-GB"/>
        </w:rPr>
        <w:drawing>
          <wp:anchor distT="0" distB="0" distL="114300" distR="114300" simplePos="0" relativeHeight="251664384" behindDoc="1" locked="0" layoutInCell="1" allowOverlap="1" wp14:anchorId="4C13A47B" wp14:editId="43073D26">
            <wp:simplePos x="0" y="0"/>
            <wp:positionH relativeFrom="column">
              <wp:posOffset>814070</wp:posOffset>
            </wp:positionH>
            <wp:positionV relativeFrom="paragraph">
              <wp:posOffset>389255</wp:posOffset>
            </wp:positionV>
            <wp:extent cx="4953000" cy="2806700"/>
            <wp:effectExtent l="0" t="0" r="0" b="0"/>
            <wp:wrapTopAndBottom/>
            <wp:docPr id="119772576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0" cstate="print">
                      <a:extLst>
                        <a:ext uri="{28A0092B-C50C-407E-A947-70E740481C1C}">
                          <a14:useLocalDpi xmlns:a14="http://schemas.microsoft.com/office/drawing/2010/main" val="0"/>
                        </a:ext>
                      </a:extLst>
                    </a:blip>
                    <a:srcRect/>
                    <a:stretch>
                      <a:fillRect/>
                    </a:stretch>
                  </pic:blipFill>
                  <pic:spPr>
                    <a:xfrm>
                      <a:off x="0" y="0"/>
                      <a:ext cx="4953000" cy="2806700"/>
                    </a:xfrm>
                    <a:prstGeom prst="rect">
                      <a:avLst/>
                    </a:prstGeom>
                    <a:ln/>
                  </pic:spPr>
                </pic:pic>
              </a:graphicData>
            </a:graphic>
            <wp14:sizeRelH relativeFrom="margin">
              <wp14:pctWidth>0</wp14:pctWidth>
            </wp14:sizeRelH>
            <wp14:sizeRelV relativeFrom="margin">
              <wp14:pctHeight>0</wp14:pctHeight>
            </wp14:sizeRelV>
          </wp:anchor>
        </w:drawing>
      </w:r>
      <w:r w:rsidR="005B2E83" w:rsidRPr="005B2E83">
        <w:rPr>
          <w:rFonts w:asciiTheme="majorBidi" w:hAnsiTheme="majorBidi" w:cstheme="majorBidi"/>
          <w:iCs/>
        </w:rPr>
        <w:t>Fig</w:t>
      </w:r>
      <w:r w:rsidR="005B2E83" w:rsidRPr="005B2E83">
        <w:rPr>
          <w:rFonts w:asciiTheme="majorBidi" w:hAnsiTheme="majorBidi" w:cstheme="majorBidi"/>
          <w:iCs/>
        </w:rPr>
        <w:t>ure</w:t>
      </w:r>
      <w:r w:rsidR="005B2E83" w:rsidRPr="005B2E83">
        <w:rPr>
          <w:rFonts w:asciiTheme="majorBidi" w:hAnsiTheme="majorBidi" w:cstheme="majorBidi"/>
          <w:iCs/>
        </w:rPr>
        <w:t xml:space="preserve"> 4. </w:t>
      </w:r>
      <w:r w:rsidR="005B2E83" w:rsidRPr="005B2E83">
        <w:rPr>
          <w:rFonts w:asciiTheme="majorBidi" w:hAnsiTheme="majorBidi" w:cstheme="majorBidi"/>
          <w:b/>
          <w:bCs/>
          <w:iCs/>
        </w:rPr>
        <w:t xml:space="preserve">Example of MMF </w:t>
      </w:r>
      <w:proofErr w:type="spellStart"/>
      <w:r w:rsidR="005B2E83" w:rsidRPr="005B2E83">
        <w:rPr>
          <w:rFonts w:asciiTheme="majorBidi" w:hAnsiTheme="majorBidi" w:cstheme="majorBidi"/>
          <w:b/>
          <w:bCs/>
          <w:iCs/>
        </w:rPr>
        <w:t>diagram</w:t>
      </w:r>
      <w:proofErr w:type="spellEnd"/>
      <w:r w:rsidR="005B2E83" w:rsidRPr="005B2E83">
        <w:rPr>
          <w:rFonts w:asciiTheme="majorBidi" w:hAnsiTheme="majorBidi" w:cstheme="majorBidi"/>
          <w:i/>
        </w:rPr>
        <w:t xml:space="preserve"> </w:t>
      </w:r>
    </w:p>
    <w:p w14:paraId="1851710A" w14:textId="35AE11C6" w:rsidR="005B2E83" w:rsidRPr="005B2E83" w:rsidRDefault="005B2E83" w:rsidP="005B2E83">
      <w:pPr>
        <w:pStyle w:val="Normalnumber"/>
        <w:tabs>
          <w:tab w:val="clear" w:pos="1247"/>
          <w:tab w:val="clear" w:pos="1814"/>
          <w:tab w:val="clear" w:pos="2381"/>
          <w:tab w:val="clear" w:pos="2948"/>
          <w:tab w:val="clear" w:pos="3515"/>
          <w:tab w:val="clear" w:pos="4082"/>
        </w:tabs>
        <w:spacing w:before="120"/>
        <w:ind w:left="1248"/>
        <w:rPr>
          <w:rFonts w:asciiTheme="majorBidi" w:hAnsiTheme="majorBidi" w:cstheme="majorBidi"/>
          <w:lang w:val="en-GB"/>
        </w:rPr>
      </w:pPr>
      <w:r w:rsidRPr="005B2E83">
        <w:rPr>
          <w:rFonts w:asciiTheme="majorBidi" w:hAnsiTheme="majorBidi" w:cstheme="majorBidi"/>
          <w:i/>
        </w:rPr>
        <w:t>(</w:t>
      </w:r>
      <w:proofErr w:type="gramStart"/>
      <w:r w:rsidRPr="005B2E83">
        <w:rPr>
          <w:rFonts w:asciiTheme="majorBidi" w:hAnsiTheme="majorBidi" w:cstheme="majorBidi"/>
          <w:i/>
        </w:rPr>
        <w:t>source</w:t>
      </w:r>
      <w:proofErr w:type="gramEnd"/>
      <w:r w:rsidRPr="005B2E83">
        <w:rPr>
          <w:rFonts w:asciiTheme="majorBidi" w:hAnsiTheme="majorBidi" w:cstheme="majorBidi"/>
          <w:i/>
        </w:rPr>
        <w:t xml:space="preserve">: UNEP/UNITAR Training Package for </w:t>
      </w:r>
      <w:proofErr w:type="spellStart"/>
      <w:r w:rsidRPr="005B2E83">
        <w:rPr>
          <w:rFonts w:asciiTheme="majorBidi" w:hAnsiTheme="majorBidi" w:cstheme="majorBidi"/>
          <w:i/>
        </w:rPr>
        <w:t>mercury</w:t>
      </w:r>
      <w:proofErr w:type="spellEnd"/>
      <w:r w:rsidRPr="005B2E83">
        <w:rPr>
          <w:rFonts w:asciiTheme="majorBidi" w:hAnsiTheme="majorBidi" w:cstheme="majorBidi"/>
          <w:i/>
        </w:rPr>
        <w:t xml:space="preserve"> flow </w:t>
      </w:r>
      <w:proofErr w:type="spellStart"/>
      <w:r w:rsidRPr="005B2E83">
        <w:rPr>
          <w:rFonts w:asciiTheme="majorBidi" w:hAnsiTheme="majorBidi" w:cstheme="majorBidi"/>
          <w:i/>
        </w:rPr>
        <w:t>analysis</w:t>
      </w:r>
      <w:proofErr w:type="spellEnd"/>
      <w:r w:rsidRPr="005B2E83">
        <w:rPr>
          <w:rFonts w:asciiTheme="majorBidi" w:hAnsiTheme="majorBidi" w:cstheme="majorBidi"/>
          <w:i/>
        </w:rPr>
        <w:t>)</w:t>
      </w:r>
    </w:p>
    <w:p w14:paraId="64AF8434" w14:textId="5BFDF582" w:rsidR="00201BC3" w:rsidRPr="00F4180C" w:rsidRDefault="00201BC3" w:rsidP="00201BC3">
      <w:pPr>
        <w:rPr>
          <w:rFonts w:asciiTheme="majorBidi" w:eastAsia="Times New Roman" w:hAnsiTheme="majorBidi" w:cstheme="majorBidi"/>
          <w:sz w:val="24"/>
          <w:szCs w:val="24"/>
        </w:rPr>
      </w:pPr>
    </w:p>
    <w:p w14:paraId="3C6FA6F7" w14:textId="08841C31" w:rsidR="00201BC3" w:rsidRPr="00F4180C" w:rsidRDefault="00201BC3" w:rsidP="00FF77C9">
      <w:pPr>
        <w:pStyle w:val="Normalnumber"/>
        <w:numPr>
          <w:ilvl w:val="0"/>
          <w:numId w:val="3"/>
        </w:numPr>
        <w:tabs>
          <w:tab w:val="clear" w:pos="1247"/>
          <w:tab w:val="clear" w:pos="1814"/>
          <w:tab w:val="clear" w:pos="2381"/>
          <w:tab w:val="clear" w:pos="2948"/>
          <w:tab w:val="clear" w:pos="3515"/>
          <w:tab w:val="clear" w:pos="4082"/>
          <w:tab w:val="num" w:pos="624"/>
        </w:tabs>
        <w:spacing w:before="120"/>
        <w:ind w:left="1248" w:firstLine="0"/>
        <w:rPr>
          <w:rFonts w:asciiTheme="majorBidi" w:hAnsiTheme="majorBidi" w:cstheme="majorBidi"/>
          <w:lang w:val="en-GB"/>
        </w:rPr>
      </w:pPr>
      <w:r w:rsidRPr="00F4180C">
        <w:rPr>
          <w:rFonts w:asciiTheme="majorBidi" w:hAnsiTheme="majorBidi" w:cstheme="majorBidi"/>
          <w:lang w:val="en-GB"/>
        </w:rPr>
        <w:t xml:space="preserve">Developing an MMF requires comprehensive data from multiple sectors. Data collection typically uses a combination of national statistics, stakeholder interviews, review of existing literature, and targeted surveys and questionnaires. </w:t>
      </w:r>
    </w:p>
    <w:p w14:paraId="1FFD1DED" w14:textId="078B5EB6" w:rsidR="00201BC3" w:rsidRPr="00F4180C" w:rsidRDefault="00201BC3" w:rsidP="00FF77C9">
      <w:pPr>
        <w:pStyle w:val="Normalnumber"/>
        <w:numPr>
          <w:ilvl w:val="0"/>
          <w:numId w:val="3"/>
        </w:numPr>
        <w:tabs>
          <w:tab w:val="clear" w:pos="1247"/>
          <w:tab w:val="clear" w:pos="1814"/>
          <w:tab w:val="clear" w:pos="2381"/>
          <w:tab w:val="clear" w:pos="2948"/>
          <w:tab w:val="clear" w:pos="3515"/>
          <w:tab w:val="clear" w:pos="4082"/>
          <w:tab w:val="num" w:pos="624"/>
        </w:tabs>
        <w:spacing w:before="120"/>
        <w:ind w:left="1248" w:firstLine="0"/>
        <w:rPr>
          <w:rFonts w:asciiTheme="majorBidi" w:hAnsiTheme="majorBidi" w:cstheme="majorBidi"/>
          <w:vertAlign w:val="superscript"/>
          <w:lang w:val="en-GB"/>
        </w:rPr>
      </w:pPr>
      <w:r w:rsidRPr="00F4180C">
        <w:rPr>
          <w:rFonts w:asciiTheme="majorBidi" w:hAnsiTheme="majorBidi" w:cstheme="majorBidi"/>
          <w:lang w:val="en-GB"/>
        </w:rPr>
        <w:t>For technical guidance, countries may refer to the UNEP/UNITAR Training Package for Mercury Flow Analysis, which provides templates, case studies, and step-by-step instructions. This resource is available online and supports capacity building for countries implementing MMF in line with the Minamata Convention.</w:t>
      </w:r>
      <w:r w:rsidRPr="00F4180C">
        <w:rPr>
          <w:rFonts w:asciiTheme="majorBidi" w:hAnsiTheme="majorBidi" w:cstheme="majorBidi"/>
          <w:vertAlign w:val="superscript"/>
          <w:lang w:val="en-GB"/>
        </w:rPr>
        <w:footnoteReference w:id="29"/>
      </w:r>
    </w:p>
    <w:tbl>
      <w:tblPr>
        <w:tblW w:w="8094" w:type="dxa"/>
        <w:tblInd w:w="126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094"/>
      </w:tblGrid>
      <w:tr w:rsidR="00201BC3" w:rsidRPr="00F4180C" w14:paraId="69EF9A2B" w14:textId="77777777" w:rsidTr="00271304">
        <w:tc>
          <w:tcPr>
            <w:tcW w:w="8094" w:type="dxa"/>
            <w:shd w:val="clear" w:color="auto" w:fill="D9D9D9" w:themeFill="background1" w:themeFillShade="D9"/>
            <w:tcMar>
              <w:top w:w="100" w:type="dxa"/>
              <w:left w:w="100" w:type="dxa"/>
              <w:bottom w:w="100" w:type="dxa"/>
              <w:right w:w="100" w:type="dxa"/>
            </w:tcMar>
          </w:tcPr>
          <w:p w14:paraId="4AD55659" w14:textId="77777777" w:rsidR="00201BC3" w:rsidRPr="00F4180C" w:rsidRDefault="00201BC3" w:rsidP="007F38C9">
            <w:pPr>
              <w:keepNext/>
              <w:widowControl w:val="0"/>
              <w:pBdr>
                <w:top w:val="nil"/>
                <w:left w:val="nil"/>
                <w:bottom w:val="nil"/>
                <w:right w:val="nil"/>
                <w:between w:val="nil"/>
              </w:pBdr>
              <w:spacing w:after="120"/>
              <w:rPr>
                <w:rFonts w:asciiTheme="majorBidi" w:eastAsia="Times New Roman" w:hAnsiTheme="majorBidi" w:cstheme="majorBidi"/>
                <w:b/>
              </w:rPr>
            </w:pPr>
            <w:r w:rsidRPr="00F4180C">
              <w:rPr>
                <w:rFonts w:asciiTheme="majorBidi" w:eastAsia="Times New Roman" w:hAnsiTheme="majorBidi" w:cstheme="majorBidi"/>
                <w:b/>
              </w:rPr>
              <w:t>Example: Japan’s MMF</w:t>
            </w:r>
          </w:p>
          <w:p w14:paraId="21F8D821" w14:textId="19C5A049" w:rsidR="00271304" w:rsidRPr="00F4180C" w:rsidRDefault="00271304" w:rsidP="007F38C9">
            <w:pPr>
              <w:keepNext/>
              <w:spacing w:after="120"/>
              <w:rPr>
                <w:rFonts w:asciiTheme="majorBidi" w:eastAsia="Times New Roman" w:hAnsiTheme="majorBidi" w:cstheme="majorBidi"/>
                <w:i/>
              </w:rPr>
            </w:pPr>
            <w:r w:rsidRPr="00271304">
              <w:rPr>
                <w:rFonts w:asciiTheme="majorBidi" w:eastAsia="Times New Roman" w:hAnsiTheme="majorBidi" w:cstheme="majorBidi"/>
                <w:iCs/>
              </w:rPr>
              <w:t>Fig</w:t>
            </w:r>
            <w:r w:rsidRPr="00271304">
              <w:rPr>
                <w:rFonts w:asciiTheme="majorBidi" w:eastAsia="Times New Roman" w:hAnsiTheme="majorBidi" w:cstheme="majorBidi"/>
                <w:iCs/>
              </w:rPr>
              <w:t>ure</w:t>
            </w:r>
            <w:r w:rsidRPr="00271304">
              <w:rPr>
                <w:rFonts w:asciiTheme="majorBidi" w:eastAsia="Times New Roman" w:hAnsiTheme="majorBidi" w:cstheme="majorBidi"/>
                <w:iCs/>
              </w:rPr>
              <w:t xml:space="preserve"> 5. </w:t>
            </w:r>
            <w:r w:rsidRPr="00271304">
              <w:rPr>
                <w:rFonts w:asciiTheme="majorBidi" w:eastAsia="Times New Roman" w:hAnsiTheme="majorBidi" w:cstheme="majorBidi"/>
                <w:b/>
                <w:bCs/>
                <w:iCs/>
              </w:rPr>
              <w:t>Simplified MMF in Japan</w:t>
            </w:r>
            <w:r w:rsidRPr="00F4180C">
              <w:rPr>
                <w:rFonts w:asciiTheme="majorBidi" w:eastAsia="Times New Roman" w:hAnsiTheme="majorBidi" w:cstheme="majorBidi"/>
                <w:i/>
              </w:rPr>
              <w:t xml:space="preserve"> (FY 2016)</w:t>
            </w:r>
          </w:p>
          <w:p w14:paraId="455BC123" w14:textId="77777777" w:rsidR="00201BC3" w:rsidRPr="00F4180C" w:rsidRDefault="00201BC3" w:rsidP="007F38C9">
            <w:pPr>
              <w:keepNext/>
              <w:widowControl w:val="0"/>
              <w:spacing w:after="120"/>
              <w:jc w:val="center"/>
              <w:rPr>
                <w:rFonts w:asciiTheme="majorBidi" w:eastAsia="Times New Roman" w:hAnsiTheme="majorBidi" w:cstheme="majorBidi"/>
              </w:rPr>
            </w:pPr>
            <w:r w:rsidRPr="00F4180C">
              <w:rPr>
                <w:rFonts w:asciiTheme="majorBidi" w:eastAsia="Times New Roman" w:hAnsiTheme="majorBidi" w:cstheme="majorBidi"/>
              </w:rPr>
              <w:lastRenderedPageBreak/>
              <w:drawing>
                <wp:inline distT="114300" distB="114300" distL="114300" distR="114300" wp14:anchorId="2F85EB2F" wp14:editId="3F9C3514">
                  <wp:extent cx="4229100" cy="2648378"/>
                  <wp:effectExtent l="0" t="0" r="0" b="0"/>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1"/>
                          <a:srcRect b="2781"/>
                          <a:stretch>
                            <a:fillRect/>
                          </a:stretch>
                        </pic:blipFill>
                        <pic:spPr>
                          <a:xfrm>
                            <a:off x="0" y="0"/>
                            <a:ext cx="4229100" cy="2648378"/>
                          </a:xfrm>
                          <a:prstGeom prst="rect">
                            <a:avLst/>
                          </a:prstGeom>
                          <a:ln/>
                        </pic:spPr>
                      </pic:pic>
                    </a:graphicData>
                  </a:graphic>
                </wp:inline>
              </w:drawing>
            </w:r>
          </w:p>
          <w:p w14:paraId="317C51CF" w14:textId="77777777" w:rsidR="00201BC3" w:rsidRPr="00F4180C" w:rsidRDefault="00201BC3" w:rsidP="007F38C9">
            <w:pPr>
              <w:keepNext/>
              <w:spacing w:after="120"/>
              <w:rPr>
                <w:rFonts w:asciiTheme="majorBidi" w:eastAsia="Times New Roman" w:hAnsiTheme="majorBidi" w:cstheme="majorBidi"/>
              </w:rPr>
            </w:pPr>
            <w:r w:rsidRPr="00F4180C">
              <w:rPr>
                <w:rFonts w:asciiTheme="majorBidi" w:eastAsia="Times New Roman" w:hAnsiTheme="majorBidi" w:cstheme="majorBidi"/>
              </w:rPr>
              <w:t xml:space="preserve">In response to its obligations under the Minamata Convention to implement comprehensive mercury control measures, the Ministry of the Environment, Japan (MOEJ) has developed and published a series of Mercury Material Flow in Japan reports. These reports aim to capture and quantify mercury flows across the country. </w:t>
            </w:r>
          </w:p>
          <w:p w14:paraId="0A875B17" w14:textId="77777777" w:rsidR="00201BC3" w:rsidRPr="00F4180C" w:rsidRDefault="00201BC3" w:rsidP="007F38C9">
            <w:pPr>
              <w:keepNext/>
              <w:spacing w:after="120"/>
              <w:rPr>
                <w:rFonts w:asciiTheme="majorBidi" w:eastAsia="Times New Roman" w:hAnsiTheme="majorBidi" w:cstheme="majorBidi"/>
                <w:i/>
                <w:iCs/>
              </w:rPr>
            </w:pPr>
            <w:r w:rsidRPr="00F4180C">
              <w:rPr>
                <w:rFonts w:asciiTheme="majorBidi" w:eastAsia="Times New Roman" w:hAnsiTheme="majorBidi" w:cstheme="majorBidi"/>
              </w:rPr>
              <w:t xml:space="preserve">The first MMF, covering fiscal year (FY) 2010, was published in 2013, followed by the FY2014 version in 2016. A further MMF for FY2016 was developed to assess the progress of domestic measures before and after the enactment of the </w:t>
            </w:r>
            <w:r w:rsidRPr="00F4180C">
              <w:rPr>
                <w:rFonts w:asciiTheme="majorBidi" w:eastAsia="Times New Roman" w:hAnsiTheme="majorBidi" w:cstheme="majorBidi"/>
                <w:i/>
                <w:iCs/>
              </w:rPr>
              <w:t>Act on Preventing Environmental Pollution of Mercury (Act No.42 of 2015)</w:t>
            </w:r>
            <w:r w:rsidRPr="00F4180C">
              <w:rPr>
                <w:rFonts w:asciiTheme="majorBidi" w:eastAsia="Times New Roman" w:hAnsiTheme="majorBidi" w:cstheme="majorBidi"/>
              </w:rPr>
              <w:t>. The most recent MMF covers FY 2019.</w:t>
            </w:r>
            <w:r w:rsidRPr="00F4180C">
              <w:rPr>
                <w:rStyle w:val="FootnoteReference"/>
                <w:rFonts w:asciiTheme="majorBidi" w:eastAsia="Times New Roman" w:hAnsiTheme="majorBidi" w:cstheme="majorBidi"/>
              </w:rPr>
              <w:footnoteReference w:id="30"/>
            </w:r>
          </w:p>
          <w:p w14:paraId="6D14A004" w14:textId="77777777" w:rsidR="00201BC3" w:rsidRPr="00F4180C" w:rsidRDefault="00201BC3" w:rsidP="007F38C9">
            <w:pPr>
              <w:keepNext/>
              <w:spacing w:after="120"/>
              <w:rPr>
                <w:rFonts w:asciiTheme="majorBidi" w:eastAsia="Times New Roman" w:hAnsiTheme="majorBidi" w:cstheme="majorBidi"/>
              </w:rPr>
            </w:pPr>
            <w:r w:rsidRPr="00F4180C">
              <w:rPr>
                <w:rFonts w:asciiTheme="majorBidi" w:eastAsia="Times New Roman" w:hAnsiTheme="majorBidi" w:cstheme="majorBidi"/>
              </w:rPr>
              <w:t xml:space="preserve">Japan has utilized MMF analysis specifically to identify mercury sources exceeding 10 metric tonnes per year, in line with Article 3. </w:t>
            </w:r>
          </w:p>
          <w:p w14:paraId="2E1C2D75" w14:textId="77777777" w:rsidR="00201BC3" w:rsidRPr="00F4180C" w:rsidRDefault="00201BC3" w:rsidP="007F38C9">
            <w:pPr>
              <w:keepNext/>
              <w:spacing w:after="120"/>
              <w:rPr>
                <w:rFonts w:asciiTheme="majorBidi" w:eastAsia="Times New Roman" w:hAnsiTheme="majorBidi" w:cstheme="majorBidi"/>
              </w:rPr>
            </w:pPr>
            <w:r w:rsidRPr="00F4180C">
              <w:rPr>
                <w:rFonts w:asciiTheme="majorBidi" w:eastAsia="Times New Roman" w:hAnsiTheme="majorBidi" w:cstheme="majorBidi"/>
              </w:rPr>
              <w:t>An excerpt from the MMF in Japan (FY 2016)</w:t>
            </w:r>
            <w:r w:rsidRPr="00F4180C">
              <w:rPr>
                <w:rStyle w:val="FootnoteReference"/>
                <w:rFonts w:asciiTheme="majorBidi" w:eastAsia="Times New Roman" w:hAnsiTheme="majorBidi" w:cstheme="majorBidi"/>
              </w:rPr>
              <w:footnoteReference w:id="31"/>
            </w:r>
            <w:r w:rsidRPr="00F4180C">
              <w:rPr>
                <w:rFonts w:asciiTheme="majorBidi" w:eastAsia="Times New Roman" w:hAnsiTheme="majorBidi" w:cstheme="majorBidi"/>
              </w:rPr>
              <w:t xml:space="preserve"> outlines its intent:</w:t>
            </w:r>
          </w:p>
          <w:p w14:paraId="0C7DCB57" w14:textId="77777777" w:rsidR="00201BC3" w:rsidRPr="00F4180C" w:rsidRDefault="00201BC3" w:rsidP="007F38C9">
            <w:pPr>
              <w:keepNext/>
              <w:spacing w:after="120"/>
              <w:ind w:left="1027"/>
              <w:rPr>
                <w:rFonts w:asciiTheme="majorBidi" w:eastAsia="Times New Roman" w:hAnsiTheme="majorBidi" w:cstheme="majorBidi"/>
              </w:rPr>
            </w:pPr>
            <w:r w:rsidRPr="00F4180C">
              <w:rPr>
                <w:rFonts w:asciiTheme="majorBidi" w:eastAsia="Times New Roman" w:hAnsiTheme="majorBidi" w:cstheme="majorBidi"/>
              </w:rPr>
              <w:t>“The material flow is intended to comprehensively capture domestic mercury flows, including emissions obtained in the inventory. In this material flow, the mercury flow within the economic zone of Japan is referred to as “domestic mercury flow”, and the estimation in the material flow covers domestic mercury flow, the amount of input from the environment, and output to the economic zone. Inputs for domestic mercury flow include mercury in imported and domestically produced raw minerals and fuels. Outputs from domestic mercury flow include emissions and releases to the environment and final disposal (landfill).”</w:t>
            </w:r>
          </w:p>
          <w:p w14:paraId="6B767CA1" w14:textId="77777777" w:rsidR="00201BC3" w:rsidRPr="00F4180C" w:rsidRDefault="00201BC3" w:rsidP="007F38C9">
            <w:pPr>
              <w:keepNext/>
              <w:spacing w:after="120"/>
              <w:rPr>
                <w:rFonts w:asciiTheme="majorBidi" w:eastAsia="Times New Roman" w:hAnsiTheme="majorBidi" w:cstheme="majorBidi"/>
              </w:rPr>
            </w:pPr>
            <w:r w:rsidRPr="00F4180C">
              <w:rPr>
                <w:rFonts w:asciiTheme="majorBidi" w:eastAsia="Times New Roman" w:hAnsiTheme="majorBidi" w:cstheme="majorBidi"/>
              </w:rPr>
              <w:t xml:space="preserve">To compile these flows, Japan collected data through </w:t>
            </w:r>
            <w:r w:rsidRPr="00F4180C">
              <w:rPr>
                <w:rFonts w:asciiTheme="majorBidi" w:eastAsia="Times New Roman" w:hAnsiTheme="majorBidi" w:cstheme="majorBidi"/>
                <w:b/>
                <w:bCs/>
              </w:rPr>
              <w:t>interviews with industries</w:t>
            </w:r>
            <w:r w:rsidRPr="00F4180C">
              <w:rPr>
                <w:rFonts w:asciiTheme="majorBidi" w:eastAsia="Times New Roman" w:hAnsiTheme="majorBidi" w:cstheme="majorBidi"/>
              </w:rPr>
              <w:t xml:space="preserve">, covering items such as amounts of mercury used for manufacturing products, the amounts of mercury in the imported/exported products, among others. Additionally, a </w:t>
            </w:r>
            <w:r w:rsidRPr="00F4180C">
              <w:rPr>
                <w:rFonts w:asciiTheme="majorBidi" w:eastAsia="Times New Roman" w:hAnsiTheme="majorBidi" w:cstheme="majorBidi"/>
                <w:b/>
                <w:bCs/>
              </w:rPr>
              <w:t>questionnaire survey</w:t>
            </w:r>
            <w:r w:rsidRPr="00F4180C">
              <w:rPr>
                <w:rStyle w:val="FootnoteReference"/>
                <w:rFonts w:asciiTheme="majorBidi" w:eastAsia="Times New Roman" w:hAnsiTheme="majorBidi" w:cstheme="majorBidi"/>
                <w:b/>
                <w:bCs/>
              </w:rPr>
              <w:footnoteReference w:id="32"/>
            </w:r>
            <w:r w:rsidRPr="00F4180C">
              <w:rPr>
                <w:rFonts w:asciiTheme="majorBidi" w:eastAsia="Times New Roman" w:hAnsiTheme="majorBidi" w:cstheme="majorBidi"/>
              </w:rPr>
              <w:t xml:space="preserve"> for waste treaters gathered information on </w:t>
            </w:r>
            <w:r w:rsidRPr="00F4180C">
              <w:rPr>
                <w:rFonts w:asciiTheme="majorBidi" w:eastAsia="Times New Roman" w:hAnsiTheme="majorBidi" w:cstheme="majorBidi"/>
                <w:b/>
                <w:bCs/>
              </w:rPr>
              <w:t>mercury recovery</w:t>
            </w:r>
            <w:r w:rsidRPr="00F4180C">
              <w:rPr>
                <w:rFonts w:asciiTheme="majorBidi" w:eastAsia="Times New Roman" w:hAnsiTheme="majorBidi" w:cstheme="majorBidi"/>
              </w:rPr>
              <w:t xml:space="preserve"> from different types of mercury waste, indicating how much mercury was recovered.</w:t>
            </w:r>
          </w:p>
          <w:p w14:paraId="5736BCA3" w14:textId="77777777" w:rsidR="00201BC3" w:rsidRPr="00F4180C" w:rsidRDefault="00201BC3" w:rsidP="007F38C9">
            <w:pPr>
              <w:keepNext/>
              <w:spacing w:after="120"/>
              <w:rPr>
                <w:rFonts w:asciiTheme="majorBidi" w:eastAsia="Times New Roman" w:hAnsiTheme="majorBidi" w:cstheme="majorBidi"/>
                <w:sz w:val="24"/>
                <w:szCs w:val="24"/>
              </w:rPr>
            </w:pPr>
            <w:r w:rsidRPr="00F4180C">
              <w:rPr>
                <w:rFonts w:asciiTheme="majorBidi" w:eastAsia="Times New Roman" w:hAnsiTheme="majorBidi" w:cstheme="majorBidi"/>
              </w:rPr>
              <w:t xml:space="preserve">While Japan’s MMF reports do not directly integrate estimates of mercury stocks as defined in Article 3 (i.e., stocks exceeding 50 metric tonnes), Japan has made efforts to estimate </w:t>
            </w:r>
            <w:r w:rsidRPr="00F4180C">
              <w:rPr>
                <w:rFonts w:asciiTheme="majorBidi" w:eastAsia="Times New Roman" w:hAnsiTheme="majorBidi" w:cstheme="majorBidi"/>
                <w:b/>
                <w:bCs/>
              </w:rPr>
              <w:t>“stock” or “accumulation</w:t>
            </w:r>
            <w:r w:rsidRPr="00F4180C">
              <w:rPr>
                <w:rFonts w:asciiTheme="majorBidi" w:eastAsia="Times New Roman" w:hAnsiTheme="majorBidi" w:cstheme="majorBidi"/>
              </w:rPr>
              <w:t>,” including further developing the estimates of mercury stored at household or business levels. “Stock” values are maintained as reference value in Japan’s MMF.</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7"/>
        <w:gridCol w:w="1897"/>
        <w:gridCol w:w="1897"/>
        <w:gridCol w:w="1897"/>
        <w:gridCol w:w="1898"/>
      </w:tblGrid>
      <w:tr w:rsidR="0015442E" w:rsidRPr="00483D97" w14:paraId="2E924820" w14:textId="77777777" w:rsidTr="0015442E">
        <w:tc>
          <w:tcPr>
            <w:tcW w:w="1897" w:type="dxa"/>
          </w:tcPr>
          <w:p w14:paraId="16F5C414" w14:textId="77777777" w:rsidR="0015442E" w:rsidRPr="00483D97" w:rsidRDefault="0015442E" w:rsidP="0015442E">
            <w:pPr>
              <w:pStyle w:val="Normal-pool"/>
              <w:rPr>
                <w:lang w:val="en-GB"/>
              </w:rPr>
            </w:pPr>
          </w:p>
        </w:tc>
        <w:tc>
          <w:tcPr>
            <w:tcW w:w="1897" w:type="dxa"/>
          </w:tcPr>
          <w:p w14:paraId="6D6FF786" w14:textId="77777777" w:rsidR="0015442E" w:rsidRPr="00483D97" w:rsidRDefault="0015442E" w:rsidP="0015442E">
            <w:pPr>
              <w:pStyle w:val="Normal-pool"/>
              <w:rPr>
                <w:lang w:val="en-GB"/>
              </w:rPr>
            </w:pPr>
          </w:p>
        </w:tc>
        <w:tc>
          <w:tcPr>
            <w:tcW w:w="1897" w:type="dxa"/>
            <w:tcBorders>
              <w:bottom w:val="single" w:sz="4" w:space="0" w:color="auto"/>
            </w:tcBorders>
          </w:tcPr>
          <w:p w14:paraId="7B77BBB9" w14:textId="77777777" w:rsidR="0015442E" w:rsidRPr="00483D97" w:rsidRDefault="0015442E" w:rsidP="007F38C9">
            <w:pPr>
              <w:pStyle w:val="Normal-pool"/>
              <w:spacing w:before="240"/>
              <w:rPr>
                <w:lang w:val="en-GB"/>
              </w:rPr>
            </w:pPr>
          </w:p>
        </w:tc>
        <w:tc>
          <w:tcPr>
            <w:tcW w:w="1897" w:type="dxa"/>
          </w:tcPr>
          <w:p w14:paraId="3B69A5B6" w14:textId="77777777" w:rsidR="0015442E" w:rsidRPr="00483D97" w:rsidRDefault="0015442E" w:rsidP="0015442E">
            <w:pPr>
              <w:pStyle w:val="Normal-pool"/>
              <w:rPr>
                <w:lang w:val="en-GB"/>
              </w:rPr>
            </w:pPr>
          </w:p>
        </w:tc>
        <w:tc>
          <w:tcPr>
            <w:tcW w:w="1898" w:type="dxa"/>
          </w:tcPr>
          <w:p w14:paraId="5F071A8C" w14:textId="77777777" w:rsidR="0015442E" w:rsidRPr="00483D97" w:rsidRDefault="0015442E" w:rsidP="0015442E">
            <w:pPr>
              <w:pStyle w:val="Normal-pool"/>
              <w:rPr>
                <w:lang w:val="en-GB"/>
              </w:rPr>
            </w:pPr>
          </w:p>
        </w:tc>
      </w:tr>
    </w:tbl>
    <w:p w14:paraId="3CE5B03E" w14:textId="77777777" w:rsidR="0015442E" w:rsidRPr="00483D97" w:rsidRDefault="0015442E" w:rsidP="0015442E">
      <w:pPr>
        <w:pStyle w:val="Normal-pool"/>
        <w:rPr>
          <w:lang w:val="en-GB"/>
        </w:rPr>
      </w:pPr>
    </w:p>
    <w:sectPr w:rsidR="0015442E" w:rsidRPr="00483D97" w:rsidSect="0015442E">
      <w:headerReference w:type="even" r:id="rId22"/>
      <w:headerReference w:type="default" r:id="rId23"/>
      <w:footerReference w:type="even" r:id="rId24"/>
      <w:footerReference w:type="default" r:id="rId25"/>
      <w:headerReference w:type="first" r:id="rId26"/>
      <w:footerReference w:type="first" r:id="rId27"/>
      <w:type w:val="continuous"/>
      <w:pgSz w:w="11906" w:h="16838" w:code="9"/>
      <w:pgMar w:top="907" w:right="992" w:bottom="1418" w:left="1418" w:header="539" w:footer="975" w:gutter="0"/>
      <w:cols w:space="53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9F8967" w14:textId="77777777" w:rsidR="00325A36" w:rsidRDefault="00325A36">
      <w:r>
        <w:separator/>
      </w:r>
    </w:p>
  </w:endnote>
  <w:endnote w:type="continuationSeparator" w:id="0">
    <w:p w14:paraId="18C7F008" w14:textId="77777777" w:rsidR="00325A36" w:rsidRDefault="00325A36">
      <w:r>
        <w:continuationSeparator/>
      </w:r>
    </w:p>
  </w:endnote>
  <w:endnote w:type="continuationNotice" w:id="1">
    <w:p w14:paraId="2326805E" w14:textId="77777777" w:rsidR="00325A36" w:rsidRDefault="00325A3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Roboto">
    <w:altName w:val="Arial"/>
    <w:panose1 w:val="00000000000000000000"/>
    <w:charset w:val="00"/>
    <w:family w:val="auto"/>
    <w:pitch w:val="variable"/>
    <w:sig w:usb0="E00002EF" w:usb1="5000205B" w:usb2="0000002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58C83" w14:textId="77777777" w:rsidR="00123699" w:rsidRPr="00F96910" w:rsidRDefault="00123699" w:rsidP="00F96910">
    <w:pPr>
      <w:pStyle w:val="Footer-pool"/>
    </w:pPr>
    <w:r w:rsidRPr="0015442E">
      <w:rPr>
        <w:rStyle w:val="PageNumber"/>
        <w:b/>
      </w:rPr>
      <w:fldChar w:fldCharType="begin"/>
    </w:r>
    <w:r w:rsidRPr="0015442E">
      <w:rPr>
        <w:rStyle w:val="PageNumber"/>
        <w:b/>
      </w:rPr>
      <w:instrText xml:space="preserve"> PAGE </w:instrText>
    </w:r>
    <w:r w:rsidRPr="0015442E">
      <w:rPr>
        <w:rStyle w:val="PageNumber"/>
        <w:b/>
      </w:rPr>
      <w:fldChar w:fldCharType="separate"/>
    </w:r>
    <w:r w:rsidR="00F7542C" w:rsidRPr="0015442E">
      <w:rPr>
        <w:rStyle w:val="PageNumber"/>
        <w:b/>
        <w:noProof/>
      </w:rPr>
      <w:t>2</w:t>
    </w:r>
    <w:r w:rsidRPr="0015442E">
      <w:rPr>
        <w:rStyle w:val="PageNumber"/>
        <w:b/>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CE8F5F" w14:textId="77777777" w:rsidR="00123699" w:rsidRPr="0015442E" w:rsidRDefault="00123699" w:rsidP="00F96910">
    <w:pPr>
      <w:pStyle w:val="Footer-pool"/>
      <w:jc w:val="right"/>
      <w:rPr>
        <w:b w:val="0"/>
      </w:rPr>
    </w:pPr>
    <w:r w:rsidRPr="0015442E">
      <w:rPr>
        <w:rStyle w:val="PageNumber"/>
        <w:b/>
      </w:rPr>
      <w:fldChar w:fldCharType="begin"/>
    </w:r>
    <w:r w:rsidRPr="0015442E">
      <w:rPr>
        <w:rStyle w:val="PageNumber"/>
        <w:b/>
      </w:rPr>
      <w:instrText xml:space="preserve"> PAGE </w:instrText>
    </w:r>
    <w:r w:rsidRPr="0015442E">
      <w:rPr>
        <w:rStyle w:val="PageNumber"/>
        <w:b/>
      </w:rPr>
      <w:fldChar w:fldCharType="separate"/>
    </w:r>
    <w:r w:rsidR="00250B6D" w:rsidRPr="0015442E">
      <w:rPr>
        <w:rStyle w:val="PageNumber"/>
        <w:b/>
        <w:noProof/>
      </w:rPr>
      <w:t>3</w:t>
    </w:r>
    <w:r w:rsidRPr="0015442E">
      <w:rPr>
        <w:rStyle w:val="PageNumber"/>
        <w:b/>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406BAB" w14:textId="29884019" w:rsidR="0015442E" w:rsidRDefault="0009762F" w:rsidP="0015442E">
    <w:pPr>
      <w:pStyle w:val="Normal-pool"/>
    </w:pPr>
    <w:r>
      <w:tab/>
      <w:t>2908</w:t>
    </w:r>
    <w:r w:rsidR="0015442E">
      <w:t>2</w:t>
    </w:r>
    <w:r w:rsidR="00587F77">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CFC39E" w14:textId="77777777" w:rsidR="00325A36" w:rsidRPr="0072353B" w:rsidRDefault="00325A36" w:rsidP="0072353B">
      <w:pPr>
        <w:tabs>
          <w:tab w:val="left" w:pos="624"/>
        </w:tabs>
        <w:spacing w:before="60"/>
        <w:ind w:left="624"/>
        <w:rPr>
          <w:sz w:val="18"/>
          <w:szCs w:val="18"/>
        </w:rPr>
      </w:pPr>
      <w:r w:rsidRPr="0072353B">
        <w:rPr>
          <w:sz w:val="18"/>
          <w:szCs w:val="18"/>
        </w:rPr>
        <w:separator/>
      </w:r>
    </w:p>
  </w:footnote>
  <w:footnote w:type="continuationSeparator" w:id="0">
    <w:p w14:paraId="5E6E3F02" w14:textId="77777777" w:rsidR="00325A36" w:rsidRDefault="00325A36">
      <w:r>
        <w:continuationSeparator/>
      </w:r>
    </w:p>
  </w:footnote>
  <w:footnote w:type="continuationNotice" w:id="1">
    <w:p w14:paraId="6DD64361" w14:textId="77777777" w:rsidR="00325A36" w:rsidRDefault="00325A36"/>
  </w:footnote>
  <w:footnote w:id="2">
    <w:p w14:paraId="7BD0C3DA" w14:textId="55BE5BC7" w:rsidR="00880CCB" w:rsidRPr="007F38C9" w:rsidRDefault="00880CCB">
      <w:pPr>
        <w:pStyle w:val="FootnoteText"/>
        <w:rPr>
          <w:szCs w:val="18"/>
          <w:lang w:val="en-GB"/>
        </w:rPr>
      </w:pPr>
      <w:r w:rsidRPr="007F38C9">
        <w:rPr>
          <w:rStyle w:val="FootnoteReference"/>
          <w:sz w:val="18"/>
          <w:vertAlign w:val="baseline"/>
          <w:lang w:val="en-GB"/>
        </w:rPr>
        <w:t>*</w:t>
      </w:r>
      <w:r w:rsidRPr="007F38C9">
        <w:rPr>
          <w:szCs w:val="18"/>
          <w:lang w:val="en-GB"/>
        </w:rPr>
        <w:t xml:space="preserve"> </w:t>
      </w:r>
      <w:r w:rsidR="00AC7FD3" w:rsidRPr="007F38C9">
        <w:rPr>
          <w:szCs w:val="18"/>
          <w:lang w:val="en-GB"/>
        </w:rPr>
        <w:t>UNEP/MC/COP.6/1</w:t>
      </w:r>
      <w:r w:rsidR="006B0548" w:rsidRPr="007F38C9">
        <w:rPr>
          <w:szCs w:val="18"/>
          <w:lang w:val="en-GB"/>
        </w:rPr>
        <w:t>/Rev.1</w:t>
      </w:r>
      <w:r w:rsidR="00AC7FD3" w:rsidRPr="007F38C9">
        <w:rPr>
          <w:szCs w:val="18"/>
          <w:lang w:val="en-GB"/>
        </w:rPr>
        <w:t>.</w:t>
      </w:r>
    </w:p>
  </w:footnote>
  <w:footnote w:id="3">
    <w:p w14:paraId="56507D49" w14:textId="77777777" w:rsidR="007F0806" w:rsidRPr="007F38C9" w:rsidRDefault="007F0806" w:rsidP="007F0806">
      <w:pPr>
        <w:pStyle w:val="Footnote-Text"/>
        <w:tabs>
          <w:tab w:val="clear" w:pos="1247"/>
          <w:tab w:val="clear" w:pos="1871"/>
          <w:tab w:val="clear" w:pos="2495"/>
          <w:tab w:val="clear" w:pos="3119"/>
          <w:tab w:val="clear" w:pos="3742"/>
          <w:tab w:val="clear" w:pos="4366"/>
        </w:tabs>
        <w:rPr>
          <w:szCs w:val="18"/>
          <w:lang w:val="en-GB"/>
        </w:rPr>
      </w:pPr>
      <w:r w:rsidRPr="007F38C9">
        <w:rPr>
          <w:rStyle w:val="FootnoteReference"/>
          <w:sz w:val="18"/>
          <w:vertAlign w:val="baseline"/>
          <w:lang w:val="en-GB"/>
        </w:rPr>
        <w:t>**</w:t>
      </w:r>
      <w:r w:rsidRPr="007F38C9">
        <w:rPr>
          <w:szCs w:val="18"/>
          <w:lang w:val="en-GB"/>
        </w:rPr>
        <w:t xml:space="preserve"> This document has not been formally edited.</w:t>
      </w:r>
    </w:p>
  </w:footnote>
  <w:footnote w:id="4">
    <w:p w14:paraId="6BF81D53" w14:textId="77777777" w:rsidR="00331739" w:rsidRPr="007F38C9" w:rsidRDefault="00331739" w:rsidP="00331739">
      <w:pPr>
        <w:pStyle w:val="FootnoteText"/>
        <w:rPr>
          <w:szCs w:val="18"/>
          <w:lang w:val="en-GB"/>
        </w:rPr>
      </w:pPr>
      <w:r w:rsidRPr="007F38C9">
        <w:rPr>
          <w:rStyle w:val="FootnoteReference"/>
          <w:lang w:val="en-GB"/>
        </w:rPr>
        <w:footnoteRef/>
      </w:r>
      <w:r w:rsidRPr="007F38C9">
        <w:rPr>
          <w:szCs w:val="18"/>
          <w:lang w:val="en-GB"/>
        </w:rPr>
        <w:t xml:space="preserve"> UNEP/MC/COP.1/5, Annex IV.</w:t>
      </w:r>
    </w:p>
  </w:footnote>
  <w:footnote w:id="5">
    <w:p w14:paraId="04A3FBEB" w14:textId="77777777" w:rsidR="0069062C" w:rsidRPr="007F38C9" w:rsidRDefault="0069062C" w:rsidP="0069062C">
      <w:pPr>
        <w:spacing w:before="20" w:after="40"/>
        <w:ind w:left="1247"/>
        <w:rPr>
          <w:rFonts w:eastAsia="Times New Roman"/>
          <w:sz w:val="18"/>
          <w:szCs w:val="18"/>
        </w:rPr>
      </w:pPr>
      <w:r w:rsidRPr="007F38C9">
        <w:rPr>
          <w:sz w:val="18"/>
          <w:szCs w:val="18"/>
          <w:vertAlign w:val="superscript"/>
        </w:rPr>
        <w:footnoteRef/>
      </w:r>
      <w:r w:rsidRPr="007F38C9">
        <w:rPr>
          <w:rFonts w:eastAsia="Times New Roman"/>
          <w:sz w:val="18"/>
          <w:szCs w:val="18"/>
        </w:rPr>
        <w:t xml:space="preserve"> Retrieved from the following website: https://www.eea.europa.eu/en/analysis/maps-and-charts/mercury-regulation-data-viewer-dashboards</w:t>
      </w:r>
    </w:p>
  </w:footnote>
  <w:footnote w:id="6">
    <w:p w14:paraId="1B0B67F3" w14:textId="77777777" w:rsidR="003E7545" w:rsidRPr="007F38C9" w:rsidRDefault="003E7545" w:rsidP="00615C5D">
      <w:pPr>
        <w:pStyle w:val="FootnoteText"/>
        <w:rPr>
          <w:szCs w:val="18"/>
          <w:lang w:val="en-GB"/>
        </w:rPr>
      </w:pPr>
      <w:r w:rsidRPr="007F38C9">
        <w:rPr>
          <w:rStyle w:val="FootnoteReference"/>
          <w:sz w:val="18"/>
          <w:lang w:val="en-GB"/>
        </w:rPr>
        <w:footnoteRef/>
      </w:r>
      <w:r w:rsidRPr="007F38C9">
        <w:rPr>
          <w:szCs w:val="18"/>
          <w:lang w:val="en-GB"/>
        </w:rPr>
        <w:t xml:space="preserve"> Retrieved from the following website: https://certifico.com/component/attachments/download/2764</w:t>
      </w:r>
    </w:p>
  </w:footnote>
  <w:footnote w:id="7">
    <w:p w14:paraId="1F9F9E43" w14:textId="77777777" w:rsidR="003E7545" w:rsidRPr="007F38C9" w:rsidRDefault="003E7545" w:rsidP="00615C5D">
      <w:pPr>
        <w:pStyle w:val="FootnoteText"/>
        <w:rPr>
          <w:szCs w:val="18"/>
          <w:lang w:val="en-GB"/>
        </w:rPr>
      </w:pPr>
      <w:r w:rsidRPr="007F38C9">
        <w:rPr>
          <w:rStyle w:val="FootnoteReference"/>
          <w:sz w:val="18"/>
          <w:lang w:val="en-GB"/>
        </w:rPr>
        <w:footnoteRef/>
      </w:r>
      <w:r w:rsidRPr="007F38C9">
        <w:rPr>
          <w:szCs w:val="18"/>
          <w:lang w:val="en-GB"/>
        </w:rPr>
        <w:t xml:space="preserve">See Appendix 3: Summary of stakeholder replies to questionnaire on impacts of the mercury export ban. Document available on the following website: https://www.certifico.com/component/attachments/download/2767 </w:t>
      </w:r>
    </w:p>
  </w:footnote>
  <w:footnote w:id="8">
    <w:p w14:paraId="498720AB" w14:textId="77777777" w:rsidR="003E7545" w:rsidRPr="007F38C9" w:rsidRDefault="003E7545" w:rsidP="00615C5D">
      <w:pPr>
        <w:spacing w:before="20" w:after="40"/>
        <w:ind w:left="1247"/>
        <w:rPr>
          <w:rFonts w:eastAsia="Times New Roman"/>
          <w:sz w:val="18"/>
          <w:szCs w:val="18"/>
        </w:rPr>
      </w:pPr>
      <w:r w:rsidRPr="007F38C9">
        <w:rPr>
          <w:sz w:val="18"/>
          <w:szCs w:val="18"/>
          <w:vertAlign w:val="superscript"/>
        </w:rPr>
        <w:footnoteRef/>
      </w:r>
      <w:r w:rsidRPr="007F38C9">
        <w:rPr>
          <w:rFonts w:eastAsia="Times New Roman"/>
          <w:sz w:val="18"/>
          <w:szCs w:val="18"/>
        </w:rPr>
        <w:t xml:space="preserve"> Taken from Finland’s 2023 national report available in the following website: </w:t>
      </w:r>
      <w:hyperlink r:id="rId1">
        <w:r w:rsidRPr="007F38C9">
          <w:rPr>
            <w:rFonts w:eastAsia="Times New Roman"/>
            <w:sz w:val="18"/>
            <w:szCs w:val="18"/>
            <w:u w:val="single"/>
          </w:rPr>
          <w:t>https://minamataconvention.org/sites/default/files/2024-02/FIN_3.3.pdf</w:t>
        </w:r>
      </w:hyperlink>
    </w:p>
  </w:footnote>
  <w:footnote w:id="9">
    <w:p w14:paraId="5FFD2007" w14:textId="77777777" w:rsidR="003E7545" w:rsidRPr="007F38C9" w:rsidRDefault="003E7545" w:rsidP="00615C5D">
      <w:pPr>
        <w:pStyle w:val="FootnoteText"/>
        <w:rPr>
          <w:szCs w:val="18"/>
          <w:lang w:val="en-GB"/>
        </w:rPr>
      </w:pPr>
      <w:r w:rsidRPr="007F38C9">
        <w:rPr>
          <w:rStyle w:val="FootnoteReference"/>
          <w:sz w:val="18"/>
          <w:lang w:val="en-GB"/>
        </w:rPr>
        <w:footnoteRef/>
      </w:r>
      <w:r w:rsidRPr="007F38C9">
        <w:rPr>
          <w:szCs w:val="18"/>
          <w:lang w:val="en-GB"/>
        </w:rPr>
        <w:t xml:space="preserve"> Retrieved from: https://oia.pmc.gov.au/sites/default/files/posts/2021/03/ratifying-minamata-convention-mercury.pdf</w:t>
      </w:r>
    </w:p>
  </w:footnote>
  <w:footnote w:id="10">
    <w:p w14:paraId="0CC29991" w14:textId="77777777" w:rsidR="003E7545" w:rsidRPr="007F38C9" w:rsidRDefault="003E7545" w:rsidP="00615C5D">
      <w:pPr>
        <w:spacing w:before="20" w:after="40"/>
        <w:ind w:left="1247"/>
        <w:rPr>
          <w:rFonts w:eastAsia="Times New Roman"/>
          <w:sz w:val="18"/>
          <w:szCs w:val="18"/>
        </w:rPr>
      </w:pPr>
      <w:r w:rsidRPr="007F38C9">
        <w:rPr>
          <w:rStyle w:val="FootnoteReference"/>
          <w:sz w:val="18"/>
        </w:rPr>
        <w:footnoteRef/>
      </w:r>
      <w:r w:rsidRPr="007F38C9">
        <w:rPr>
          <w:sz w:val="18"/>
          <w:szCs w:val="18"/>
        </w:rPr>
        <w:t xml:space="preserve"> </w:t>
      </w:r>
      <w:r w:rsidRPr="007F38C9">
        <w:rPr>
          <w:rFonts w:eastAsia="Times New Roman"/>
          <w:sz w:val="18"/>
          <w:szCs w:val="18"/>
        </w:rPr>
        <w:t>Taken from Australia’s 2023 national report available in the following website: https://minamataconvention.org/sites/default/files/2024-02/AUS_3.3.pdf</w:t>
      </w:r>
    </w:p>
    <w:p w14:paraId="208A0E2B" w14:textId="77777777" w:rsidR="003E7545" w:rsidRPr="007F38C9" w:rsidRDefault="003E7545" w:rsidP="00615C5D">
      <w:pPr>
        <w:pStyle w:val="FootnoteText"/>
        <w:rPr>
          <w:szCs w:val="18"/>
          <w:lang w:val="en-GB"/>
        </w:rPr>
      </w:pPr>
      <w:r w:rsidRPr="007F38C9">
        <w:rPr>
          <w:szCs w:val="18"/>
          <w:vertAlign w:val="superscript"/>
          <w:lang w:val="en-GB"/>
        </w:rPr>
        <w:footnoteRef/>
      </w:r>
      <w:r w:rsidRPr="007F38C9">
        <w:rPr>
          <w:szCs w:val="18"/>
          <w:lang w:val="en-GB"/>
        </w:rPr>
        <w:t xml:space="preserve"> Link to survey responses: https://drive.google.com/file/d/1m8B8pBe7hOlH9saaNNdj6TYoLSeSPGRu/view?usp=share_link</w:t>
      </w:r>
    </w:p>
  </w:footnote>
  <w:footnote w:id="11">
    <w:p w14:paraId="6B4E4DD4" w14:textId="77777777" w:rsidR="003E7545" w:rsidRPr="007F38C9" w:rsidRDefault="003E7545" w:rsidP="00615C5D">
      <w:pPr>
        <w:pStyle w:val="FootnoteText"/>
        <w:rPr>
          <w:szCs w:val="18"/>
          <w:lang w:val="en-GB"/>
        </w:rPr>
      </w:pPr>
      <w:r w:rsidRPr="007F38C9">
        <w:rPr>
          <w:rStyle w:val="FootnoteReference"/>
          <w:sz w:val="18"/>
          <w:lang w:val="en-GB"/>
        </w:rPr>
        <w:footnoteRef/>
      </w:r>
      <w:r w:rsidRPr="007F38C9">
        <w:rPr>
          <w:szCs w:val="18"/>
          <w:lang w:val="en-GB"/>
        </w:rPr>
        <w:t xml:space="preserve"> Retrieved from: https://www.dcceew.gov.au/sites/default/files/env/pages/192a327d-3646-4eb6-8648-4c2747541a2f/files/minamata-convention-invitation-comment-2014.pdf</w:t>
      </w:r>
    </w:p>
  </w:footnote>
  <w:footnote w:id="12">
    <w:p w14:paraId="360C9F6C" w14:textId="77777777" w:rsidR="003E7545" w:rsidRPr="007F38C9" w:rsidRDefault="003E7545" w:rsidP="00615C5D">
      <w:pPr>
        <w:pStyle w:val="FootnoteText"/>
        <w:rPr>
          <w:szCs w:val="18"/>
          <w:lang w:val="en-GB"/>
        </w:rPr>
      </w:pPr>
      <w:r w:rsidRPr="007F38C9">
        <w:rPr>
          <w:rStyle w:val="FootnoteReference"/>
          <w:sz w:val="18"/>
          <w:lang w:val="en-GB"/>
        </w:rPr>
        <w:footnoteRef/>
      </w:r>
      <w:r w:rsidRPr="007F38C9">
        <w:rPr>
          <w:szCs w:val="18"/>
          <w:lang w:val="en-GB"/>
        </w:rPr>
        <w:t xml:space="preserve"> Retrieved from: https://www.dcceew.gov.au/environment/protection/chemicals-management/national-standard</w:t>
      </w:r>
    </w:p>
  </w:footnote>
  <w:footnote w:id="13">
    <w:p w14:paraId="1D4CD12C" w14:textId="77777777" w:rsidR="003E7545" w:rsidRPr="007F38C9" w:rsidRDefault="003E7545" w:rsidP="00BC39F1">
      <w:pPr>
        <w:spacing w:before="20" w:after="40"/>
        <w:ind w:left="1247"/>
        <w:rPr>
          <w:rFonts w:eastAsia="Times New Roman"/>
          <w:sz w:val="18"/>
          <w:szCs w:val="18"/>
        </w:rPr>
      </w:pPr>
      <w:r w:rsidRPr="007F38C9">
        <w:rPr>
          <w:sz w:val="18"/>
          <w:szCs w:val="18"/>
          <w:vertAlign w:val="superscript"/>
        </w:rPr>
        <w:footnoteRef/>
      </w:r>
      <w:r w:rsidRPr="007F38C9">
        <w:rPr>
          <w:rFonts w:eastAsia="Times New Roman"/>
          <w:sz w:val="18"/>
          <w:szCs w:val="18"/>
        </w:rPr>
        <w:t xml:space="preserve"> Document available on the following website: https://minamataconvention.org/sites/default/files/documents/national_implementation_plan/Montenegro_MIA_NIP_2021_EN_0.pdf</w:t>
      </w:r>
    </w:p>
  </w:footnote>
  <w:footnote w:id="14">
    <w:p w14:paraId="27013DC8" w14:textId="77777777" w:rsidR="003E7545" w:rsidRPr="007F38C9" w:rsidRDefault="003E7545" w:rsidP="00BC39F1">
      <w:pPr>
        <w:spacing w:before="20" w:after="40"/>
        <w:ind w:left="1247"/>
        <w:rPr>
          <w:rFonts w:eastAsia="Times New Roman"/>
          <w:sz w:val="18"/>
          <w:szCs w:val="18"/>
        </w:rPr>
      </w:pPr>
      <w:r w:rsidRPr="007F38C9">
        <w:rPr>
          <w:sz w:val="18"/>
          <w:szCs w:val="18"/>
          <w:vertAlign w:val="superscript"/>
        </w:rPr>
        <w:footnoteRef/>
      </w:r>
      <w:r w:rsidRPr="007F38C9">
        <w:rPr>
          <w:sz w:val="18"/>
          <w:szCs w:val="18"/>
        </w:rPr>
        <w:t xml:space="preserve"> </w:t>
      </w:r>
      <w:r w:rsidRPr="007F38C9">
        <w:rPr>
          <w:rFonts w:eastAsia="Times New Roman"/>
          <w:sz w:val="18"/>
          <w:szCs w:val="18"/>
        </w:rPr>
        <w:t>Document available on the following website: https://minamataconvention.org/sites/default/files/documents/national_implementation_plan/Japan_NIP_EN.pdf</w:t>
      </w:r>
    </w:p>
  </w:footnote>
  <w:footnote w:id="15">
    <w:p w14:paraId="75ABEF5B" w14:textId="77777777" w:rsidR="003E7545" w:rsidRPr="007F38C9" w:rsidRDefault="003E7545" w:rsidP="00BC39F1">
      <w:pPr>
        <w:spacing w:before="20" w:after="40"/>
        <w:ind w:left="1247"/>
        <w:rPr>
          <w:rFonts w:eastAsia="Times New Roman"/>
          <w:sz w:val="18"/>
          <w:szCs w:val="18"/>
        </w:rPr>
      </w:pPr>
      <w:r w:rsidRPr="007F38C9">
        <w:rPr>
          <w:sz w:val="18"/>
          <w:szCs w:val="18"/>
          <w:vertAlign w:val="superscript"/>
        </w:rPr>
        <w:footnoteRef/>
      </w:r>
      <w:r w:rsidRPr="007F38C9">
        <w:rPr>
          <w:sz w:val="18"/>
          <w:szCs w:val="18"/>
        </w:rPr>
        <w:t xml:space="preserve"> </w:t>
      </w:r>
      <w:r w:rsidRPr="007F38C9">
        <w:rPr>
          <w:rFonts w:eastAsia="Times New Roman"/>
          <w:sz w:val="18"/>
          <w:szCs w:val="18"/>
        </w:rPr>
        <w:t xml:space="preserve">Available on the following website: </w:t>
      </w:r>
      <w:hyperlink r:id="rId2">
        <w:r w:rsidRPr="007F38C9">
          <w:rPr>
            <w:rFonts w:eastAsia="Times New Roman"/>
            <w:sz w:val="18"/>
            <w:szCs w:val="18"/>
          </w:rPr>
          <w:t>https://minamataconvention.org/sites/default/files/documents/national_implementation_plan/Australia_NIP_2024_EN.pdf</w:t>
        </w:r>
      </w:hyperlink>
    </w:p>
  </w:footnote>
  <w:footnote w:id="16">
    <w:p w14:paraId="600A5DC2" w14:textId="77777777" w:rsidR="003E7545" w:rsidRPr="007F38C9" w:rsidRDefault="003E7545" w:rsidP="00BC39F1">
      <w:pPr>
        <w:spacing w:before="20" w:after="40"/>
        <w:ind w:left="1247"/>
        <w:rPr>
          <w:rFonts w:eastAsia="Times New Roman"/>
          <w:sz w:val="18"/>
          <w:szCs w:val="18"/>
        </w:rPr>
      </w:pPr>
      <w:r w:rsidRPr="007F38C9">
        <w:rPr>
          <w:sz w:val="18"/>
          <w:szCs w:val="18"/>
          <w:vertAlign w:val="superscript"/>
        </w:rPr>
        <w:footnoteRef/>
      </w:r>
      <w:r w:rsidRPr="007F38C9">
        <w:rPr>
          <w:rFonts w:eastAsia="Times New Roman"/>
          <w:sz w:val="18"/>
          <w:szCs w:val="18"/>
        </w:rPr>
        <w:t xml:space="preserve"> Available on the following website: https://minamataconvention.org/sites/default/files/documents/national_implementation_plan/Peru_NIP_ES.pdf</w:t>
      </w:r>
    </w:p>
  </w:footnote>
  <w:footnote w:id="17">
    <w:p w14:paraId="2B9CA79D" w14:textId="77777777" w:rsidR="00376908" w:rsidRPr="007F38C9" w:rsidRDefault="00376908" w:rsidP="00BC39F1">
      <w:pPr>
        <w:pStyle w:val="FootnoteText"/>
        <w:rPr>
          <w:szCs w:val="18"/>
          <w:lang w:val="en-GB"/>
        </w:rPr>
      </w:pPr>
      <w:r w:rsidRPr="007F38C9">
        <w:rPr>
          <w:rStyle w:val="FootnoteReference"/>
          <w:sz w:val="18"/>
          <w:lang w:val="en-GB"/>
        </w:rPr>
        <w:footnoteRef/>
      </w:r>
      <w:r w:rsidRPr="007F38C9">
        <w:rPr>
          <w:szCs w:val="18"/>
          <w:lang w:val="en-GB"/>
        </w:rPr>
        <w:t xml:space="preserve"> GEF, 2014. Guidelines for Minamata Convention initial assessment activities (MIA). Retrieved from: https://www.thegef.org/sites/default/files/council-meeting-documents/GEF.C.45.Inf_.05.Rev_.1_Initial_Guidelines_for_Enabling_Activities_for_the__Minamata_Convention_on_Mercury_Jan_23_2014.pdf</w:t>
      </w:r>
    </w:p>
  </w:footnote>
  <w:footnote w:id="18">
    <w:p w14:paraId="4AA36DC1" w14:textId="77777777" w:rsidR="00BC39F1" w:rsidRPr="007F38C9" w:rsidRDefault="00BC39F1" w:rsidP="00FF77C9">
      <w:pPr>
        <w:pStyle w:val="FootnoteText"/>
        <w:rPr>
          <w:szCs w:val="18"/>
          <w:lang w:val="en-GB"/>
        </w:rPr>
      </w:pPr>
      <w:r w:rsidRPr="007F38C9">
        <w:rPr>
          <w:rStyle w:val="FootnoteReference"/>
          <w:sz w:val="18"/>
          <w:lang w:val="en-GB"/>
        </w:rPr>
        <w:footnoteRef/>
      </w:r>
      <w:r w:rsidRPr="007F38C9">
        <w:rPr>
          <w:szCs w:val="18"/>
          <w:lang w:val="en-GB"/>
        </w:rPr>
        <w:t xml:space="preserve"> UNDP, 2020. Minamata Initial Assessment Report: Suggested Structure and Contents. Available on the following website: https://www.undp.org/sites/g/files/zskgke326/files/publications/2020%20MIA%20Guidance.pdf</w:t>
      </w:r>
    </w:p>
  </w:footnote>
  <w:footnote w:id="19">
    <w:p w14:paraId="5F4ED937" w14:textId="77777777" w:rsidR="00B94FAE" w:rsidRPr="007F38C9" w:rsidRDefault="00B94FAE" w:rsidP="007D1212">
      <w:pPr>
        <w:spacing w:before="20" w:after="40"/>
        <w:ind w:left="1247"/>
        <w:rPr>
          <w:sz w:val="18"/>
          <w:szCs w:val="18"/>
        </w:rPr>
      </w:pPr>
      <w:r w:rsidRPr="007F38C9">
        <w:rPr>
          <w:sz w:val="18"/>
          <w:szCs w:val="18"/>
          <w:vertAlign w:val="superscript"/>
        </w:rPr>
        <w:footnoteRef/>
      </w:r>
      <w:r w:rsidRPr="007F38C9">
        <w:rPr>
          <w:sz w:val="18"/>
          <w:szCs w:val="18"/>
        </w:rPr>
        <w:t xml:space="preserve"> </w:t>
      </w:r>
      <w:r w:rsidRPr="007F38C9">
        <w:rPr>
          <w:rFonts w:eastAsia="Times New Roman"/>
          <w:sz w:val="18"/>
          <w:szCs w:val="18"/>
        </w:rPr>
        <w:t xml:space="preserve">Available on the following website: </w:t>
      </w:r>
      <w:hyperlink r:id="rId3">
        <w:r w:rsidRPr="007F38C9">
          <w:rPr>
            <w:rFonts w:eastAsia="Times New Roman"/>
            <w:sz w:val="18"/>
            <w:szCs w:val="18"/>
          </w:rPr>
          <w:t>https://minamataconvention.org/sites/default/files/documents/minamata_initial_assessment/Indonesia_MIA_2022.pdf</w:t>
        </w:r>
      </w:hyperlink>
    </w:p>
  </w:footnote>
  <w:footnote w:id="20">
    <w:p w14:paraId="6EF00325" w14:textId="77777777" w:rsidR="00B94FAE" w:rsidRPr="007F38C9" w:rsidRDefault="00B94FAE" w:rsidP="007D1212">
      <w:pPr>
        <w:pStyle w:val="FootnoteText"/>
        <w:rPr>
          <w:szCs w:val="18"/>
          <w:lang w:val="en-GB"/>
        </w:rPr>
      </w:pPr>
      <w:r w:rsidRPr="007F38C9">
        <w:rPr>
          <w:rStyle w:val="FootnoteReference"/>
          <w:sz w:val="18"/>
          <w:lang w:val="en-GB"/>
        </w:rPr>
        <w:footnoteRef/>
      </w:r>
      <w:r w:rsidRPr="007F38C9">
        <w:rPr>
          <w:szCs w:val="18"/>
          <w:lang w:val="en-GB"/>
        </w:rPr>
        <w:t xml:space="preserve"> Available on the following website: https://minamataconvention.org/sites/default/files/documents/national_action_plan/Indonesia_ASGM_NAP_2022.pdf</w:t>
      </w:r>
    </w:p>
  </w:footnote>
  <w:footnote w:id="21">
    <w:p w14:paraId="3E0813EA" w14:textId="77777777" w:rsidR="00CD5B08" w:rsidRPr="007F38C9" w:rsidRDefault="00CD5B08" w:rsidP="007D1212">
      <w:pPr>
        <w:spacing w:before="20" w:after="40"/>
        <w:ind w:left="1247"/>
        <w:rPr>
          <w:rFonts w:eastAsia="Times New Roman"/>
          <w:sz w:val="18"/>
          <w:szCs w:val="18"/>
        </w:rPr>
      </w:pPr>
      <w:r w:rsidRPr="007F38C9">
        <w:rPr>
          <w:sz w:val="18"/>
          <w:szCs w:val="18"/>
          <w:vertAlign w:val="superscript"/>
        </w:rPr>
        <w:footnoteRef/>
      </w:r>
      <w:r w:rsidRPr="007F38C9">
        <w:rPr>
          <w:rFonts w:eastAsia="Times New Roman"/>
          <w:sz w:val="18"/>
          <w:szCs w:val="18"/>
        </w:rPr>
        <w:t xml:space="preserve"> Some Parties refer to their measures for information exchange through their National Implementation Plans (Australia and Japan).</w:t>
      </w:r>
    </w:p>
  </w:footnote>
  <w:footnote w:id="22">
    <w:p w14:paraId="56F0E015" w14:textId="77777777" w:rsidR="00CD5B08" w:rsidRPr="007F38C9" w:rsidRDefault="00CD5B08" w:rsidP="007D1212">
      <w:pPr>
        <w:spacing w:before="20" w:after="40"/>
        <w:ind w:left="1247"/>
        <w:rPr>
          <w:sz w:val="18"/>
          <w:szCs w:val="18"/>
        </w:rPr>
      </w:pPr>
      <w:r w:rsidRPr="007F38C9">
        <w:rPr>
          <w:sz w:val="18"/>
          <w:szCs w:val="18"/>
          <w:vertAlign w:val="superscript"/>
        </w:rPr>
        <w:footnoteRef/>
      </w:r>
      <w:r w:rsidRPr="007F38C9">
        <w:rPr>
          <w:sz w:val="18"/>
          <w:szCs w:val="18"/>
        </w:rPr>
        <w:t xml:space="preserve"> </w:t>
      </w:r>
      <w:r w:rsidRPr="007F38C9">
        <w:rPr>
          <w:rFonts w:eastAsia="Times New Roman"/>
          <w:sz w:val="18"/>
          <w:szCs w:val="18"/>
        </w:rPr>
        <w:t>Document available on the following website: https://www.stats.gov.cn/fw/bmdcxmsp/bmzd/202308/t20230822_1942201.html</w:t>
      </w:r>
    </w:p>
  </w:footnote>
  <w:footnote w:id="23">
    <w:p w14:paraId="71D16AEE" w14:textId="77777777" w:rsidR="00CD5B08" w:rsidRPr="007F38C9" w:rsidRDefault="00CD5B08" w:rsidP="007D1212">
      <w:pPr>
        <w:spacing w:before="20" w:after="40"/>
        <w:ind w:left="1247"/>
        <w:rPr>
          <w:rFonts w:eastAsia="Times New Roman"/>
          <w:sz w:val="18"/>
          <w:szCs w:val="18"/>
        </w:rPr>
      </w:pPr>
      <w:r w:rsidRPr="007F38C9">
        <w:rPr>
          <w:sz w:val="18"/>
          <w:szCs w:val="18"/>
          <w:vertAlign w:val="superscript"/>
        </w:rPr>
        <w:footnoteRef/>
      </w:r>
      <w:r w:rsidRPr="007F38C9">
        <w:rPr>
          <w:rFonts w:eastAsia="Times New Roman"/>
          <w:sz w:val="18"/>
          <w:szCs w:val="18"/>
        </w:rPr>
        <w:t xml:space="preserve"> Taken from Peru’s national report, available on the following website: </w:t>
      </w:r>
      <w:hyperlink r:id="rId4">
        <w:r w:rsidRPr="007F38C9">
          <w:rPr>
            <w:rFonts w:eastAsia="Times New Roman"/>
            <w:sz w:val="18"/>
            <w:szCs w:val="18"/>
            <w:u w:val="single"/>
          </w:rPr>
          <w:t>https://minamataconvention.org/sites/default/files/documents/national_report/Report_Peru_2023_Spanish.pdf</w:t>
        </w:r>
      </w:hyperlink>
    </w:p>
  </w:footnote>
  <w:footnote w:id="24">
    <w:p w14:paraId="0A001C7B" w14:textId="77777777" w:rsidR="00CD5B08" w:rsidRPr="007F38C9" w:rsidRDefault="00CD5B08" w:rsidP="007D1212">
      <w:pPr>
        <w:spacing w:before="20" w:after="40"/>
        <w:ind w:left="1247"/>
        <w:rPr>
          <w:rFonts w:eastAsia="Times New Roman"/>
          <w:sz w:val="18"/>
          <w:szCs w:val="18"/>
        </w:rPr>
      </w:pPr>
      <w:r w:rsidRPr="007F38C9">
        <w:rPr>
          <w:sz w:val="18"/>
          <w:szCs w:val="18"/>
          <w:vertAlign w:val="superscript"/>
        </w:rPr>
        <w:footnoteRef/>
      </w:r>
      <w:r w:rsidRPr="007F38C9">
        <w:rPr>
          <w:rFonts w:eastAsia="Times New Roman"/>
          <w:sz w:val="18"/>
          <w:szCs w:val="18"/>
        </w:rPr>
        <w:t xml:space="preserve"> Document available in the following website: </w:t>
      </w:r>
      <w:hyperlink r:id="rId5">
        <w:r w:rsidRPr="007F38C9">
          <w:rPr>
            <w:rFonts w:eastAsia="Times New Roman"/>
            <w:sz w:val="18"/>
            <w:szCs w:val="18"/>
            <w:u w:val="single"/>
          </w:rPr>
          <w:t>https://minamataconvention.org/sites/default/files/2024-12/PER_3.3.pdf</w:t>
        </w:r>
      </w:hyperlink>
    </w:p>
  </w:footnote>
  <w:footnote w:id="25">
    <w:p w14:paraId="7D7AFFD5" w14:textId="77777777" w:rsidR="001F1AA9" w:rsidRPr="007F38C9" w:rsidRDefault="001F1AA9" w:rsidP="007D1212">
      <w:pPr>
        <w:pStyle w:val="FootnoteText"/>
        <w:rPr>
          <w:color w:val="000000" w:themeColor="text1"/>
          <w:szCs w:val="18"/>
          <w:lang w:val="en-GB"/>
        </w:rPr>
      </w:pPr>
      <w:r w:rsidRPr="007F38C9">
        <w:rPr>
          <w:rStyle w:val="FootnoteReference"/>
          <w:color w:val="000000" w:themeColor="text1"/>
          <w:sz w:val="18"/>
          <w:lang w:val="en-GB"/>
        </w:rPr>
        <w:footnoteRef/>
      </w:r>
      <w:r w:rsidRPr="007F38C9">
        <w:rPr>
          <w:color w:val="000000" w:themeColor="text1"/>
          <w:szCs w:val="18"/>
          <w:lang w:val="en-GB"/>
        </w:rPr>
        <w:t xml:space="preserve"> All the UNEP Mercury Toolkit documents (including the new Level 3) can be found on UNEP’s website: </w:t>
      </w:r>
      <w:hyperlink r:id="rId6" w:history="1">
        <w:r w:rsidRPr="007F38C9">
          <w:rPr>
            <w:rStyle w:val="Hyperlink"/>
            <w:color w:val="000000" w:themeColor="text1"/>
            <w:sz w:val="18"/>
            <w:szCs w:val="18"/>
            <w:lang w:val="en-GB"/>
          </w:rPr>
          <w:t>https://www.unep.org/topics/chemicals-and-pollution-action/pollution-and-health/heavy-metals/mercury/mercury-inventory</w:t>
        </w:r>
      </w:hyperlink>
    </w:p>
  </w:footnote>
  <w:footnote w:id="26">
    <w:p w14:paraId="72B57DCB" w14:textId="77777777" w:rsidR="001F1AA9" w:rsidRPr="007F38C9" w:rsidRDefault="001F1AA9" w:rsidP="003C1B62">
      <w:pPr>
        <w:pStyle w:val="FootnoteText"/>
        <w:rPr>
          <w:szCs w:val="18"/>
          <w:lang w:val="en-GB"/>
        </w:rPr>
      </w:pPr>
      <w:r w:rsidRPr="007F38C9">
        <w:rPr>
          <w:rStyle w:val="FootnoteReference"/>
          <w:sz w:val="18"/>
          <w:lang w:val="en-GB"/>
        </w:rPr>
        <w:footnoteRef/>
      </w:r>
      <w:r w:rsidRPr="007F38C9">
        <w:rPr>
          <w:szCs w:val="18"/>
          <w:lang w:val="en-GB"/>
        </w:rPr>
        <w:t xml:space="preserve"> Mauritius 2018 MIA. Retrieved from: https://minamataconvention.org/sites/default/files/documents/minamata_initial_assessment/Maruritius-MIA-2019.pdf </w:t>
      </w:r>
    </w:p>
  </w:footnote>
  <w:footnote w:id="27">
    <w:p w14:paraId="37A7D8D8" w14:textId="77777777" w:rsidR="001F1AA9" w:rsidRPr="007F38C9" w:rsidRDefault="001F1AA9" w:rsidP="003C1B62">
      <w:pPr>
        <w:pStyle w:val="FootnoteText"/>
        <w:rPr>
          <w:szCs w:val="18"/>
          <w:lang w:val="en-GB"/>
        </w:rPr>
      </w:pPr>
      <w:r w:rsidRPr="007F38C9">
        <w:rPr>
          <w:rStyle w:val="FootnoteReference"/>
          <w:sz w:val="18"/>
          <w:lang w:val="en-GB"/>
        </w:rPr>
        <w:footnoteRef/>
      </w:r>
      <w:r w:rsidRPr="007F38C9">
        <w:rPr>
          <w:szCs w:val="18"/>
          <w:lang w:val="en-GB"/>
        </w:rPr>
        <w:t xml:space="preserve"> Ghana 2018 MIA. Document available from the following website: https://minamataconvention.org/sites/default/files/documents/minamata_initial_assessment/Ghana-MIA-2018.pdf</w:t>
      </w:r>
    </w:p>
  </w:footnote>
  <w:footnote w:id="28">
    <w:p w14:paraId="66AD1349" w14:textId="77777777" w:rsidR="00201BC3" w:rsidRPr="007F38C9" w:rsidRDefault="00201BC3" w:rsidP="005B2E83">
      <w:pPr>
        <w:spacing w:before="20" w:after="40"/>
        <w:ind w:left="1247"/>
        <w:rPr>
          <w:rFonts w:eastAsia="Times New Roman"/>
          <w:sz w:val="18"/>
          <w:szCs w:val="18"/>
        </w:rPr>
      </w:pPr>
      <w:r w:rsidRPr="007F38C9">
        <w:rPr>
          <w:sz w:val="18"/>
          <w:szCs w:val="18"/>
          <w:vertAlign w:val="superscript"/>
        </w:rPr>
        <w:footnoteRef/>
      </w:r>
      <w:r w:rsidRPr="007F38C9">
        <w:rPr>
          <w:rFonts w:eastAsia="Times New Roman"/>
          <w:sz w:val="18"/>
          <w:szCs w:val="18"/>
        </w:rPr>
        <w:t xml:space="preserve"> Taken from UNEP/UNITAR Training package for mercury flow analysis to identify and monitor national mercury situation in its entire life cycle, available on the following website: https://wedocs.unep.org/bitstream/handle/20.500.11822/42257/mercury_flow_user_manual.pdf?sequence=3&amp;isAllowed=y</w:t>
      </w:r>
    </w:p>
  </w:footnote>
  <w:footnote w:id="29">
    <w:p w14:paraId="18C9BB40" w14:textId="77777777" w:rsidR="00201BC3" w:rsidRPr="007F38C9" w:rsidRDefault="00201BC3" w:rsidP="00271304">
      <w:pPr>
        <w:spacing w:before="20" w:after="40"/>
        <w:ind w:left="1247"/>
        <w:rPr>
          <w:rFonts w:eastAsia="Times New Roman"/>
          <w:sz w:val="18"/>
          <w:szCs w:val="18"/>
        </w:rPr>
      </w:pPr>
      <w:r w:rsidRPr="007F38C9">
        <w:rPr>
          <w:sz w:val="18"/>
          <w:szCs w:val="18"/>
          <w:vertAlign w:val="superscript"/>
        </w:rPr>
        <w:footnoteRef/>
      </w:r>
      <w:r w:rsidRPr="007F38C9">
        <w:rPr>
          <w:rFonts w:eastAsia="Times New Roman"/>
          <w:sz w:val="18"/>
          <w:szCs w:val="18"/>
        </w:rPr>
        <w:t xml:space="preserve"> Ibid.</w:t>
      </w:r>
    </w:p>
  </w:footnote>
  <w:footnote w:id="30">
    <w:p w14:paraId="0E215707" w14:textId="77777777" w:rsidR="00201BC3" w:rsidRPr="007F38C9" w:rsidRDefault="00201BC3" w:rsidP="00271304">
      <w:pPr>
        <w:pStyle w:val="FootnoteText"/>
        <w:rPr>
          <w:szCs w:val="18"/>
          <w:lang w:val="en-GB"/>
        </w:rPr>
      </w:pPr>
      <w:r w:rsidRPr="007F38C9">
        <w:rPr>
          <w:rStyle w:val="FootnoteReference"/>
          <w:sz w:val="18"/>
          <w:lang w:val="en-GB"/>
        </w:rPr>
        <w:footnoteRef/>
      </w:r>
      <w:r w:rsidRPr="007F38C9">
        <w:rPr>
          <w:szCs w:val="18"/>
          <w:lang w:val="en-GB"/>
        </w:rPr>
        <w:t xml:space="preserve"> Link to survey responses: https://drive.google.com/file/d/1m8B8pBe7hOlH9saaNNdj6TYoLSeSPGRu/view?usp=share_link</w:t>
      </w:r>
    </w:p>
  </w:footnote>
  <w:footnote w:id="31">
    <w:p w14:paraId="301453AD" w14:textId="77777777" w:rsidR="00201BC3" w:rsidRPr="007F38C9" w:rsidRDefault="00201BC3" w:rsidP="00271304">
      <w:pPr>
        <w:pStyle w:val="FootnoteText"/>
        <w:rPr>
          <w:szCs w:val="18"/>
          <w:lang w:val="en-GB"/>
        </w:rPr>
      </w:pPr>
      <w:r w:rsidRPr="007F38C9">
        <w:rPr>
          <w:rStyle w:val="FootnoteReference"/>
          <w:sz w:val="18"/>
          <w:lang w:val="en-GB"/>
        </w:rPr>
        <w:footnoteRef/>
      </w:r>
      <w:r w:rsidRPr="007F38C9">
        <w:rPr>
          <w:szCs w:val="18"/>
          <w:lang w:val="en-GB"/>
        </w:rPr>
        <w:t xml:space="preserve"> Document available on the following website: https://www.env.go.jp/content/000073050.pdf</w:t>
      </w:r>
    </w:p>
  </w:footnote>
  <w:footnote w:id="32">
    <w:p w14:paraId="16DAED2A" w14:textId="77777777" w:rsidR="00201BC3" w:rsidRPr="007F38C9" w:rsidRDefault="00201BC3" w:rsidP="00271304">
      <w:pPr>
        <w:pStyle w:val="FootnoteText"/>
        <w:rPr>
          <w:szCs w:val="18"/>
          <w:lang w:val="en-GB"/>
        </w:rPr>
      </w:pPr>
      <w:r w:rsidRPr="007F38C9">
        <w:rPr>
          <w:rStyle w:val="FootnoteReference"/>
          <w:sz w:val="18"/>
          <w:lang w:val="en-GB"/>
        </w:rPr>
        <w:footnoteRef/>
      </w:r>
      <w:r w:rsidRPr="007F38C9">
        <w:rPr>
          <w:szCs w:val="18"/>
          <w:lang w:val="en-GB"/>
        </w:rPr>
        <w:t xml:space="preserve"> Survey on mercury recovery from industrial waste. Retrieved from: https://www.e-stat.go.jp/statistics/00650406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706A89" w14:textId="3C7FC9DF" w:rsidR="00123699" w:rsidRPr="00F96910" w:rsidRDefault="00F96910" w:rsidP="00F96910">
    <w:pPr>
      <w:pStyle w:val="Header-pool"/>
    </w:pPr>
    <w:r w:rsidRPr="00F96910">
      <w:t>UNEP/MC</w:t>
    </w:r>
    <w:r w:rsidR="00EA2CF9">
      <w:t>/</w:t>
    </w:r>
    <w:r w:rsidRPr="00F96910">
      <w:t>COP.</w:t>
    </w:r>
    <w:r w:rsidR="003140A7">
      <w:t>6</w:t>
    </w:r>
    <w:r w:rsidRPr="00F96910">
      <w:t>/</w:t>
    </w:r>
    <w:r w:rsidR="006D1C7C">
      <w:t>INF/</w:t>
    </w:r>
    <w:r w:rsidR="00146D3F">
      <w:t>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007AFE" w14:textId="4E9C1A24" w:rsidR="00123699" w:rsidRPr="00392F9C" w:rsidRDefault="00F96910" w:rsidP="00F96910">
    <w:pPr>
      <w:pStyle w:val="Header-pool"/>
      <w:jc w:val="right"/>
      <w:rPr>
        <w:szCs w:val="18"/>
      </w:rPr>
    </w:pPr>
    <w:r w:rsidRPr="00F96910">
      <w:t>UNEP/MC</w:t>
    </w:r>
    <w:r w:rsidR="00EA2CF9">
      <w:t>/</w:t>
    </w:r>
    <w:r w:rsidRPr="00F96910">
      <w:t>COP.</w:t>
    </w:r>
    <w:r w:rsidR="007F38C9">
      <w:t>6</w:t>
    </w:r>
    <w:r w:rsidRPr="00F96910">
      <w:t>/</w:t>
    </w:r>
    <w:r w:rsidR="007F38C9">
      <w:t>INF/7</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4381FC" w14:textId="77777777" w:rsidR="00C059F0" w:rsidRPr="00F7542C" w:rsidRDefault="00C059F0" w:rsidP="00F7542C">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42F14"/>
    <w:multiLevelType w:val="hybridMultilevel"/>
    <w:tmpl w:val="BCF6A50E"/>
    <w:lvl w:ilvl="0" w:tplc="EDC41ED8">
      <w:start w:val="1"/>
      <w:numFmt w:val="decimal"/>
      <w:lvlText w:val="%1."/>
      <w:lvlJc w:val="left"/>
      <w:pPr>
        <w:ind w:left="1607" w:hanging="360"/>
      </w:pPr>
      <w:rPr>
        <w:rFonts w:hint="default"/>
      </w:rPr>
    </w:lvl>
    <w:lvl w:ilvl="1" w:tplc="08090019" w:tentative="1">
      <w:start w:val="1"/>
      <w:numFmt w:val="lowerLetter"/>
      <w:lvlText w:val="%2."/>
      <w:lvlJc w:val="left"/>
      <w:pPr>
        <w:ind w:left="2327" w:hanging="360"/>
      </w:pPr>
    </w:lvl>
    <w:lvl w:ilvl="2" w:tplc="0809001B" w:tentative="1">
      <w:start w:val="1"/>
      <w:numFmt w:val="lowerRoman"/>
      <w:lvlText w:val="%3."/>
      <w:lvlJc w:val="right"/>
      <w:pPr>
        <w:ind w:left="3047" w:hanging="180"/>
      </w:pPr>
    </w:lvl>
    <w:lvl w:ilvl="3" w:tplc="0809000F" w:tentative="1">
      <w:start w:val="1"/>
      <w:numFmt w:val="decimal"/>
      <w:lvlText w:val="%4."/>
      <w:lvlJc w:val="left"/>
      <w:pPr>
        <w:ind w:left="3767" w:hanging="360"/>
      </w:pPr>
    </w:lvl>
    <w:lvl w:ilvl="4" w:tplc="08090019" w:tentative="1">
      <w:start w:val="1"/>
      <w:numFmt w:val="lowerLetter"/>
      <w:lvlText w:val="%5."/>
      <w:lvlJc w:val="left"/>
      <w:pPr>
        <w:ind w:left="4487" w:hanging="360"/>
      </w:pPr>
    </w:lvl>
    <w:lvl w:ilvl="5" w:tplc="0809001B" w:tentative="1">
      <w:start w:val="1"/>
      <w:numFmt w:val="lowerRoman"/>
      <w:lvlText w:val="%6."/>
      <w:lvlJc w:val="right"/>
      <w:pPr>
        <w:ind w:left="5207" w:hanging="180"/>
      </w:pPr>
    </w:lvl>
    <w:lvl w:ilvl="6" w:tplc="0809000F" w:tentative="1">
      <w:start w:val="1"/>
      <w:numFmt w:val="decimal"/>
      <w:lvlText w:val="%7."/>
      <w:lvlJc w:val="left"/>
      <w:pPr>
        <w:ind w:left="5927" w:hanging="360"/>
      </w:pPr>
    </w:lvl>
    <w:lvl w:ilvl="7" w:tplc="08090019" w:tentative="1">
      <w:start w:val="1"/>
      <w:numFmt w:val="lowerLetter"/>
      <w:lvlText w:val="%8."/>
      <w:lvlJc w:val="left"/>
      <w:pPr>
        <w:ind w:left="6647" w:hanging="360"/>
      </w:pPr>
    </w:lvl>
    <w:lvl w:ilvl="8" w:tplc="0809001B" w:tentative="1">
      <w:start w:val="1"/>
      <w:numFmt w:val="lowerRoman"/>
      <w:lvlText w:val="%9."/>
      <w:lvlJc w:val="right"/>
      <w:pPr>
        <w:ind w:left="7367" w:hanging="180"/>
      </w:pPr>
    </w:lvl>
  </w:abstractNum>
  <w:abstractNum w:abstractNumId="1" w15:restartNumberingAfterBreak="0">
    <w:nsid w:val="022879F0"/>
    <w:multiLevelType w:val="hybridMultilevel"/>
    <w:tmpl w:val="4FE0C932"/>
    <w:lvl w:ilvl="0" w:tplc="04090017">
      <w:start w:val="1"/>
      <w:numFmt w:val="lowerLetter"/>
      <w:lvlText w:val="%1)"/>
      <w:lvlJc w:val="left"/>
      <w:pPr>
        <w:ind w:left="720" w:hanging="360"/>
      </w:pPr>
      <w:rPr>
        <w:rFonts w:hint="default"/>
      </w:rPr>
    </w:lvl>
    <w:lvl w:ilvl="1" w:tplc="0409001B">
      <w:start w:val="1"/>
      <w:numFmt w:val="lowerRoman"/>
      <w:lvlText w:val="%2."/>
      <w:lvlJc w:val="right"/>
      <w:pPr>
        <w:ind w:left="1440" w:hanging="360"/>
      </w:pPr>
    </w:lvl>
    <w:lvl w:ilvl="2" w:tplc="3A2283C0">
      <w:start w:val="1"/>
      <w:numFmt w:val="low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5863BE"/>
    <w:multiLevelType w:val="multilevel"/>
    <w:tmpl w:val="B720BABE"/>
    <w:lvl w:ilvl="0">
      <w:start w:val="1"/>
      <w:numFmt w:val="lowerLetter"/>
      <w:lvlText w:val="(%1)"/>
      <w:lvlJc w:val="left"/>
      <w:pPr>
        <w:ind w:left="720" w:hanging="360"/>
      </w:pPr>
      <w:rPr>
        <w:rFonts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D9A6CB0"/>
    <w:multiLevelType w:val="hybridMultilevel"/>
    <w:tmpl w:val="AB72C58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916245"/>
    <w:multiLevelType w:val="hybridMultilevel"/>
    <w:tmpl w:val="6C7AFA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BA12655"/>
    <w:multiLevelType w:val="hybridMultilevel"/>
    <w:tmpl w:val="6EDAF982"/>
    <w:lvl w:ilvl="0" w:tplc="FFFFFFFF">
      <w:start w:val="1"/>
      <w:numFmt w:val="lowerLetter"/>
      <w:lvlText w:val="(%1)"/>
      <w:lvlJc w:val="left"/>
      <w:pPr>
        <w:ind w:left="2231" w:hanging="360"/>
      </w:pPr>
      <w:rPr>
        <w:rFonts w:ascii="Times New Roman" w:hAnsi="Times New Roman" w:cs="Times New Roman" w:hint="default"/>
      </w:rPr>
    </w:lvl>
    <w:lvl w:ilvl="1" w:tplc="FFFFFFFF" w:tentative="1">
      <w:start w:val="1"/>
      <w:numFmt w:val="lowerLetter"/>
      <w:lvlText w:val="%2."/>
      <w:lvlJc w:val="left"/>
      <w:pPr>
        <w:ind w:left="2951" w:hanging="360"/>
      </w:pPr>
    </w:lvl>
    <w:lvl w:ilvl="2" w:tplc="FFFFFFFF" w:tentative="1">
      <w:start w:val="1"/>
      <w:numFmt w:val="lowerRoman"/>
      <w:lvlText w:val="%3."/>
      <w:lvlJc w:val="right"/>
      <w:pPr>
        <w:ind w:left="3671" w:hanging="180"/>
      </w:pPr>
    </w:lvl>
    <w:lvl w:ilvl="3" w:tplc="FFFFFFFF" w:tentative="1">
      <w:start w:val="1"/>
      <w:numFmt w:val="decimal"/>
      <w:lvlText w:val="%4."/>
      <w:lvlJc w:val="left"/>
      <w:pPr>
        <w:ind w:left="4391" w:hanging="360"/>
      </w:pPr>
    </w:lvl>
    <w:lvl w:ilvl="4" w:tplc="FFFFFFFF" w:tentative="1">
      <w:start w:val="1"/>
      <w:numFmt w:val="lowerLetter"/>
      <w:lvlText w:val="%5."/>
      <w:lvlJc w:val="left"/>
      <w:pPr>
        <w:ind w:left="5111" w:hanging="360"/>
      </w:pPr>
    </w:lvl>
    <w:lvl w:ilvl="5" w:tplc="FFFFFFFF" w:tentative="1">
      <w:start w:val="1"/>
      <w:numFmt w:val="lowerRoman"/>
      <w:lvlText w:val="%6."/>
      <w:lvlJc w:val="right"/>
      <w:pPr>
        <w:ind w:left="5831" w:hanging="180"/>
      </w:pPr>
    </w:lvl>
    <w:lvl w:ilvl="6" w:tplc="FFFFFFFF" w:tentative="1">
      <w:start w:val="1"/>
      <w:numFmt w:val="decimal"/>
      <w:lvlText w:val="%7."/>
      <w:lvlJc w:val="left"/>
      <w:pPr>
        <w:ind w:left="6551" w:hanging="360"/>
      </w:pPr>
    </w:lvl>
    <w:lvl w:ilvl="7" w:tplc="FFFFFFFF" w:tentative="1">
      <w:start w:val="1"/>
      <w:numFmt w:val="lowerLetter"/>
      <w:lvlText w:val="%8."/>
      <w:lvlJc w:val="left"/>
      <w:pPr>
        <w:ind w:left="7271" w:hanging="360"/>
      </w:pPr>
    </w:lvl>
    <w:lvl w:ilvl="8" w:tplc="FFFFFFFF" w:tentative="1">
      <w:start w:val="1"/>
      <w:numFmt w:val="lowerRoman"/>
      <w:lvlText w:val="%9."/>
      <w:lvlJc w:val="right"/>
      <w:pPr>
        <w:ind w:left="7991" w:hanging="180"/>
      </w:pPr>
    </w:lvl>
  </w:abstractNum>
  <w:abstractNum w:abstractNumId="6" w15:restartNumberingAfterBreak="0">
    <w:nsid w:val="20ED6D0D"/>
    <w:multiLevelType w:val="hybridMultilevel"/>
    <w:tmpl w:val="856C2546"/>
    <w:lvl w:ilvl="0" w:tplc="E9425190">
      <w:start w:val="1"/>
      <w:numFmt w:val="lowerLetter"/>
      <w:lvlText w:val="(%1)"/>
      <w:lvlJc w:val="left"/>
      <w:pPr>
        <w:ind w:left="2231" w:hanging="360"/>
      </w:pPr>
      <w:rPr>
        <w:rFonts w:ascii="Times New Roman" w:hAnsi="Times New Roman" w:cs="Times New Roman" w:hint="default"/>
      </w:rPr>
    </w:lvl>
    <w:lvl w:ilvl="1" w:tplc="08090019" w:tentative="1">
      <w:start w:val="1"/>
      <w:numFmt w:val="lowerLetter"/>
      <w:lvlText w:val="%2."/>
      <w:lvlJc w:val="left"/>
      <w:pPr>
        <w:ind w:left="2951" w:hanging="360"/>
      </w:pPr>
    </w:lvl>
    <w:lvl w:ilvl="2" w:tplc="0809001B" w:tentative="1">
      <w:start w:val="1"/>
      <w:numFmt w:val="lowerRoman"/>
      <w:lvlText w:val="%3."/>
      <w:lvlJc w:val="right"/>
      <w:pPr>
        <w:ind w:left="3671" w:hanging="180"/>
      </w:pPr>
    </w:lvl>
    <w:lvl w:ilvl="3" w:tplc="0809000F" w:tentative="1">
      <w:start w:val="1"/>
      <w:numFmt w:val="decimal"/>
      <w:lvlText w:val="%4."/>
      <w:lvlJc w:val="left"/>
      <w:pPr>
        <w:ind w:left="4391" w:hanging="360"/>
      </w:pPr>
    </w:lvl>
    <w:lvl w:ilvl="4" w:tplc="08090019" w:tentative="1">
      <w:start w:val="1"/>
      <w:numFmt w:val="lowerLetter"/>
      <w:lvlText w:val="%5."/>
      <w:lvlJc w:val="left"/>
      <w:pPr>
        <w:ind w:left="5111" w:hanging="360"/>
      </w:pPr>
    </w:lvl>
    <w:lvl w:ilvl="5" w:tplc="0809001B" w:tentative="1">
      <w:start w:val="1"/>
      <w:numFmt w:val="lowerRoman"/>
      <w:lvlText w:val="%6."/>
      <w:lvlJc w:val="right"/>
      <w:pPr>
        <w:ind w:left="5831" w:hanging="180"/>
      </w:pPr>
    </w:lvl>
    <w:lvl w:ilvl="6" w:tplc="0809000F" w:tentative="1">
      <w:start w:val="1"/>
      <w:numFmt w:val="decimal"/>
      <w:lvlText w:val="%7."/>
      <w:lvlJc w:val="left"/>
      <w:pPr>
        <w:ind w:left="6551" w:hanging="360"/>
      </w:pPr>
    </w:lvl>
    <w:lvl w:ilvl="7" w:tplc="08090019" w:tentative="1">
      <w:start w:val="1"/>
      <w:numFmt w:val="lowerLetter"/>
      <w:lvlText w:val="%8."/>
      <w:lvlJc w:val="left"/>
      <w:pPr>
        <w:ind w:left="7271" w:hanging="360"/>
      </w:pPr>
    </w:lvl>
    <w:lvl w:ilvl="8" w:tplc="0809001B" w:tentative="1">
      <w:start w:val="1"/>
      <w:numFmt w:val="lowerRoman"/>
      <w:lvlText w:val="%9."/>
      <w:lvlJc w:val="right"/>
      <w:pPr>
        <w:ind w:left="7991" w:hanging="180"/>
      </w:pPr>
    </w:lvl>
  </w:abstractNum>
  <w:abstractNum w:abstractNumId="7" w15:restartNumberingAfterBreak="0">
    <w:nsid w:val="260F3A36"/>
    <w:multiLevelType w:val="hybridMultilevel"/>
    <w:tmpl w:val="94C4B49E"/>
    <w:lvl w:ilvl="0" w:tplc="1D44067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A4A1A31"/>
    <w:multiLevelType w:val="hybridMultilevel"/>
    <w:tmpl w:val="0CE4C2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FDB264B"/>
    <w:multiLevelType w:val="hybridMultilevel"/>
    <w:tmpl w:val="9376A36E"/>
    <w:lvl w:ilvl="0" w:tplc="04090017">
      <w:start w:val="1"/>
      <w:numFmt w:val="lowerLetter"/>
      <w:lvlText w:val="%1)"/>
      <w:lvlJc w:val="left"/>
      <w:pPr>
        <w:ind w:left="1800" w:hanging="360"/>
      </w:pPr>
    </w:lvl>
    <w:lvl w:ilvl="1" w:tplc="04090019">
      <w:start w:val="1"/>
      <w:numFmt w:val="lowerLetter"/>
      <w:lvlText w:val="%2."/>
      <w:lvlJc w:val="left"/>
      <w:pPr>
        <w:ind w:left="2520" w:hanging="360"/>
      </w:pPr>
    </w:lvl>
    <w:lvl w:ilvl="2" w:tplc="04090017">
      <w:start w:val="1"/>
      <w:numFmt w:val="lowerLetter"/>
      <w:lvlText w:val="%3)"/>
      <w:lvlJc w:val="left"/>
      <w:pPr>
        <w:ind w:left="3420" w:hanging="36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31E30B24"/>
    <w:multiLevelType w:val="hybridMultilevel"/>
    <w:tmpl w:val="6EDAF982"/>
    <w:lvl w:ilvl="0" w:tplc="FFFFFFFF">
      <w:start w:val="1"/>
      <w:numFmt w:val="lowerLetter"/>
      <w:lvlText w:val="(%1)"/>
      <w:lvlJc w:val="left"/>
      <w:pPr>
        <w:ind w:left="2231" w:hanging="360"/>
      </w:pPr>
      <w:rPr>
        <w:rFonts w:ascii="Times New Roman" w:hAnsi="Times New Roman" w:cs="Times New Roman" w:hint="default"/>
      </w:rPr>
    </w:lvl>
    <w:lvl w:ilvl="1" w:tplc="FFFFFFFF" w:tentative="1">
      <w:start w:val="1"/>
      <w:numFmt w:val="lowerLetter"/>
      <w:lvlText w:val="%2."/>
      <w:lvlJc w:val="left"/>
      <w:pPr>
        <w:ind w:left="2951" w:hanging="360"/>
      </w:pPr>
    </w:lvl>
    <w:lvl w:ilvl="2" w:tplc="FFFFFFFF" w:tentative="1">
      <w:start w:val="1"/>
      <w:numFmt w:val="lowerRoman"/>
      <w:lvlText w:val="%3."/>
      <w:lvlJc w:val="right"/>
      <w:pPr>
        <w:ind w:left="3671" w:hanging="180"/>
      </w:pPr>
    </w:lvl>
    <w:lvl w:ilvl="3" w:tplc="FFFFFFFF" w:tentative="1">
      <w:start w:val="1"/>
      <w:numFmt w:val="decimal"/>
      <w:lvlText w:val="%4."/>
      <w:lvlJc w:val="left"/>
      <w:pPr>
        <w:ind w:left="4391" w:hanging="360"/>
      </w:pPr>
    </w:lvl>
    <w:lvl w:ilvl="4" w:tplc="FFFFFFFF" w:tentative="1">
      <w:start w:val="1"/>
      <w:numFmt w:val="lowerLetter"/>
      <w:lvlText w:val="%5."/>
      <w:lvlJc w:val="left"/>
      <w:pPr>
        <w:ind w:left="5111" w:hanging="360"/>
      </w:pPr>
    </w:lvl>
    <w:lvl w:ilvl="5" w:tplc="FFFFFFFF" w:tentative="1">
      <w:start w:val="1"/>
      <w:numFmt w:val="lowerRoman"/>
      <w:lvlText w:val="%6."/>
      <w:lvlJc w:val="right"/>
      <w:pPr>
        <w:ind w:left="5831" w:hanging="180"/>
      </w:pPr>
    </w:lvl>
    <w:lvl w:ilvl="6" w:tplc="FFFFFFFF" w:tentative="1">
      <w:start w:val="1"/>
      <w:numFmt w:val="decimal"/>
      <w:lvlText w:val="%7."/>
      <w:lvlJc w:val="left"/>
      <w:pPr>
        <w:ind w:left="6551" w:hanging="360"/>
      </w:pPr>
    </w:lvl>
    <w:lvl w:ilvl="7" w:tplc="FFFFFFFF" w:tentative="1">
      <w:start w:val="1"/>
      <w:numFmt w:val="lowerLetter"/>
      <w:lvlText w:val="%8."/>
      <w:lvlJc w:val="left"/>
      <w:pPr>
        <w:ind w:left="7271" w:hanging="360"/>
      </w:pPr>
    </w:lvl>
    <w:lvl w:ilvl="8" w:tplc="FFFFFFFF" w:tentative="1">
      <w:start w:val="1"/>
      <w:numFmt w:val="lowerRoman"/>
      <w:lvlText w:val="%9."/>
      <w:lvlJc w:val="right"/>
      <w:pPr>
        <w:ind w:left="7991" w:hanging="180"/>
      </w:pPr>
    </w:lvl>
  </w:abstractNum>
  <w:abstractNum w:abstractNumId="11" w15:restartNumberingAfterBreak="0">
    <w:nsid w:val="33312A99"/>
    <w:multiLevelType w:val="hybridMultilevel"/>
    <w:tmpl w:val="5CF8EB16"/>
    <w:lvl w:ilvl="0" w:tplc="3F0C0ECC">
      <w:start w:val="1"/>
      <w:numFmt w:val="decimal"/>
      <w:lvlText w:val="%1."/>
      <w:lvlJc w:val="left"/>
      <w:pPr>
        <w:ind w:left="1607" w:hanging="360"/>
      </w:pPr>
      <w:rPr>
        <w:rFonts w:hint="default"/>
        <w:b w:val="0"/>
        <w:bCs/>
        <w:i w:val="0"/>
        <w:iCs/>
        <w:sz w:val="20"/>
        <w:szCs w:val="20"/>
        <w:vertAlign w:val="baseline"/>
      </w:rPr>
    </w:lvl>
    <w:lvl w:ilvl="1" w:tplc="FFFFFFFF" w:tentative="1">
      <w:start w:val="1"/>
      <w:numFmt w:val="lowerLetter"/>
      <w:lvlText w:val="%2."/>
      <w:lvlJc w:val="left"/>
      <w:pPr>
        <w:ind w:left="2327" w:hanging="360"/>
      </w:pPr>
    </w:lvl>
    <w:lvl w:ilvl="2" w:tplc="FFFFFFFF" w:tentative="1">
      <w:start w:val="1"/>
      <w:numFmt w:val="lowerRoman"/>
      <w:lvlText w:val="%3."/>
      <w:lvlJc w:val="right"/>
      <w:pPr>
        <w:ind w:left="3047" w:hanging="180"/>
      </w:pPr>
    </w:lvl>
    <w:lvl w:ilvl="3" w:tplc="FFFFFFFF" w:tentative="1">
      <w:start w:val="1"/>
      <w:numFmt w:val="decimal"/>
      <w:lvlText w:val="%4."/>
      <w:lvlJc w:val="left"/>
      <w:pPr>
        <w:ind w:left="3767" w:hanging="360"/>
      </w:pPr>
    </w:lvl>
    <w:lvl w:ilvl="4" w:tplc="FFFFFFFF" w:tentative="1">
      <w:start w:val="1"/>
      <w:numFmt w:val="lowerLetter"/>
      <w:lvlText w:val="%5."/>
      <w:lvlJc w:val="left"/>
      <w:pPr>
        <w:ind w:left="4487" w:hanging="360"/>
      </w:pPr>
    </w:lvl>
    <w:lvl w:ilvl="5" w:tplc="FFFFFFFF" w:tentative="1">
      <w:start w:val="1"/>
      <w:numFmt w:val="lowerRoman"/>
      <w:lvlText w:val="%6."/>
      <w:lvlJc w:val="right"/>
      <w:pPr>
        <w:ind w:left="5207" w:hanging="180"/>
      </w:pPr>
    </w:lvl>
    <w:lvl w:ilvl="6" w:tplc="FFFFFFFF" w:tentative="1">
      <w:start w:val="1"/>
      <w:numFmt w:val="decimal"/>
      <w:lvlText w:val="%7."/>
      <w:lvlJc w:val="left"/>
      <w:pPr>
        <w:ind w:left="5927" w:hanging="360"/>
      </w:pPr>
    </w:lvl>
    <w:lvl w:ilvl="7" w:tplc="FFFFFFFF" w:tentative="1">
      <w:start w:val="1"/>
      <w:numFmt w:val="lowerLetter"/>
      <w:lvlText w:val="%8."/>
      <w:lvlJc w:val="left"/>
      <w:pPr>
        <w:ind w:left="6647" w:hanging="360"/>
      </w:pPr>
    </w:lvl>
    <w:lvl w:ilvl="8" w:tplc="FFFFFFFF" w:tentative="1">
      <w:start w:val="1"/>
      <w:numFmt w:val="lowerRoman"/>
      <w:lvlText w:val="%9."/>
      <w:lvlJc w:val="right"/>
      <w:pPr>
        <w:ind w:left="7367" w:hanging="180"/>
      </w:pPr>
    </w:lvl>
  </w:abstractNum>
  <w:abstractNum w:abstractNumId="12" w15:restartNumberingAfterBreak="0">
    <w:nsid w:val="38012E33"/>
    <w:multiLevelType w:val="hybridMultilevel"/>
    <w:tmpl w:val="6EDAF982"/>
    <w:lvl w:ilvl="0" w:tplc="22708FDC">
      <w:start w:val="1"/>
      <w:numFmt w:val="lowerLetter"/>
      <w:lvlText w:val="(%1)"/>
      <w:lvlJc w:val="left"/>
      <w:pPr>
        <w:ind w:left="2231" w:hanging="360"/>
      </w:pPr>
      <w:rPr>
        <w:rFonts w:ascii="Times New Roman" w:hAnsi="Times New Roman" w:cs="Times New Roman" w:hint="default"/>
      </w:rPr>
    </w:lvl>
    <w:lvl w:ilvl="1" w:tplc="08090019" w:tentative="1">
      <w:start w:val="1"/>
      <w:numFmt w:val="lowerLetter"/>
      <w:lvlText w:val="%2."/>
      <w:lvlJc w:val="left"/>
      <w:pPr>
        <w:ind w:left="2951" w:hanging="360"/>
      </w:pPr>
    </w:lvl>
    <w:lvl w:ilvl="2" w:tplc="0809001B" w:tentative="1">
      <w:start w:val="1"/>
      <w:numFmt w:val="lowerRoman"/>
      <w:lvlText w:val="%3."/>
      <w:lvlJc w:val="right"/>
      <w:pPr>
        <w:ind w:left="3671" w:hanging="180"/>
      </w:pPr>
    </w:lvl>
    <w:lvl w:ilvl="3" w:tplc="0809000F" w:tentative="1">
      <w:start w:val="1"/>
      <w:numFmt w:val="decimal"/>
      <w:lvlText w:val="%4."/>
      <w:lvlJc w:val="left"/>
      <w:pPr>
        <w:ind w:left="4391" w:hanging="360"/>
      </w:pPr>
    </w:lvl>
    <w:lvl w:ilvl="4" w:tplc="08090019" w:tentative="1">
      <w:start w:val="1"/>
      <w:numFmt w:val="lowerLetter"/>
      <w:lvlText w:val="%5."/>
      <w:lvlJc w:val="left"/>
      <w:pPr>
        <w:ind w:left="5111" w:hanging="360"/>
      </w:pPr>
    </w:lvl>
    <w:lvl w:ilvl="5" w:tplc="0809001B" w:tentative="1">
      <w:start w:val="1"/>
      <w:numFmt w:val="lowerRoman"/>
      <w:lvlText w:val="%6."/>
      <w:lvlJc w:val="right"/>
      <w:pPr>
        <w:ind w:left="5831" w:hanging="180"/>
      </w:pPr>
    </w:lvl>
    <w:lvl w:ilvl="6" w:tplc="0809000F" w:tentative="1">
      <w:start w:val="1"/>
      <w:numFmt w:val="decimal"/>
      <w:lvlText w:val="%7."/>
      <w:lvlJc w:val="left"/>
      <w:pPr>
        <w:ind w:left="6551" w:hanging="360"/>
      </w:pPr>
    </w:lvl>
    <w:lvl w:ilvl="7" w:tplc="08090019" w:tentative="1">
      <w:start w:val="1"/>
      <w:numFmt w:val="lowerLetter"/>
      <w:lvlText w:val="%8."/>
      <w:lvlJc w:val="left"/>
      <w:pPr>
        <w:ind w:left="7271" w:hanging="360"/>
      </w:pPr>
    </w:lvl>
    <w:lvl w:ilvl="8" w:tplc="0809001B" w:tentative="1">
      <w:start w:val="1"/>
      <w:numFmt w:val="lowerRoman"/>
      <w:lvlText w:val="%9."/>
      <w:lvlJc w:val="right"/>
      <w:pPr>
        <w:ind w:left="7991" w:hanging="180"/>
      </w:pPr>
    </w:lvl>
  </w:abstractNum>
  <w:abstractNum w:abstractNumId="13" w15:restartNumberingAfterBreak="0">
    <w:nsid w:val="38E309BC"/>
    <w:multiLevelType w:val="multilevel"/>
    <w:tmpl w:val="1FE268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481C1F72"/>
    <w:multiLevelType w:val="hybridMultilevel"/>
    <w:tmpl w:val="85BACF84"/>
    <w:lvl w:ilvl="0" w:tplc="04090017">
      <w:start w:val="1"/>
      <w:numFmt w:val="lowerLetter"/>
      <w:lvlText w:val="%1)"/>
      <w:lvlJc w:val="left"/>
      <w:pPr>
        <w:ind w:left="720" w:hanging="360"/>
      </w:pPr>
      <w:rPr>
        <w:rFonts w:ascii="Times New Roman" w:eastAsia="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D700748"/>
    <w:multiLevelType w:val="hybridMultilevel"/>
    <w:tmpl w:val="6EDAF982"/>
    <w:lvl w:ilvl="0" w:tplc="FFFFFFFF">
      <w:start w:val="1"/>
      <w:numFmt w:val="lowerLetter"/>
      <w:lvlText w:val="(%1)"/>
      <w:lvlJc w:val="left"/>
      <w:pPr>
        <w:ind w:left="2231" w:hanging="360"/>
      </w:pPr>
      <w:rPr>
        <w:rFonts w:ascii="Times New Roman" w:hAnsi="Times New Roman" w:cs="Times New Roman" w:hint="default"/>
      </w:rPr>
    </w:lvl>
    <w:lvl w:ilvl="1" w:tplc="FFFFFFFF" w:tentative="1">
      <w:start w:val="1"/>
      <w:numFmt w:val="lowerLetter"/>
      <w:lvlText w:val="%2."/>
      <w:lvlJc w:val="left"/>
      <w:pPr>
        <w:ind w:left="2951" w:hanging="360"/>
      </w:pPr>
    </w:lvl>
    <w:lvl w:ilvl="2" w:tplc="FFFFFFFF" w:tentative="1">
      <w:start w:val="1"/>
      <w:numFmt w:val="lowerRoman"/>
      <w:lvlText w:val="%3."/>
      <w:lvlJc w:val="right"/>
      <w:pPr>
        <w:ind w:left="3671" w:hanging="180"/>
      </w:pPr>
    </w:lvl>
    <w:lvl w:ilvl="3" w:tplc="FFFFFFFF" w:tentative="1">
      <w:start w:val="1"/>
      <w:numFmt w:val="decimal"/>
      <w:lvlText w:val="%4."/>
      <w:lvlJc w:val="left"/>
      <w:pPr>
        <w:ind w:left="4391" w:hanging="360"/>
      </w:pPr>
    </w:lvl>
    <w:lvl w:ilvl="4" w:tplc="FFFFFFFF" w:tentative="1">
      <w:start w:val="1"/>
      <w:numFmt w:val="lowerLetter"/>
      <w:lvlText w:val="%5."/>
      <w:lvlJc w:val="left"/>
      <w:pPr>
        <w:ind w:left="5111" w:hanging="360"/>
      </w:pPr>
    </w:lvl>
    <w:lvl w:ilvl="5" w:tplc="FFFFFFFF" w:tentative="1">
      <w:start w:val="1"/>
      <w:numFmt w:val="lowerRoman"/>
      <w:lvlText w:val="%6."/>
      <w:lvlJc w:val="right"/>
      <w:pPr>
        <w:ind w:left="5831" w:hanging="180"/>
      </w:pPr>
    </w:lvl>
    <w:lvl w:ilvl="6" w:tplc="FFFFFFFF" w:tentative="1">
      <w:start w:val="1"/>
      <w:numFmt w:val="decimal"/>
      <w:lvlText w:val="%7."/>
      <w:lvlJc w:val="left"/>
      <w:pPr>
        <w:ind w:left="6551" w:hanging="360"/>
      </w:pPr>
    </w:lvl>
    <w:lvl w:ilvl="7" w:tplc="FFFFFFFF" w:tentative="1">
      <w:start w:val="1"/>
      <w:numFmt w:val="lowerLetter"/>
      <w:lvlText w:val="%8."/>
      <w:lvlJc w:val="left"/>
      <w:pPr>
        <w:ind w:left="7271" w:hanging="360"/>
      </w:pPr>
    </w:lvl>
    <w:lvl w:ilvl="8" w:tplc="FFFFFFFF" w:tentative="1">
      <w:start w:val="1"/>
      <w:numFmt w:val="lowerRoman"/>
      <w:lvlText w:val="%9."/>
      <w:lvlJc w:val="right"/>
      <w:pPr>
        <w:ind w:left="7991" w:hanging="180"/>
      </w:pPr>
    </w:lvl>
  </w:abstractNum>
  <w:abstractNum w:abstractNumId="16" w15:restartNumberingAfterBreak="0">
    <w:nsid w:val="52A66A9D"/>
    <w:multiLevelType w:val="multilevel"/>
    <w:tmpl w:val="C0FC3350"/>
    <w:styleLink w:val="Normallist"/>
    <w:lvl w:ilvl="0">
      <w:start w:val="1"/>
      <w:numFmt w:val="decimal"/>
      <w:lvlText w:val="%1."/>
      <w:lvlJc w:val="left"/>
      <w:pPr>
        <w:tabs>
          <w:tab w:val="num" w:pos="567"/>
        </w:tabs>
        <w:ind w:left="1247" w:firstLine="0"/>
      </w:pPr>
      <w:rPr>
        <w:rFonts w:hint="default"/>
      </w:rPr>
    </w:lvl>
    <w:lvl w:ilvl="1">
      <w:start w:val="1"/>
      <w:numFmt w:val="lowerLetter"/>
      <w:lvlText w:val="(%2)"/>
      <w:lvlJc w:val="left"/>
      <w:pPr>
        <w:tabs>
          <w:tab w:val="num" w:pos="567"/>
        </w:tabs>
        <w:ind w:left="1247" w:firstLine="567"/>
      </w:pPr>
      <w:rPr>
        <w:rFonts w:hint="default"/>
      </w:rPr>
    </w:lvl>
    <w:lvl w:ilvl="2">
      <w:start w:val="1"/>
      <w:numFmt w:val="lowerRoman"/>
      <w:lvlText w:val="(%3)"/>
      <w:lvlJc w:val="left"/>
      <w:pPr>
        <w:tabs>
          <w:tab w:val="num" w:pos="567"/>
        </w:tabs>
        <w:ind w:left="2948" w:hanging="567"/>
      </w:pPr>
      <w:rPr>
        <w:rFonts w:hint="default"/>
      </w:rPr>
    </w:lvl>
    <w:lvl w:ilvl="3">
      <w:start w:val="1"/>
      <w:numFmt w:val="lowerLetter"/>
      <w:lvlText w:val="%4."/>
      <w:lvlJc w:val="left"/>
      <w:pPr>
        <w:tabs>
          <w:tab w:val="num" w:pos="567"/>
        </w:tabs>
        <w:ind w:left="3515" w:hanging="567"/>
      </w:pPr>
      <w:rPr>
        <w:rFonts w:hint="default"/>
      </w:rPr>
    </w:lvl>
    <w:lvl w:ilvl="4">
      <w:start w:val="1"/>
      <w:numFmt w:val="lowerRoman"/>
      <w:lvlText w:val="%5."/>
      <w:lvlJc w:val="left"/>
      <w:pPr>
        <w:tabs>
          <w:tab w:val="num" w:pos="567"/>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17" w15:restartNumberingAfterBreak="0">
    <w:nsid w:val="54C96579"/>
    <w:multiLevelType w:val="hybridMultilevel"/>
    <w:tmpl w:val="6EDAF982"/>
    <w:lvl w:ilvl="0" w:tplc="FFFFFFFF">
      <w:start w:val="1"/>
      <w:numFmt w:val="lowerLetter"/>
      <w:lvlText w:val="(%1)"/>
      <w:lvlJc w:val="left"/>
      <w:pPr>
        <w:ind w:left="2231" w:hanging="360"/>
      </w:pPr>
      <w:rPr>
        <w:rFonts w:ascii="Times New Roman" w:hAnsi="Times New Roman" w:cs="Times New Roman" w:hint="default"/>
      </w:rPr>
    </w:lvl>
    <w:lvl w:ilvl="1" w:tplc="FFFFFFFF" w:tentative="1">
      <w:start w:val="1"/>
      <w:numFmt w:val="lowerLetter"/>
      <w:lvlText w:val="%2."/>
      <w:lvlJc w:val="left"/>
      <w:pPr>
        <w:ind w:left="2951" w:hanging="360"/>
      </w:pPr>
    </w:lvl>
    <w:lvl w:ilvl="2" w:tplc="FFFFFFFF" w:tentative="1">
      <w:start w:val="1"/>
      <w:numFmt w:val="lowerRoman"/>
      <w:lvlText w:val="%3."/>
      <w:lvlJc w:val="right"/>
      <w:pPr>
        <w:ind w:left="3671" w:hanging="180"/>
      </w:pPr>
    </w:lvl>
    <w:lvl w:ilvl="3" w:tplc="FFFFFFFF" w:tentative="1">
      <w:start w:val="1"/>
      <w:numFmt w:val="decimal"/>
      <w:lvlText w:val="%4."/>
      <w:lvlJc w:val="left"/>
      <w:pPr>
        <w:ind w:left="4391" w:hanging="360"/>
      </w:pPr>
    </w:lvl>
    <w:lvl w:ilvl="4" w:tplc="FFFFFFFF" w:tentative="1">
      <w:start w:val="1"/>
      <w:numFmt w:val="lowerLetter"/>
      <w:lvlText w:val="%5."/>
      <w:lvlJc w:val="left"/>
      <w:pPr>
        <w:ind w:left="5111" w:hanging="360"/>
      </w:pPr>
    </w:lvl>
    <w:lvl w:ilvl="5" w:tplc="FFFFFFFF" w:tentative="1">
      <w:start w:val="1"/>
      <w:numFmt w:val="lowerRoman"/>
      <w:lvlText w:val="%6."/>
      <w:lvlJc w:val="right"/>
      <w:pPr>
        <w:ind w:left="5831" w:hanging="180"/>
      </w:pPr>
    </w:lvl>
    <w:lvl w:ilvl="6" w:tplc="FFFFFFFF" w:tentative="1">
      <w:start w:val="1"/>
      <w:numFmt w:val="decimal"/>
      <w:lvlText w:val="%7."/>
      <w:lvlJc w:val="left"/>
      <w:pPr>
        <w:ind w:left="6551" w:hanging="360"/>
      </w:pPr>
    </w:lvl>
    <w:lvl w:ilvl="7" w:tplc="FFFFFFFF" w:tentative="1">
      <w:start w:val="1"/>
      <w:numFmt w:val="lowerLetter"/>
      <w:lvlText w:val="%8."/>
      <w:lvlJc w:val="left"/>
      <w:pPr>
        <w:ind w:left="7271" w:hanging="360"/>
      </w:pPr>
    </w:lvl>
    <w:lvl w:ilvl="8" w:tplc="FFFFFFFF" w:tentative="1">
      <w:start w:val="1"/>
      <w:numFmt w:val="lowerRoman"/>
      <w:lvlText w:val="%9."/>
      <w:lvlJc w:val="right"/>
      <w:pPr>
        <w:ind w:left="7991" w:hanging="180"/>
      </w:pPr>
    </w:lvl>
  </w:abstractNum>
  <w:abstractNum w:abstractNumId="18" w15:restartNumberingAfterBreak="0">
    <w:nsid w:val="573563FC"/>
    <w:multiLevelType w:val="hybridMultilevel"/>
    <w:tmpl w:val="ED963D4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599B5416"/>
    <w:multiLevelType w:val="multilevel"/>
    <w:tmpl w:val="33ACDD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5B907B46"/>
    <w:multiLevelType w:val="multilevel"/>
    <w:tmpl w:val="E474DE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5BAB7646"/>
    <w:multiLevelType w:val="multilevel"/>
    <w:tmpl w:val="4AA4DD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687E061E"/>
    <w:multiLevelType w:val="multilevel"/>
    <w:tmpl w:val="DAF695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69F36422"/>
    <w:multiLevelType w:val="hybridMultilevel"/>
    <w:tmpl w:val="6EDAF982"/>
    <w:lvl w:ilvl="0" w:tplc="FFFFFFFF">
      <w:start w:val="1"/>
      <w:numFmt w:val="lowerLetter"/>
      <w:lvlText w:val="(%1)"/>
      <w:lvlJc w:val="left"/>
      <w:pPr>
        <w:ind w:left="2231" w:hanging="360"/>
      </w:pPr>
      <w:rPr>
        <w:rFonts w:ascii="Times New Roman" w:hAnsi="Times New Roman" w:cs="Times New Roman" w:hint="default"/>
      </w:rPr>
    </w:lvl>
    <w:lvl w:ilvl="1" w:tplc="FFFFFFFF" w:tentative="1">
      <w:start w:val="1"/>
      <w:numFmt w:val="lowerLetter"/>
      <w:lvlText w:val="%2."/>
      <w:lvlJc w:val="left"/>
      <w:pPr>
        <w:ind w:left="2951" w:hanging="360"/>
      </w:pPr>
    </w:lvl>
    <w:lvl w:ilvl="2" w:tplc="FFFFFFFF" w:tentative="1">
      <w:start w:val="1"/>
      <w:numFmt w:val="lowerRoman"/>
      <w:lvlText w:val="%3."/>
      <w:lvlJc w:val="right"/>
      <w:pPr>
        <w:ind w:left="3671" w:hanging="180"/>
      </w:pPr>
    </w:lvl>
    <w:lvl w:ilvl="3" w:tplc="FFFFFFFF" w:tentative="1">
      <w:start w:val="1"/>
      <w:numFmt w:val="decimal"/>
      <w:lvlText w:val="%4."/>
      <w:lvlJc w:val="left"/>
      <w:pPr>
        <w:ind w:left="4391" w:hanging="360"/>
      </w:pPr>
    </w:lvl>
    <w:lvl w:ilvl="4" w:tplc="FFFFFFFF" w:tentative="1">
      <w:start w:val="1"/>
      <w:numFmt w:val="lowerLetter"/>
      <w:lvlText w:val="%5."/>
      <w:lvlJc w:val="left"/>
      <w:pPr>
        <w:ind w:left="5111" w:hanging="360"/>
      </w:pPr>
    </w:lvl>
    <w:lvl w:ilvl="5" w:tplc="FFFFFFFF" w:tentative="1">
      <w:start w:val="1"/>
      <w:numFmt w:val="lowerRoman"/>
      <w:lvlText w:val="%6."/>
      <w:lvlJc w:val="right"/>
      <w:pPr>
        <w:ind w:left="5831" w:hanging="180"/>
      </w:pPr>
    </w:lvl>
    <w:lvl w:ilvl="6" w:tplc="FFFFFFFF" w:tentative="1">
      <w:start w:val="1"/>
      <w:numFmt w:val="decimal"/>
      <w:lvlText w:val="%7."/>
      <w:lvlJc w:val="left"/>
      <w:pPr>
        <w:ind w:left="6551" w:hanging="360"/>
      </w:pPr>
    </w:lvl>
    <w:lvl w:ilvl="7" w:tplc="FFFFFFFF" w:tentative="1">
      <w:start w:val="1"/>
      <w:numFmt w:val="lowerLetter"/>
      <w:lvlText w:val="%8."/>
      <w:lvlJc w:val="left"/>
      <w:pPr>
        <w:ind w:left="7271" w:hanging="360"/>
      </w:pPr>
    </w:lvl>
    <w:lvl w:ilvl="8" w:tplc="FFFFFFFF" w:tentative="1">
      <w:start w:val="1"/>
      <w:numFmt w:val="lowerRoman"/>
      <w:lvlText w:val="%9."/>
      <w:lvlJc w:val="right"/>
      <w:pPr>
        <w:ind w:left="7991" w:hanging="180"/>
      </w:pPr>
    </w:lvl>
  </w:abstractNum>
  <w:num w:numId="1" w16cid:durableId="1494448980">
    <w:abstractNumId w:val="16"/>
  </w:num>
  <w:num w:numId="2" w16cid:durableId="1764568846">
    <w:abstractNumId w:val="0"/>
  </w:num>
  <w:num w:numId="3" w16cid:durableId="2096392377">
    <w:abstractNumId w:val="11"/>
  </w:num>
  <w:num w:numId="4" w16cid:durableId="173148905">
    <w:abstractNumId w:val="9"/>
  </w:num>
  <w:num w:numId="5" w16cid:durableId="184442031">
    <w:abstractNumId w:val="6"/>
  </w:num>
  <w:num w:numId="6" w16cid:durableId="179394272">
    <w:abstractNumId w:val="12"/>
  </w:num>
  <w:num w:numId="7" w16cid:durableId="609430236">
    <w:abstractNumId w:val="1"/>
  </w:num>
  <w:num w:numId="8" w16cid:durableId="522137874">
    <w:abstractNumId w:val="14"/>
  </w:num>
  <w:num w:numId="9" w16cid:durableId="1395348755">
    <w:abstractNumId w:val="5"/>
  </w:num>
  <w:num w:numId="10" w16cid:durableId="718280359">
    <w:abstractNumId w:val="23"/>
  </w:num>
  <w:num w:numId="11" w16cid:durableId="127284113">
    <w:abstractNumId w:val="15"/>
  </w:num>
  <w:num w:numId="12" w16cid:durableId="1879930867">
    <w:abstractNumId w:val="20"/>
  </w:num>
  <w:num w:numId="13" w16cid:durableId="1955944940">
    <w:abstractNumId w:val="7"/>
  </w:num>
  <w:num w:numId="14" w16cid:durableId="1376853225">
    <w:abstractNumId w:val="3"/>
  </w:num>
  <w:num w:numId="15" w16cid:durableId="468934312">
    <w:abstractNumId w:val="8"/>
  </w:num>
  <w:num w:numId="16" w16cid:durableId="390351897">
    <w:abstractNumId w:val="10"/>
  </w:num>
  <w:num w:numId="17" w16cid:durableId="828978701">
    <w:abstractNumId w:val="17"/>
  </w:num>
  <w:num w:numId="18" w16cid:durableId="1159271904">
    <w:abstractNumId w:val="18"/>
  </w:num>
  <w:num w:numId="19" w16cid:durableId="972831130">
    <w:abstractNumId w:val="4"/>
  </w:num>
  <w:num w:numId="20" w16cid:durableId="991133574">
    <w:abstractNumId w:val="13"/>
  </w:num>
  <w:num w:numId="21" w16cid:durableId="1394087334">
    <w:abstractNumId w:val="19"/>
  </w:num>
  <w:num w:numId="22" w16cid:durableId="389890131">
    <w:abstractNumId w:val="21"/>
  </w:num>
  <w:num w:numId="23" w16cid:durableId="1928030586">
    <w:abstractNumId w:val="22"/>
  </w:num>
  <w:num w:numId="24" w16cid:durableId="1161703028">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removePersonalInformation/>
  <w:removeDateAndTime/>
  <w:activeWritingStyle w:appName="MSWord" w:lang="fr-FR" w:vendorID="64" w:dllVersion="0" w:nlCheck="1" w:checkStyle="0"/>
  <w:activeWritingStyle w:appName="MSWord" w:lang="en-US" w:vendorID="64" w:dllVersion="0" w:nlCheck="1" w:checkStyle="1"/>
  <w:activeWritingStyle w:appName="MSWord" w:lang="en-GB" w:vendorID="64" w:dllVersion="0" w:nlCheck="1" w:checkStyle="0"/>
  <w:activeWritingStyle w:appName="MSWord" w:lang="es-ES" w:vendorID="64" w:dllVersion="0" w:nlCheck="1" w:checkStyle="1"/>
  <w:activeWritingStyle w:appName="MSWord" w:lang="fr-CA" w:vendorID="64" w:dllVersion="0" w:nlCheck="1" w:checkStyle="0"/>
  <w:activeWritingStyle w:appName="MSWord" w:lang="en-GB" w:vendorID="64" w:dllVersion="4096" w:nlCheck="1" w:checkStyle="0"/>
  <w:proofState w:spelling="clean" w:grammar="clean"/>
  <w:attachedTemplate r:id="rId1"/>
  <w:stylePaneFormatFilter w:val="0002" w:allStyles="0" w:customStyles="1"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619"/>
  <w:hyphenationZone w:val="425"/>
  <w:evenAndOddHeaders/>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155C"/>
    <w:rsid w:val="00003F8C"/>
    <w:rsid w:val="00006532"/>
    <w:rsid w:val="000149E6"/>
    <w:rsid w:val="000247B0"/>
    <w:rsid w:val="00026997"/>
    <w:rsid w:val="00033E0B"/>
    <w:rsid w:val="00035EDE"/>
    <w:rsid w:val="00043078"/>
    <w:rsid w:val="00044340"/>
    <w:rsid w:val="000509B4"/>
    <w:rsid w:val="000601B6"/>
    <w:rsid w:val="0006035B"/>
    <w:rsid w:val="00061552"/>
    <w:rsid w:val="00071886"/>
    <w:rsid w:val="000742BC"/>
    <w:rsid w:val="00082A0C"/>
    <w:rsid w:val="00083504"/>
    <w:rsid w:val="000941E5"/>
    <w:rsid w:val="0009640C"/>
    <w:rsid w:val="0009762F"/>
    <w:rsid w:val="000B22A2"/>
    <w:rsid w:val="000B5BC8"/>
    <w:rsid w:val="000C0F46"/>
    <w:rsid w:val="000C2A52"/>
    <w:rsid w:val="000C43F1"/>
    <w:rsid w:val="000D0733"/>
    <w:rsid w:val="000D33C0"/>
    <w:rsid w:val="000D6941"/>
    <w:rsid w:val="00103655"/>
    <w:rsid w:val="00117EA5"/>
    <w:rsid w:val="001202E3"/>
    <w:rsid w:val="00123699"/>
    <w:rsid w:val="0012644F"/>
    <w:rsid w:val="0013059D"/>
    <w:rsid w:val="00141A55"/>
    <w:rsid w:val="0014442D"/>
    <w:rsid w:val="001446A3"/>
    <w:rsid w:val="00145960"/>
    <w:rsid w:val="00146D3F"/>
    <w:rsid w:val="0015442E"/>
    <w:rsid w:val="00155395"/>
    <w:rsid w:val="00160D74"/>
    <w:rsid w:val="00167D02"/>
    <w:rsid w:val="00181EC8"/>
    <w:rsid w:val="00184349"/>
    <w:rsid w:val="00193DC9"/>
    <w:rsid w:val="00195E9F"/>
    <w:rsid w:val="00195F33"/>
    <w:rsid w:val="001B1617"/>
    <w:rsid w:val="001B504B"/>
    <w:rsid w:val="001B7D42"/>
    <w:rsid w:val="001D3874"/>
    <w:rsid w:val="001D3B8B"/>
    <w:rsid w:val="001D7E75"/>
    <w:rsid w:val="001E56D2"/>
    <w:rsid w:val="001E7D56"/>
    <w:rsid w:val="001F1AA9"/>
    <w:rsid w:val="001F5490"/>
    <w:rsid w:val="001F75DE"/>
    <w:rsid w:val="00200D58"/>
    <w:rsid w:val="002013BE"/>
    <w:rsid w:val="00201BC3"/>
    <w:rsid w:val="002063A4"/>
    <w:rsid w:val="0021145B"/>
    <w:rsid w:val="00234B59"/>
    <w:rsid w:val="00243D36"/>
    <w:rsid w:val="00247707"/>
    <w:rsid w:val="00250B6D"/>
    <w:rsid w:val="002525C0"/>
    <w:rsid w:val="0026018E"/>
    <w:rsid w:val="00260799"/>
    <w:rsid w:val="00271304"/>
    <w:rsid w:val="00275DA1"/>
    <w:rsid w:val="002768BA"/>
    <w:rsid w:val="00286740"/>
    <w:rsid w:val="002929D8"/>
    <w:rsid w:val="002A1C1C"/>
    <w:rsid w:val="002A237D"/>
    <w:rsid w:val="002A4C53"/>
    <w:rsid w:val="002B0672"/>
    <w:rsid w:val="002B247F"/>
    <w:rsid w:val="002C145D"/>
    <w:rsid w:val="002C2C3E"/>
    <w:rsid w:val="002C533E"/>
    <w:rsid w:val="002C79E4"/>
    <w:rsid w:val="002C7A45"/>
    <w:rsid w:val="002D027F"/>
    <w:rsid w:val="002D7A85"/>
    <w:rsid w:val="002D7B60"/>
    <w:rsid w:val="002F4761"/>
    <w:rsid w:val="002F5C79"/>
    <w:rsid w:val="003019E2"/>
    <w:rsid w:val="003140A7"/>
    <w:rsid w:val="0031413F"/>
    <w:rsid w:val="003148BB"/>
    <w:rsid w:val="00317976"/>
    <w:rsid w:val="00324B1A"/>
    <w:rsid w:val="00325A36"/>
    <w:rsid w:val="00331739"/>
    <w:rsid w:val="00355EA9"/>
    <w:rsid w:val="003578DE"/>
    <w:rsid w:val="00362047"/>
    <w:rsid w:val="00362877"/>
    <w:rsid w:val="0036669D"/>
    <w:rsid w:val="00372781"/>
    <w:rsid w:val="00376908"/>
    <w:rsid w:val="00386AB0"/>
    <w:rsid w:val="0039169B"/>
    <w:rsid w:val="00392F9C"/>
    <w:rsid w:val="00396257"/>
    <w:rsid w:val="003963DF"/>
    <w:rsid w:val="00397EB8"/>
    <w:rsid w:val="003A1C5B"/>
    <w:rsid w:val="003A4FD0"/>
    <w:rsid w:val="003A69D1"/>
    <w:rsid w:val="003A7705"/>
    <w:rsid w:val="003A77F1"/>
    <w:rsid w:val="003B1545"/>
    <w:rsid w:val="003B5FFF"/>
    <w:rsid w:val="003B7B21"/>
    <w:rsid w:val="003C1B62"/>
    <w:rsid w:val="003C409D"/>
    <w:rsid w:val="003C5BA6"/>
    <w:rsid w:val="003D104A"/>
    <w:rsid w:val="003E6F41"/>
    <w:rsid w:val="003E7545"/>
    <w:rsid w:val="003E7DE3"/>
    <w:rsid w:val="003F06BB"/>
    <w:rsid w:val="003F0E85"/>
    <w:rsid w:val="00406F8E"/>
    <w:rsid w:val="00410C55"/>
    <w:rsid w:val="00416854"/>
    <w:rsid w:val="00417725"/>
    <w:rsid w:val="00435FD9"/>
    <w:rsid w:val="00437F26"/>
    <w:rsid w:val="00443ABC"/>
    <w:rsid w:val="00444097"/>
    <w:rsid w:val="00445487"/>
    <w:rsid w:val="00454769"/>
    <w:rsid w:val="0046056A"/>
    <w:rsid w:val="00466991"/>
    <w:rsid w:val="0047064C"/>
    <w:rsid w:val="00474265"/>
    <w:rsid w:val="00483D97"/>
    <w:rsid w:val="00494164"/>
    <w:rsid w:val="00494752"/>
    <w:rsid w:val="00495D26"/>
    <w:rsid w:val="004A42E1"/>
    <w:rsid w:val="004B162C"/>
    <w:rsid w:val="004B614E"/>
    <w:rsid w:val="004C3DBE"/>
    <w:rsid w:val="004C5C96"/>
    <w:rsid w:val="004D06A4"/>
    <w:rsid w:val="004D7070"/>
    <w:rsid w:val="004F1A81"/>
    <w:rsid w:val="0050052E"/>
    <w:rsid w:val="005218D9"/>
    <w:rsid w:val="00536186"/>
    <w:rsid w:val="005369CB"/>
    <w:rsid w:val="00537579"/>
    <w:rsid w:val="00544CBB"/>
    <w:rsid w:val="00545860"/>
    <w:rsid w:val="00551104"/>
    <w:rsid w:val="00561676"/>
    <w:rsid w:val="00562867"/>
    <w:rsid w:val="00566B59"/>
    <w:rsid w:val="00570873"/>
    <w:rsid w:val="0057315F"/>
    <w:rsid w:val="00576104"/>
    <w:rsid w:val="0058703C"/>
    <w:rsid w:val="00587F77"/>
    <w:rsid w:val="005B2E83"/>
    <w:rsid w:val="005B42A6"/>
    <w:rsid w:val="005C67C8"/>
    <w:rsid w:val="005D0249"/>
    <w:rsid w:val="005D1DA1"/>
    <w:rsid w:val="005D6E8C"/>
    <w:rsid w:val="005F100C"/>
    <w:rsid w:val="005F68DA"/>
    <w:rsid w:val="0060773B"/>
    <w:rsid w:val="006157B5"/>
    <w:rsid w:val="00615C5D"/>
    <w:rsid w:val="00622D02"/>
    <w:rsid w:val="00626D70"/>
    <w:rsid w:val="00626FC6"/>
    <w:rsid w:val="006303B4"/>
    <w:rsid w:val="00633D3D"/>
    <w:rsid w:val="00641703"/>
    <w:rsid w:val="006431A6"/>
    <w:rsid w:val="006459F6"/>
    <w:rsid w:val="006501AD"/>
    <w:rsid w:val="00651BFA"/>
    <w:rsid w:val="006520E8"/>
    <w:rsid w:val="00654475"/>
    <w:rsid w:val="006562BF"/>
    <w:rsid w:val="00665A4B"/>
    <w:rsid w:val="006717E6"/>
    <w:rsid w:val="00673665"/>
    <w:rsid w:val="00680611"/>
    <w:rsid w:val="0069062C"/>
    <w:rsid w:val="00692E2A"/>
    <w:rsid w:val="006A76F2"/>
    <w:rsid w:val="006B0548"/>
    <w:rsid w:val="006C30BD"/>
    <w:rsid w:val="006D1C7C"/>
    <w:rsid w:val="006D4F04"/>
    <w:rsid w:val="006D7EFB"/>
    <w:rsid w:val="006E6672"/>
    <w:rsid w:val="006E6722"/>
    <w:rsid w:val="006F5276"/>
    <w:rsid w:val="007027B9"/>
    <w:rsid w:val="00715E88"/>
    <w:rsid w:val="0072353B"/>
    <w:rsid w:val="00734CAA"/>
    <w:rsid w:val="00741B20"/>
    <w:rsid w:val="00751150"/>
    <w:rsid w:val="0075533C"/>
    <w:rsid w:val="00757581"/>
    <w:rsid w:val="007611A0"/>
    <w:rsid w:val="0076147A"/>
    <w:rsid w:val="007828A5"/>
    <w:rsid w:val="007841F5"/>
    <w:rsid w:val="0079019B"/>
    <w:rsid w:val="00796D3F"/>
    <w:rsid w:val="007A1683"/>
    <w:rsid w:val="007A5C12"/>
    <w:rsid w:val="007A7CB0"/>
    <w:rsid w:val="007B24F8"/>
    <w:rsid w:val="007B68A3"/>
    <w:rsid w:val="007C2541"/>
    <w:rsid w:val="007C521D"/>
    <w:rsid w:val="007D1212"/>
    <w:rsid w:val="007D66A8"/>
    <w:rsid w:val="007E003F"/>
    <w:rsid w:val="007F0806"/>
    <w:rsid w:val="007F38C9"/>
    <w:rsid w:val="00807103"/>
    <w:rsid w:val="008164F2"/>
    <w:rsid w:val="008201A2"/>
    <w:rsid w:val="00821395"/>
    <w:rsid w:val="00824FC7"/>
    <w:rsid w:val="00830E26"/>
    <w:rsid w:val="0084113F"/>
    <w:rsid w:val="00843576"/>
    <w:rsid w:val="00843B64"/>
    <w:rsid w:val="008478FC"/>
    <w:rsid w:val="0086133F"/>
    <w:rsid w:val="0086518B"/>
    <w:rsid w:val="00867BFF"/>
    <w:rsid w:val="00880CCB"/>
    <w:rsid w:val="0088480A"/>
    <w:rsid w:val="0088757A"/>
    <w:rsid w:val="008957DD"/>
    <w:rsid w:val="00897D98"/>
    <w:rsid w:val="008A0BD9"/>
    <w:rsid w:val="008A3441"/>
    <w:rsid w:val="008A6DF2"/>
    <w:rsid w:val="008A7807"/>
    <w:rsid w:val="008B4456"/>
    <w:rsid w:val="008B4CC9"/>
    <w:rsid w:val="008D7C99"/>
    <w:rsid w:val="008D7F23"/>
    <w:rsid w:val="008E0FCB"/>
    <w:rsid w:val="008E32ED"/>
    <w:rsid w:val="008F201B"/>
    <w:rsid w:val="008F5D00"/>
    <w:rsid w:val="0092178C"/>
    <w:rsid w:val="0092184C"/>
    <w:rsid w:val="00930186"/>
    <w:rsid w:val="00930B88"/>
    <w:rsid w:val="00930E68"/>
    <w:rsid w:val="00934F8E"/>
    <w:rsid w:val="0094095A"/>
    <w:rsid w:val="00940DCC"/>
    <w:rsid w:val="0094179A"/>
    <w:rsid w:val="009443E8"/>
    <w:rsid w:val="0094459E"/>
    <w:rsid w:val="00944DBC"/>
    <w:rsid w:val="009473C6"/>
    <w:rsid w:val="00950977"/>
    <w:rsid w:val="00951A7B"/>
    <w:rsid w:val="009564A6"/>
    <w:rsid w:val="00962471"/>
    <w:rsid w:val="00967621"/>
    <w:rsid w:val="00967E6A"/>
    <w:rsid w:val="00977E68"/>
    <w:rsid w:val="00984069"/>
    <w:rsid w:val="00992DE3"/>
    <w:rsid w:val="009A1637"/>
    <w:rsid w:val="009B4A0F"/>
    <w:rsid w:val="009C11D2"/>
    <w:rsid w:val="009C50B3"/>
    <w:rsid w:val="009C6C70"/>
    <w:rsid w:val="009D0B63"/>
    <w:rsid w:val="009D7B82"/>
    <w:rsid w:val="009E24BE"/>
    <w:rsid w:val="009E2F3F"/>
    <w:rsid w:val="009E307E"/>
    <w:rsid w:val="009E7190"/>
    <w:rsid w:val="00A001C6"/>
    <w:rsid w:val="00A03B6E"/>
    <w:rsid w:val="00A07870"/>
    <w:rsid w:val="00A07F19"/>
    <w:rsid w:val="00A11B9F"/>
    <w:rsid w:val="00A1348D"/>
    <w:rsid w:val="00A142E9"/>
    <w:rsid w:val="00A232EE"/>
    <w:rsid w:val="00A32F74"/>
    <w:rsid w:val="00A3546E"/>
    <w:rsid w:val="00A35EA7"/>
    <w:rsid w:val="00A4175F"/>
    <w:rsid w:val="00A44411"/>
    <w:rsid w:val="00A469FA"/>
    <w:rsid w:val="00A55B01"/>
    <w:rsid w:val="00A56B5B"/>
    <w:rsid w:val="00A603FF"/>
    <w:rsid w:val="00A657DD"/>
    <w:rsid w:val="00A666A6"/>
    <w:rsid w:val="00A675FD"/>
    <w:rsid w:val="00A706CF"/>
    <w:rsid w:val="00A71EFB"/>
    <w:rsid w:val="00A72437"/>
    <w:rsid w:val="00A80611"/>
    <w:rsid w:val="00A94604"/>
    <w:rsid w:val="00AB5340"/>
    <w:rsid w:val="00AC0A89"/>
    <w:rsid w:val="00AC5CBF"/>
    <w:rsid w:val="00AC7C96"/>
    <w:rsid w:val="00AC7FD3"/>
    <w:rsid w:val="00AE237D"/>
    <w:rsid w:val="00AE2EFF"/>
    <w:rsid w:val="00AE502A"/>
    <w:rsid w:val="00AE6AB6"/>
    <w:rsid w:val="00AF7C07"/>
    <w:rsid w:val="00B11663"/>
    <w:rsid w:val="00B12B35"/>
    <w:rsid w:val="00B22C93"/>
    <w:rsid w:val="00B27589"/>
    <w:rsid w:val="00B405B7"/>
    <w:rsid w:val="00B40CD8"/>
    <w:rsid w:val="00B4162D"/>
    <w:rsid w:val="00B52222"/>
    <w:rsid w:val="00B52657"/>
    <w:rsid w:val="00B5428A"/>
    <w:rsid w:val="00B54847"/>
    <w:rsid w:val="00B54FE7"/>
    <w:rsid w:val="00B66901"/>
    <w:rsid w:val="00B71E6D"/>
    <w:rsid w:val="00B72070"/>
    <w:rsid w:val="00B737E9"/>
    <w:rsid w:val="00B779E1"/>
    <w:rsid w:val="00B849E3"/>
    <w:rsid w:val="00B84D51"/>
    <w:rsid w:val="00B91EE1"/>
    <w:rsid w:val="00B925AB"/>
    <w:rsid w:val="00B94FAE"/>
    <w:rsid w:val="00BA0090"/>
    <w:rsid w:val="00BA1A67"/>
    <w:rsid w:val="00BA7128"/>
    <w:rsid w:val="00BC39F1"/>
    <w:rsid w:val="00BE5B5F"/>
    <w:rsid w:val="00BF17E5"/>
    <w:rsid w:val="00BF2F25"/>
    <w:rsid w:val="00C059F0"/>
    <w:rsid w:val="00C0725D"/>
    <w:rsid w:val="00C228DB"/>
    <w:rsid w:val="00C26F55"/>
    <w:rsid w:val="00C27994"/>
    <w:rsid w:val="00C30C63"/>
    <w:rsid w:val="00C36B8B"/>
    <w:rsid w:val="00C3751A"/>
    <w:rsid w:val="00C415C1"/>
    <w:rsid w:val="00C47DBF"/>
    <w:rsid w:val="00C52AC2"/>
    <w:rsid w:val="00C552FF"/>
    <w:rsid w:val="00C558DA"/>
    <w:rsid w:val="00C55AF3"/>
    <w:rsid w:val="00C71632"/>
    <w:rsid w:val="00C84759"/>
    <w:rsid w:val="00C86D73"/>
    <w:rsid w:val="00CA6C7F"/>
    <w:rsid w:val="00CB1694"/>
    <w:rsid w:val="00CC10A6"/>
    <w:rsid w:val="00CC2FDC"/>
    <w:rsid w:val="00CC7F63"/>
    <w:rsid w:val="00CD5B08"/>
    <w:rsid w:val="00CD5EB8"/>
    <w:rsid w:val="00CD7044"/>
    <w:rsid w:val="00CE08B9"/>
    <w:rsid w:val="00CE3103"/>
    <w:rsid w:val="00CE524C"/>
    <w:rsid w:val="00CF141F"/>
    <w:rsid w:val="00CF4777"/>
    <w:rsid w:val="00D00D13"/>
    <w:rsid w:val="00D05549"/>
    <w:rsid w:val="00D067BB"/>
    <w:rsid w:val="00D07EDB"/>
    <w:rsid w:val="00D1352A"/>
    <w:rsid w:val="00D13873"/>
    <w:rsid w:val="00D169AF"/>
    <w:rsid w:val="00D25249"/>
    <w:rsid w:val="00D25ED8"/>
    <w:rsid w:val="00D33365"/>
    <w:rsid w:val="00D34DE9"/>
    <w:rsid w:val="00D35F94"/>
    <w:rsid w:val="00D44172"/>
    <w:rsid w:val="00D61FBB"/>
    <w:rsid w:val="00D63B8C"/>
    <w:rsid w:val="00D63D88"/>
    <w:rsid w:val="00D65163"/>
    <w:rsid w:val="00D739CC"/>
    <w:rsid w:val="00D76E06"/>
    <w:rsid w:val="00D8093D"/>
    <w:rsid w:val="00D8108C"/>
    <w:rsid w:val="00D842AE"/>
    <w:rsid w:val="00D846A2"/>
    <w:rsid w:val="00D9211C"/>
    <w:rsid w:val="00D922FD"/>
    <w:rsid w:val="00D92DE0"/>
    <w:rsid w:val="00D92FEF"/>
    <w:rsid w:val="00D93A0F"/>
    <w:rsid w:val="00DA0077"/>
    <w:rsid w:val="00DA1BCA"/>
    <w:rsid w:val="00DA606E"/>
    <w:rsid w:val="00DC46FF"/>
    <w:rsid w:val="00DC5254"/>
    <w:rsid w:val="00DC7E39"/>
    <w:rsid w:val="00DD1A4F"/>
    <w:rsid w:val="00DD3107"/>
    <w:rsid w:val="00DD7C2C"/>
    <w:rsid w:val="00DE260E"/>
    <w:rsid w:val="00DF70BF"/>
    <w:rsid w:val="00E04FF0"/>
    <w:rsid w:val="00E06797"/>
    <w:rsid w:val="00E072CC"/>
    <w:rsid w:val="00E1265B"/>
    <w:rsid w:val="00E13B48"/>
    <w:rsid w:val="00E1404F"/>
    <w:rsid w:val="00E21C83"/>
    <w:rsid w:val="00E24063"/>
    <w:rsid w:val="00E24ADA"/>
    <w:rsid w:val="00E276A4"/>
    <w:rsid w:val="00E32F59"/>
    <w:rsid w:val="00E3329D"/>
    <w:rsid w:val="00E3591B"/>
    <w:rsid w:val="00E46D9A"/>
    <w:rsid w:val="00E565FF"/>
    <w:rsid w:val="00E60CEC"/>
    <w:rsid w:val="00E61AC1"/>
    <w:rsid w:val="00E65388"/>
    <w:rsid w:val="00E726A7"/>
    <w:rsid w:val="00E85B7D"/>
    <w:rsid w:val="00E9121B"/>
    <w:rsid w:val="00E9168B"/>
    <w:rsid w:val="00E91D53"/>
    <w:rsid w:val="00E942CC"/>
    <w:rsid w:val="00E96DA8"/>
    <w:rsid w:val="00EA0AE2"/>
    <w:rsid w:val="00EA2CF9"/>
    <w:rsid w:val="00EA39E5"/>
    <w:rsid w:val="00EC5A46"/>
    <w:rsid w:val="00EC63E2"/>
    <w:rsid w:val="00ED155C"/>
    <w:rsid w:val="00EE0374"/>
    <w:rsid w:val="00EF22B3"/>
    <w:rsid w:val="00EF542A"/>
    <w:rsid w:val="00F03B69"/>
    <w:rsid w:val="00F05C85"/>
    <w:rsid w:val="00F07A50"/>
    <w:rsid w:val="00F113DA"/>
    <w:rsid w:val="00F116A8"/>
    <w:rsid w:val="00F11AC1"/>
    <w:rsid w:val="00F16FD1"/>
    <w:rsid w:val="00F30D5E"/>
    <w:rsid w:val="00F34719"/>
    <w:rsid w:val="00F37DC8"/>
    <w:rsid w:val="00F402F3"/>
    <w:rsid w:val="00F439B3"/>
    <w:rsid w:val="00F5318F"/>
    <w:rsid w:val="00F650C3"/>
    <w:rsid w:val="00F65D85"/>
    <w:rsid w:val="00F7542C"/>
    <w:rsid w:val="00F8091E"/>
    <w:rsid w:val="00F839A2"/>
    <w:rsid w:val="00F8615C"/>
    <w:rsid w:val="00F873F8"/>
    <w:rsid w:val="00F92E48"/>
    <w:rsid w:val="00F96910"/>
    <w:rsid w:val="00F969E5"/>
    <w:rsid w:val="00FA0DDF"/>
    <w:rsid w:val="00FA6BB0"/>
    <w:rsid w:val="00FB0BB9"/>
    <w:rsid w:val="00FB3E2A"/>
    <w:rsid w:val="00FB49C6"/>
    <w:rsid w:val="00FB7DD2"/>
    <w:rsid w:val="00FD5860"/>
    <w:rsid w:val="00FE352D"/>
    <w:rsid w:val="00FE40EB"/>
    <w:rsid w:val="00FE4D02"/>
    <w:rsid w:val="00FE7D62"/>
    <w:rsid w:val="00FF3819"/>
    <w:rsid w:val="00FF5C9E"/>
    <w:rsid w:val="00FF77C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E89A7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annotation text" w:uiPriority="99"/>
    <w:lsdException w:name="caption" w:semiHidden="1" w:unhideWhenUsed="1" w:qFormat="1"/>
    <w:lsdException w:name="footnote reference" w:qFormat="1"/>
    <w:lsdException w:name="annotation reference" w:uiPriority="99"/>
    <w:lsdException w:name="Title" w:qFormat="1"/>
    <w:lsdException w:name="Default Paragraph Font" w:uiPriority="1"/>
    <w:lsdException w:name="Subtitle" w:qFormat="1"/>
    <w:lsdException w:name="Strong" w:qFormat="1"/>
    <w:lsdException w:name="Emphasis" w:qFormat="1"/>
    <w:lsdException w:name="Normal (Web)" w:uiPriority="99"/>
    <w:lsdException w:name="HTML Sample" w:semiHidden="1" w:unhideWhenUsed="1"/>
    <w:lsdException w:name="HTML Variable" w:semiHidden="1" w:unhideWhenUsed="1"/>
    <w:lsdException w:name="Normal Table" w:semiHidden="1" w:unhideWhenUsed="1"/>
    <w:lsdException w:name="No List" w:uiPriority="99"/>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15442E"/>
    <w:rPr>
      <w:rFonts w:eastAsia="SimSun"/>
      <w:lang w:eastAsia="zh-CN"/>
    </w:rPr>
  </w:style>
  <w:style w:type="paragraph" w:styleId="Heading1">
    <w:name w:val="heading 1"/>
    <w:basedOn w:val="Normal"/>
    <w:next w:val="Normalnumber"/>
    <w:rsid w:val="0015442E"/>
    <w:pPr>
      <w:keepNext/>
      <w:spacing w:before="240" w:after="120"/>
      <w:ind w:left="1247" w:hanging="680"/>
      <w:outlineLvl w:val="0"/>
    </w:pPr>
    <w:rPr>
      <w:b/>
      <w:sz w:val="28"/>
    </w:rPr>
  </w:style>
  <w:style w:type="paragraph" w:styleId="Heading2">
    <w:name w:val="heading 2"/>
    <w:basedOn w:val="Normal"/>
    <w:next w:val="Normalnumber"/>
    <w:rsid w:val="0015442E"/>
    <w:pPr>
      <w:keepNext/>
      <w:spacing w:before="240" w:after="120"/>
      <w:ind w:left="1247" w:hanging="680"/>
      <w:outlineLvl w:val="1"/>
    </w:pPr>
    <w:rPr>
      <w:b/>
      <w:sz w:val="24"/>
      <w:szCs w:val="24"/>
    </w:rPr>
  </w:style>
  <w:style w:type="paragraph" w:styleId="Heading3">
    <w:name w:val="heading 3"/>
    <w:basedOn w:val="Normal"/>
    <w:next w:val="Normalnumber"/>
    <w:rsid w:val="0015442E"/>
    <w:pPr>
      <w:spacing w:after="120"/>
      <w:ind w:left="1247" w:hanging="680"/>
      <w:outlineLvl w:val="2"/>
    </w:pPr>
    <w:rPr>
      <w:b/>
    </w:rPr>
  </w:style>
  <w:style w:type="paragraph" w:styleId="Heading4">
    <w:name w:val="heading 4"/>
    <w:basedOn w:val="Heading3"/>
    <w:next w:val="Normalnumber"/>
    <w:rsid w:val="0015442E"/>
    <w:pPr>
      <w:keepNext/>
      <w:outlineLvl w:val="3"/>
    </w:pPr>
  </w:style>
  <w:style w:type="paragraph" w:styleId="Heading5">
    <w:name w:val="heading 5"/>
    <w:basedOn w:val="Normal"/>
    <w:next w:val="Normal"/>
    <w:rsid w:val="0015442E"/>
    <w:pPr>
      <w:keepNext/>
      <w:outlineLvl w:val="4"/>
    </w:pPr>
    <w:rPr>
      <w:rFonts w:ascii="Univers" w:hAnsi="Univers"/>
      <w:b/>
      <w:sz w:val="24"/>
    </w:rPr>
  </w:style>
  <w:style w:type="paragraph" w:styleId="Heading6">
    <w:name w:val="heading 6"/>
    <w:basedOn w:val="Normal"/>
    <w:next w:val="Normal"/>
    <w:rsid w:val="0015442E"/>
    <w:pPr>
      <w:keepNext/>
      <w:ind w:left="578"/>
      <w:outlineLvl w:val="5"/>
    </w:pPr>
    <w:rPr>
      <w:b/>
      <w:bCs/>
      <w:sz w:val="24"/>
    </w:rPr>
  </w:style>
  <w:style w:type="paragraph" w:styleId="Heading7">
    <w:name w:val="heading 7"/>
    <w:basedOn w:val="Normal"/>
    <w:next w:val="Normal"/>
    <w:rsid w:val="0015442E"/>
    <w:pPr>
      <w:keepNext/>
      <w:widowControl w:val="0"/>
      <w:jc w:val="center"/>
      <w:outlineLvl w:val="6"/>
    </w:pPr>
    <w:rPr>
      <w:snapToGrid w:val="0"/>
      <w:u w:val="single"/>
    </w:rPr>
  </w:style>
  <w:style w:type="paragraph" w:styleId="Heading8">
    <w:name w:val="heading 8"/>
    <w:basedOn w:val="Normal"/>
    <w:next w:val="Normal"/>
    <w:rsid w:val="0015442E"/>
    <w:pPr>
      <w:keepNext/>
      <w:widowControl w:val="0"/>
      <w:tabs>
        <w:tab w:val="left" w:pos="-1440"/>
        <w:tab w:val="left" w:pos="-720"/>
        <w:tab w:val="num" w:pos="720"/>
      </w:tabs>
      <w:suppressAutoHyphens/>
      <w:ind w:left="720" w:hanging="720"/>
      <w:jc w:val="center"/>
      <w:outlineLvl w:val="7"/>
    </w:pPr>
    <w:rPr>
      <w:snapToGrid w:val="0"/>
      <w:u w:val="single"/>
    </w:rPr>
  </w:style>
  <w:style w:type="paragraph" w:styleId="Heading9">
    <w:name w:val="heading 9"/>
    <w:basedOn w:val="Normal"/>
    <w:next w:val="Normal"/>
    <w:rsid w:val="0015442E"/>
    <w:pPr>
      <w:keepNext/>
      <w:widowControl w:val="0"/>
      <w:suppressAutoHyphens/>
      <w:ind w:left="360" w:hanging="360"/>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15442E"/>
    <w:rPr>
      <w:rFonts w:ascii="Times New Roman" w:hAnsi="Times New Roman"/>
      <w:b/>
      <w:sz w:val="18"/>
    </w:rPr>
  </w:style>
  <w:style w:type="table" w:customStyle="1" w:styleId="Tabledocright">
    <w:name w:val="Table_doc_right"/>
    <w:basedOn w:val="TableNormal"/>
    <w:rsid w:val="0015442E"/>
    <w:pPr>
      <w:spacing w:before="40" w:after="40"/>
    </w:pPr>
    <w:rPr>
      <w:rFonts w:eastAsia="SimSun"/>
      <w:sz w:val="18"/>
      <w:szCs w:val="18"/>
      <w:lang w:val="fr-FR" w:eastAsia="zh-CN"/>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semiHidden/>
    <w:rsid w:val="0015442E"/>
    <w:pPr>
      <w:ind w:left="1000"/>
    </w:pPr>
    <w:rPr>
      <w:sz w:val="18"/>
      <w:szCs w:val="18"/>
    </w:rPr>
  </w:style>
  <w:style w:type="paragraph" w:styleId="TOC7">
    <w:name w:val="toc 7"/>
    <w:basedOn w:val="Normal"/>
    <w:next w:val="Normal"/>
    <w:autoRedefine/>
    <w:semiHidden/>
    <w:rsid w:val="0015442E"/>
    <w:pPr>
      <w:ind w:left="1200"/>
    </w:pPr>
    <w:rPr>
      <w:sz w:val="18"/>
      <w:szCs w:val="18"/>
    </w:rPr>
  </w:style>
  <w:style w:type="paragraph" w:styleId="TOC8">
    <w:name w:val="toc 8"/>
    <w:basedOn w:val="Normal"/>
    <w:next w:val="Normal"/>
    <w:autoRedefine/>
    <w:semiHidden/>
    <w:rsid w:val="0015442E"/>
    <w:pPr>
      <w:ind w:left="1400"/>
    </w:pPr>
    <w:rPr>
      <w:sz w:val="18"/>
      <w:szCs w:val="18"/>
    </w:rPr>
  </w:style>
  <w:style w:type="paragraph" w:styleId="TOC9">
    <w:name w:val="toc 9"/>
    <w:basedOn w:val="Normal"/>
    <w:next w:val="Normal"/>
    <w:autoRedefine/>
    <w:semiHidden/>
    <w:rsid w:val="0015442E"/>
    <w:pPr>
      <w:ind w:left="1600"/>
    </w:pPr>
    <w:rPr>
      <w:sz w:val="18"/>
      <w:szCs w:val="18"/>
    </w:rPr>
  </w:style>
  <w:style w:type="paragraph" w:customStyle="1" w:styleId="Titlefigure">
    <w:name w:val="Title_figure"/>
    <w:basedOn w:val="Titletable"/>
    <w:next w:val="NormalNonumber"/>
    <w:rsid w:val="0015442E"/>
    <w:rPr>
      <w:bCs w:val="0"/>
    </w:rPr>
  </w:style>
  <w:style w:type="paragraph" w:styleId="TableofFigures">
    <w:name w:val="table of figures"/>
    <w:basedOn w:val="Normal"/>
    <w:next w:val="Normal"/>
    <w:autoRedefine/>
    <w:semiHidden/>
    <w:rsid w:val="0015442E"/>
    <w:pPr>
      <w:ind w:left="1814" w:hanging="567"/>
    </w:pPr>
  </w:style>
  <w:style w:type="paragraph" w:customStyle="1" w:styleId="CH1">
    <w:name w:val="CH1"/>
    <w:basedOn w:val="Normal-pool"/>
    <w:next w:val="CH2"/>
    <w:qFormat/>
    <w:rsid w:val="0015442E"/>
    <w:pPr>
      <w:keepNext/>
      <w:keepLines/>
      <w:tabs>
        <w:tab w:val="right" w:pos="851"/>
      </w:tabs>
      <w:suppressAutoHyphens/>
      <w:spacing w:before="240" w:after="120"/>
      <w:ind w:left="1247" w:right="284" w:hanging="1247"/>
    </w:pPr>
    <w:rPr>
      <w:b/>
      <w:sz w:val="28"/>
      <w:szCs w:val="28"/>
    </w:rPr>
  </w:style>
  <w:style w:type="paragraph" w:customStyle="1" w:styleId="CH2">
    <w:name w:val="CH2"/>
    <w:basedOn w:val="Normal-pool"/>
    <w:next w:val="Normalnumber"/>
    <w:qFormat/>
    <w:rsid w:val="0015442E"/>
    <w:pPr>
      <w:keepNext/>
      <w:keepLines/>
      <w:tabs>
        <w:tab w:val="right" w:pos="851"/>
      </w:tabs>
      <w:suppressAutoHyphens/>
      <w:spacing w:before="240" w:after="120"/>
      <w:ind w:left="1247" w:right="284" w:hanging="1247"/>
    </w:pPr>
    <w:rPr>
      <w:b/>
      <w:sz w:val="24"/>
      <w:szCs w:val="24"/>
    </w:rPr>
  </w:style>
  <w:style w:type="paragraph" w:customStyle="1" w:styleId="CH3">
    <w:name w:val="CH3"/>
    <w:basedOn w:val="Normal-pool"/>
    <w:next w:val="Normalnumber"/>
    <w:qFormat/>
    <w:rsid w:val="0015442E"/>
    <w:pPr>
      <w:keepNext/>
      <w:keepLines/>
      <w:tabs>
        <w:tab w:val="right" w:pos="851"/>
      </w:tabs>
      <w:suppressAutoHyphens/>
      <w:spacing w:before="240" w:after="120"/>
      <w:ind w:left="1247" w:right="284" w:hanging="1247"/>
    </w:pPr>
    <w:rPr>
      <w:b/>
    </w:rPr>
  </w:style>
  <w:style w:type="paragraph" w:customStyle="1" w:styleId="CH4">
    <w:name w:val="CH4"/>
    <w:basedOn w:val="Normal-pool"/>
    <w:next w:val="Normalnumber"/>
    <w:rsid w:val="0015442E"/>
    <w:pPr>
      <w:keepNext/>
      <w:keepLines/>
      <w:tabs>
        <w:tab w:val="right" w:pos="851"/>
      </w:tabs>
      <w:suppressAutoHyphens/>
      <w:spacing w:before="120" w:after="120"/>
      <w:ind w:left="1247" w:right="284" w:hanging="1247"/>
    </w:pPr>
    <w:rPr>
      <w:b/>
    </w:rPr>
  </w:style>
  <w:style w:type="table" w:customStyle="1" w:styleId="Footertable">
    <w:name w:val="Footer_table"/>
    <w:basedOn w:val="TableNormal"/>
    <w:semiHidden/>
    <w:rsid w:val="0015442E"/>
    <w:rPr>
      <w:rFonts w:ascii="Arial" w:eastAsia="SimSun" w:hAnsi="Arial"/>
      <w:sz w:val="16"/>
      <w:lang w:val="fr-FR" w:eastAsia="zh-CN"/>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
    <w:next w:val="Normalnumber"/>
    <w:unhideWhenUsed/>
    <w:rsid w:val="0015442E"/>
    <w:pPr>
      <w:keepNext/>
      <w:keepLines/>
      <w:tabs>
        <w:tab w:val="right" w:pos="851"/>
        <w:tab w:val="left" w:pos="1247"/>
        <w:tab w:val="left" w:pos="1814"/>
        <w:tab w:val="left" w:pos="2381"/>
        <w:tab w:val="left" w:pos="2948"/>
        <w:tab w:val="left" w:pos="3515"/>
        <w:tab w:val="left" w:pos="4082"/>
      </w:tabs>
      <w:suppressAutoHyphens/>
      <w:spacing w:after="120"/>
      <w:ind w:left="1247" w:right="284" w:hanging="1247"/>
    </w:pPr>
    <w:rPr>
      <w:b/>
      <w:lang w:eastAsia="en-US"/>
    </w:rPr>
  </w:style>
  <w:style w:type="paragraph" w:customStyle="1" w:styleId="Footerpool">
    <w:name w:val="Footer_pool"/>
    <w:basedOn w:val="Normal"/>
    <w:next w:val="Normal"/>
    <w:semiHidden/>
    <w:rsid w:val="0015442E"/>
    <w:pPr>
      <w:tabs>
        <w:tab w:val="left" w:pos="4321"/>
        <w:tab w:val="right" w:pos="8641"/>
      </w:tabs>
      <w:spacing w:before="60" w:after="120"/>
    </w:pPr>
    <w:rPr>
      <w:b/>
      <w:sz w:val="18"/>
    </w:rPr>
  </w:style>
  <w:style w:type="paragraph" w:customStyle="1" w:styleId="Headerpool">
    <w:name w:val="Header_pool"/>
    <w:basedOn w:val="Normal"/>
    <w:next w:val="Normal"/>
    <w:semiHidden/>
    <w:rsid w:val="0015442E"/>
    <w:pPr>
      <w:pBdr>
        <w:bottom w:val="single" w:sz="4" w:space="1" w:color="auto"/>
      </w:pBdr>
      <w:tabs>
        <w:tab w:val="center" w:pos="4536"/>
        <w:tab w:val="right" w:pos="9072"/>
      </w:tabs>
      <w:spacing w:after="120"/>
    </w:pPr>
    <w:rPr>
      <w:b/>
      <w:sz w:val="18"/>
    </w:rPr>
  </w:style>
  <w:style w:type="paragraph" w:customStyle="1" w:styleId="Normalpool">
    <w:name w:val="Normal_pool"/>
    <w:autoRedefine/>
    <w:semiHidden/>
    <w:rsid w:val="0015442E"/>
    <w:pPr>
      <w:tabs>
        <w:tab w:val="left" w:pos="1247"/>
        <w:tab w:val="left" w:pos="1814"/>
        <w:tab w:val="left" w:pos="2381"/>
        <w:tab w:val="left" w:pos="2948"/>
        <w:tab w:val="left" w:pos="3515"/>
        <w:tab w:val="left" w:pos="4082"/>
      </w:tabs>
    </w:pPr>
    <w:rPr>
      <w:rFonts w:eastAsia="SimSun"/>
      <w:lang w:val="fr-CA" w:eastAsia="en-US"/>
    </w:rPr>
  </w:style>
  <w:style w:type="paragraph" w:customStyle="1" w:styleId="Footer-pool">
    <w:name w:val="Footer-pool"/>
    <w:basedOn w:val="Normal-pool"/>
    <w:next w:val="Normal-pool"/>
    <w:rsid w:val="0015442E"/>
    <w:pPr>
      <w:tabs>
        <w:tab w:val="left" w:pos="4321"/>
        <w:tab w:val="right" w:pos="8641"/>
      </w:tabs>
      <w:spacing w:before="60" w:after="120"/>
    </w:pPr>
    <w:rPr>
      <w:b/>
      <w:sz w:val="18"/>
    </w:rPr>
  </w:style>
  <w:style w:type="paragraph" w:customStyle="1" w:styleId="Header-pool">
    <w:name w:val="Header-pool"/>
    <w:basedOn w:val="Normal-pool"/>
    <w:next w:val="Normal-pool"/>
    <w:rsid w:val="0015442E"/>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qFormat/>
    <w:rsid w:val="0015442E"/>
    <w:pPr>
      <w:tabs>
        <w:tab w:val="left" w:pos="1247"/>
        <w:tab w:val="left" w:pos="1814"/>
        <w:tab w:val="left" w:pos="2381"/>
        <w:tab w:val="left" w:pos="2948"/>
        <w:tab w:val="left" w:pos="3515"/>
        <w:tab w:val="left" w:pos="4082"/>
      </w:tabs>
    </w:pPr>
    <w:rPr>
      <w:rFonts w:eastAsia="SimSun"/>
      <w:lang w:val="en-US" w:eastAsia="en-US"/>
    </w:rPr>
  </w:style>
  <w:style w:type="paragraph" w:styleId="FootnoteText">
    <w:name w:val="footnote text"/>
    <w:basedOn w:val="Normal"/>
    <w:link w:val="FootnoteTextChar"/>
    <w:rsid w:val="0015442E"/>
    <w:pPr>
      <w:tabs>
        <w:tab w:val="left" w:pos="1247"/>
        <w:tab w:val="left" w:pos="1814"/>
        <w:tab w:val="left" w:pos="2381"/>
        <w:tab w:val="left" w:pos="2948"/>
        <w:tab w:val="left" w:pos="3515"/>
        <w:tab w:val="left" w:pos="4082"/>
      </w:tabs>
      <w:spacing w:before="20" w:after="40"/>
      <w:ind w:left="1247"/>
    </w:pPr>
    <w:rPr>
      <w:sz w:val="18"/>
      <w:lang w:val="fr-CA" w:eastAsia="en-US"/>
    </w:rPr>
  </w:style>
  <w:style w:type="character" w:customStyle="1" w:styleId="HeaderChar">
    <w:name w:val="Header Char"/>
    <w:link w:val="Header"/>
    <w:semiHidden/>
    <w:rsid w:val="00250B6D"/>
    <w:rPr>
      <w:rFonts w:eastAsia="SimSun"/>
      <w:b/>
      <w:sz w:val="18"/>
      <w:lang w:val="en-US" w:eastAsia="zh-CN"/>
    </w:rPr>
  </w:style>
  <w:style w:type="table" w:customStyle="1" w:styleId="AATable">
    <w:name w:val="AA_Table"/>
    <w:basedOn w:val="TableNormal"/>
    <w:semiHidden/>
    <w:rsid w:val="0015442E"/>
    <w:rPr>
      <w:rFonts w:eastAsia="SimSun"/>
      <w:lang w:val="fr-FR" w:eastAsia="zh-CN"/>
    </w:rPr>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qFormat/>
    <w:rsid w:val="0015442E"/>
    <w:pPr>
      <w:keepNext/>
      <w:keepLines/>
      <w:suppressAutoHyphens/>
      <w:ind w:right="5103"/>
    </w:pPr>
    <w:rPr>
      <w:b/>
    </w:rPr>
  </w:style>
  <w:style w:type="paragraph" w:customStyle="1" w:styleId="AATitle2">
    <w:name w:val="AA_Title2"/>
    <w:basedOn w:val="AATitle"/>
    <w:qFormat/>
    <w:rsid w:val="0015442E"/>
    <w:pPr>
      <w:tabs>
        <w:tab w:val="clear" w:pos="4082"/>
      </w:tabs>
      <w:spacing w:before="120" w:after="120"/>
      <w:ind w:right="4536"/>
    </w:pPr>
  </w:style>
  <w:style w:type="paragraph" w:customStyle="1" w:styleId="BBTitle">
    <w:name w:val="BB_Title"/>
    <w:basedOn w:val="Normal-pool"/>
    <w:qFormat/>
    <w:rsid w:val="0015442E"/>
    <w:pPr>
      <w:keepNext/>
      <w:keepLines/>
      <w:suppressAutoHyphens/>
      <w:spacing w:before="320" w:after="240"/>
      <w:ind w:left="1247" w:right="567"/>
    </w:pPr>
    <w:rPr>
      <w:b/>
      <w:sz w:val="28"/>
      <w:szCs w:val="28"/>
    </w:rPr>
  </w:style>
  <w:style w:type="paragraph" w:styleId="Footer">
    <w:name w:val="footer"/>
    <w:basedOn w:val="Normal"/>
    <w:semiHidden/>
    <w:rsid w:val="0015442E"/>
    <w:pPr>
      <w:tabs>
        <w:tab w:val="center" w:pos="4320"/>
        <w:tab w:val="right" w:pos="8640"/>
      </w:tabs>
      <w:spacing w:before="60" w:after="120"/>
    </w:pPr>
    <w:rPr>
      <w:sz w:val="18"/>
    </w:rPr>
  </w:style>
  <w:style w:type="paragraph" w:styleId="Header">
    <w:name w:val="header"/>
    <w:basedOn w:val="Normal"/>
    <w:link w:val="HeaderChar"/>
    <w:semiHidden/>
    <w:rsid w:val="0015442E"/>
    <w:pPr>
      <w:pBdr>
        <w:bottom w:val="single" w:sz="4" w:space="1" w:color="auto"/>
      </w:pBdr>
      <w:tabs>
        <w:tab w:val="center" w:pos="4536"/>
        <w:tab w:val="right" w:pos="9072"/>
      </w:tabs>
      <w:spacing w:after="120"/>
    </w:pPr>
    <w:rPr>
      <w:b/>
      <w:sz w:val="18"/>
    </w:rPr>
  </w:style>
  <w:style w:type="character" w:styleId="Hyperlink">
    <w:name w:val="Hyperlink"/>
    <w:unhideWhenUsed/>
    <w:rsid w:val="0015442E"/>
    <w:rPr>
      <w:rFonts w:ascii="Times New Roman" w:hAnsi="Times New Roman"/>
      <w:color w:val="auto"/>
      <w:sz w:val="20"/>
      <w:szCs w:val="20"/>
      <w:u w:val="none"/>
      <w:lang w:val="en-US"/>
    </w:rPr>
  </w:style>
  <w:style w:type="numbering" w:customStyle="1" w:styleId="Normallist">
    <w:name w:val="Normal_list"/>
    <w:basedOn w:val="NoList"/>
    <w:semiHidden/>
    <w:rsid w:val="0015442E"/>
    <w:pPr>
      <w:numPr>
        <w:numId w:val="1"/>
      </w:numPr>
    </w:pPr>
  </w:style>
  <w:style w:type="paragraph" w:customStyle="1" w:styleId="NormalNonumber">
    <w:name w:val="Normal_No_number"/>
    <w:basedOn w:val="Normal-pool"/>
    <w:qFormat/>
    <w:rsid w:val="0015442E"/>
    <w:pPr>
      <w:spacing w:after="120"/>
      <w:ind w:left="1247"/>
    </w:pPr>
  </w:style>
  <w:style w:type="paragraph" w:customStyle="1" w:styleId="Normalnumber">
    <w:name w:val="Normal_number"/>
    <w:basedOn w:val="Normalpool"/>
    <w:link w:val="NormalnumberChar"/>
    <w:rsid w:val="0015442E"/>
    <w:pPr>
      <w:spacing w:after="120"/>
    </w:pPr>
    <w:rPr>
      <w:rFonts w:eastAsia="Times New Roman"/>
    </w:rPr>
  </w:style>
  <w:style w:type="paragraph" w:customStyle="1" w:styleId="Titletable">
    <w:name w:val="Title_table"/>
    <w:basedOn w:val="Normal-pool"/>
    <w:next w:val="NormalNonumber"/>
    <w:rsid w:val="0015442E"/>
    <w:pPr>
      <w:keepNext/>
      <w:keepLines/>
      <w:suppressAutoHyphens/>
      <w:spacing w:after="60"/>
      <w:ind w:left="1247"/>
    </w:pPr>
    <w:rPr>
      <w:b/>
      <w:bCs/>
    </w:rPr>
  </w:style>
  <w:style w:type="paragraph" w:styleId="TOC1">
    <w:name w:val="toc 1"/>
    <w:basedOn w:val="Normal-pool"/>
    <w:next w:val="Normal-pool"/>
    <w:unhideWhenUsed/>
    <w:rsid w:val="0015442E"/>
    <w:pPr>
      <w:tabs>
        <w:tab w:val="right" w:leader="dot" w:pos="9486"/>
      </w:tabs>
      <w:spacing w:before="240"/>
      <w:ind w:left="1814" w:hanging="567"/>
    </w:pPr>
    <w:rPr>
      <w:bCs/>
    </w:rPr>
  </w:style>
  <w:style w:type="paragraph" w:styleId="TOC2">
    <w:name w:val="toc 2"/>
    <w:basedOn w:val="Normal-pool"/>
    <w:next w:val="Normal-pool"/>
    <w:unhideWhenUsed/>
    <w:rsid w:val="0015442E"/>
    <w:pPr>
      <w:tabs>
        <w:tab w:val="right" w:leader="dot" w:pos="9486"/>
      </w:tabs>
      <w:ind w:left="2381" w:hanging="567"/>
    </w:pPr>
  </w:style>
  <w:style w:type="paragraph" w:styleId="TOC3">
    <w:name w:val="toc 3"/>
    <w:basedOn w:val="Normal-pool"/>
    <w:next w:val="Normal-pool"/>
    <w:unhideWhenUsed/>
    <w:rsid w:val="0015442E"/>
    <w:pPr>
      <w:tabs>
        <w:tab w:val="right" w:leader="dot" w:pos="9486"/>
      </w:tabs>
      <w:ind w:left="2948" w:hanging="567"/>
    </w:pPr>
    <w:rPr>
      <w:iCs/>
    </w:rPr>
  </w:style>
  <w:style w:type="paragraph" w:styleId="TOC4">
    <w:name w:val="toc 4"/>
    <w:basedOn w:val="Normal-pool"/>
    <w:next w:val="Normal-pool"/>
    <w:unhideWhenUsed/>
    <w:rsid w:val="0015442E"/>
    <w:pPr>
      <w:tabs>
        <w:tab w:val="left" w:pos="1000"/>
        <w:tab w:val="right" w:leader="dot" w:pos="9486"/>
      </w:tabs>
      <w:ind w:left="3515" w:hanging="567"/>
    </w:pPr>
    <w:rPr>
      <w:szCs w:val="18"/>
    </w:rPr>
  </w:style>
  <w:style w:type="paragraph" w:styleId="TOC5">
    <w:name w:val="toc 5"/>
    <w:basedOn w:val="Normal-pool"/>
    <w:next w:val="Normal-pool"/>
    <w:rsid w:val="0015442E"/>
    <w:pPr>
      <w:ind w:left="800"/>
    </w:pPr>
    <w:rPr>
      <w:sz w:val="18"/>
      <w:szCs w:val="18"/>
    </w:rPr>
  </w:style>
  <w:style w:type="paragraph" w:customStyle="1" w:styleId="ZZAnxheader">
    <w:name w:val="ZZ_Anx_header"/>
    <w:basedOn w:val="Normal-pool"/>
    <w:rsid w:val="0015442E"/>
    <w:rPr>
      <w:b/>
      <w:bCs/>
      <w:sz w:val="28"/>
      <w:szCs w:val="22"/>
    </w:rPr>
  </w:style>
  <w:style w:type="paragraph" w:customStyle="1" w:styleId="ZZAnxtitle">
    <w:name w:val="ZZ_Anx_title"/>
    <w:basedOn w:val="Normal-pool"/>
    <w:rsid w:val="0015442E"/>
    <w:pPr>
      <w:spacing w:before="360" w:after="120"/>
      <w:ind w:left="1247"/>
    </w:pPr>
    <w:rPr>
      <w:b/>
      <w:bCs/>
      <w:sz w:val="28"/>
      <w:szCs w:val="26"/>
    </w:rPr>
  </w:style>
  <w:style w:type="paragraph" w:styleId="BalloonText">
    <w:name w:val="Balloon Text"/>
    <w:basedOn w:val="Normal"/>
    <w:link w:val="BalloonTextChar"/>
    <w:rsid w:val="003E6F41"/>
    <w:rPr>
      <w:rFonts w:ascii="Segoe UI" w:hAnsi="Segoe UI" w:cs="Segoe UI"/>
      <w:sz w:val="18"/>
      <w:szCs w:val="18"/>
    </w:rPr>
  </w:style>
  <w:style w:type="character" w:customStyle="1" w:styleId="BalloonTextChar">
    <w:name w:val="Balloon Text Char"/>
    <w:basedOn w:val="DefaultParagraphFont"/>
    <w:link w:val="BalloonText"/>
    <w:rsid w:val="003E6F41"/>
    <w:rPr>
      <w:rFonts w:ascii="Segoe UI" w:hAnsi="Segoe UI" w:cs="Segoe UI"/>
      <w:sz w:val="18"/>
      <w:szCs w:val="18"/>
      <w:lang w:val="fr-FR" w:eastAsia="en-US"/>
    </w:rPr>
  </w:style>
  <w:style w:type="character" w:styleId="CommentReference">
    <w:name w:val="annotation reference"/>
    <w:basedOn w:val="DefaultParagraphFont"/>
    <w:uiPriority w:val="99"/>
    <w:rsid w:val="003E6F41"/>
    <w:rPr>
      <w:sz w:val="16"/>
      <w:szCs w:val="16"/>
    </w:rPr>
  </w:style>
  <w:style w:type="paragraph" w:styleId="CommentText">
    <w:name w:val="annotation text"/>
    <w:basedOn w:val="Normal"/>
    <w:link w:val="CommentTextChar"/>
    <w:uiPriority w:val="99"/>
    <w:rsid w:val="003E6F41"/>
    <w:rPr>
      <w:sz w:val="24"/>
      <w:szCs w:val="24"/>
      <w:lang w:eastAsia="en-GB"/>
    </w:rPr>
  </w:style>
  <w:style w:type="character" w:customStyle="1" w:styleId="CommentTextChar">
    <w:name w:val="Comment Text Char"/>
    <w:basedOn w:val="DefaultParagraphFont"/>
    <w:link w:val="CommentText"/>
    <w:uiPriority w:val="99"/>
    <w:rsid w:val="003E6F41"/>
    <w:rPr>
      <w:sz w:val="24"/>
      <w:szCs w:val="24"/>
    </w:rPr>
  </w:style>
  <w:style w:type="paragraph" w:styleId="CommentSubject">
    <w:name w:val="annotation subject"/>
    <w:basedOn w:val="CommentText"/>
    <w:next w:val="CommentText"/>
    <w:link w:val="CommentSubjectChar"/>
    <w:rsid w:val="007841F5"/>
    <w:pPr>
      <w:tabs>
        <w:tab w:val="left" w:pos="1247"/>
        <w:tab w:val="left" w:pos="1814"/>
        <w:tab w:val="left" w:pos="2381"/>
        <w:tab w:val="left" w:pos="2948"/>
        <w:tab w:val="left" w:pos="3515"/>
      </w:tabs>
    </w:pPr>
    <w:rPr>
      <w:b/>
      <w:bCs/>
      <w:sz w:val="20"/>
      <w:szCs w:val="20"/>
      <w:lang w:val="fr-FR" w:eastAsia="en-US"/>
    </w:rPr>
  </w:style>
  <w:style w:type="character" w:customStyle="1" w:styleId="CommentSubjectChar">
    <w:name w:val="Comment Subject Char"/>
    <w:basedOn w:val="CommentTextChar"/>
    <w:link w:val="CommentSubject"/>
    <w:rsid w:val="007841F5"/>
    <w:rPr>
      <w:b/>
      <w:bCs/>
      <w:sz w:val="24"/>
      <w:szCs w:val="24"/>
      <w:lang w:val="fr-FR" w:eastAsia="en-US"/>
    </w:rPr>
  </w:style>
  <w:style w:type="character" w:customStyle="1" w:styleId="FootnoteTextChar">
    <w:name w:val="Footnote Text Char"/>
    <w:link w:val="FootnoteText"/>
    <w:locked/>
    <w:rsid w:val="0012644F"/>
    <w:rPr>
      <w:rFonts w:eastAsia="SimSun"/>
      <w:sz w:val="18"/>
      <w:lang w:val="fr-CA" w:eastAsia="en-US"/>
    </w:rPr>
  </w:style>
  <w:style w:type="paragraph" w:styleId="ListParagraph">
    <w:name w:val="List Paragraph"/>
    <w:basedOn w:val="Normal"/>
    <w:uiPriority w:val="34"/>
    <w:qFormat/>
    <w:rsid w:val="00D07EDB"/>
    <w:pPr>
      <w:ind w:left="720"/>
      <w:contextualSpacing/>
    </w:pPr>
  </w:style>
  <w:style w:type="character" w:styleId="FootnoteReference">
    <w:name w:val="footnote reference"/>
    <w:aliases w:val="16 Point,Superscript 6 Point,Footnote text,Footnote Text1,Footnote Text2,ftref,(Ref. de nota al pie),number,SUPERS,Footnote Reference Superscript,Superscript 6 Point + 11 pt,Appel note de bas de page,-E Fußnotenzeichen,Ref,註腳內容,11 pt"/>
    <w:link w:val="BVIfnrCharCharCharChar"/>
    <w:qFormat/>
    <w:rsid w:val="0015442E"/>
    <w:rPr>
      <w:rFonts w:ascii="Times New Roman" w:hAnsi="Times New Roman"/>
      <w:color w:val="auto"/>
      <w:sz w:val="20"/>
      <w:szCs w:val="18"/>
      <w:vertAlign w:val="superscript"/>
    </w:rPr>
  </w:style>
  <w:style w:type="paragraph" w:styleId="NormalWeb">
    <w:name w:val="Normal (Web)"/>
    <w:basedOn w:val="Normal"/>
    <w:uiPriority w:val="99"/>
    <w:unhideWhenUsed/>
    <w:rsid w:val="0015442E"/>
    <w:pPr>
      <w:spacing w:before="100" w:beforeAutospacing="1" w:after="100" w:afterAutospacing="1"/>
    </w:pPr>
    <w:rPr>
      <w:rFonts w:eastAsiaTheme="minorEastAsia"/>
      <w:sz w:val="24"/>
      <w:szCs w:val="24"/>
      <w:lang w:eastAsia="en-US"/>
    </w:rPr>
  </w:style>
  <w:style w:type="table" w:styleId="TableGrid">
    <w:name w:val="Table Grid"/>
    <w:basedOn w:val="TableNormal"/>
    <w:rsid w:val="001544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Text">
    <w:name w:val="Footnote-Text"/>
    <w:basedOn w:val="Normal-pool"/>
    <w:rsid w:val="00F402F3"/>
    <w:pPr>
      <w:tabs>
        <w:tab w:val="clear" w:pos="1814"/>
        <w:tab w:val="clear" w:pos="2381"/>
        <w:tab w:val="clear" w:pos="2948"/>
        <w:tab w:val="clear" w:pos="3515"/>
        <w:tab w:val="clear" w:pos="4082"/>
        <w:tab w:val="left" w:pos="624"/>
        <w:tab w:val="left" w:pos="1871"/>
        <w:tab w:val="left" w:pos="2495"/>
        <w:tab w:val="left" w:pos="3119"/>
        <w:tab w:val="left" w:pos="3742"/>
        <w:tab w:val="left" w:pos="4366"/>
      </w:tabs>
      <w:spacing w:before="20" w:after="40"/>
      <w:ind w:left="1247"/>
    </w:pPr>
    <w:rPr>
      <w:rFonts w:eastAsia="Times New Roman"/>
      <w:sz w:val="18"/>
    </w:rPr>
  </w:style>
  <w:style w:type="character" w:customStyle="1" w:styleId="NormalnumberChar">
    <w:name w:val="Normal_number Char"/>
    <w:link w:val="Normalnumber"/>
    <w:rsid w:val="00D922FD"/>
    <w:rPr>
      <w:lang w:val="fr-CA" w:eastAsia="en-US"/>
    </w:rPr>
  </w:style>
  <w:style w:type="paragraph" w:customStyle="1" w:styleId="BVIfnrCharCharCharChar">
    <w:name w:val="BVI fnr Char Char Char Char"/>
    <w:aliases w:val=" BVI fnr Car Car Char Char Char Char,BVI fnr Car Char Char Char Char, BVI fnr Car Car Car Car Char Char Char Char, BVI fnr Car Car Car Car Char Char Char1 Char Char,BVI fnr Car Car Char Char Char Char"/>
    <w:basedOn w:val="Normal"/>
    <w:link w:val="FootnoteReference"/>
    <w:unhideWhenUsed/>
    <w:rsid w:val="007F0806"/>
    <w:pPr>
      <w:spacing w:before="120" w:after="160" w:line="240" w:lineRule="exact"/>
    </w:pPr>
    <w:rPr>
      <w:rFonts w:eastAsia="Times New Roman"/>
      <w:szCs w:val="18"/>
      <w:vertAlign w:val="superscript"/>
      <w:lang w:eastAsia="en-GB"/>
    </w:rPr>
  </w:style>
  <w:style w:type="paragraph" w:customStyle="1" w:styleId="paragraph">
    <w:name w:val="paragraph"/>
    <w:basedOn w:val="Normal"/>
    <w:rsid w:val="00BF2F25"/>
    <w:pPr>
      <w:spacing w:before="100" w:beforeAutospacing="1" w:after="100" w:afterAutospacing="1"/>
    </w:pPr>
    <w:rPr>
      <w:rFonts w:eastAsia="Times New Roman"/>
      <w:sz w:val="24"/>
      <w:szCs w:val="24"/>
      <w:lang w:val="en-US"/>
    </w:rPr>
  </w:style>
  <w:style w:type="character" w:customStyle="1" w:styleId="normaltextrun">
    <w:name w:val="normaltextrun"/>
    <w:basedOn w:val="DefaultParagraphFont"/>
    <w:rsid w:val="00BF2F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902645289">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ur-lex.europa.eu/legal-content/EN/TXT/PDF/?uri=CELEX:32017R0852" TargetMode="External"/><Relationship Id="rId18" Type="http://schemas.openxmlformats.org/officeDocument/2006/relationships/image" Target="media/image4.png"/><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image" Target="media/image7.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publications.gc.ca/collections/collection_2017/eccc/En84-130-3-2016-eng.pdf"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ecfr.gov/current/title-40/chapter-I/subchapter-R/part-713" TargetMode="External"/><Relationship Id="rId20" Type="http://schemas.openxmlformats.org/officeDocument/2006/relationships/image" Target="media/image6.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ur-lex.europa.eu/eli/dec_impl/2019/1752/oj/eng" TargetMode="External"/><Relationship Id="rId22" Type="http://schemas.openxmlformats.org/officeDocument/2006/relationships/header" Target="header1.xml"/><Relationship Id="rId27"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minamataconvention.org/sites/default/files/documents/minamata_initial_assessment/Indonesia_MIA_2022.pdf" TargetMode="External"/><Relationship Id="rId2" Type="http://schemas.openxmlformats.org/officeDocument/2006/relationships/hyperlink" Target="https://minamataconvention.org/sites/default/files/documents/national_implementation_plan/Australia_NIP_2024_EN.pdf" TargetMode="External"/><Relationship Id="rId1" Type="http://schemas.openxmlformats.org/officeDocument/2006/relationships/hyperlink" Target="https://minamataconvention.org/sites/default/files/2024-02/FIN_3.3.pdf" TargetMode="External"/><Relationship Id="rId6" Type="http://schemas.openxmlformats.org/officeDocument/2006/relationships/hyperlink" Target="https://www.unep.org/topics/chemicals-and-pollution-action/pollution-and-health/heavy-metals/mercury/mercury-inventory" TargetMode="External"/><Relationship Id="rId5" Type="http://schemas.openxmlformats.org/officeDocument/2006/relationships/hyperlink" Target="https://minamataconvention.org/sites/default/files/2024-12/PER_3.3.pdf" TargetMode="External"/><Relationship Id="rId4" Type="http://schemas.openxmlformats.org/officeDocument/2006/relationships/hyperlink" Target="https://minamataconvention.org/sites/default/files/documents/national_report/Report_Peru_2023_Spanish.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AN\United%20Nations\Minamata%20Convention%20-%20General\COP5\Documents\Template\UNEP-MC-COP_EN-CORR.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822da31b-d518-49e2-88cd-1351ccd720a8">
      <Terms xmlns="http://schemas.microsoft.com/office/infopath/2007/PartnerControls"/>
    </lcf76f155ced4ddcb4097134ff3c332f>
    <SharedWithUsers xmlns="8e99bad0-3155-475a-8063-b4d93685c2ad">
      <UserInfo>
        <DisplayName>Claudia ten Have</DisplayName>
        <AccountId>12</AccountId>
        <AccountType/>
      </UserInfo>
      <UserInfo>
        <DisplayName>My Linh Doan</DisplayName>
        <AccountId>73</AccountId>
        <AccountType/>
      </UserInfo>
    </SharedWithUsers>
    <Hypelink xmlns="822da31b-d518-49e2-88cd-1351ccd720a8">
      <Url xsi:nil="true"/>
      <Description xsi:nil="true"/>
    </Hypelink>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D4A186B34AAF4047A570F9DFA6808567" ma:contentTypeVersion="20" ma:contentTypeDescription="Create a new document." ma:contentTypeScope="" ma:versionID="f13a201125e5f9e352c416574e95b703">
  <xsd:schema xmlns:xsd="http://www.w3.org/2001/XMLSchema" xmlns:xs="http://www.w3.org/2001/XMLSchema" xmlns:p="http://schemas.microsoft.com/office/2006/metadata/properties" xmlns:ns2="822da31b-d518-49e2-88cd-1351ccd720a8" xmlns:ns3="8e99bad0-3155-475a-8063-b4d93685c2ad" xmlns:ns4="985ec44e-1bab-4c0b-9df0-6ba128686fc9" targetNamespace="http://schemas.microsoft.com/office/2006/metadata/properties" ma:root="true" ma:fieldsID="6bb3500de60d937cbdf21b4984b94c35" ns2:_="" ns3:_="" ns4:_="">
    <xsd:import namespace="822da31b-d518-49e2-88cd-1351ccd720a8"/>
    <xsd:import namespace="8e99bad0-3155-475a-8063-b4d93685c2ad"/>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Hypelink"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2da31b-d518-49e2-88cd-1351ccd720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Hypelink" ma:index="26" nillable="true" ma:displayName="Hypelink" ma:format="Hyperlink" ma:internalName="Hypelink">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e99bad0-3155-475a-8063-b4d93685c2a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142ff2ae-b80c-41f6-b4f1-f813bc1fe85a}" ma:internalName="TaxCatchAll" ma:showField="CatchAllData" ma:web="8e99bad0-3155-475a-8063-b4d93685c2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3591B3D-AA87-49FB-9EF7-FD41B95EDECD}">
  <ds:schemaRefs>
    <ds:schemaRef ds:uri="http://schemas.microsoft.com/office/2006/metadata/properties"/>
    <ds:schemaRef ds:uri="http://schemas.microsoft.com/office/infopath/2007/PartnerControls"/>
    <ds:schemaRef ds:uri="985ec44e-1bab-4c0b-9df0-6ba128686fc9"/>
    <ds:schemaRef ds:uri="822da31b-d518-49e2-88cd-1351ccd720a8"/>
    <ds:schemaRef ds:uri="8e99bad0-3155-475a-8063-b4d93685c2ad"/>
  </ds:schemaRefs>
</ds:datastoreItem>
</file>

<file path=customXml/itemProps2.xml><?xml version="1.0" encoding="utf-8"?>
<ds:datastoreItem xmlns:ds="http://schemas.openxmlformats.org/officeDocument/2006/customXml" ds:itemID="{9F1DA343-F8C2-4EE4-9F56-9973669BF703}">
  <ds:schemaRefs>
    <ds:schemaRef ds:uri="http://schemas.microsoft.com/sharepoint/v3/contenttype/forms"/>
  </ds:schemaRefs>
</ds:datastoreItem>
</file>

<file path=customXml/itemProps3.xml><?xml version="1.0" encoding="utf-8"?>
<ds:datastoreItem xmlns:ds="http://schemas.openxmlformats.org/officeDocument/2006/customXml" ds:itemID="{91DFB87E-D080-4E18-ACBA-AA8FD538ABFA}">
  <ds:schemaRefs>
    <ds:schemaRef ds:uri="http://schemas.openxmlformats.org/officeDocument/2006/bibliography"/>
  </ds:schemaRefs>
</ds:datastoreItem>
</file>

<file path=customXml/itemProps4.xml><?xml version="1.0" encoding="utf-8"?>
<ds:datastoreItem xmlns:ds="http://schemas.openxmlformats.org/officeDocument/2006/customXml" ds:itemID="{6BEBA275-3379-4FD0-9174-B44DF91075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2da31b-d518-49e2-88cd-1351ccd720a8"/>
    <ds:schemaRef ds:uri="8e99bad0-3155-475a-8063-b4d93685c2ad"/>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UNEP-MC-COP_EN-CORR.dotm</Template>
  <TotalTime>0</TotalTime>
  <Pages>13</Pages>
  <Words>5619</Words>
  <Characters>33808</Characters>
  <Application>Microsoft Office Word</Application>
  <DocSecurity>0</DocSecurity>
  <Lines>281</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2025-03-04T12:15:00Z</dcterms:created>
  <dcterms:modified xsi:type="dcterms:W3CDTF">2025-08-29T12:46:00Z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0x010100D4A186B34AAF4047A570F9DFA6808567</vt:lpwstr>
  </property>
  <property fmtid="{D5CDD505-2E9C-101B-9397-08002B2CF9AE}" pid="3" name="GrammarlyDocumentId">
    <vt:lpwstr>1aa345f5233833bf8aa3408a6e0af90074b5fe99df0c30d1bbd9e61a2eb4330c</vt:lpwstr>
  </property>
  <property fmtid="{D5CDD505-2E9C-101B-9397-08002B2CF9AE}" pid="4" name="MediaServiceImageTags">
    <vt:lpwstr/>
  </property>
</Properties>
</file>