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592"/>
        <w:gridCol w:w="2041"/>
        <w:gridCol w:w="2695"/>
        <w:gridCol w:w="1634"/>
        <w:gridCol w:w="1398"/>
      </w:tblGrid>
      <w:tr w:rsidR="00C24517" w:rsidRPr="007E7514" w14:paraId="5A29480E" w14:textId="77777777" w:rsidTr="00C24517">
        <w:trPr>
          <w:trHeight w:val="57"/>
          <w:jc w:val="right"/>
        </w:trPr>
        <w:tc>
          <w:tcPr>
            <w:tcW w:w="1592" w:type="dxa"/>
          </w:tcPr>
          <w:p w14:paraId="0E99D5BE" w14:textId="77777777" w:rsidR="00C24517" w:rsidRPr="007E7514" w:rsidRDefault="00C24517" w:rsidP="00C24517">
            <w:pPr>
              <w:widowControl/>
              <w:tabs>
                <w:tab w:val="left" w:pos="1247"/>
                <w:tab w:val="left" w:pos="1814"/>
                <w:tab w:val="left" w:pos="2381"/>
                <w:tab w:val="left" w:pos="2948"/>
                <w:tab w:val="left" w:pos="3515"/>
                <w:tab w:val="left" w:pos="4082"/>
              </w:tabs>
              <w:autoSpaceDE/>
              <w:autoSpaceDN/>
              <w:rPr>
                <w:rFonts w:ascii="Arial" w:eastAsia="SimSun" w:hAnsi="Arial" w:cs="Arial"/>
                <w:b/>
                <w:sz w:val="27"/>
                <w:szCs w:val="27"/>
                <w:lang w:val="en-GB"/>
              </w:rPr>
            </w:pPr>
            <w:r w:rsidRPr="007E7514">
              <w:rPr>
                <w:rFonts w:ascii="Arial" w:eastAsia="SimSun" w:hAnsi="Arial" w:cs="Arial"/>
                <w:b/>
                <w:sz w:val="27"/>
                <w:szCs w:val="27"/>
                <w:lang w:val="en-GB"/>
              </w:rPr>
              <w:t xml:space="preserve">UNITED </w:t>
            </w:r>
            <w:r w:rsidRPr="007E7514">
              <w:rPr>
                <w:rFonts w:ascii="Arial" w:eastAsia="SimSun" w:hAnsi="Arial" w:cs="Arial"/>
                <w:b/>
                <w:sz w:val="27"/>
                <w:szCs w:val="27"/>
                <w:lang w:val="en-GB"/>
              </w:rPr>
              <w:br/>
              <w:t>NATIONS</w:t>
            </w:r>
          </w:p>
        </w:tc>
        <w:tc>
          <w:tcPr>
            <w:tcW w:w="6370" w:type="dxa"/>
            <w:gridSpan w:val="3"/>
          </w:tcPr>
          <w:p w14:paraId="3EA9A0E8" w14:textId="77777777" w:rsidR="00C24517" w:rsidRPr="007E7514" w:rsidRDefault="00C24517" w:rsidP="00C24517">
            <w:pPr>
              <w:widowControl/>
              <w:tabs>
                <w:tab w:val="left" w:pos="1247"/>
                <w:tab w:val="left" w:pos="1814"/>
                <w:tab w:val="left" w:pos="2381"/>
                <w:tab w:val="left" w:pos="2948"/>
                <w:tab w:val="left" w:pos="3515"/>
                <w:tab w:val="left" w:pos="4082"/>
              </w:tabs>
              <w:autoSpaceDE/>
              <w:autoSpaceDN/>
              <w:spacing w:before="20"/>
              <w:rPr>
                <w:rFonts w:eastAsia="SimSun"/>
                <w:sz w:val="20"/>
                <w:szCs w:val="20"/>
                <w:lang w:val="en-GB"/>
              </w:rPr>
            </w:pPr>
            <w:r w:rsidRPr="007E7514">
              <w:rPr>
                <w:rFonts w:eastAsia="SimSun"/>
                <w:noProof/>
                <w:sz w:val="20"/>
                <w:szCs w:val="20"/>
                <w:lang w:val="en-GB"/>
              </w:rPr>
              <w:drawing>
                <wp:inline distT="0" distB="0" distL="0" distR="0" wp14:anchorId="326E4122" wp14:editId="4AC590D7">
                  <wp:extent cx="1267200" cy="54957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398" w:type="dxa"/>
          </w:tcPr>
          <w:p w14:paraId="0C8EB7AE" w14:textId="77777777" w:rsidR="00C24517" w:rsidRPr="007E7514" w:rsidRDefault="00C24517" w:rsidP="00C24517">
            <w:pPr>
              <w:widowControl/>
              <w:tabs>
                <w:tab w:val="left" w:pos="1247"/>
                <w:tab w:val="left" w:pos="1814"/>
                <w:tab w:val="left" w:pos="2381"/>
                <w:tab w:val="left" w:pos="2948"/>
                <w:tab w:val="left" w:pos="3515"/>
                <w:tab w:val="left" w:pos="4082"/>
              </w:tabs>
              <w:autoSpaceDE/>
              <w:autoSpaceDN/>
              <w:jc w:val="right"/>
              <w:rPr>
                <w:rFonts w:ascii="Arial" w:eastAsia="SimSun" w:hAnsi="Arial" w:cs="Arial"/>
                <w:b/>
                <w:sz w:val="64"/>
                <w:szCs w:val="64"/>
                <w:lang w:val="en-GB"/>
              </w:rPr>
            </w:pPr>
            <w:r w:rsidRPr="007E7514">
              <w:rPr>
                <w:rFonts w:ascii="Arial" w:eastAsia="SimSun" w:hAnsi="Arial" w:cs="Arial"/>
                <w:b/>
                <w:sz w:val="64"/>
                <w:szCs w:val="64"/>
                <w:lang w:val="en-GB"/>
              </w:rPr>
              <w:t>MC</w:t>
            </w:r>
          </w:p>
        </w:tc>
      </w:tr>
      <w:tr w:rsidR="00C24517" w:rsidRPr="007E7514" w14:paraId="16DE017E" w14:textId="77777777" w:rsidTr="00C24517">
        <w:trPr>
          <w:trHeight w:val="57"/>
          <w:jc w:val="right"/>
        </w:trPr>
        <w:tc>
          <w:tcPr>
            <w:tcW w:w="1592" w:type="dxa"/>
            <w:tcBorders>
              <w:bottom w:val="single" w:sz="4" w:space="0" w:color="auto"/>
            </w:tcBorders>
          </w:tcPr>
          <w:p w14:paraId="7CBE239D" w14:textId="77777777" w:rsidR="00C24517" w:rsidRPr="007E7514" w:rsidRDefault="00C24517" w:rsidP="00C24517">
            <w:pPr>
              <w:widowControl/>
              <w:tabs>
                <w:tab w:val="left" w:pos="1247"/>
                <w:tab w:val="left" w:pos="1814"/>
                <w:tab w:val="left" w:pos="2381"/>
                <w:tab w:val="left" w:pos="2948"/>
                <w:tab w:val="left" w:pos="3515"/>
                <w:tab w:val="left" w:pos="4082"/>
              </w:tabs>
              <w:autoSpaceDE/>
              <w:autoSpaceDN/>
              <w:rPr>
                <w:rFonts w:eastAsia="SimSun"/>
                <w:sz w:val="20"/>
                <w:szCs w:val="20"/>
                <w:lang w:val="en-GB"/>
              </w:rPr>
            </w:pPr>
          </w:p>
        </w:tc>
        <w:tc>
          <w:tcPr>
            <w:tcW w:w="4736" w:type="dxa"/>
            <w:gridSpan w:val="2"/>
            <w:tcBorders>
              <w:bottom w:val="single" w:sz="4" w:space="0" w:color="auto"/>
            </w:tcBorders>
          </w:tcPr>
          <w:p w14:paraId="256938C5" w14:textId="77777777" w:rsidR="00C24517" w:rsidRPr="007E7514" w:rsidRDefault="00C24517" w:rsidP="00C24517">
            <w:pPr>
              <w:widowControl/>
              <w:tabs>
                <w:tab w:val="left" w:pos="1247"/>
                <w:tab w:val="left" w:pos="1814"/>
                <w:tab w:val="left" w:pos="2381"/>
                <w:tab w:val="left" w:pos="2948"/>
                <w:tab w:val="left" w:pos="3515"/>
                <w:tab w:val="left" w:pos="4082"/>
              </w:tabs>
              <w:autoSpaceDE/>
              <w:autoSpaceDN/>
              <w:rPr>
                <w:rFonts w:eastAsia="SimSun"/>
                <w:sz w:val="20"/>
                <w:szCs w:val="20"/>
                <w:lang w:val="en-GB"/>
              </w:rPr>
            </w:pPr>
          </w:p>
        </w:tc>
        <w:tc>
          <w:tcPr>
            <w:tcW w:w="3032" w:type="dxa"/>
            <w:gridSpan w:val="2"/>
            <w:tcBorders>
              <w:bottom w:val="single" w:sz="4" w:space="0" w:color="auto"/>
            </w:tcBorders>
          </w:tcPr>
          <w:p w14:paraId="50B3A56C" w14:textId="710399BC" w:rsidR="00C24517" w:rsidRPr="007E7514" w:rsidRDefault="00C24517" w:rsidP="00C24517">
            <w:pPr>
              <w:widowControl/>
              <w:tabs>
                <w:tab w:val="left" w:pos="1247"/>
                <w:tab w:val="left" w:pos="1814"/>
                <w:tab w:val="left" w:pos="2381"/>
                <w:tab w:val="left" w:pos="2948"/>
                <w:tab w:val="left" w:pos="3515"/>
                <w:tab w:val="left" w:pos="4082"/>
              </w:tabs>
              <w:autoSpaceDE/>
              <w:autoSpaceDN/>
              <w:rPr>
                <w:rFonts w:eastAsia="SimSun"/>
                <w:sz w:val="20"/>
                <w:szCs w:val="20"/>
                <w:lang w:val="en-GB"/>
              </w:rPr>
            </w:pPr>
            <w:r w:rsidRPr="007E7514">
              <w:rPr>
                <w:rFonts w:eastAsia="SimSun"/>
                <w:b/>
                <w:bCs/>
                <w:sz w:val="28"/>
                <w:szCs w:val="28"/>
                <w:lang w:val="en-GB"/>
              </w:rPr>
              <w:t>UNEP</w:t>
            </w:r>
            <w:r w:rsidRPr="007E7514">
              <w:rPr>
                <w:rFonts w:eastAsia="SimSun"/>
                <w:sz w:val="20"/>
                <w:szCs w:val="20"/>
                <w:lang w:val="en-GB"/>
              </w:rPr>
              <w:t>/MC/COP.</w:t>
            </w:r>
            <w:r w:rsidRPr="007E7514">
              <w:rPr>
                <w:sz w:val="20"/>
                <w:szCs w:val="20"/>
                <w:lang w:val="en-GB"/>
              </w:rPr>
              <w:t>4/INF/7</w:t>
            </w:r>
          </w:p>
        </w:tc>
      </w:tr>
      <w:tr w:rsidR="00C24517" w:rsidRPr="007E7514" w14:paraId="57F84C7B" w14:textId="77777777" w:rsidTr="00C24517">
        <w:trPr>
          <w:trHeight w:val="1985"/>
          <w:jc w:val="right"/>
        </w:trPr>
        <w:tc>
          <w:tcPr>
            <w:tcW w:w="3633" w:type="dxa"/>
            <w:gridSpan w:val="2"/>
            <w:tcBorders>
              <w:top w:val="single" w:sz="4" w:space="0" w:color="auto"/>
              <w:bottom w:val="single" w:sz="24" w:space="0" w:color="auto"/>
            </w:tcBorders>
          </w:tcPr>
          <w:p w14:paraId="5DEC0FC5" w14:textId="77777777" w:rsidR="00C24517" w:rsidRPr="007E7514" w:rsidRDefault="00C24517" w:rsidP="00C24517">
            <w:pPr>
              <w:widowControl/>
              <w:tabs>
                <w:tab w:val="left" w:pos="1247"/>
                <w:tab w:val="left" w:pos="1814"/>
                <w:tab w:val="left" w:pos="2381"/>
                <w:tab w:val="left" w:pos="2948"/>
                <w:tab w:val="left" w:pos="3515"/>
                <w:tab w:val="left" w:pos="4082"/>
              </w:tabs>
              <w:autoSpaceDE/>
              <w:autoSpaceDN/>
              <w:spacing w:before="120" w:after="240"/>
              <w:ind w:left="-85"/>
              <w:rPr>
                <w:rFonts w:eastAsia="SimSun"/>
                <w:sz w:val="20"/>
                <w:szCs w:val="20"/>
                <w:lang w:val="en-GB"/>
              </w:rPr>
            </w:pPr>
            <w:r w:rsidRPr="007E7514">
              <w:rPr>
                <w:rFonts w:eastAsia="SimSun"/>
                <w:noProof/>
                <w:sz w:val="20"/>
                <w:szCs w:val="20"/>
                <w:lang w:val="en-GB"/>
              </w:rPr>
              <w:drawing>
                <wp:inline distT="0" distB="0" distL="0" distR="0" wp14:anchorId="185259A1" wp14:editId="2A4540F1">
                  <wp:extent cx="2204961" cy="10296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695" w:type="dxa"/>
            <w:tcBorders>
              <w:top w:val="single" w:sz="4" w:space="0" w:color="auto"/>
              <w:bottom w:val="single" w:sz="24" w:space="0" w:color="auto"/>
            </w:tcBorders>
          </w:tcPr>
          <w:p w14:paraId="4425DFF8" w14:textId="77777777" w:rsidR="00C24517" w:rsidRPr="007E7514" w:rsidRDefault="00C24517" w:rsidP="00C24517">
            <w:pPr>
              <w:widowControl/>
              <w:tabs>
                <w:tab w:val="left" w:pos="1247"/>
                <w:tab w:val="left" w:pos="1814"/>
                <w:tab w:val="left" w:pos="2381"/>
                <w:tab w:val="left" w:pos="2948"/>
                <w:tab w:val="left" w:pos="3515"/>
                <w:tab w:val="left" w:pos="4082"/>
              </w:tabs>
              <w:autoSpaceDE/>
              <w:autoSpaceDN/>
              <w:rPr>
                <w:rFonts w:eastAsia="SimSun"/>
                <w:sz w:val="20"/>
                <w:szCs w:val="20"/>
                <w:lang w:val="en-GB"/>
              </w:rPr>
            </w:pPr>
          </w:p>
        </w:tc>
        <w:tc>
          <w:tcPr>
            <w:tcW w:w="3032" w:type="dxa"/>
            <w:gridSpan w:val="2"/>
            <w:tcBorders>
              <w:top w:val="single" w:sz="4" w:space="0" w:color="auto"/>
              <w:bottom w:val="single" w:sz="24" w:space="0" w:color="auto"/>
            </w:tcBorders>
          </w:tcPr>
          <w:p w14:paraId="07590111" w14:textId="77777777" w:rsidR="00C24517" w:rsidRPr="007E7514" w:rsidRDefault="00C24517" w:rsidP="00C24517">
            <w:pPr>
              <w:pStyle w:val="Normal-pool"/>
              <w:spacing w:before="120"/>
              <w:rPr>
                <w:iCs/>
              </w:rPr>
            </w:pPr>
            <w:r w:rsidRPr="007E7514">
              <w:t xml:space="preserve">Distr.: General </w:t>
            </w:r>
            <w:r w:rsidRPr="007E7514">
              <w:br/>
            </w:r>
            <w:r w:rsidRPr="007E7514">
              <w:rPr>
                <w:iCs/>
              </w:rPr>
              <w:t>16 August 2021</w:t>
            </w:r>
          </w:p>
          <w:p w14:paraId="3F3E66BE" w14:textId="467B4500" w:rsidR="00C24517" w:rsidRPr="007E7514" w:rsidRDefault="00C24517" w:rsidP="00C24517">
            <w:pPr>
              <w:pStyle w:val="Normal-pool"/>
              <w:spacing w:before="120"/>
              <w:rPr>
                <w:rFonts w:eastAsia="SimSun"/>
                <w:sz w:val="22"/>
              </w:rPr>
            </w:pPr>
            <w:r w:rsidRPr="007E7514">
              <w:t>English</w:t>
            </w:r>
            <w:r w:rsidR="00D07A33" w:rsidRPr="007E7514">
              <w:t xml:space="preserve"> only</w:t>
            </w:r>
          </w:p>
        </w:tc>
      </w:tr>
    </w:tbl>
    <w:p w14:paraId="4962C0DF" w14:textId="33BC3DB0" w:rsidR="00125EBF" w:rsidRPr="007E7514" w:rsidRDefault="00125EBF" w:rsidP="003032EA">
      <w:pPr>
        <w:pStyle w:val="AATitle"/>
        <w:keepNext w:val="0"/>
        <w:keepLines w:val="0"/>
        <w:rPr>
          <w:noProof/>
        </w:rPr>
      </w:pPr>
      <w:r w:rsidRPr="007E7514">
        <w:rPr>
          <w:noProof/>
        </w:rPr>
        <w:t xml:space="preserve">Conference of the Parties to the </w:t>
      </w:r>
      <w:r w:rsidRPr="007E7514">
        <w:rPr>
          <w:noProof/>
        </w:rPr>
        <w:br/>
        <w:t>Minamata Convention on Mercury</w:t>
      </w:r>
    </w:p>
    <w:p w14:paraId="6C8E0E70" w14:textId="77777777" w:rsidR="00125EBF" w:rsidRPr="007E7514" w:rsidRDefault="00125EBF" w:rsidP="003032EA">
      <w:pPr>
        <w:pStyle w:val="AATitle"/>
        <w:keepNext w:val="0"/>
        <w:keepLines w:val="0"/>
        <w:rPr>
          <w:noProof/>
        </w:rPr>
      </w:pPr>
      <w:r w:rsidRPr="007E7514">
        <w:rPr>
          <w:noProof/>
        </w:rPr>
        <w:t>Fourth meeting</w:t>
      </w:r>
    </w:p>
    <w:p w14:paraId="20CCE051" w14:textId="77777777" w:rsidR="00125EBF" w:rsidRPr="007E7514" w:rsidRDefault="00125EBF" w:rsidP="003032EA">
      <w:pPr>
        <w:pStyle w:val="AATitle"/>
        <w:rPr>
          <w:b w:val="0"/>
          <w:noProof/>
        </w:rPr>
      </w:pPr>
      <w:r w:rsidRPr="007E7514">
        <w:rPr>
          <w:b w:val="0"/>
          <w:noProof/>
        </w:rPr>
        <w:t>Online, 1–5 November 2021</w:t>
      </w:r>
      <w:r w:rsidRPr="007E7514">
        <w:rPr>
          <w:rStyle w:val="FootnoteReference"/>
          <w:b w:val="0"/>
          <w:noProof/>
          <w:vertAlign w:val="baseline"/>
        </w:rPr>
        <w:footnoteReference w:customMarkFollows="1" w:id="2"/>
        <w:t>*</w:t>
      </w:r>
    </w:p>
    <w:p w14:paraId="6EC64031" w14:textId="77777777" w:rsidR="00125EBF" w:rsidRPr="007E7514" w:rsidRDefault="00125EBF" w:rsidP="003032EA">
      <w:pPr>
        <w:pStyle w:val="AATitle"/>
        <w:rPr>
          <w:b w:val="0"/>
          <w:noProof/>
        </w:rPr>
      </w:pPr>
      <w:r w:rsidRPr="007E7514">
        <w:rPr>
          <w:b w:val="0"/>
          <w:noProof/>
        </w:rPr>
        <w:t>Item 4 (e) (i) of the provisional agenda</w:t>
      </w:r>
      <w:r w:rsidRPr="007E7514">
        <w:rPr>
          <w:rStyle w:val="FootnoteReference"/>
          <w:b w:val="0"/>
          <w:noProof/>
          <w:vertAlign w:val="baseline"/>
        </w:rPr>
        <w:footnoteReference w:customMarkFollows="1" w:id="3"/>
        <w:t>**</w:t>
      </w:r>
    </w:p>
    <w:p w14:paraId="46997D8E" w14:textId="3880AA85" w:rsidR="00125EBF" w:rsidRPr="007E7514" w:rsidRDefault="00125EBF" w:rsidP="00C24517">
      <w:pPr>
        <w:pStyle w:val="AATitle2"/>
      </w:pPr>
      <w:r w:rsidRPr="007E7514">
        <w:t xml:space="preserve">Matters for </w:t>
      </w:r>
      <w:r w:rsidR="00C24517" w:rsidRPr="007E7514">
        <w:t>consideration</w:t>
      </w:r>
      <w:r w:rsidRPr="007E7514">
        <w:t xml:space="preserve"> or action by the Conference of the Parties:</w:t>
      </w:r>
      <w:r w:rsidR="00C24517" w:rsidRPr="007E7514">
        <w:t xml:space="preserve"> financial </w:t>
      </w:r>
      <w:r w:rsidRPr="007E7514">
        <w:t>resources and mechanism:</w:t>
      </w:r>
      <w:r w:rsidR="00C24517" w:rsidRPr="007E7514">
        <w:t xml:space="preserve"> </w:t>
      </w:r>
      <w:r w:rsidR="003032EA" w:rsidRPr="007E7514">
        <w:t>G</w:t>
      </w:r>
      <w:r w:rsidR="00C24517" w:rsidRPr="007E7514">
        <w:t>l</w:t>
      </w:r>
      <w:bookmarkStart w:id="0" w:name="_GoBack"/>
      <w:bookmarkEnd w:id="0"/>
      <w:r w:rsidR="00C24517" w:rsidRPr="007E7514">
        <w:t xml:space="preserve">obal </w:t>
      </w:r>
      <w:r w:rsidRPr="007E7514">
        <w:t>Environment Facility</w:t>
      </w:r>
    </w:p>
    <w:p w14:paraId="09727DD7" w14:textId="4D18E3D6" w:rsidR="00125EBF" w:rsidRPr="007E7514" w:rsidRDefault="00125EBF" w:rsidP="00C24517">
      <w:pPr>
        <w:pStyle w:val="BBTitle"/>
      </w:pPr>
      <w:r w:rsidRPr="007E7514">
        <w:t xml:space="preserve">Report of the </w:t>
      </w:r>
      <w:r w:rsidR="007D261D" w:rsidRPr="007E7514">
        <w:t xml:space="preserve">Council of the </w:t>
      </w:r>
      <w:r w:rsidRPr="007E7514">
        <w:t>Global Environment Facility to the Conference of the Parties</w:t>
      </w:r>
      <w:r w:rsidR="007D261D" w:rsidRPr="007E7514">
        <w:t xml:space="preserve"> </w:t>
      </w:r>
      <w:r w:rsidR="002B2DAF" w:rsidRPr="007E7514">
        <w:t xml:space="preserve">to the Minamata Convention on Mercury </w:t>
      </w:r>
      <w:r w:rsidR="007D261D" w:rsidRPr="007E7514">
        <w:t xml:space="preserve">at its fourth meeting </w:t>
      </w:r>
    </w:p>
    <w:p w14:paraId="08525F00" w14:textId="4EE9722A" w:rsidR="00125EBF" w:rsidRPr="007E7514" w:rsidRDefault="00125EBF" w:rsidP="00C24517">
      <w:pPr>
        <w:pStyle w:val="CH2"/>
      </w:pPr>
      <w:r w:rsidRPr="007E7514">
        <w:tab/>
      </w:r>
      <w:r w:rsidRPr="007E7514">
        <w:tab/>
        <w:t xml:space="preserve">Note by the </w:t>
      </w:r>
      <w:r w:rsidR="002B2DAF" w:rsidRPr="007E7514">
        <w:t>s</w:t>
      </w:r>
      <w:r w:rsidRPr="007E7514">
        <w:t>ecretariat</w:t>
      </w:r>
    </w:p>
    <w:p w14:paraId="5B1337D3" w14:textId="6CCDA4E6" w:rsidR="00125EBF" w:rsidRPr="007E7514" w:rsidRDefault="00125EBF" w:rsidP="00C24517">
      <w:pPr>
        <w:pStyle w:val="Normal-pool"/>
        <w:tabs>
          <w:tab w:val="clear" w:pos="1247"/>
          <w:tab w:val="clear" w:pos="1814"/>
          <w:tab w:val="clear" w:pos="2381"/>
          <w:tab w:val="clear" w:pos="2948"/>
          <w:tab w:val="clear" w:pos="3515"/>
          <w:tab w:val="clear" w:pos="4082"/>
          <w:tab w:val="left" w:pos="624"/>
        </w:tabs>
        <w:spacing w:after="120"/>
        <w:ind w:left="1247"/>
      </w:pPr>
      <w:r w:rsidRPr="007E7514">
        <w:t xml:space="preserve">The report of the </w:t>
      </w:r>
      <w:r w:rsidR="007D261D" w:rsidRPr="007E7514">
        <w:t xml:space="preserve">Council of the </w:t>
      </w:r>
      <w:r w:rsidRPr="007E7514">
        <w:t xml:space="preserve">Global Environment Facility to the Conference of the Parties to the Minamata Convention on Mercury </w:t>
      </w:r>
      <w:r w:rsidR="007D261D" w:rsidRPr="007E7514">
        <w:t xml:space="preserve">at its fourth meeting </w:t>
      </w:r>
      <w:r w:rsidRPr="007E7514">
        <w:t>is set out in the annex to the present note. The report is reproduced as received, without formal editing.</w:t>
      </w:r>
    </w:p>
    <w:p w14:paraId="0B5175AB" w14:textId="77777777" w:rsidR="00125EBF" w:rsidRPr="007E7514" w:rsidRDefault="00125EBF" w:rsidP="003032EA">
      <w:pPr>
        <w:pStyle w:val="ZZAnxheader"/>
        <w:rPr>
          <w:noProof/>
        </w:rPr>
      </w:pPr>
      <w:r w:rsidRPr="007E7514">
        <w:rPr>
          <w:noProof/>
        </w:rPr>
        <w:br w:type="page"/>
      </w:r>
      <w:r w:rsidRPr="007E7514">
        <w:rPr>
          <w:noProof/>
        </w:rPr>
        <w:lastRenderedPageBreak/>
        <w:t>Annex</w:t>
      </w:r>
    </w:p>
    <w:p w14:paraId="4F1BD6B2" w14:textId="77777777" w:rsidR="00125EBF" w:rsidRPr="007E7514" w:rsidRDefault="00125EBF" w:rsidP="003032EA">
      <w:pPr>
        <w:jc w:val="center"/>
        <w:rPr>
          <w:rFonts w:ascii="Calibri" w:hAnsi="Calibri"/>
          <w:lang w:val="en-GB"/>
        </w:rPr>
      </w:pPr>
    </w:p>
    <w:p w14:paraId="139CEA56" w14:textId="79D9CFEA" w:rsidR="0000292F" w:rsidRPr="007E7514" w:rsidRDefault="0052328C" w:rsidP="004E221B">
      <w:pPr>
        <w:pStyle w:val="BodyText"/>
        <w:jc w:val="center"/>
        <w:rPr>
          <w:rFonts w:asciiTheme="minorHAnsi" w:hAnsiTheme="minorHAnsi"/>
          <w:sz w:val="20"/>
          <w:lang w:val="en-GB"/>
        </w:rPr>
      </w:pPr>
      <w:r w:rsidRPr="007E7514">
        <w:rPr>
          <w:noProof/>
          <w:lang w:val="en-GB"/>
        </w:rPr>
        <w:drawing>
          <wp:inline distT="0" distB="0" distL="0" distR="0" wp14:anchorId="5FCB126C" wp14:editId="1E8615A2">
            <wp:extent cx="4362450" cy="96363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62450" cy="963632"/>
                    </a:xfrm>
                    <a:prstGeom prst="rect">
                      <a:avLst/>
                    </a:prstGeom>
                  </pic:spPr>
                </pic:pic>
              </a:graphicData>
            </a:graphic>
          </wp:inline>
        </w:drawing>
      </w:r>
    </w:p>
    <w:p w14:paraId="05D69427" w14:textId="77777777" w:rsidR="0000292F" w:rsidRPr="007E7514" w:rsidRDefault="0000292F" w:rsidP="004E221B">
      <w:pPr>
        <w:pStyle w:val="BodyText"/>
        <w:rPr>
          <w:rFonts w:asciiTheme="minorHAnsi" w:hAnsiTheme="minorHAnsi"/>
          <w:sz w:val="20"/>
          <w:lang w:val="en-GB"/>
        </w:rPr>
      </w:pPr>
    </w:p>
    <w:p w14:paraId="13FE4468" w14:textId="77777777" w:rsidR="0000292F" w:rsidRPr="007E7514" w:rsidRDefault="0000292F" w:rsidP="004E221B">
      <w:pPr>
        <w:pStyle w:val="BodyText"/>
        <w:rPr>
          <w:rFonts w:asciiTheme="minorHAnsi" w:hAnsiTheme="minorHAnsi"/>
          <w:sz w:val="20"/>
          <w:lang w:val="en-GB"/>
        </w:rPr>
      </w:pPr>
    </w:p>
    <w:p w14:paraId="1C931204" w14:textId="77777777" w:rsidR="0000292F" w:rsidRPr="007E7514" w:rsidRDefault="0000292F" w:rsidP="004E221B">
      <w:pPr>
        <w:pStyle w:val="BodyText"/>
        <w:rPr>
          <w:rFonts w:asciiTheme="minorHAnsi" w:hAnsiTheme="minorHAnsi"/>
          <w:sz w:val="20"/>
          <w:lang w:val="en-GB"/>
        </w:rPr>
      </w:pPr>
    </w:p>
    <w:p w14:paraId="5126DAD3" w14:textId="77777777" w:rsidR="0000292F" w:rsidRPr="007E7514" w:rsidRDefault="00050753" w:rsidP="004E221B">
      <w:pPr>
        <w:pStyle w:val="BodyText"/>
        <w:spacing w:before="2"/>
        <w:rPr>
          <w:rFonts w:asciiTheme="minorHAnsi" w:hAnsiTheme="minorHAnsi"/>
          <w:sz w:val="11"/>
          <w:lang w:val="en-GB"/>
        </w:rPr>
      </w:pPr>
      <w:r w:rsidRPr="007E7514">
        <w:rPr>
          <w:rFonts w:asciiTheme="minorHAnsi" w:hAnsiTheme="minorHAnsi"/>
          <w:noProof/>
          <w:lang w:val="en-GB"/>
        </w:rPr>
        <mc:AlternateContent>
          <mc:Choice Requires="wps">
            <w:drawing>
              <wp:anchor distT="0" distB="0" distL="0" distR="0" simplePos="0" relativeHeight="251658240" behindDoc="0" locked="0" layoutInCell="1" allowOverlap="1" wp14:anchorId="598F7951" wp14:editId="702DFC3A">
                <wp:simplePos x="0" y="0"/>
                <wp:positionH relativeFrom="page">
                  <wp:posOffset>838200</wp:posOffset>
                </wp:positionH>
                <wp:positionV relativeFrom="paragraph">
                  <wp:posOffset>120650</wp:posOffset>
                </wp:positionV>
                <wp:extent cx="6090920" cy="0"/>
                <wp:effectExtent l="19050" t="16510" r="14605" b="21590"/>
                <wp:wrapTopAndBottom/>
                <wp:docPr id="4"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27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81D3909" id="Line 26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pt,9.5pt" to="54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RfFAIAACsEAAAOAAAAZHJzL2Uyb0RvYy54bWysU02P2yAQvVfqf0DcE3+s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WIULjBTp&#10;QaJnoTjKZ/PQm8G4EkJqtbWhOnpSL+ZZ0+8OKV13RO155Ph6NpCYhYzkTUrYOAM37IbPmkEMOXgd&#10;G3VqbR8goQXoFPU43/TgJ48oHM7Sx/QxB9no6EtIOSYa6/wnrnsUjApLYB2ByfHZ+UCElGNIuEfp&#10;jZAyyi0VGiqcz+cP85jhtBQseEOcs/tdLS06kjAx8Ytlgec+zOqDYhGt44Str7YnQl5suF2qgAe1&#10;AJ+rdRmJH1DVerFeFJMin60nRdo0k4+bupjMNtn8Q/PQ1HWT/QzUsqLsBGNcBXbjeGbF38l/fSiX&#10;wboN6K0PyVv02DAgO/4j6Shm0O8yCTvNzls7igwTGYOvryeM/P0e7Ps3vvoFAAD//wMAUEsDBBQA&#10;BgAIAAAAIQAODm+K3QAAAAoBAAAPAAAAZHJzL2Rvd25yZXYueG1sTE9NS8NAEL0L/odlBC9iN01B&#10;0jSbIkJA8KC22vM2O82GZmdDdtPGf+8UD/U082Ye76NYT64TJxxC60nBfJaAQKq9aalR8LWtHjMQ&#10;IWoyuvOECn4wwLq8vSl0bvyZPvG0iY1gEQq5VmBj7HMpQ23R6TDzPRL/Dn5wOjIcGmkGfWZx18k0&#10;SZ6k0y2xg9U9vlisj5vRKXg9PmRbl+2if/O2+h6rw+IjeVfq/m56XoGIOMUrGS7xOTqUnGnvRzJB&#10;dIwXKXeJvCx5XgjJcp6C2P9dZFnI/xXKXwAAAP//AwBQSwECLQAUAAYACAAAACEAtoM4kv4AAADh&#10;AQAAEwAAAAAAAAAAAAAAAAAAAAAAW0NvbnRlbnRfVHlwZXNdLnhtbFBLAQItABQABgAIAAAAIQA4&#10;/SH/1gAAAJQBAAALAAAAAAAAAAAAAAAAAC8BAABfcmVscy8ucmVsc1BLAQItABQABgAIAAAAIQDQ&#10;NuRfFAIAACsEAAAOAAAAAAAAAAAAAAAAAC4CAABkcnMvZTJvRG9jLnhtbFBLAQItABQABgAIAAAA&#10;IQAODm+K3QAAAAoBAAAPAAAAAAAAAAAAAAAAAG4EAABkcnMvZG93bnJldi54bWxQSwUGAAAAAAQA&#10;BADzAAAAeAUAAAAA&#10;" strokeweight=".77047mm">
                <w10:wrap type="topAndBottom" anchorx="page"/>
              </v:line>
            </w:pict>
          </mc:Fallback>
        </mc:AlternateContent>
      </w:r>
    </w:p>
    <w:p w14:paraId="5AA5B368" w14:textId="77777777" w:rsidR="0000292F" w:rsidRPr="007E7514" w:rsidRDefault="0000292F" w:rsidP="004E221B">
      <w:pPr>
        <w:pStyle w:val="BodyText"/>
        <w:rPr>
          <w:rFonts w:asciiTheme="minorHAnsi" w:hAnsiTheme="minorHAnsi"/>
          <w:sz w:val="20"/>
          <w:lang w:val="en-GB"/>
        </w:rPr>
      </w:pPr>
    </w:p>
    <w:p w14:paraId="21E0860F" w14:textId="77777777" w:rsidR="0000292F" w:rsidRPr="007E7514" w:rsidRDefault="0000292F" w:rsidP="004E221B">
      <w:pPr>
        <w:pStyle w:val="BodyText"/>
        <w:rPr>
          <w:rFonts w:asciiTheme="minorHAnsi" w:hAnsiTheme="minorHAnsi"/>
          <w:sz w:val="20"/>
          <w:lang w:val="en-GB"/>
        </w:rPr>
      </w:pPr>
    </w:p>
    <w:p w14:paraId="3D83A8CB" w14:textId="77777777" w:rsidR="0000292F" w:rsidRPr="007E7514" w:rsidRDefault="0000292F" w:rsidP="004E221B">
      <w:pPr>
        <w:pStyle w:val="BodyText"/>
        <w:rPr>
          <w:rFonts w:asciiTheme="minorHAnsi" w:hAnsiTheme="minorHAnsi"/>
          <w:sz w:val="20"/>
          <w:lang w:val="en-GB"/>
        </w:rPr>
      </w:pPr>
    </w:p>
    <w:p w14:paraId="7EEF4830" w14:textId="77777777" w:rsidR="0000292F" w:rsidRPr="007E7514" w:rsidRDefault="0000292F" w:rsidP="004E221B">
      <w:pPr>
        <w:pStyle w:val="BodyText"/>
        <w:rPr>
          <w:rFonts w:asciiTheme="minorHAnsi" w:hAnsiTheme="minorHAnsi"/>
          <w:sz w:val="20"/>
          <w:lang w:val="en-GB"/>
        </w:rPr>
      </w:pPr>
    </w:p>
    <w:p w14:paraId="3CB14E7A" w14:textId="77777777" w:rsidR="0000292F" w:rsidRPr="007E7514" w:rsidRDefault="0000292F" w:rsidP="004E221B">
      <w:pPr>
        <w:pStyle w:val="BodyText"/>
        <w:rPr>
          <w:rFonts w:asciiTheme="minorHAnsi" w:hAnsiTheme="minorHAnsi"/>
          <w:sz w:val="20"/>
          <w:lang w:val="en-GB"/>
        </w:rPr>
      </w:pPr>
    </w:p>
    <w:p w14:paraId="791C6DAB" w14:textId="77777777" w:rsidR="0000292F" w:rsidRPr="007E7514" w:rsidRDefault="0000292F" w:rsidP="004E221B">
      <w:pPr>
        <w:pStyle w:val="BodyText"/>
        <w:rPr>
          <w:rFonts w:asciiTheme="minorHAnsi" w:hAnsiTheme="minorHAnsi"/>
          <w:sz w:val="20"/>
          <w:lang w:val="en-GB"/>
        </w:rPr>
      </w:pPr>
    </w:p>
    <w:p w14:paraId="52A820AC" w14:textId="77777777" w:rsidR="0000292F" w:rsidRPr="007E7514" w:rsidRDefault="0000292F" w:rsidP="004E221B">
      <w:pPr>
        <w:pStyle w:val="BodyText"/>
        <w:rPr>
          <w:rFonts w:asciiTheme="minorHAnsi" w:hAnsiTheme="minorHAnsi"/>
          <w:sz w:val="20"/>
          <w:lang w:val="en-GB"/>
        </w:rPr>
      </w:pPr>
    </w:p>
    <w:p w14:paraId="16FA4186" w14:textId="77777777" w:rsidR="0000292F" w:rsidRPr="007E7514" w:rsidRDefault="0000292F" w:rsidP="004E221B">
      <w:pPr>
        <w:pStyle w:val="BodyText"/>
        <w:rPr>
          <w:rFonts w:asciiTheme="minorHAnsi" w:hAnsiTheme="minorHAnsi" w:cstheme="minorHAnsi"/>
          <w:sz w:val="20"/>
          <w:lang w:val="en-GB"/>
        </w:rPr>
      </w:pPr>
    </w:p>
    <w:p w14:paraId="19B07FC2" w14:textId="77777777" w:rsidR="0000292F" w:rsidRPr="007E7514" w:rsidRDefault="0000292F" w:rsidP="004E221B">
      <w:pPr>
        <w:pStyle w:val="BodyText"/>
        <w:rPr>
          <w:rFonts w:asciiTheme="minorHAnsi" w:hAnsiTheme="minorHAnsi" w:cstheme="minorHAnsi"/>
          <w:sz w:val="20"/>
          <w:lang w:val="en-GB"/>
        </w:rPr>
      </w:pPr>
    </w:p>
    <w:p w14:paraId="2321F34B" w14:textId="77777777" w:rsidR="0000292F" w:rsidRPr="007E7514" w:rsidRDefault="0000292F" w:rsidP="004E221B">
      <w:pPr>
        <w:pStyle w:val="BodyText"/>
        <w:rPr>
          <w:rFonts w:asciiTheme="minorHAnsi" w:hAnsiTheme="minorHAnsi" w:cstheme="minorHAnsi"/>
          <w:sz w:val="20"/>
          <w:lang w:val="en-GB"/>
        </w:rPr>
      </w:pPr>
    </w:p>
    <w:p w14:paraId="687F5877" w14:textId="77777777" w:rsidR="0000292F" w:rsidRPr="007E7514" w:rsidRDefault="0000292F" w:rsidP="004E221B">
      <w:pPr>
        <w:pStyle w:val="BodyText"/>
        <w:rPr>
          <w:rFonts w:asciiTheme="minorHAnsi" w:hAnsiTheme="minorHAnsi" w:cstheme="minorHAnsi"/>
          <w:sz w:val="20"/>
          <w:lang w:val="en-GB"/>
        </w:rPr>
      </w:pPr>
    </w:p>
    <w:p w14:paraId="7871AD5C" w14:textId="77777777" w:rsidR="0000292F" w:rsidRPr="007E7514" w:rsidRDefault="0000292F" w:rsidP="004E221B">
      <w:pPr>
        <w:pStyle w:val="BodyText"/>
        <w:rPr>
          <w:rFonts w:asciiTheme="minorHAnsi" w:hAnsiTheme="minorHAnsi" w:cstheme="minorHAnsi"/>
          <w:sz w:val="20"/>
          <w:lang w:val="en-GB"/>
        </w:rPr>
      </w:pPr>
    </w:p>
    <w:p w14:paraId="3C14A459" w14:textId="77777777" w:rsidR="0000292F" w:rsidRPr="007E7514" w:rsidRDefault="0000292F" w:rsidP="004E221B">
      <w:pPr>
        <w:pStyle w:val="BodyText"/>
        <w:rPr>
          <w:rFonts w:asciiTheme="minorHAnsi" w:hAnsiTheme="minorHAnsi" w:cstheme="minorHAnsi"/>
          <w:sz w:val="20"/>
          <w:lang w:val="en-GB"/>
        </w:rPr>
      </w:pPr>
    </w:p>
    <w:p w14:paraId="7EF1C2F8" w14:textId="77777777" w:rsidR="0000292F" w:rsidRPr="007E7514" w:rsidRDefault="0000292F" w:rsidP="004E221B">
      <w:pPr>
        <w:pStyle w:val="BodyText"/>
        <w:rPr>
          <w:rFonts w:asciiTheme="minorHAnsi" w:hAnsiTheme="minorHAnsi" w:cstheme="minorHAnsi"/>
          <w:sz w:val="20"/>
          <w:lang w:val="en-GB"/>
        </w:rPr>
      </w:pPr>
    </w:p>
    <w:p w14:paraId="1BD19FBA" w14:textId="77777777" w:rsidR="0000292F" w:rsidRPr="007E7514" w:rsidRDefault="0000292F" w:rsidP="004E221B">
      <w:pPr>
        <w:pStyle w:val="BodyText"/>
        <w:rPr>
          <w:rFonts w:asciiTheme="minorHAnsi" w:hAnsiTheme="minorHAnsi" w:cstheme="minorHAnsi"/>
          <w:sz w:val="20"/>
          <w:lang w:val="en-GB"/>
        </w:rPr>
      </w:pPr>
    </w:p>
    <w:p w14:paraId="53E97152" w14:textId="77777777" w:rsidR="0000292F" w:rsidRPr="007E7514" w:rsidRDefault="001E19D2" w:rsidP="004E221B">
      <w:pPr>
        <w:spacing w:before="250"/>
        <w:ind w:left="1365" w:right="1351"/>
        <w:jc w:val="center"/>
        <w:rPr>
          <w:rFonts w:asciiTheme="minorHAnsi" w:hAnsiTheme="minorHAnsi" w:cstheme="minorHAnsi"/>
          <w:b/>
          <w:sz w:val="32"/>
          <w:lang w:val="en-GB"/>
        </w:rPr>
      </w:pPr>
      <w:r w:rsidRPr="007E7514">
        <w:rPr>
          <w:rFonts w:asciiTheme="minorHAnsi" w:hAnsiTheme="minorHAnsi" w:cstheme="minorHAnsi"/>
          <w:b/>
          <w:sz w:val="32"/>
          <w:lang w:val="en-GB"/>
        </w:rPr>
        <w:t>Report of the Global Environment Facility</w:t>
      </w:r>
    </w:p>
    <w:p w14:paraId="3DAD2CF5" w14:textId="625AFB87" w:rsidR="0000292F" w:rsidRPr="007E7514" w:rsidRDefault="00295FE2" w:rsidP="004E221B">
      <w:pPr>
        <w:spacing w:before="1"/>
        <w:ind w:left="1369" w:right="1351"/>
        <w:jc w:val="center"/>
        <w:rPr>
          <w:rFonts w:asciiTheme="minorHAnsi" w:hAnsiTheme="minorHAnsi" w:cstheme="minorHAnsi"/>
          <w:b/>
          <w:sz w:val="32"/>
          <w:lang w:val="en-GB"/>
        </w:rPr>
      </w:pPr>
      <w:r w:rsidRPr="007E7514">
        <w:rPr>
          <w:rFonts w:asciiTheme="minorHAnsi" w:hAnsiTheme="minorHAnsi" w:cstheme="minorHAnsi"/>
          <w:b/>
          <w:sz w:val="32"/>
          <w:lang w:val="en-GB"/>
        </w:rPr>
        <w:t xml:space="preserve">to the </w:t>
      </w:r>
      <w:r w:rsidR="00B23C06" w:rsidRPr="007E7514">
        <w:rPr>
          <w:rFonts w:asciiTheme="minorHAnsi" w:hAnsiTheme="minorHAnsi" w:cstheme="minorHAnsi"/>
          <w:b/>
          <w:sz w:val="32"/>
          <w:lang w:val="en-GB"/>
        </w:rPr>
        <w:t>Fourth</w:t>
      </w:r>
      <w:r w:rsidR="001E19D2" w:rsidRPr="007E7514">
        <w:rPr>
          <w:rFonts w:asciiTheme="minorHAnsi" w:hAnsiTheme="minorHAnsi" w:cstheme="minorHAnsi"/>
          <w:b/>
          <w:sz w:val="32"/>
          <w:lang w:val="en-GB"/>
        </w:rPr>
        <w:t xml:space="preserve"> Meeting of the Conference of the Parties to the Minamata Convention on Mercury</w:t>
      </w:r>
    </w:p>
    <w:p w14:paraId="37A2887F" w14:textId="77777777" w:rsidR="00926141" w:rsidRPr="007E7514" w:rsidRDefault="00926141" w:rsidP="004E221B">
      <w:pPr>
        <w:pStyle w:val="BodyText"/>
        <w:ind w:left="1368" w:right="1351"/>
        <w:jc w:val="center"/>
        <w:rPr>
          <w:rFonts w:asciiTheme="minorHAnsi" w:hAnsiTheme="minorHAnsi" w:cstheme="minorHAnsi"/>
          <w:lang w:val="en-GB"/>
        </w:rPr>
      </w:pPr>
    </w:p>
    <w:p w14:paraId="715B53A4" w14:textId="77777777" w:rsidR="00926141" w:rsidRPr="007E7514" w:rsidRDefault="00926141" w:rsidP="004E221B">
      <w:pPr>
        <w:pStyle w:val="BodyText"/>
        <w:ind w:left="1368" w:right="1351"/>
        <w:jc w:val="center"/>
        <w:rPr>
          <w:rFonts w:asciiTheme="minorHAnsi" w:hAnsiTheme="minorHAnsi" w:cstheme="minorHAnsi"/>
          <w:lang w:val="en-GB"/>
        </w:rPr>
      </w:pPr>
    </w:p>
    <w:p w14:paraId="57A49CCF" w14:textId="77777777" w:rsidR="00926141" w:rsidRPr="007E7514" w:rsidRDefault="00926141" w:rsidP="004E221B">
      <w:pPr>
        <w:pStyle w:val="BodyText"/>
        <w:ind w:left="1368" w:right="1351"/>
        <w:jc w:val="center"/>
        <w:rPr>
          <w:rFonts w:asciiTheme="minorHAnsi" w:hAnsiTheme="minorHAnsi" w:cstheme="minorHAnsi"/>
          <w:lang w:val="en-GB"/>
        </w:rPr>
      </w:pPr>
    </w:p>
    <w:p w14:paraId="61209022" w14:textId="77777777" w:rsidR="00926141" w:rsidRPr="007E7514" w:rsidRDefault="00926141" w:rsidP="004E221B">
      <w:pPr>
        <w:pStyle w:val="BodyText"/>
        <w:ind w:left="1368" w:right="1351"/>
        <w:jc w:val="center"/>
        <w:rPr>
          <w:rFonts w:asciiTheme="minorHAnsi" w:hAnsiTheme="minorHAnsi" w:cstheme="minorHAnsi"/>
          <w:lang w:val="en-GB"/>
        </w:rPr>
      </w:pPr>
    </w:p>
    <w:p w14:paraId="39464783" w14:textId="77777777" w:rsidR="00926141" w:rsidRPr="007E7514" w:rsidRDefault="00926141" w:rsidP="004E221B">
      <w:pPr>
        <w:pStyle w:val="BodyText"/>
        <w:ind w:left="1368" w:right="1351"/>
        <w:jc w:val="center"/>
        <w:rPr>
          <w:rFonts w:asciiTheme="minorHAnsi" w:hAnsiTheme="minorHAnsi" w:cstheme="minorHAnsi"/>
          <w:lang w:val="en-GB"/>
        </w:rPr>
      </w:pPr>
    </w:p>
    <w:p w14:paraId="58323A4A" w14:textId="77777777" w:rsidR="00926141" w:rsidRPr="007E7514" w:rsidRDefault="00926141" w:rsidP="004E221B">
      <w:pPr>
        <w:pStyle w:val="BodyText"/>
        <w:ind w:left="1368" w:right="1351"/>
        <w:jc w:val="center"/>
        <w:rPr>
          <w:rFonts w:asciiTheme="minorHAnsi" w:hAnsiTheme="minorHAnsi" w:cstheme="minorHAnsi"/>
          <w:lang w:val="en-GB"/>
        </w:rPr>
      </w:pPr>
    </w:p>
    <w:p w14:paraId="19F31096" w14:textId="77777777" w:rsidR="00926141" w:rsidRPr="007E7514" w:rsidRDefault="00926141" w:rsidP="004E221B">
      <w:pPr>
        <w:pStyle w:val="BodyText"/>
        <w:ind w:left="1368" w:right="1351"/>
        <w:jc w:val="center"/>
        <w:rPr>
          <w:rFonts w:asciiTheme="minorHAnsi" w:hAnsiTheme="minorHAnsi" w:cstheme="minorHAnsi"/>
          <w:lang w:val="en-GB"/>
        </w:rPr>
      </w:pPr>
    </w:p>
    <w:p w14:paraId="1CD00CF5" w14:textId="77777777" w:rsidR="00926141" w:rsidRPr="007E7514" w:rsidRDefault="00926141" w:rsidP="004E221B">
      <w:pPr>
        <w:pStyle w:val="BodyText"/>
        <w:ind w:left="1368" w:right="1351"/>
        <w:jc w:val="center"/>
        <w:rPr>
          <w:rFonts w:asciiTheme="minorHAnsi" w:hAnsiTheme="minorHAnsi" w:cstheme="minorHAnsi"/>
          <w:lang w:val="en-GB"/>
        </w:rPr>
      </w:pPr>
    </w:p>
    <w:p w14:paraId="748DCAE6" w14:textId="77777777" w:rsidR="00926141" w:rsidRPr="007E7514" w:rsidRDefault="00926141" w:rsidP="004E221B">
      <w:pPr>
        <w:pStyle w:val="BodyText"/>
        <w:ind w:left="1368" w:right="1351"/>
        <w:jc w:val="center"/>
        <w:rPr>
          <w:rFonts w:asciiTheme="minorHAnsi" w:hAnsiTheme="minorHAnsi" w:cstheme="minorHAnsi"/>
          <w:lang w:val="en-GB"/>
        </w:rPr>
      </w:pPr>
    </w:p>
    <w:p w14:paraId="7EADC6B9" w14:textId="77777777" w:rsidR="00926141" w:rsidRPr="007E7514" w:rsidRDefault="00926141" w:rsidP="004E221B">
      <w:pPr>
        <w:pStyle w:val="BodyText"/>
        <w:ind w:left="1368" w:right="1351"/>
        <w:jc w:val="center"/>
        <w:rPr>
          <w:rFonts w:asciiTheme="minorHAnsi" w:hAnsiTheme="minorHAnsi" w:cstheme="minorHAnsi"/>
          <w:lang w:val="en-GB"/>
        </w:rPr>
      </w:pPr>
    </w:p>
    <w:p w14:paraId="6BAD9A12" w14:textId="77777777" w:rsidR="00926141" w:rsidRPr="007E7514" w:rsidRDefault="00926141" w:rsidP="004E221B">
      <w:pPr>
        <w:pStyle w:val="BodyText"/>
        <w:ind w:left="1368" w:right="1351"/>
        <w:jc w:val="center"/>
        <w:rPr>
          <w:rFonts w:asciiTheme="minorHAnsi" w:hAnsiTheme="minorHAnsi" w:cstheme="minorHAnsi"/>
          <w:lang w:val="en-GB"/>
        </w:rPr>
      </w:pPr>
    </w:p>
    <w:p w14:paraId="7DFC8FE8" w14:textId="1A339B35" w:rsidR="00926141" w:rsidRPr="007E7514" w:rsidRDefault="0028755E" w:rsidP="004E221B">
      <w:pPr>
        <w:pStyle w:val="BodyText"/>
        <w:ind w:left="1368" w:right="1351"/>
        <w:jc w:val="center"/>
        <w:rPr>
          <w:rFonts w:asciiTheme="minorHAnsi" w:hAnsiTheme="minorHAnsi" w:cstheme="minorHAnsi"/>
          <w:lang w:val="en-GB"/>
        </w:rPr>
      </w:pPr>
      <w:r w:rsidRPr="007E7514">
        <w:rPr>
          <w:rFonts w:asciiTheme="minorHAnsi" w:hAnsiTheme="minorHAnsi" w:cstheme="minorHAnsi"/>
          <w:lang w:val="en-GB"/>
        </w:rPr>
        <w:t xml:space="preserve">August </w:t>
      </w:r>
      <w:r w:rsidR="00CE7E25" w:rsidRPr="007E7514">
        <w:rPr>
          <w:rFonts w:asciiTheme="minorHAnsi" w:hAnsiTheme="minorHAnsi" w:cstheme="minorHAnsi"/>
          <w:lang w:val="en-GB"/>
        </w:rPr>
        <w:t>1</w:t>
      </w:r>
      <w:r w:rsidR="005C0852" w:rsidRPr="007E7514">
        <w:rPr>
          <w:rFonts w:asciiTheme="minorHAnsi" w:hAnsiTheme="minorHAnsi" w:cstheme="minorHAnsi"/>
          <w:lang w:val="en-GB"/>
        </w:rPr>
        <w:t>3</w:t>
      </w:r>
      <w:r w:rsidR="00926141" w:rsidRPr="007E7514">
        <w:rPr>
          <w:rFonts w:asciiTheme="minorHAnsi" w:hAnsiTheme="minorHAnsi" w:cstheme="minorHAnsi"/>
          <w:lang w:val="en-GB"/>
        </w:rPr>
        <w:t>, 20</w:t>
      </w:r>
      <w:r w:rsidR="00B23C06" w:rsidRPr="007E7514">
        <w:rPr>
          <w:rFonts w:asciiTheme="minorHAnsi" w:hAnsiTheme="minorHAnsi" w:cstheme="minorHAnsi"/>
          <w:lang w:val="en-GB"/>
        </w:rPr>
        <w:t>21</w:t>
      </w:r>
    </w:p>
    <w:p w14:paraId="5D29C2B9" w14:textId="77777777" w:rsidR="00926141" w:rsidRPr="007E7514" w:rsidRDefault="00926141" w:rsidP="004E221B">
      <w:pPr>
        <w:rPr>
          <w:rFonts w:asciiTheme="minorHAnsi" w:hAnsiTheme="minorHAnsi" w:cstheme="minorHAnsi"/>
          <w:lang w:val="en-GB"/>
        </w:rPr>
      </w:pPr>
      <w:r w:rsidRPr="007E7514">
        <w:rPr>
          <w:rFonts w:asciiTheme="minorHAnsi" w:hAnsiTheme="minorHAnsi" w:cstheme="minorHAnsi"/>
          <w:lang w:val="en-GB"/>
        </w:rPr>
        <w:br w:type="page"/>
      </w:r>
    </w:p>
    <w:p w14:paraId="26200E66" w14:textId="77777777" w:rsidR="0000292F" w:rsidRPr="007E7514" w:rsidRDefault="0000292F" w:rsidP="004E221B">
      <w:pPr>
        <w:pStyle w:val="BodyText"/>
        <w:ind w:left="1368" w:right="1351"/>
        <w:jc w:val="center"/>
        <w:rPr>
          <w:rFonts w:asciiTheme="minorHAnsi" w:hAnsiTheme="minorHAnsi" w:cstheme="minorHAnsi"/>
          <w:lang w:val="en-GB"/>
        </w:rPr>
      </w:pPr>
    </w:p>
    <w:p w14:paraId="36D514B4" w14:textId="77777777" w:rsidR="0000292F" w:rsidRPr="007E7514" w:rsidRDefault="0000292F" w:rsidP="004E221B">
      <w:pPr>
        <w:jc w:val="center"/>
        <w:rPr>
          <w:rFonts w:asciiTheme="minorHAnsi" w:hAnsiTheme="minorHAnsi" w:cstheme="minorHAnsi"/>
          <w:lang w:val="en-GB"/>
        </w:rPr>
        <w:sectPr w:rsidR="0000292F" w:rsidRPr="007E7514" w:rsidSect="00BD7490">
          <w:headerReference w:type="default" r:id="rId14"/>
          <w:footerReference w:type="even" r:id="rId15"/>
          <w:footerReference w:type="default" r:id="rId16"/>
          <w:footerReference w:type="first" r:id="rId17"/>
          <w:type w:val="continuous"/>
          <w:pgSz w:w="12240" w:h="15840"/>
          <w:pgMar w:top="1440" w:right="1440" w:bottom="1440" w:left="1440" w:header="720" w:footer="720" w:gutter="0"/>
          <w:pgNumType w:fmt="lowerRoman" w:start="1"/>
          <w:cols w:space="720"/>
          <w:titlePg/>
          <w:docGrid w:linePitch="326"/>
        </w:sectPr>
      </w:pPr>
    </w:p>
    <w:sdt>
      <w:sdtPr>
        <w:rPr>
          <w:rFonts w:ascii="Times New Roman" w:hAnsi="Times New Roman" w:cs="Times New Roman"/>
          <w:b w:val="0"/>
          <w:bCs w:val="0"/>
          <w:i w:val="0"/>
          <w:iCs w:val="0"/>
          <w:sz w:val="22"/>
          <w:szCs w:val="22"/>
          <w:lang w:val="en-GB"/>
        </w:rPr>
        <w:id w:val="483508802"/>
        <w:docPartObj>
          <w:docPartGallery w:val="Table of Contents"/>
          <w:docPartUnique/>
        </w:docPartObj>
      </w:sdtPr>
      <w:sdtEndPr>
        <w:rPr>
          <w:rFonts w:asciiTheme="minorHAnsi" w:hAnsiTheme="minorHAnsi" w:cstheme="minorHAnsi"/>
          <w:bCs/>
          <w:noProof/>
          <w:sz w:val="24"/>
          <w:szCs w:val="24"/>
        </w:rPr>
      </w:sdtEndPr>
      <w:sdtContent>
        <w:p w14:paraId="27881954" w14:textId="77777777" w:rsidR="002C1877" w:rsidRPr="007E7514" w:rsidRDefault="006B200E" w:rsidP="004E221B">
          <w:pPr>
            <w:pStyle w:val="TOC1"/>
            <w:tabs>
              <w:tab w:val="right" w:leader="dot" w:pos="9550"/>
            </w:tabs>
            <w:rPr>
              <w:i w:val="0"/>
              <w:lang w:val="en-GB"/>
            </w:rPr>
          </w:pPr>
          <w:r w:rsidRPr="007E7514">
            <w:rPr>
              <w:rStyle w:val="Heading1Char"/>
              <w:b/>
              <w:i w:val="0"/>
              <w:sz w:val="24"/>
              <w:szCs w:val="24"/>
              <w:lang w:val="en-GB"/>
            </w:rPr>
            <w:t>Table of C</w:t>
          </w:r>
          <w:r w:rsidR="00A7402A" w:rsidRPr="007E7514">
            <w:rPr>
              <w:rStyle w:val="Heading1Char"/>
              <w:b/>
              <w:i w:val="0"/>
              <w:sz w:val="24"/>
              <w:szCs w:val="24"/>
              <w:lang w:val="en-GB"/>
            </w:rPr>
            <w:t>ontents</w:t>
          </w:r>
          <w:r w:rsidR="00233A2C" w:rsidRPr="007E7514">
            <w:rPr>
              <w:i w:val="0"/>
              <w:lang w:val="en-GB"/>
            </w:rPr>
            <w:t xml:space="preserve"> </w:t>
          </w:r>
        </w:p>
        <w:p w14:paraId="6AB44F5F" w14:textId="0143DE39" w:rsidR="00FE38FE" w:rsidRPr="007E7514" w:rsidRDefault="00A7402A">
          <w:pPr>
            <w:pStyle w:val="TOC1"/>
            <w:tabs>
              <w:tab w:val="right" w:leader="dot" w:pos="9350"/>
            </w:tabs>
            <w:rPr>
              <w:rFonts w:eastAsiaTheme="minorEastAsia" w:cstheme="minorBidi"/>
              <w:b w:val="0"/>
              <w:i w:val="0"/>
              <w:iCs w:val="0"/>
              <w:noProof/>
              <w:lang w:val="en-GB" w:eastAsia="en-GB"/>
            </w:rPr>
          </w:pPr>
          <w:r w:rsidRPr="007E7514">
            <w:rPr>
              <w:rFonts w:eastAsia="Calibri-BoldItalic"/>
              <w:b w:val="0"/>
              <w:i w:val="0"/>
              <w:lang w:val="en-GB"/>
            </w:rPr>
            <w:fldChar w:fldCharType="begin"/>
          </w:r>
          <w:r w:rsidRPr="007E7514">
            <w:rPr>
              <w:b w:val="0"/>
              <w:i w:val="0"/>
              <w:lang w:val="en-GB"/>
            </w:rPr>
            <w:instrText xml:space="preserve"> TOC \o "1-3" \h \z \u </w:instrText>
          </w:r>
          <w:r w:rsidRPr="007E7514">
            <w:rPr>
              <w:rFonts w:eastAsia="Calibri-BoldItalic"/>
              <w:b w:val="0"/>
              <w:i w:val="0"/>
              <w:lang w:val="en-GB"/>
            </w:rPr>
            <w:fldChar w:fldCharType="separate"/>
          </w:r>
          <w:hyperlink w:anchor="_Toc76405363" w:history="1">
            <w:r w:rsidR="00FE38FE" w:rsidRPr="007E7514">
              <w:rPr>
                <w:rStyle w:val="Hyperlink"/>
                <w:b w:val="0"/>
                <w:i w:val="0"/>
                <w:iCs w:val="0"/>
                <w:noProof/>
                <w:lang w:val="en-GB"/>
              </w:rPr>
              <w:t>List of Tables</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_Toc76405363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v</w:t>
            </w:r>
            <w:r w:rsidR="00FE38FE" w:rsidRPr="007E7514">
              <w:rPr>
                <w:b w:val="0"/>
                <w:i w:val="0"/>
                <w:iCs w:val="0"/>
                <w:noProof/>
                <w:webHidden/>
                <w:lang w:val="en-GB"/>
              </w:rPr>
              <w:fldChar w:fldCharType="end"/>
            </w:r>
          </w:hyperlink>
        </w:p>
        <w:p w14:paraId="2255EA9F" w14:textId="70C2214C"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64" w:history="1">
            <w:r w:rsidR="00FE38FE" w:rsidRPr="007E7514">
              <w:rPr>
                <w:rStyle w:val="Hyperlink"/>
                <w:b w:val="0"/>
                <w:i w:val="0"/>
                <w:iCs w:val="0"/>
                <w:noProof/>
                <w:lang w:val="en-GB"/>
              </w:rPr>
              <w:t>List of Figures</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_Toc76405364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vi</w:t>
            </w:r>
            <w:r w:rsidR="00FE38FE" w:rsidRPr="007E7514">
              <w:rPr>
                <w:b w:val="0"/>
                <w:i w:val="0"/>
                <w:iCs w:val="0"/>
                <w:noProof/>
                <w:webHidden/>
                <w:lang w:val="en-GB"/>
              </w:rPr>
              <w:fldChar w:fldCharType="end"/>
            </w:r>
          </w:hyperlink>
        </w:p>
        <w:p w14:paraId="551699F2" w14:textId="0BB0DB3E"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65" w:history="1">
            <w:r w:rsidR="00FE38FE" w:rsidRPr="007E7514">
              <w:rPr>
                <w:rStyle w:val="Hyperlink"/>
                <w:b w:val="0"/>
                <w:i w:val="0"/>
                <w:iCs w:val="0"/>
                <w:noProof/>
                <w:lang w:val="en-GB"/>
              </w:rPr>
              <w:t>Abbreviations and Acronyms</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_Toc76405365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vii</w:t>
            </w:r>
            <w:r w:rsidR="00FE38FE" w:rsidRPr="007E7514">
              <w:rPr>
                <w:b w:val="0"/>
                <w:i w:val="0"/>
                <w:iCs w:val="0"/>
                <w:noProof/>
                <w:webHidden/>
                <w:lang w:val="en-GB"/>
              </w:rPr>
              <w:fldChar w:fldCharType="end"/>
            </w:r>
          </w:hyperlink>
        </w:p>
        <w:p w14:paraId="5F1CBDFE" w14:textId="5CE10CCC"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66" w:history="1">
            <w:r w:rsidR="00FE38FE" w:rsidRPr="007E7514">
              <w:rPr>
                <w:rStyle w:val="Hyperlink"/>
                <w:b w:val="0"/>
                <w:i w:val="0"/>
                <w:iCs w:val="0"/>
                <w:noProof/>
                <w:lang w:val="en-GB"/>
              </w:rPr>
              <w:t>Executive Summary</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_Toc76405366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ix</w:t>
            </w:r>
            <w:r w:rsidR="00FE38FE" w:rsidRPr="007E7514">
              <w:rPr>
                <w:b w:val="0"/>
                <w:i w:val="0"/>
                <w:iCs w:val="0"/>
                <w:noProof/>
                <w:webHidden/>
                <w:lang w:val="en-GB"/>
              </w:rPr>
              <w:fldChar w:fldCharType="end"/>
            </w:r>
          </w:hyperlink>
        </w:p>
        <w:p w14:paraId="6CB19462" w14:textId="73675B70"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67" w:history="1">
            <w:r w:rsidR="00FE38FE" w:rsidRPr="007E7514">
              <w:rPr>
                <w:rStyle w:val="Hyperlink"/>
                <w:b w:val="0"/>
                <w:i w:val="0"/>
                <w:iCs w:val="0"/>
                <w:noProof/>
                <w:lang w:val="en-GB"/>
              </w:rPr>
              <w:t>Introduction</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_Toc76405367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1</w:t>
            </w:r>
            <w:r w:rsidR="00FE38FE" w:rsidRPr="007E7514">
              <w:rPr>
                <w:b w:val="0"/>
                <w:i w:val="0"/>
                <w:iCs w:val="0"/>
                <w:noProof/>
                <w:webHidden/>
                <w:lang w:val="en-GB"/>
              </w:rPr>
              <w:fldChar w:fldCharType="end"/>
            </w:r>
          </w:hyperlink>
        </w:p>
        <w:p w14:paraId="73966F01" w14:textId="2CBBDD8B"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68" w:history="1">
            <w:r w:rsidR="00FE38FE" w:rsidRPr="007E7514">
              <w:rPr>
                <w:rStyle w:val="Hyperlink"/>
                <w:b w:val="0"/>
                <w:i w:val="0"/>
                <w:iCs w:val="0"/>
                <w:noProof/>
                <w:lang w:val="en-GB"/>
              </w:rPr>
              <w:t>Part I: GEF’s Work on Mercury in the Reporting Period</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_Toc76405368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1</w:t>
            </w:r>
            <w:r w:rsidR="00FE38FE" w:rsidRPr="007E7514">
              <w:rPr>
                <w:b w:val="0"/>
                <w:i w:val="0"/>
                <w:iCs w:val="0"/>
                <w:noProof/>
                <w:webHidden/>
                <w:lang w:val="en-GB"/>
              </w:rPr>
              <w:fldChar w:fldCharType="end"/>
            </w:r>
          </w:hyperlink>
        </w:p>
        <w:p w14:paraId="6D2D7FDB" w14:textId="29D39B6D"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69" w:history="1">
            <w:r w:rsidR="00FE38FE" w:rsidRPr="007E7514">
              <w:rPr>
                <w:rStyle w:val="Hyperlink"/>
                <w:b w:val="0"/>
                <w:noProof/>
                <w:sz w:val="24"/>
                <w:szCs w:val="24"/>
                <w:lang w:val="en-GB"/>
              </w:rPr>
              <w:t>1.</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Response to the Guidance from the COP to the Minamata Convention (MOU Paragraph 9(a))</w:t>
            </w:r>
            <w:r w:rsidR="00FE38FE" w:rsidRPr="007E7514">
              <w:rPr>
                <w:b w:val="0"/>
                <w:noProof/>
                <w:webHidden/>
                <w:sz w:val="24"/>
                <w:szCs w:val="24"/>
                <w:lang w:val="en-GB"/>
              </w:rPr>
              <w:tab/>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_Toc76405369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w:t>
            </w:r>
            <w:r w:rsidR="00FE38FE" w:rsidRPr="007E7514">
              <w:rPr>
                <w:b w:val="0"/>
                <w:noProof/>
                <w:webHidden/>
                <w:sz w:val="24"/>
                <w:szCs w:val="24"/>
                <w:lang w:val="en-GB"/>
              </w:rPr>
              <w:fldChar w:fldCharType="end"/>
            </w:r>
          </w:hyperlink>
        </w:p>
        <w:p w14:paraId="058EF690" w14:textId="7CAD5E3B"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0" w:history="1">
            <w:r w:rsidR="00FE38FE" w:rsidRPr="007E7514">
              <w:rPr>
                <w:rStyle w:val="Hyperlink"/>
                <w:b w:val="0"/>
                <w:noProof/>
                <w:sz w:val="24"/>
                <w:szCs w:val="24"/>
                <w:lang w:val="en-GB"/>
              </w:rPr>
              <w:t>2.</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Synthesis of the Projects Approved by the GEF Council in the Reporting Period (MOU Paragraph 9(b))</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_Toc76405370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9</w:t>
            </w:r>
            <w:r w:rsidR="00FE38FE" w:rsidRPr="007E7514">
              <w:rPr>
                <w:b w:val="0"/>
                <w:noProof/>
                <w:webHidden/>
                <w:sz w:val="24"/>
                <w:szCs w:val="24"/>
                <w:lang w:val="en-GB"/>
              </w:rPr>
              <w:fldChar w:fldCharType="end"/>
            </w:r>
          </w:hyperlink>
        </w:p>
        <w:p w14:paraId="5895AB7B" w14:textId="3360D519"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1" w:history="1">
            <w:r w:rsidR="00FE38FE" w:rsidRPr="007E7514">
              <w:rPr>
                <w:rStyle w:val="Hyperlink"/>
                <w:b w:val="0"/>
                <w:noProof/>
                <w:sz w:val="24"/>
                <w:szCs w:val="24"/>
                <w:lang w:val="en-GB"/>
              </w:rPr>
              <w:t>3.</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Project Proposals Not Approved by the GEF Council in a Work Program (MOU Paragraph 9(c))</w:t>
            </w:r>
            <w:r w:rsidR="00FE38FE" w:rsidRPr="007E7514">
              <w:rPr>
                <w:b w:val="0"/>
                <w:noProof/>
                <w:webHidden/>
                <w:sz w:val="24"/>
                <w:szCs w:val="24"/>
                <w:lang w:val="en-GB"/>
              </w:rPr>
              <w:tab/>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_Toc76405371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14</w:t>
            </w:r>
            <w:r w:rsidR="00FE38FE" w:rsidRPr="007E7514">
              <w:rPr>
                <w:b w:val="0"/>
                <w:noProof/>
                <w:webHidden/>
                <w:sz w:val="24"/>
                <w:szCs w:val="24"/>
                <w:lang w:val="en-GB"/>
              </w:rPr>
              <w:fldChar w:fldCharType="end"/>
            </w:r>
          </w:hyperlink>
        </w:p>
        <w:p w14:paraId="00E07E3B" w14:textId="2737B716"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2" w:history="1">
            <w:r w:rsidR="00FE38FE" w:rsidRPr="007E7514">
              <w:rPr>
                <w:rStyle w:val="Hyperlink"/>
                <w:b w:val="0"/>
                <w:noProof/>
                <w:sz w:val="24"/>
                <w:szCs w:val="24"/>
                <w:lang w:val="en-GB"/>
              </w:rPr>
              <w:t>4.</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Information on Other Matters Concerning the Discharge of Functions under Article 13, Paragraph 5 (MOU Paragraph 11)</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_Toc76405372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14</w:t>
            </w:r>
            <w:r w:rsidR="00FE38FE" w:rsidRPr="007E7514">
              <w:rPr>
                <w:b w:val="0"/>
                <w:noProof/>
                <w:webHidden/>
                <w:sz w:val="24"/>
                <w:szCs w:val="24"/>
                <w:lang w:val="en-GB"/>
              </w:rPr>
              <w:fldChar w:fldCharType="end"/>
            </w:r>
          </w:hyperlink>
        </w:p>
        <w:p w14:paraId="3F574A2B" w14:textId="4AF1C218"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3" w:history="1">
            <w:r w:rsidR="00FE38FE" w:rsidRPr="007E7514">
              <w:rPr>
                <w:rStyle w:val="Hyperlink"/>
                <w:b w:val="0"/>
                <w:noProof/>
                <w:sz w:val="24"/>
                <w:szCs w:val="24"/>
                <w:lang w:val="en-GB"/>
              </w:rPr>
              <w:t>5.</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Views of the GEF Council on the Guidance Provided by the COP (MOU Paragraph 12)</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_Toc76405373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14</w:t>
            </w:r>
            <w:r w:rsidR="00FE38FE" w:rsidRPr="007E7514">
              <w:rPr>
                <w:b w:val="0"/>
                <w:noProof/>
                <w:webHidden/>
                <w:sz w:val="24"/>
                <w:szCs w:val="24"/>
                <w:lang w:val="en-GB"/>
              </w:rPr>
              <w:fldChar w:fldCharType="end"/>
            </w:r>
          </w:hyperlink>
        </w:p>
        <w:p w14:paraId="12C517F6" w14:textId="74188FD9"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4" w:history="1">
            <w:r w:rsidR="00FE38FE" w:rsidRPr="007E7514">
              <w:rPr>
                <w:rStyle w:val="Hyperlink"/>
                <w:b w:val="0"/>
                <w:noProof/>
                <w:sz w:val="24"/>
                <w:szCs w:val="24"/>
                <w:lang w:val="en-GB"/>
              </w:rPr>
              <w:t>6.</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Matters Arising from the Reports Received by the COP from the GEF Council (MOU Paragraph 13)</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_Toc76405374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14</w:t>
            </w:r>
            <w:r w:rsidR="00FE38FE" w:rsidRPr="007E7514">
              <w:rPr>
                <w:b w:val="0"/>
                <w:noProof/>
                <w:webHidden/>
                <w:sz w:val="24"/>
                <w:szCs w:val="24"/>
                <w:lang w:val="en-GB"/>
              </w:rPr>
              <w:fldChar w:fldCharType="end"/>
            </w:r>
          </w:hyperlink>
        </w:p>
        <w:p w14:paraId="2E34EA1F" w14:textId="376A14D9"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5" w:history="1">
            <w:r w:rsidR="00FE38FE" w:rsidRPr="007E7514">
              <w:rPr>
                <w:rStyle w:val="Hyperlink"/>
                <w:b w:val="0"/>
                <w:noProof/>
                <w:sz w:val="24"/>
                <w:szCs w:val="24"/>
                <w:lang w:val="en-GB"/>
              </w:rPr>
              <w:t>7.</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Cooperation with the Secretariat of the Minamata Convention and Reciprocal Representation (MOU Paragraphs 17-21)</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_Toc76405375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14</w:t>
            </w:r>
            <w:r w:rsidR="00FE38FE" w:rsidRPr="007E7514">
              <w:rPr>
                <w:b w:val="0"/>
                <w:noProof/>
                <w:webHidden/>
                <w:sz w:val="24"/>
                <w:szCs w:val="24"/>
                <w:lang w:val="en-GB"/>
              </w:rPr>
              <w:fldChar w:fldCharType="end"/>
            </w:r>
          </w:hyperlink>
        </w:p>
        <w:p w14:paraId="3F06721E" w14:textId="7181A1BF"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76" w:history="1">
            <w:r w:rsidR="00FE38FE" w:rsidRPr="007E7514">
              <w:rPr>
                <w:rStyle w:val="Hyperlink"/>
                <w:b w:val="0"/>
                <w:i w:val="0"/>
                <w:iCs w:val="0"/>
                <w:noProof/>
                <w:lang w:val="en-GB"/>
              </w:rPr>
              <w:t>Part II: Other GEF Activities Related to the Minamata Convention</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_Toc76405376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16</w:t>
            </w:r>
            <w:r w:rsidR="00FE38FE" w:rsidRPr="007E7514">
              <w:rPr>
                <w:b w:val="0"/>
                <w:i w:val="0"/>
                <w:iCs w:val="0"/>
                <w:noProof/>
                <w:webHidden/>
                <w:lang w:val="en-GB"/>
              </w:rPr>
              <w:fldChar w:fldCharType="end"/>
            </w:r>
          </w:hyperlink>
        </w:p>
        <w:p w14:paraId="7554ADFB" w14:textId="15C33E29"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7" w:history="1">
            <w:r w:rsidR="00FE38FE" w:rsidRPr="007E7514">
              <w:rPr>
                <w:rStyle w:val="Hyperlink"/>
                <w:b w:val="0"/>
                <w:noProof/>
                <w:sz w:val="24"/>
                <w:szCs w:val="24"/>
                <w:lang w:val="en-GB"/>
              </w:rPr>
              <w:t>1.</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Chemicals and Waste Portfolio in the Small Grants Programme</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_Toc76405377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16</w:t>
            </w:r>
            <w:r w:rsidR="00FE38FE" w:rsidRPr="007E7514">
              <w:rPr>
                <w:b w:val="0"/>
                <w:noProof/>
                <w:webHidden/>
                <w:sz w:val="24"/>
                <w:szCs w:val="24"/>
                <w:lang w:val="en-GB"/>
              </w:rPr>
              <w:fldChar w:fldCharType="end"/>
            </w:r>
          </w:hyperlink>
        </w:p>
        <w:p w14:paraId="4CA36228" w14:textId="3C45BAF7"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8" w:history="1">
            <w:r w:rsidR="00FE38FE" w:rsidRPr="007E7514">
              <w:rPr>
                <w:rStyle w:val="Hyperlink"/>
                <w:b w:val="0"/>
                <w:noProof/>
                <w:sz w:val="24"/>
                <w:szCs w:val="24"/>
                <w:lang w:val="en-GB"/>
              </w:rPr>
              <w:t>2.</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Monitoring and Evaluation of Mercury Projects in GEF-7 (MOU Paragraph 10)</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_Toc76405378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17</w:t>
            </w:r>
            <w:r w:rsidR="00FE38FE" w:rsidRPr="007E7514">
              <w:rPr>
                <w:b w:val="0"/>
                <w:noProof/>
                <w:webHidden/>
                <w:sz w:val="24"/>
                <w:szCs w:val="24"/>
                <w:lang w:val="en-GB"/>
              </w:rPr>
              <w:fldChar w:fldCharType="end"/>
            </w:r>
          </w:hyperlink>
        </w:p>
        <w:p w14:paraId="32F968A1" w14:textId="765E42DD"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79" w:history="1">
            <w:r w:rsidR="00FE38FE" w:rsidRPr="007E7514">
              <w:rPr>
                <w:rStyle w:val="Hyperlink"/>
                <w:b w:val="0"/>
                <w:noProof/>
                <w:sz w:val="24"/>
                <w:szCs w:val="24"/>
                <w:lang w:val="en-GB"/>
              </w:rPr>
              <w:t>3.</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GEF-7 Results</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_Toc76405379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20</w:t>
            </w:r>
            <w:r w:rsidR="00FE38FE" w:rsidRPr="007E7514">
              <w:rPr>
                <w:b w:val="0"/>
                <w:noProof/>
                <w:webHidden/>
                <w:sz w:val="24"/>
                <w:szCs w:val="24"/>
                <w:lang w:val="en-GB"/>
              </w:rPr>
              <w:fldChar w:fldCharType="end"/>
            </w:r>
          </w:hyperlink>
        </w:p>
        <w:p w14:paraId="252FC8FF" w14:textId="15E85DFE"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80" w:history="1">
            <w:r w:rsidR="00FE38FE" w:rsidRPr="007E7514">
              <w:rPr>
                <w:rStyle w:val="Hyperlink"/>
                <w:b w:val="0"/>
                <w:i w:val="0"/>
                <w:iCs w:val="0"/>
                <w:noProof/>
                <w:lang w:val="en-GB"/>
              </w:rPr>
              <w:t>Part III: Seventh Replenishment Policy Update and Performance of the Minamata Portfolio With Regard to These Policies</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_Toc76405380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21</w:t>
            </w:r>
            <w:r w:rsidR="00FE38FE" w:rsidRPr="007E7514">
              <w:rPr>
                <w:b w:val="0"/>
                <w:i w:val="0"/>
                <w:iCs w:val="0"/>
                <w:noProof/>
                <w:webHidden/>
                <w:lang w:val="en-GB"/>
              </w:rPr>
              <w:fldChar w:fldCharType="end"/>
            </w:r>
          </w:hyperlink>
        </w:p>
        <w:p w14:paraId="353EB6AE" w14:textId="2778A101"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81" w:history="1">
            <w:r w:rsidR="00FE38FE" w:rsidRPr="007E7514">
              <w:rPr>
                <w:rStyle w:val="Hyperlink"/>
                <w:b w:val="0"/>
                <w:noProof/>
                <w:sz w:val="24"/>
                <w:szCs w:val="24"/>
                <w:lang w:val="en-GB"/>
              </w:rPr>
              <w:t>1.</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Gender Equality</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_Toc76405381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21</w:t>
            </w:r>
            <w:r w:rsidR="00FE38FE" w:rsidRPr="007E7514">
              <w:rPr>
                <w:b w:val="0"/>
                <w:noProof/>
                <w:webHidden/>
                <w:sz w:val="24"/>
                <w:szCs w:val="24"/>
                <w:lang w:val="en-GB"/>
              </w:rPr>
              <w:fldChar w:fldCharType="end"/>
            </w:r>
          </w:hyperlink>
        </w:p>
        <w:p w14:paraId="41F2F519" w14:textId="042B1610"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82" w:history="1">
            <w:r w:rsidR="00FE38FE" w:rsidRPr="007E7514">
              <w:rPr>
                <w:rStyle w:val="Hyperlink"/>
                <w:b w:val="0"/>
                <w:noProof/>
                <w:sz w:val="24"/>
                <w:szCs w:val="24"/>
                <w:lang w:val="en-GB"/>
              </w:rPr>
              <w:t>2.</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Private Sector</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_Toc76405382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21</w:t>
            </w:r>
            <w:r w:rsidR="00FE38FE" w:rsidRPr="007E7514">
              <w:rPr>
                <w:b w:val="0"/>
                <w:noProof/>
                <w:webHidden/>
                <w:sz w:val="24"/>
                <w:szCs w:val="24"/>
                <w:lang w:val="en-GB"/>
              </w:rPr>
              <w:fldChar w:fldCharType="end"/>
            </w:r>
          </w:hyperlink>
        </w:p>
        <w:p w14:paraId="20B1894A" w14:textId="2DEBD194"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83" w:history="1">
            <w:r w:rsidR="00FE38FE" w:rsidRPr="007E7514">
              <w:rPr>
                <w:rStyle w:val="Hyperlink"/>
                <w:b w:val="0"/>
                <w:i w:val="0"/>
                <w:iCs w:val="0"/>
                <w:noProof/>
                <w:lang w:val="en-GB"/>
              </w:rPr>
              <w:t>Part IV: Update on the GEF’s Response to the COVID-19 Pandemic and the Eighth Replenishment of the GEF</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_Toc76405383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23</w:t>
            </w:r>
            <w:r w:rsidR="00FE38FE" w:rsidRPr="007E7514">
              <w:rPr>
                <w:b w:val="0"/>
                <w:i w:val="0"/>
                <w:iCs w:val="0"/>
                <w:noProof/>
                <w:webHidden/>
                <w:lang w:val="en-GB"/>
              </w:rPr>
              <w:fldChar w:fldCharType="end"/>
            </w:r>
          </w:hyperlink>
        </w:p>
        <w:p w14:paraId="55ECA11E" w14:textId="40AF0C3B"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84" w:history="1">
            <w:r w:rsidR="00FE38FE" w:rsidRPr="007E7514">
              <w:rPr>
                <w:rStyle w:val="Hyperlink"/>
                <w:b w:val="0"/>
                <w:noProof/>
                <w:sz w:val="24"/>
                <w:szCs w:val="24"/>
                <w:lang w:val="en-GB"/>
              </w:rPr>
              <w:t>1.</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COVID-19 Pandemic Response</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_Toc76405384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23</w:t>
            </w:r>
            <w:r w:rsidR="00FE38FE" w:rsidRPr="007E7514">
              <w:rPr>
                <w:b w:val="0"/>
                <w:noProof/>
                <w:webHidden/>
                <w:sz w:val="24"/>
                <w:szCs w:val="24"/>
                <w:lang w:val="en-GB"/>
              </w:rPr>
              <w:fldChar w:fldCharType="end"/>
            </w:r>
          </w:hyperlink>
        </w:p>
        <w:p w14:paraId="71EDCF71" w14:textId="22D03083" w:rsidR="00FE38FE" w:rsidRPr="007E7514" w:rsidRDefault="009E378C">
          <w:pPr>
            <w:pStyle w:val="TOC2"/>
            <w:tabs>
              <w:tab w:val="left" w:pos="720"/>
              <w:tab w:val="right" w:leader="dot" w:pos="9350"/>
            </w:tabs>
            <w:rPr>
              <w:rFonts w:eastAsiaTheme="minorEastAsia" w:cstheme="minorBidi"/>
              <w:b w:val="0"/>
              <w:noProof/>
              <w:sz w:val="24"/>
              <w:szCs w:val="24"/>
              <w:lang w:val="en-GB" w:eastAsia="en-GB"/>
            </w:rPr>
          </w:pPr>
          <w:hyperlink w:anchor="_Toc76405385" w:history="1">
            <w:r w:rsidR="00FE38FE" w:rsidRPr="007E7514">
              <w:rPr>
                <w:rStyle w:val="Hyperlink"/>
                <w:b w:val="0"/>
                <w:noProof/>
                <w:sz w:val="24"/>
                <w:szCs w:val="24"/>
                <w:lang w:val="en-GB"/>
              </w:rPr>
              <w:t>2.</w:t>
            </w:r>
            <w:r w:rsidR="00FE38FE" w:rsidRPr="007E7514">
              <w:rPr>
                <w:rFonts w:eastAsiaTheme="minorEastAsia" w:cstheme="minorBidi"/>
                <w:b w:val="0"/>
                <w:noProof/>
                <w:sz w:val="24"/>
                <w:szCs w:val="24"/>
                <w:lang w:val="en-GB" w:eastAsia="en-GB"/>
              </w:rPr>
              <w:tab/>
            </w:r>
            <w:r w:rsidR="00FE38FE" w:rsidRPr="007E7514">
              <w:rPr>
                <w:rStyle w:val="Hyperlink"/>
                <w:b w:val="0"/>
                <w:noProof/>
                <w:sz w:val="24"/>
                <w:szCs w:val="24"/>
                <w:lang w:val="en-GB"/>
              </w:rPr>
              <w:t>Eighth Replenishment of the GEF Trust Fund</w:t>
            </w:r>
            <w:r w:rsidR="00FE38FE" w:rsidRPr="007E7514">
              <w:rPr>
                <w:b w:val="0"/>
                <w:noProof/>
                <w:webHidden/>
                <w:sz w:val="24"/>
                <w:szCs w:val="24"/>
                <w:lang w:val="en-GB"/>
              </w:rPr>
              <w:tab/>
            </w:r>
            <w:r w:rsidR="00FE38FE" w:rsidRPr="007E7514">
              <w:rPr>
                <w:b w:val="0"/>
                <w:noProof/>
                <w:webHidden/>
                <w:sz w:val="24"/>
                <w:szCs w:val="24"/>
                <w:lang w:val="en-GB"/>
              </w:rPr>
              <w:fldChar w:fldCharType="begin"/>
            </w:r>
            <w:r w:rsidR="00FE38FE" w:rsidRPr="007E7514">
              <w:rPr>
                <w:b w:val="0"/>
                <w:noProof/>
                <w:webHidden/>
                <w:sz w:val="24"/>
                <w:szCs w:val="24"/>
                <w:lang w:val="en-GB"/>
              </w:rPr>
              <w:instrText xml:space="preserve"> PAGEREF _Toc76405385 \h </w:instrText>
            </w:r>
            <w:r w:rsidR="00FE38FE" w:rsidRPr="007E7514">
              <w:rPr>
                <w:b w:val="0"/>
                <w:noProof/>
                <w:webHidden/>
                <w:sz w:val="24"/>
                <w:szCs w:val="24"/>
                <w:lang w:val="en-GB"/>
              </w:rPr>
            </w:r>
            <w:r w:rsidR="00FE38FE" w:rsidRPr="007E7514">
              <w:rPr>
                <w:b w:val="0"/>
                <w:noProof/>
                <w:webHidden/>
                <w:sz w:val="24"/>
                <w:szCs w:val="24"/>
                <w:lang w:val="en-GB"/>
              </w:rPr>
              <w:fldChar w:fldCharType="separate"/>
            </w:r>
            <w:r w:rsidR="00C604A6">
              <w:rPr>
                <w:b w:val="0"/>
                <w:noProof/>
                <w:webHidden/>
                <w:sz w:val="24"/>
                <w:szCs w:val="24"/>
                <w:lang w:val="en-GB"/>
              </w:rPr>
              <w:t>26</w:t>
            </w:r>
            <w:r w:rsidR="00FE38FE" w:rsidRPr="007E7514">
              <w:rPr>
                <w:b w:val="0"/>
                <w:noProof/>
                <w:webHidden/>
                <w:sz w:val="24"/>
                <w:szCs w:val="24"/>
                <w:lang w:val="en-GB"/>
              </w:rPr>
              <w:fldChar w:fldCharType="end"/>
            </w:r>
          </w:hyperlink>
        </w:p>
        <w:p w14:paraId="4B3C1032" w14:textId="1B26D0CA"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86" w:history="1">
            <w:r w:rsidR="00FE38FE" w:rsidRPr="007E7514">
              <w:rPr>
                <w:rStyle w:val="Hyperlink"/>
                <w:b w:val="0"/>
                <w:i w:val="0"/>
                <w:iCs w:val="0"/>
                <w:noProof/>
                <w:lang w:val="en-GB"/>
              </w:rPr>
              <w:t>Annex 1: List of Mercury Projects and Programs Approved in the Reporting Period (July 1, 2019 to June 30, 2021)</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_Toc76405386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28</w:t>
            </w:r>
            <w:r w:rsidR="00FE38FE" w:rsidRPr="007E7514">
              <w:rPr>
                <w:b w:val="0"/>
                <w:i w:val="0"/>
                <w:iCs w:val="0"/>
                <w:noProof/>
                <w:webHidden/>
                <w:lang w:val="en-GB"/>
              </w:rPr>
              <w:fldChar w:fldCharType="end"/>
            </w:r>
          </w:hyperlink>
        </w:p>
        <w:p w14:paraId="5A46289A" w14:textId="0715A9E5"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87" w:history="1">
            <w:r w:rsidR="00FE38FE" w:rsidRPr="007E7514">
              <w:rPr>
                <w:rStyle w:val="Hyperlink"/>
                <w:b w:val="0"/>
                <w:i w:val="0"/>
                <w:iCs w:val="0"/>
                <w:noProof/>
                <w:lang w:val="en-GB"/>
              </w:rPr>
              <w:t>Annex 2: List of Mercury Projects Supported by the Small Grants Programme in the Reporting Period  (July 1, 2019 to June 30, 2021)</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_Toc76405387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32</w:t>
            </w:r>
            <w:r w:rsidR="00FE38FE" w:rsidRPr="007E7514">
              <w:rPr>
                <w:b w:val="0"/>
                <w:i w:val="0"/>
                <w:iCs w:val="0"/>
                <w:noProof/>
                <w:webHidden/>
                <w:lang w:val="en-GB"/>
              </w:rPr>
              <w:fldChar w:fldCharType="end"/>
            </w:r>
          </w:hyperlink>
        </w:p>
        <w:p w14:paraId="50907F00" w14:textId="1AA7F626"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88" w:history="1">
            <w:r w:rsidR="00FE38FE" w:rsidRPr="007E7514">
              <w:rPr>
                <w:rStyle w:val="Hyperlink"/>
                <w:b w:val="0"/>
                <w:i w:val="0"/>
                <w:iCs w:val="0"/>
                <w:noProof/>
                <w:lang w:val="en-GB"/>
              </w:rPr>
              <w:t>Annex 3: List of Countries that Received GEF Support for Enabling Activities</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_Toc76405388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35</w:t>
            </w:r>
            <w:r w:rsidR="00FE38FE" w:rsidRPr="007E7514">
              <w:rPr>
                <w:b w:val="0"/>
                <w:i w:val="0"/>
                <w:iCs w:val="0"/>
                <w:noProof/>
                <w:webHidden/>
                <w:lang w:val="en-GB"/>
              </w:rPr>
              <w:fldChar w:fldCharType="end"/>
            </w:r>
          </w:hyperlink>
        </w:p>
        <w:p w14:paraId="526501C9" w14:textId="26DA74F5" w:rsidR="00FE38FE" w:rsidRPr="007E7514" w:rsidRDefault="009E378C">
          <w:pPr>
            <w:pStyle w:val="TOC1"/>
            <w:tabs>
              <w:tab w:val="right" w:leader="dot" w:pos="9350"/>
            </w:tabs>
            <w:rPr>
              <w:rFonts w:eastAsiaTheme="minorEastAsia" w:cstheme="minorBidi"/>
              <w:b w:val="0"/>
              <w:i w:val="0"/>
              <w:iCs w:val="0"/>
              <w:noProof/>
              <w:lang w:val="en-GB" w:eastAsia="en-GB"/>
            </w:rPr>
          </w:pPr>
          <w:hyperlink w:anchor="_Toc76405389" w:history="1">
            <w:r w:rsidR="00FE38FE" w:rsidRPr="007E7514">
              <w:rPr>
                <w:rStyle w:val="Hyperlink"/>
                <w:b w:val="0"/>
                <w:i w:val="0"/>
                <w:iCs w:val="0"/>
                <w:noProof/>
                <w:lang w:val="en-GB"/>
              </w:rPr>
              <w:t>Annex 4: List of Mercury Projects and Programs Implemented in the Reporting Period (July 1, 2019 to June 30, 2021)</w:t>
            </w:r>
            <w:r w:rsidR="00FE38FE" w:rsidRPr="007E7514">
              <w:rPr>
                <w:b w:val="0"/>
                <w:i w:val="0"/>
                <w:iCs w:val="0"/>
                <w:noProof/>
                <w:webHidden/>
                <w:lang w:val="en-GB"/>
              </w:rPr>
              <w:tab/>
            </w:r>
            <w:r w:rsidR="00FE38FE" w:rsidRPr="007E7514">
              <w:rPr>
                <w:b w:val="0"/>
                <w:i w:val="0"/>
                <w:iCs w:val="0"/>
                <w:noProof/>
                <w:webHidden/>
                <w:lang w:val="en-GB"/>
              </w:rPr>
              <w:fldChar w:fldCharType="begin"/>
            </w:r>
            <w:r w:rsidR="00FE38FE" w:rsidRPr="007E7514">
              <w:rPr>
                <w:b w:val="0"/>
                <w:i w:val="0"/>
                <w:iCs w:val="0"/>
                <w:noProof/>
                <w:webHidden/>
                <w:lang w:val="en-GB"/>
              </w:rPr>
              <w:instrText xml:space="preserve"> PAGEREF _Toc76405389 \h </w:instrText>
            </w:r>
            <w:r w:rsidR="00FE38FE" w:rsidRPr="007E7514">
              <w:rPr>
                <w:b w:val="0"/>
                <w:i w:val="0"/>
                <w:iCs w:val="0"/>
                <w:noProof/>
                <w:webHidden/>
                <w:lang w:val="en-GB"/>
              </w:rPr>
            </w:r>
            <w:r w:rsidR="00FE38FE" w:rsidRPr="007E7514">
              <w:rPr>
                <w:b w:val="0"/>
                <w:i w:val="0"/>
                <w:iCs w:val="0"/>
                <w:noProof/>
                <w:webHidden/>
                <w:lang w:val="en-GB"/>
              </w:rPr>
              <w:fldChar w:fldCharType="separate"/>
            </w:r>
            <w:r w:rsidR="00C604A6">
              <w:rPr>
                <w:b w:val="0"/>
                <w:i w:val="0"/>
                <w:iCs w:val="0"/>
                <w:noProof/>
                <w:webHidden/>
                <w:lang w:val="en-GB"/>
              </w:rPr>
              <w:t>37</w:t>
            </w:r>
            <w:r w:rsidR="00FE38FE" w:rsidRPr="007E7514">
              <w:rPr>
                <w:b w:val="0"/>
                <w:i w:val="0"/>
                <w:iCs w:val="0"/>
                <w:noProof/>
                <w:webHidden/>
                <w:lang w:val="en-GB"/>
              </w:rPr>
              <w:fldChar w:fldCharType="end"/>
            </w:r>
          </w:hyperlink>
        </w:p>
        <w:p w14:paraId="0851436E" w14:textId="08024D3F" w:rsidR="00A7402A" w:rsidRPr="007E7514" w:rsidRDefault="00A7402A">
          <w:pPr>
            <w:rPr>
              <w:rFonts w:asciiTheme="minorHAnsi" w:hAnsiTheme="minorHAnsi" w:cstheme="minorHAnsi"/>
              <w:bCs/>
              <w:noProof/>
              <w:lang w:val="en-GB"/>
            </w:rPr>
          </w:pPr>
          <w:r w:rsidRPr="007E7514">
            <w:rPr>
              <w:rFonts w:asciiTheme="minorHAnsi" w:hAnsiTheme="minorHAnsi" w:cstheme="minorHAnsi"/>
              <w:bCs/>
              <w:noProof/>
              <w:lang w:val="en-GB"/>
            </w:rPr>
            <w:fldChar w:fldCharType="end"/>
          </w:r>
        </w:p>
      </w:sdtContent>
    </w:sdt>
    <w:p w14:paraId="30948790" w14:textId="553E6B6E" w:rsidR="00D06902" w:rsidRPr="007E7514" w:rsidRDefault="00D06902">
      <w:pPr>
        <w:rPr>
          <w:rFonts w:asciiTheme="minorHAnsi" w:eastAsia="Cambria" w:hAnsiTheme="minorHAnsi" w:cs="Cambria"/>
          <w:b/>
          <w:bCs/>
          <w:noProof/>
          <w:sz w:val="28"/>
          <w:szCs w:val="28"/>
          <w:lang w:val="en-GB"/>
        </w:rPr>
      </w:pPr>
      <w:r w:rsidRPr="007E7514">
        <w:rPr>
          <w:rFonts w:asciiTheme="minorHAnsi" w:hAnsiTheme="minorHAnsi"/>
          <w:noProof/>
          <w:lang w:val="en-GB"/>
        </w:rPr>
        <w:br w:type="page"/>
      </w:r>
    </w:p>
    <w:p w14:paraId="4D21666B" w14:textId="77777777" w:rsidR="00423B4D" w:rsidRPr="007E7514" w:rsidRDefault="00423B4D" w:rsidP="005D7C1E">
      <w:pPr>
        <w:pStyle w:val="Heading1"/>
        <w:rPr>
          <w:noProof/>
          <w:sz w:val="24"/>
          <w:szCs w:val="24"/>
          <w:lang w:val="en-GB"/>
        </w:rPr>
      </w:pPr>
      <w:bookmarkStart w:id="1" w:name="_Toc76405363"/>
      <w:r w:rsidRPr="007E7514">
        <w:rPr>
          <w:noProof/>
          <w:sz w:val="24"/>
          <w:szCs w:val="24"/>
          <w:lang w:val="en-GB"/>
        </w:rPr>
        <w:lastRenderedPageBreak/>
        <w:t>List of Tables</w:t>
      </w:r>
      <w:bookmarkEnd w:id="1"/>
    </w:p>
    <w:p w14:paraId="1562FF2D" w14:textId="77777777" w:rsidR="00423B4D" w:rsidRPr="007E7514" w:rsidRDefault="00423B4D">
      <w:pPr>
        <w:rPr>
          <w:rFonts w:asciiTheme="minorHAnsi" w:hAnsiTheme="minorHAnsi"/>
          <w:lang w:val="en-GB"/>
        </w:rPr>
      </w:pPr>
    </w:p>
    <w:p w14:paraId="06765D6F" w14:textId="730FF0A6" w:rsidR="00FE38FE" w:rsidRPr="007E7514" w:rsidRDefault="00B44224" w:rsidP="00FE38FE">
      <w:pPr>
        <w:pStyle w:val="TableofFigures"/>
        <w:tabs>
          <w:tab w:val="right" w:leader="dot" w:pos="9350"/>
        </w:tabs>
        <w:spacing w:before="120"/>
        <w:rPr>
          <w:rFonts w:asciiTheme="minorHAnsi" w:eastAsiaTheme="minorEastAsia" w:hAnsiTheme="minorHAnsi" w:cstheme="minorHAnsi"/>
          <w:noProof/>
          <w:lang w:val="en-GB" w:eastAsia="en-GB"/>
        </w:rPr>
      </w:pPr>
      <w:r w:rsidRPr="007E7514">
        <w:rPr>
          <w:rFonts w:asciiTheme="minorHAnsi" w:hAnsiTheme="minorHAnsi" w:cstheme="minorHAnsi"/>
          <w:lang w:val="en-GB"/>
        </w:rPr>
        <w:fldChar w:fldCharType="begin"/>
      </w:r>
      <w:r w:rsidRPr="007E7514">
        <w:rPr>
          <w:rFonts w:asciiTheme="minorHAnsi" w:hAnsiTheme="minorHAnsi" w:cstheme="minorHAnsi"/>
          <w:lang w:val="en-GB"/>
        </w:rPr>
        <w:instrText xml:space="preserve"> TOC \h \z \c "Table" </w:instrText>
      </w:r>
      <w:r w:rsidRPr="007E7514">
        <w:rPr>
          <w:rFonts w:asciiTheme="minorHAnsi" w:hAnsiTheme="minorHAnsi" w:cstheme="minorHAnsi"/>
          <w:lang w:val="en-GB"/>
        </w:rPr>
        <w:fldChar w:fldCharType="separate"/>
      </w:r>
      <w:hyperlink w:anchor="_Toc76405542" w:history="1">
        <w:r w:rsidR="00FE38FE" w:rsidRPr="007E7514">
          <w:rPr>
            <w:rStyle w:val="Hyperlink"/>
            <w:rFonts w:asciiTheme="minorHAnsi" w:hAnsiTheme="minorHAnsi" w:cstheme="minorHAnsi"/>
            <w:noProof/>
            <w:lang w:val="en-GB"/>
          </w:rPr>
          <w:t>Table 1: Response to the Guidance from the Conference of the Parties to the Minamata Convention</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_Toc76405542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1</w:t>
        </w:r>
        <w:r w:rsidR="00FE38FE" w:rsidRPr="007E7514">
          <w:rPr>
            <w:rFonts w:asciiTheme="minorHAnsi" w:hAnsiTheme="minorHAnsi" w:cstheme="minorHAnsi"/>
            <w:noProof/>
            <w:webHidden/>
            <w:lang w:val="en-GB"/>
          </w:rPr>
          <w:fldChar w:fldCharType="end"/>
        </w:r>
      </w:hyperlink>
    </w:p>
    <w:p w14:paraId="05EB1523" w14:textId="4221050C" w:rsidR="00FE38FE" w:rsidRPr="007E7514" w:rsidRDefault="009E378C" w:rsidP="00FE38FE">
      <w:pPr>
        <w:pStyle w:val="TableofFigures"/>
        <w:tabs>
          <w:tab w:val="right" w:leader="dot" w:pos="9350"/>
        </w:tabs>
        <w:spacing w:before="120"/>
        <w:rPr>
          <w:rFonts w:asciiTheme="minorHAnsi" w:eastAsiaTheme="minorEastAsia" w:hAnsiTheme="minorHAnsi" w:cstheme="minorHAnsi"/>
          <w:noProof/>
          <w:lang w:val="en-GB" w:eastAsia="en-GB"/>
        </w:rPr>
      </w:pPr>
      <w:hyperlink w:anchor="_Toc76405543" w:history="1">
        <w:r w:rsidR="00FE38FE" w:rsidRPr="007E7514">
          <w:rPr>
            <w:rStyle w:val="Hyperlink"/>
            <w:rFonts w:asciiTheme="minorHAnsi" w:hAnsiTheme="minorHAnsi" w:cstheme="minorHAnsi"/>
            <w:noProof/>
            <w:lang w:val="en-GB"/>
          </w:rPr>
          <w:t>Table 2: Resources Programmed for the Implementation of the Minamata Convention in the Reporting Period (July 1, 2019 to June 30, 2021)</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_Toc76405543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9</w:t>
        </w:r>
        <w:r w:rsidR="00FE38FE" w:rsidRPr="007E7514">
          <w:rPr>
            <w:rFonts w:asciiTheme="minorHAnsi" w:hAnsiTheme="minorHAnsi" w:cstheme="minorHAnsi"/>
            <w:noProof/>
            <w:webHidden/>
            <w:lang w:val="en-GB"/>
          </w:rPr>
          <w:fldChar w:fldCharType="end"/>
        </w:r>
      </w:hyperlink>
    </w:p>
    <w:p w14:paraId="2696A0D4" w14:textId="2241615E" w:rsidR="00FE38FE" w:rsidRPr="007E7514" w:rsidRDefault="009E378C" w:rsidP="00FE38FE">
      <w:pPr>
        <w:pStyle w:val="TableofFigures"/>
        <w:tabs>
          <w:tab w:val="right" w:leader="dot" w:pos="9350"/>
        </w:tabs>
        <w:spacing w:before="120"/>
        <w:rPr>
          <w:rFonts w:asciiTheme="minorHAnsi" w:eastAsiaTheme="minorEastAsia" w:hAnsiTheme="minorHAnsi" w:cstheme="minorHAnsi"/>
          <w:noProof/>
          <w:lang w:val="en-GB" w:eastAsia="en-GB"/>
        </w:rPr>
      </w:pPr>
      <w:hyperlink w:anchor="_Toc76405544" w:history="1">
        <w:r w:rsidR="00FE38FE" w:rsidRPr="007E7514">
          <w:rPr>
            <w:rStyle w:val="Hyperlink"/>
            <w:rFonts w:asciiTheme="minorHAnsi" w:hAnsiTheme="minorHAnsi" w:cstheme="minorHAnsi"/>
            <w:noProof/>
            <w:lang w:val="en-GB"/>
          </w:rPr>
          <w:t>Table 3: Number of Countries Receiving Support in the Reporting Period  (July 1, 2019 to June 30, 2021)</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_Toc76405544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9</w:t>
        </w:r>
        <w:r w:rsidR="00FE38FE" w:rsidRPr="007E7514">
          <w:rPr>
            <w:rFonts w:asciiTheme="minorHAnsi" w:hAnsiTheme="minorHAnsi" w:cstheme="minorHAnsi"/>
            <w:noProof/>
            <w:webHidden/>
            <w:lang w:val="en-GB"/>
          </w:rPr>
          <w:fldChar w:fldCharType="end"/>
        </w:r>
      </w:hyperlink>
    </w:p>
    <w:p w14:paraId="5470D0B2" w14:textId="7BA4B8EF" w:rsidR="0094604E" w:rsidRPr="007E7514" w:rsidRDefault="00B44224">
      <w:pPr>
        <w:rPr>
          <w:rFonts w:asciiTheme="minorHAnsi" w:hAnsiTheme="minorHAnsi" w:cstheme="minorHAnsi"/>
          <w:lang w:val="en-GB"/>
        </w:rPr>
      </w:pPr>
      <w:r w:rsidRPr="007E7514">
        <w:rPr>
          <w:rFonts w:asciiTheme="minorHAnsi" w:hAnsiTheme="minorHAnsi" w:cstheme="minorHAnsi"/>
          <w:lang w:val="en-GB"/>
        </w:rPr>
        <w:fldChar w:fldCharType="end"/>
      </w:r>
    </w:p>
    <w:p w14:paraId="425C418E" w14:textId="77777777" w:rsidR="0094604E" w:rsidRPr="007E7514" w:rsidRDefault="0094604E">
      <w:pPr>
        <w:rPr>
          <w:rFonts w:asciiTheme="minorHAnsi" w:hAnsiTheme="minorHAnsi" w:cstheme="minorHAnsi"/>
          <w:lang w:val="en-GB"/>
        </w:rPr>
      </w:pPr>
      <w:r w:rsidRPr="007E7514">
        <w:rPr>
          <w:rFonts w:asciiTheme="minorHAnsi" w:hAnsiTheme="minorHAnsi" w:cstheme="minorHAnsi"/>
          <w:lang w:val="en-GB"/>
        </w:rPr>
        <w:br w:type="page"/>
      </w:r>
    </w:p>
    <w:p w14:paraId="0729C642" w14:textId="69C22363" w:rsidR="0094604E" w:rsidRPr="007E7514" w:rsidRDefault="0094604E" w:rsidP="0094604E">
      <w:pPr>
        <w:pStyle w:val="Heading1"/>
        <w:rPr>
          <w:noProof/>
          <w:sz w:val="24"/>
          <w:szCs w:val="24"/>
          <w:lang w:val="en-GB"/>
        </w:rPr>
      </w:pPr>
      <w:bookmarkStart w:id="2" w:name="_Toc76405364"/>
      <w:r w:rsidRPr="007E7514">
        <w:rPr>
          <w:noProof/>
          <w:sz w:val="24"/>
          <w:szCs w:val="24"/>
          <w:lang w:val="en-GB"/>
        </w:rPr>
        <w:lastRenderedPageBreak/>
        <w:t>List of Figures</w:t>
      </w:r>
      <w:bookmarkEnd w:id="2"/>
    </w:p>
    <w:p w14:paraId="56FD8536" w14:textId="77777777" w:rsidR="00423B4D" w:rsidRPr="007E7514" w:rsidRDefault="00423B4D">
      <w:pPr>
        <w:rPr>
          <w:rFonts w:asciiTheme="minorHAnsi" w:hAnsiTheme="minorHAnsi" w:cstheme="minorHAnsi"/>
          <w:lang w:val="en-GB"/>
        </w:rPr>
      </w:pPr>
    </w:p>
    <w:p w14:paraId="22B2ACAC" w14:textId="790C3E3F" w:rsidR="00FE38FE" w:rsidRPr="007E7514" w:rsidRDefault="0094604E" w:rsidP="00FE38FE">
      <w:pPr>
        <w:pStyle w:val="TableofFigures"/>
        <w:tabs>
          <w:tab w:val="right" w:leader="dot" w:pos="9350"/>
        </w:tabs>
        <w:spacing w:before="120"/>
        <w:rPr>
          <w:rFonts w:asciiTheme="minorHAnsi" w:eastAsiaTheme="minorEastAsia" w:hAnsiTheme="minorHAnsi" w:cstheme="minorHAnsi"/>
          <w:noProof/>
          <w:lang w:val="en-GB" w:eastAsia="en-GB"/>
        </w:rPr>
      </w:pPr>
      <w:r w:rsidRPr="007E7514">
        <w:rPr>
          <w:rFonts w:asciiTheme="minorHAnsi" w:hAnsiTheme="minorHAnsi" w:cstheme="minorHAnsi"/>
          <w:lang w:val="en-GB"/>
        </w:rPr>
        <w:fldChar w:fldCharType="begin"/>
      </w:r>
      <w:r w:rsidRPr="007E7514">
        <w:rPr>
          <w:rFonts w:asciiTheme="minorHAnsi" w:hAnsiTheme="minorHAnsi" w:cstheme="minorHAnsi"/>
          <w:lang w:val="en-GB"/>
        </w:rPr>
        <w:instrText xml:space="preserve"> TOC \h \z \c "Figure" </w:instrText>
      </w:r>
      <w:r w:rsidRPr="007E7514">
        <w:rPr>
          <w:rFonts w:asciiTheme="minorHAnsi" w:hAnsiTheme="minorHAnsi" w:cstheme="minorHAnsi"/>
          <w:lang w:val="en-GB"/>
        </w:rPr>
        <w:fldChar w:fldCharType="separate"/>
      </w:r>
      <w:hyperlink w:anchor="_Toc76405616" w:history="1">
        <w:r w:rsidR="00FE38FE" w:rsidRPr="007E7514">
          <w:rPr>
            <w:rStyle w:val="Hyperlink"/>
            <w:rFonts w:asciiTheme="minorHAnsi" w:hAnsiTheme="minorHAnsi" w:cstheme="minorHAnsi"/>
            <w:noProof/>
            <w:lang w:val="en-GB"/>
          </w:rPr>
          <w:t xml:space="preserve">Figure 1: </w:t>
        </w:r>
        <w:r w:rsidR="00FE38FE" w:rsidRPr="007E7514">
          <w:rPr>
            <w:rStyle w:val="Hyperlink"/>
            <w:rFonts w:asciiTheme="minorHAnsi" w:hAnsiTheme="minorHAnsi" w:cstheme="minorHAnsi"/>
            <w:noProof/>
            <w:lang w:val="en-GB" w:eastAsia="zh-CN"/>
          </w:rPr>
          <w:t>Thematic Distribution of Allocated GEF-7 Mercury Project Financing in the Reporting Period (July 1, 2019 to June 30, 2021)</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_Toc76405616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11</w:t>
        </w:r>
        <w:r w:rsidR="00FE38FE" w:rsidRPr="007E7514">
          <w:rPr>
            <w:rFonts w:asciiTheme="minorHAnsi" w:hAnsiTheme="minorHAnsi" w:cstheme="minorHAnsi"/>
            <w:noProof/>
            <w:webHidden/>
            <w:lang w:val="en-GB"/>
          </w:rPr>
          <w:fldChar w:fldCharType="end"/>
        </w:r>
      </w:hyperlink>
    </w:p>
    <w:p w14:paraId="3B9709BE" w14:textId="1DFE1811" w:rsidR="00FE38FE" w:rsidRPr="007E7514" w:rsidRDefault="009E378C" w:rsidP="00FE38FE">
      <w:pPr>
        <w:pStyle w:val="TableofFigures"/>
        <w:tabs>
          <w:tab w:val="right" w:leader="dot" w:pos="9350"/>
        </w:tabs>
        <w:spacing w:before="120"/>
        <w:rPr>
          <w:rFonts w:asciiTheme="minorHAnsi" w:eastAsiaTheme="minorEastAsia" w:hAnsiTheme="minorHAnsi" w:cstheme="minorHAnsi"/>
          <w:noProof/>
          <w:lang w:val="en-GB" w:eastAsia="en-GB"/>
        </w:rPr>
      </w:pPr>
      <w:hyperlink w:anchor="_Toc76405617" w:history="1">
        <w:r w:rsidR="00FE38FE" w:rsidRPr="007E7514">
          <w:rPr>
            <w:rStyle w:val="Hyperlink"/>
            <w:rFonts w:asciiTheme="minorHAnsi" w:hAnsiTheme="minorHAnsi" w:cstheme="minorHAnsi"/>
            <w:noProof/>
            <w:lang w:val="en-GB"/>
          </w:rPr>
          <w:t xml:space="preserve">Figure 2: </w:t>
        </w:r>
        <w:r w:rsidR="00FE38FE" w:rsidRPr="007E7514">
          <w:rPr>
            <w:rStyle w:val="Hyperlink"/>
            <w:rFonts w:asciiTheme="minorHAnsi" w:hAnsiTheme="minorHAnsi" w:cstheme="minorHAnsi"/>
            <w:noProof/>
            <w:lang w:val="en-GB" w:eastAsia="zh-CN"/>
          </w:rPr>
          <w:t>Regional Distribution of GEF-7 Mercury Project Financing by Thematic Areas in the Reporting Period (July 1, 2019 to June 30, 2021)</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_Toc76405617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12</w:t>
        </w:r>
        <w:r w:rsidR="00FE38FE" w:rsidRPr="007E7514">
          <w:rPr>
            <w:rFonts w:asciiTheme="minorHAnsi" w:hAnsiTheme="minorHAnsi" w:cstheme="minorHAnsi"/>
            <w:noProof/>
            <w:webHidden/>
            <w:lang w:val="en-GB"/>
          </w:rPr>
          <w:fldChar w:fldCharType="end"/>
        </w:r>
      </w:hyperlink>
    </w:p>
    <w:p w14:paraId="2C5D8DE6" w14:textId="41CF15FC" w:rsidR="00FE38FE" w:rsidRPr="007E7514" w:rsidRDefault="009E378C" w:rsidP="00FE38FE">
      <w:pPr>
        <w:pStyle w:val="TableofFigures"/>
        <w:tabs>
          <w:tab w:val="right" w:leader="dot" w:pos="9350"/>
        </w:tabs>
        <w:spacing w:before="120"/>
        <w:rPr>
          <w:rFonts w:asciiTheme="minorHAnsi" w:eastAsiaTheme="minorEastAsia" w:hAnsiTheme="minorHAnsi" w:cstheme="minorHAnsi"/>
          <w:noProof/>
          <w:lang w:val="en-GB" w:eastAsia="en-GB"/>
        </w:rPr>
      </w:pPr>
      <w:hyperlink w:anchor="_Toc76405618" w:history="1">
        <w:r w:rsidR="00FE38FE" w:rsidRPr="007E7514">
          <w:rPr>
            <w:rStyle w:val="Hyperlink"/>
            <w:rFonts w:asciiTheme="minorHAnsi" w:hAnsiTheme="minorHAnsi" w:cstheme="minorHAnsi"/>
            <w:noProof/>
            <w:lang w:val="en-GB"/>
          </w:rPr>
          <w:t>Figure 3: Agency Distribution of Allocated GEF-7 Mercury Project Financing in the Reporting Period (July 1, 2019 to June 30, 2021)</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_Toc76405618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12</w:t>
        </w:r>
        <w:r w:rsidR="00FE38FE" w:rsidRPr="007E7514">
          <w:rPr>
            <w:rFonts w:asciiTheme="minorHAnsi" w:hAnsiTheme="minorHAnsi" w:cstheme="minorHAnsi"/>
            <w:noProof/>
            <w:webHidden/>
            <w:lang w:val="en-GB"/>
          </w:rPr>
          <w:fldChar w:fldCharType="end"/>
        </w:r>
      </w:hyperlink>
    </w:p>
    <w:p w14:paraId="1C197C29" w14:textId="369DA7E4" w:rsidR="00FE38FE" w:rsidRPr="007E7514" w:rsidRDefault="009E378C" w:rsidP="00FE38FE">
      <w:pPr>
        <w:pStyle w:val="TableofFigures"/>
        <w:tabs>
          <w:tab w:val="right" w:leader="dot" w:pos="9350"/>
        </w:tabs>
        <w:spacing w:before="120"/>
        <w:rPr>
          <w:rFonts w:asciiTheme="minorHAnsi" w:eastAsiaTheme="minorEastAsia" w:hAnsiTheme="minorHAnsi" w:cstheme="minorHAnsi"/>
          <w:noProof/>
          <w:lang w:val="en-GB" w:eastAsia="en-GB"/>
        </w:rPr>
      </w:pPr>
      <w:hyperlink w:anchor="_Toc76405619" w:history="1">
        <w:r w:rsidR="00FE38FE" w:rsidRPr="007E7514">
          <w:rPr>
            <w:rStyle w:val="Hyperlink"/>
            <w:rFonts w:asciiTheme="minorHAnsi" w:hAnsiTheme="minorHAnsi" w:cstheme="minorHAnsi"/>
            <w:noProof/>
            <w:lang w:val="en-GB"/>
          </w:rPr>
          <w:t xml:space="preserve">Figure 4: </w:t>
        </w:r>
        <w:r w:rsidR="00FE38FE" w:rsidRPr="007E7514">
          <w:rPr>
            <w:rStyle w:val="Hyperlink"/>
            <w:rFonts w:asciiTheme="minorHAnsi" w:hAnsiTheme="minorHAnsi" w:cstheme="minorHAnsi"/>
            <w:noProof/>
            <w:lang w:val="en-GB" w:eastAsia="zh-CN"/>
          </w:rPr>
          <w:t>Number of GEF-7 Mercury Projects and Programs in the Reporting Period (July 1, 2019 to June 30, 2021) by Regions</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_Toc76405619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13</w:t>
        </w:r>
        <w:r w:rsidR="00FE38FE" w:rsidRPr="007E7514">
          <w:rPr>
            <w:rFonts w:asciiTheme="minorHAnsi" w:hAnsiTheme="minorHAnsi" w:cstheme="minorHAnsi"/>
            <w:noProof/>
            <w:webHidden/>
            <w:lang w:val="en-GB"/>
          </w:rPr>
          <w:fldChar w:fldCharType="end"/>
        </w:r>
      </w:hyperlink>
    </w:p>
    <w:p w14:paraId="18BCEEF0" w14:textId="53B8325F" w:rsidR="00FE38FE" w:rsidRPr="007E7514" w:rsidRDefault="009E378C" w:rsidP="00FE38FE">
      <w:pPr>
        <w:pStyle w:val="TableofFigures"/>
        <w:tabs>
          <w:tab w:val="right" w:leader="dot" w:pos="9350"/>
        </w:tabs>
        <w:spacing w:before="120"/>
        <w:rPr>
          <w:rFonts w:asciiTheme="minorHAnsi" w:eastAsiaTheme="minorEastAsia" w:hAnsiTheme="minorHAnsi" w:cstheme="minorHAnsi"/>
          <w:noProof/>
          <w:lang w:val="en-GB" w:eastAsia="en-GB"/>
        </w:rPr>
      </w:pPr>
      <w:hyperlink w:anchor="_Toc76405620" w:history="1">
        <w:r w:rsidR="00FE38FE" w:rsidRPr="007E7514">
          <w:rPr>
            <w:rStyle w:val="Hyperlink"/>
            <w:rFonts w:asciiTheme="minorHAnsi" w:hAnsiTheme="minorHAnsi" w:cstheme="minorHAnsi"/>
            <w:noProof/>
            <w:lang w:val="en-GB"/>
          </w:rPr>
          <w:t>Figure 5: 2015 Mercury Use and Presence of GEF ASGM Interventions at the Country Level</w:t>
        </w:r>
        <w:r w:rsidR="00FE38FE" w:rsidRPr="007E7514">
          <w:rPr>
            <w:rFonts w:asciiTheme="minorHAnsi" w:hAnsiTheme="minorHAnsi" w:cstheme="minorHAnsi"/>
            <w:noProof/>
            <w:webHidden/>
            <w:lang w:val="en-GB"/>
          </w:rPr>
          <w:tab/>
        </w:r>
        <w:r w:rsidR="00FE38FE" w:rsidRPr="007E7514">
          <w:rPr>
            <w:rFonts w:asciiTheme="minorHAnsi" w:hAnsiTheme="minorHAnsi" w:cstheme="minorHAnsi"/>
            <w:noProof/>
            <w:webHidden/>
            <w:lang w:val="en-GB"/>
          </w:rPr>
          <w:fldChar w:fldCharType="begin"/>
        </w:r>
        <w:r w:rsidR="00FE38FE" w:rsidRPr="007E7514">
          <w:rPr>
            <w:rFonts w:asciiTheme="minorHAnsi" w:hAnsiTheme="minorHAnsi" w:cstheme="minorHAnsi"/>
            <w:noProof/>
            <w:webHidden/>
            <w:lang w:val="en-GB"/>
          </w:rPr>
          <w:instrText xml:space="preserve"> PAGEREF _Toc76405620 \h </w:instrText>
        </w:r>
        <w:r w:rsidR="00FE38FE" w:rsidRPr="007E7514">
          <w:rPr>
            <w:rFonts w:asciiTheme="minorHAnsi" w:hAnsiTheme="minorHAnsi" w:cstheme="minorHAnsi"/>
            <w:noProof/>
            <w:webHidden/>
            <w:lang w:val="en-GB"/>
          </w:rPr>
        </w:r>
        <w:r w:rsidR="00FE38FE" w:rsidRPr="007E7514">
          <w:rPr>
            <w:rFonts w:asciiTheme="minorHAnsi" w:hAnsiTheme="minorHAnsi" w:cstheme="minorHAnsi"/>
            <w:noProof/>
            <w:webHidden/>
            <w:lang w:val="en-GB"/>
          </w:rPr>
          <w:fldChar w:fldCharType="separate"/>
        </w:r>
        <w:r w:rsidR="00C604A6">
          <w:rPr>
            <w:rFonts w:asciiTheme="minorHAnsi" w:hAnsiTheme="minorHAnsi" w:cstheme="minorHAnsi"/>
            <w:noProof/>
            <w:webHidden/>
            <w:lang w:val="en-GB"/>
          </w:rPr>
          <w:t>18</w:t>
        </w:r>
        <w:r w:rsidR="00FE38FE" w:rsidRPr="007E7514">
          <w:rPr>
            <w:rFonts w:asciiTheme="minorHAnsi" w:hAnsiTheme="minorHAnsi" w:cstheme="minorHAnsi"/>
            <w:noProof/>
            <w:webHidden/>
            <w:lang w:val="en-GB"/>
          </w:rPr>
          <w:fldChar w:fldCharType="end"/>
        </w:r>
      </w:hyperlink>
    </w:p>
    <w:p w14:paraId="15E3190E" w14:textId="23272FF3" w:rsidR="00423B4D" w:rsidRPr="007E7514" w:rsidRDefault="0094604E">
      <w:pPr>
        <w:rPr>
          <w:rFonts w:asciiTheme="minorHAnsi" w:hAnsiTheme="minorHAnsi" w:cstheme="minorHAnsi"/>
          <w:lang w:val="en-GB"/>
        </w:rPr>
        <w:sectPr w:rsidR="00423B4D" w:rsidRPr="007E7514" w:rsidSect="00BD7490">
          <w:headerReference w:type="even" r:id="rId18"/>
          <w:headerReference w:type="default" r:id="rId19"/>
          <w:footerReference w:type="default" r:id="rId20"/>
          <w:headerReference w:type="first" r:id="rId21"/>
          <w:type w:val="continuous"/>
          <w:pgSz w:w="12240" w:h="15840" w:code="1"/>
          <w:pgMar w:top="1440" w:right="1440" w:bottom="1440" w:left="1440" w:header="720" w:footer="720" w:gutter="0"/>
          <w:pgNumType w:fmt="lowerRoman"/>
          <w:cols w:space="720"/>
          <w:docGrid w:linePitch="326"/>
        </w:sectPr>
      </w:pPr>
      <w:r w:rsidRPr="007E7514">
        <w:rPr>
          <w:rFonts w:asciiTheme="minorHAnsi" w:hAnsiTheme="minorHAnsi" w:cstheme="minorHAnsi"/>
          <w:lang w:val="en-GB"/>
        </w:rPr>
        <w:fldChar w:fldCharType="end"/>
      </w:r>
    </w:p>
    <w:p w14:paraId="4444F9EA" w14:textId="77777777" w:rsidR="0000292F" w:rsidRPr="007E7514" w:rsidRDefault="001E19D2" w:rsidP="005D7C1E">
      <w:pPr>
        <w:pStyle w:val="Heading1"/>
        <w:rPr>
          <w:sz w:val="24"/>
          <w:szCs w:val="24"/>
          <w:lang w:val="en-GB"/>
        </w:rPr>
      </w:pPr>
      <w:bookmarkStart w:id="3" w:name="_bookmark0"/>
      <w:bookmarkStart w:id="4" w:name="_Toc76405365"/>
      <w:bookmarkEnd w:id="3"/>
      <w:r w:rsidRPr="007E7514">
        <w:rPr>
          <w:sz w:val="24"/>
          <w:szCs w:val="24"/>
          <w:lang w:val="en-GB"/>
        </w:rPr>
        <w:lastRenderedPageBreak/>
        <w:t>Abbreviations and Acronyms</w:t>
      </w:r>
      <w:bookmarkEnd w:id="4"/>
    </w:p>
    <w:p w14:paraId="253458F5" w14:textId="77777777" w:rsidR="00905314" w:rsidRPr="007E7514" w:rsidRDefault="00905314">
      <w:pPr>
        <w:pStyle w:val="BodyText"/>
        <w:tabs>
          <w:tab w:val="left" w:pos="1895"/>
        </w:tabs>
        <w:spacing w:before="38"/>
        <w:ind w:left="191" w:right="3875"/>
        <w:rPr>
          <w:rFonts w:asciiTheme="minorHAnsi" w:hAnsiTheme="minorHAnsi" w:cstheme="minorHAnsi"/>
          <w:lang w:val="en-GB"/>
        </w:rPr>
      </w:pPr>
    </w:p>
    <w:p w14:paraId="1DFC72A2" w14:textId="63FACFD2" w:rsidR="00A042C6" w:rsidRPr="007E7514" w:rsidRDefault="00A042C6"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 xml:space="preserve">ASGM </w:t>
      </w:r>
      <w:r w:rsidRPr="007E7514">
        <w:rPr>
          <w:rFonts w:asciiTheme="minorHAnsi" w:hAnsiTheme="minorHAnsi" w:cstheme="minorHAnsi"/>
          <w:lang w:val="en-GB"/>
        </w:rPr>
        <w:tab/>
        <w:t>Artisanal and Small-</w:t>
      </w:r>
      <w:r w:rsidR="00324C27" w:rsidRPr="007E7514">
        <w:rPr>
          <w:rFonts w:asciiTheme="minorHAnsi" w:hAnsiTheme="minorHAnsi" w:cstheme="minorHAnsi"/>
          <w:lang w:val="en-GB"/>
        </w:rPr>
        <w:t>s</w:t>
      </w:r>
      <w:r w:rsidRPr="007E7514">
        <w:rPr>
          <w:rFonts w:asciiTheme="minorHAnsi" w:hAnsiTheme="minorHAnsi" w:cstheme="minorHAnsi"/>
          <w:lang w:val="en-GB"/>
        </w:rPr>
        <w:t>cale Mining</w:t>
      </w:r>
    </w:p>
    <w:p w14:paraId="2D4ABAF0" w14:textId="77777777" w:rsidR="003E7378" w:rsidRPr="007E7514" w:rsidRDefault="003E7378"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BAT</w:t>
      </w:r>
      <w:r w:rsidRPr="007E7514">
        <w:rPr>
          <w:rFonts w:asciiTheme="minorHAnsi" w:hAnsiTheme="minorHAnsi" w:cstheme="minorHAnsi"/>
          <w:lang w:val="en-GB"/>
        </w:rPr>
        <w:tab/>
        <w:t>Best Available Technique</w:t>
      </w:r>
    </w:p>
    <w:p w14:paraId="45B7204A" w14:textId="55ECE160" w:rsidR="003E7378" w:rsidRPr="007E7514" w:rsidRDefault="003E7378"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BEP</w:t>
      </w:r>
      <w:r w:rsidRPr="007E7514">
        <w:rPr>
          <w:rFonts w:asciiTheme="minorHAnsi" w:hAnsiTheme="minorHAnsi" w:cstheme="minorHAnsi"/>
          <w:lang w:val="en-GB"/>
        </w:rPr>
        <w:tab/>
        <w:t>Best Environmental Practice</w:t>
      </w:r>
    </w:p>
    <w:p w14:paraId="7B8EF1C5" w14:textId="59D78E21" w:rsidR="007874CA" w:rsidRPr="007E7514" w:rsidRDefault="007874CA"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BOAD</w:t>
      </w:r>
      <w:r w:rsidRPr="007E7514">
        <w:rPr>
          <w:rFonts w:asciiTheme="minorHAnsi" w:hAnsiTheme="minorHAnsi" w:cstheme="minorHAnsi"/>
          <w:lang w:val="en-GB"/>
        </w:rPr>
        <w:tab/>
        <w:t>West African Development Bank</w:t>
      </w:r>
    </w:p>
    <w:p w14:paraId="6EC0B2E7" w14:textId="28038F65" w:rsidR="00BB1C14" w:rsidRPr="007E7514" w:rsidRDefault="001E19D2"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BRS</w:t>
      </w:r>
      <w:r w:rsidRPr="007E7514">
        <w:rPr>
          <w:rFonts w:asciiTheme="minorHAnsi" w:hAnsiTheme="minorHAnsi" w:cstheme="minorHAnsi"/>
          <w:lang w:val="en-GB"/>
        </w:rPr>
        <w:tab/>
        <w:t>Basel, Rotterdam and Stockholm Conventions</w:t>
      </w:r>
    </w:p>
    <w:p w14:paraId="59822408" w14:textId="3BCAA85C" w:rsidR="0009448F" w:rsidRPr="007E7514" w:rsidRDefault="0009448F"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CBO</w:t>
      </w:r>
      <w:r w:rsidRPr="007E7514">
        <w:rPr>
          <w:rFonts w:asciiTheme="minorHAnsi" w:hAnsiTheme="minorHAnsi" w:cstheme="minorHAnsi"/>
          <w:lang w:val="en-GB"/>
        </w:rPr>
        <w:tab/>
        <w:t>Community-based Organization</w:t>
      </w:r>
    </w:p>
    <w:p w14:paraId="1FE34EAB" w14:textId="0816BF97" w:rsidR="005F2649" w:rsidRPr="007E7514" w:rsidRDefault="005F2649"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CEO</w:t>
      </w:r>
      <w:r w:rsidRPr="007E7514">
        <w:rPr>
          <w:rFonts w:asciiTheme="minorHAnsi" w:hAnsiTheme="minorHAnsi" w:cstheme="minorHAnsi"/>
          <w:lang w:val="en-GB"/>
        </w:rPr>
        <w:tab/>
        <w:t>Chief Executive Officer</w:t>
      </w:r>
    </w:p>
    <w:p w14:paraId="2E63E273" w14:textId="7DF72737" w:rsidR="00BB1C14" w:rsidRPr="007E7514" w:rsidRDefault="00BB1C14" w:rsidP="00200294">
      <w:pPr>
        <w:pStyle w:val="BodyText"/>
        <w:tabs>
          <w:tab w:val="left" w:pos="1895"/>
        </w:tabs>
        <w:rPr>
          <w:rFonts w:asciiTheme="minorHAnsi" w:hAnsiTheme="minorHAnsi" w:cstheme="minorHAnsi"/>
          <w:lang w:val="en-GB"/>
        </w:rPr>
      </w:pPr>
      <w:r w:rsidRPr="007E7514">
        <w:rPr>
          <w:rFonts w:asciiTheme="minorHAnsi" w:hAnsiTheme="minorHAnsi" w:cstheme="minorHAnsi"/>
          <w:lang w:val="en-GB"/>
        </w:rPr>
        <w:t>CI</w:t>
      </w:r>
      <w:r w:rsidRPr="007E7514">
        <w:rPr>
          <w:rFonts w:asciiTheme="minorHAnsi" w:hAnsiTheme="minorHAnsi" w:cstheme="minorHAnsi"/>
          <w:lang w:val="en-GB"/>
        </w:rPr>
        <w:tab/>
        <w:t>Conservation International</w:t>
      </w:r>
    </w:p>
    <w:p w14:paraId="707977E8" w14:textId="45ECC8BA"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COP</w:t>
      </w:r>
      <w:r w:rsidRPr="007E7514">
        <w:rPr>
          <w:rFonts w:asciiTheme="minorHAnsi" w:hAnsiTheme="minorHAnsi" w:cstheme="minorHAnsi"/>
          <w:lang w:val="en-GB"/>
        </w:rPr>
        <w:tab/>
        <w:t>Conference of the Parties</w:t>
      </w:r>
    </w:p>
    <w:p w14:paraId="27DD72B8" w14:textId="69AD1230" w:rsidR="0009448F" w:rsidRPr="007E7514" w:rsidRDefault="0009448F"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CSO</w:t>
      </w:r>
      <w:r w:rsidRPr="007E7514">
        <w:rPr>
          <w:rFonts w:asciiTheme="minorHAnsi" w:hAnsiTheme="minorHAnsi" w:cstheme="minorHAnsi"/>
          <w:lang w:val="en-GB"/>
        </w:rPr>
        <w:tab/>
        <w:t>Civil Society Organization</w:t>
      </w:r>
    </w:p>
    <w:p w14:paraId="5AAC74AC" w14:textId="5996A088" w:rsidR="00AC649C" w:rsidRPr="007E7514" w:rsidRDefault="00AC649C"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EA</w:t>
      </w:r>
      <w:r w:rsidRPr="007E7514">
        <w:rPr>
          <w:rFonts w:asciiTheme="minorHAnsi" w:hAnsiTheme="minorHAnsi" w:cstheme="minorHAnsi"/>
          <w:lang w:val="en-GB"/>
        </w:rPr>
        <w:tab/>
        <w:t>Enabling Activity</w:t>
      </w:r>
    </w:p>
    <w:p w14:paraId="581B862C" w14:textId="2BA0E2F2"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FSP</w:t>
      </w:r>
      <w:r w:rsidRPr="007E7514">
        <w:rPr>
          <w:rFonts w:asciiTheme="minorHAnsi" w:hAnsiTheme="minorHAnsi" w:cstheme="minorHAnsi"/>
          <w:lang w:val="en-GB"/>
        </w:rPr>
        <w:tab/>
        <w:t>Full-</w:t>
      </w:r>
      <w:r w:rsidR="0009448F" w:rsidRPr="007E7514">
        <w:rPr>
          <w:rFonts w:asciiTheme="minorHAnsi" w:hAnsiTheme="minorHAnsi" w:cstheme="minorHAnsi"/>
          <w:lang w:val="en-GB"/>
        </w:rPr>
        <w:t>s</w:t>
      </w:r>
      <w:r w:rsidRPr="007E7514">
        <w:rPr>
          <w:rFonts w:asciiTheme="minorHAnsi" w:hAnsiTheme="minorHAnsi" w:cstheme="minorHAnsi"/>
          <w:lang w:val="en-GB"/>
        </w:rPr>
        <w:t>ize</w:t>
      </w:r>
      <w:r w:rsidR="000E404C" w:rsidRPr="007E7514">
        <w:rPr>
          <w:rFonts w:asciiTheme="minorHAnsi" w:hAnsiTheme="minorHAnsi" w:cstheme="minorHAnsi"/>
          <w:lang w:val="en-GB"/>
        </w:rPr>
        <w:t>d</w:t>
      </w:r>
      <w:r w:rsidRPr="007E7514">
        <w:rPr>
          <w:rFonts w:asciiTheme="minorHAnsi" w:hAnsiTheme="minorHAnsi" w:cstheme="minorHAnsi"/>
          <w:lang w:val="en-GB"/>
        </w:rPr>
        <w:t xml:space="preserve"> Project</w:t>
      </w:r>
    </w:p>
    <w:p w14:paraId="2A96D392" w14:textId="5C51B672" w:rsidR="00B15796" w:rsidRPr="007E7514" w:rsidRDefault="00B15796"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GCF</w:t>
      </w:r>
      <w:r w:rsidRPr="007E7514">
        <w:rPr>
          <w:rFonts w:asciiTheme="minorHAnsi" w:hAnsiTheme="minorHAnsi" w:cstheme="minorHAnsi"/>
          <w:lang w:val="en-GB"/>
        </w:rPr>
        <w:tab/>
        <w:t>Green Climate Fund</w:t>
      </w:r>
    </w:p>
    <w:p w14:paraId="080FBE7A" w14:textId="312ECD0C" w:rsidR="0089017E" w:rsidRPr="007E7514" w:rsidRDefault="0089017E"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GEB</w:t>
      </w:r>
      <w:r w:rsidRPr="007E7514">
        <w:rPr>
          <w:rFonts w:asciiTheme="minorHAnsi" w:hAnsiTheme="minorHAnsi" w:cstheme="minorHAnsi"/>
          <w:lang w:val="en-GB"/>
        </w:rPr>
        <w:tab/>
        <w:t>Global Environmental Benefit</w:t>
      </w:r>
    </w:p>
    <w:p w14:paraId="32F7261E" w14:textId="77777777"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GEF</w:t>
      </w:r>
      <w:r w:rsidRPr="007E7514">
        <w:rPr>
          <w:rFonts w:asciiTheme="minorHAnsi" w:hAnsiTheme="minorHAnsi" w:cstheme="minorHAnsi"/>
          <w:lang w:val="en-GB"/>
        </w:rPr>
        <w:tab/>
        <w:t>Global Environment Facility</w:t>
      </w:r>
    </w:p>
    <w:p w14:paraId="58E30F5B" w14:textId="77777777"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IEO</w:t>
      </w:r>
      <w:r w:rsidRPr="007E7514">
        <w:rPr>
          <w:rFonts w:asciiTheme="minorHAnsi" w:hAnsiTheme="minorHAnsi" w:cstheme="minorHAnsi"/>
          <w:lang w:val="en-GB"/>
        </w:rPr>
        <w:tab/>
        <w:t>Independent Evaluation Office</w:t>
      </w:r>
    </w:p>
    <w:p w14:paraId="19D103C2" w14:textId="4D8D9660" w:rsidR="00F43A96" w:rsidRPr="007E7514" w:rsidRDefault="00F43A96"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INC</w:t>
      </w:r>
      <w:r w:rsidRPr="007E7514">
        <w:rPr>
          <w:rFonts w:asciiTheme="minorHAnsi" w:hAnsiTheme="minorHAnsi" w:cstheme="minorHAnsi"/>
          <w:lang w:val="en-GB"/>
        </w:rPr>
        <w:tab/>
      </w:r>
      <w:r w:rsidR="0027627B" w:rsidRPr="007E7514">
        <w:rPr>
          <w:rFonts w:asciiTheme="minorHAnsi" w:hAnsiTheme="minorHAnsi" w:cstheme="minorHAnsi"/>
          <w:lang w:val="en-GB"/>
        </w:rPr>
        <w:t>Intergovernmental Negotiating Committee</w:t>
      </w:r>
    </w:p>
    <w:p w14:paraId="4BCEACA1" w14:textId="69AD5AEB" w:rsidR="003550E0" w:rsidRPr="007E7514" w:rsidRDefault="00200294" w:rsidP="006D098D">
      <w:pPr>
        <w:pStyle w:val="BodyText"/>
        <w:tabs>
          <w:tab w:val="left" w:pos="1926"/>
        </w:tabs>
        <w:ind w:left="1920" w:hanging="1920"/>
        <w:rPr>
          <w:rFonts w:asciiTheme="minorHAnsi" w:hAnsiTheme="minorHAnsi" w:cstheme="minorHAnsi"/>
          <w:lang w:val="en-GB"/>
        </w:rPr>
      </w:pPr>
      <w:r w:rsidRPr="007E7514">
        <w:rPr>
          <w:rFonts w:asciiTheme="minorHAnsi" w:hAnsiTheme="minorHAnsi" w:cstheme="minorHAnsi"/>
          <w:lang w:val="en-GB"/>
        </w:rPr>
        <w:t>ISLANDS</w:t>
      </w:r>
      <w:r w:rsidR="003550E0" w:rsidRPr="007E7514">
        <w:rPr>
          <w:rFonts w:asciiTheme="minorHAnsi" w:hAnsiTheme="minorHAnsi" w:cstheme="minorHAnsi"/>
          <w:lang w:val="en-GB"/>
        </w:rPr>
        <w:tab/>
      </w:r>
      <w:bookmarkStart w:id="5" w:name="OLE_LINK1"/>
      <w:r w:rsidR="003550E0" w:rsidRPr="007E7514">
        <w:rPr>
          <w:rFonts w:asciiTheme="minorHAnsi" w:hAnsiTheme="minorHAnsi" w:cstheme="minorHAnsi"/>
          <w:lang w:val="en-GB"/>
        </w:rPr>
        <w:t xml:space="preserve">Implementing Sustainable Low and Non-Chemical Development in </w:t>
      </w:r>
      <w:r w:rsidR="006D098D" w:rsidRPr="007E7514">
        <w:rPr>
          <w:rFonts w:asciiTheme="minorHAnsi" w:hAnsiTheme="minorHAnsi" w:cstheme="minorHAnsi"/>
          <w:lang w:val="en-GB"/>
        </w:rPr>
        <w:t>small island developing States</w:t>
      </w:r>
      <w:bookmarkEnd w:id="5"/>
      <w:r w:rsidR="003550E0" w:rsidRPr="007E7514">
        <w:rPr>
          <w:rFonts w:asciiTheme="minorHAnsi" w:hAnsiTheme="minorHAnsi" w:cstheme="minorHAnsi"/>
          <w:lang w:val="en-GB"/>
        </w:rPr>
        <w:t xml:space="preserve">      </w:t>
      </w:r>
    </w:p>
    <w:p w14:paraId="0289D9F6" w14:textId="657C7916"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LDC</w:t>
      </w:r>
      <w:r w:rsidRPr="007E7514">
        <w:rPr>
          <w:rFonts w:asciiTheme="minorHAnsi" w:hAnsiTheme="minorHAnsi" w:cstheme="minorHAnsi"/>
          <w:lang w:val="en-GB"/>
        </w:rPr>
        <w:tab/>
        <w:t>Least Developed Country</w:t>
      </w:r>
    </w:p>
    <w:p w14:paraId="733E2D8F" w14:textId="0DE87E85" w:rsidR="00F35CB4" w:rsidRPr="007E7514" w:rsidRDefault="00F35CB4"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MEA</w:t>
      </w:r>
      <w:r w:rsidRPr="007E7514">
        <w:rPr>
          <w:rFonts w:asciiTheme="minorHAnsi" w:hAnsiTheme="minorHAnsi" w:cstheme="minorHAnsi"/>
          <w:lang w:val="en-GB"/>
        </w:rPr>
        <w:tab/>
        <w:t>Multilateral Environmental Agreement</w:t>
      </w:r>
    </w:p>
    <w:p w14:paraId="7F3EA0D3" w14:textId="77777777"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MIA</w:t>
      </w:r>
      <w:r w:rsidRPr="007E7514">
        <w:rPr>
          <w:rFonts w:asciiTheme="minorHAnsi" w:hAnsiTheme="minorHAnsi" w:cstheme="minorHAnsi"/>
          <w:lang w:val="en-GB"/>
        </w:rPr>
        <w:tab/>
        <w:t>Minamata Initial Assessment</w:t>
      </w:r>
    </w:p>
    <w:p w14:paraId="20ACBB43" w14:textId="77777777"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MOU</w:t>
      </w:r>
      <w:r w:rsidRPr="007E7514">
        <w:rPr>
          <w:rFonts w:asciiTheme="minorHAnsi" w:hAnsiTheme="minorHAnsi" w:cstheme="minorHAnsi"/>
          <w:lang w:val="en-GB"/>
        </w:rPr>
        <w:tab/>
        <w:t>Memorandum of Understanding</w:t>
      </w:r>
    </w:p>
    <w:p w14:paraId="1D98AF84" w14:textId="3A85DA37"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MSP</w:t>
      </w:r>
      <w:r w:rsidRPr="007E7514">
        <w:rPr>
          <w:rFonts w:asciiTheme="minorHAnsi" w:hAnsiTheme="minorHAnsi" w:cstheme="minorHAnsi"/>
          <w:lang w:val="en-GB"/>
        </w:rPr>
        <w:tab/>
        <w:t>Medium-</w:t>
      </w:r>
      <w:r w:rsidR="0009448F" w:rsidRPr="007E7514">
        <w:rPr>
          <w:rFonts w:asciiTheme="minorHAnsi" w:hAnsiTheme="minorHAnsi" w:cstheme="minorHAnsi"/>
          <w:lang w:val="en-GB"/>
        </w:rPr>
        <w:t>s</w:t>
      </w:r>
      <w:r w:rsidRPr="007E7514">
        <w:rPr>
          <w:rFonts w:asciiTheme="minorHAnsi" w:hAnsiTheme="minorHAnsi" w:cstheme="minorHAnsi"/>
          <w:lang w:val="en-GB"/>
        </w:rPr>
        <w:t>ize</w:t>
      </w:r>
      <w:r w:rsidR="000E404C" w:rsidRPr="007E7514">
        <w:rPr>
          <w:rFonts w:asciiTheme="minorHAnsi" w:hAnsiTheme="minorHAnsi" w:cstheme="minorHAnsi"/>
          <w:lang w:val="en-GB"/>
        </w:rPr>
        <w:t>d</w:t>
      </w:r>
      <w:r w:rsidRPr="007E7514">
        <w:rPr>
          <w:rFonts w:asciiTheme="minorHAnsi" w:hAnsiTheme="minorHAnsi" w:cstheme="minorHAnsi"/>
          <w:lang w:val="en-GB"/>
        </w:rPr>
        <w:t xml:space="preserve"> Project</w:t>
      </w:r>
    </w:p>
    <w:p w14:paraId="05921AF2" w14:textId="6BFF4171"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NAP</w:t>
      </w:r>
      <w:r w:rsidRPr="007E7514">
        <w:rPr>
          <w:rFonts w:asciiTheme="minorHAnsi" w:hAnsiTheme="minorHAnsi" w:cstheme="minorHAnsi"/>
          <w:lang w:val="en-GB"/>
        </w:rPr>
        <w:tab/>
        <w:t>National Action Plan</w:t>
      </w:r>
    </w:p>
    <w:p w14:paraId="3A7E85E3" w14:textId="1CDA8F5F" w:rsidR="00B15796" w:rsidRPr="007E7514" w:rsidRDefault="00B15796"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NGO</w:t>
      </w:r>
      <w:r w:rsidRPr="007E7514">
        <w:rPr>
          <w:rFonts w:asciiTheme="minorHAnsi" w:hAnsiTheme="minorHAnsi" w:cstheme="minorHAnsi"/>
          <w:lang w:val="en-GB"/>
        </w:rPr>
        <w:tab/>
        <w:t>Non-governmental Organization</w:t>
      </w:r>
    </w:p>
    <w:p w14:paraId="4CF78866" w14:textId="7DD5346E" w:rsidR="00BF33E3" w:rsidRPr="007E7514" w:rsidRDefault="00BF33E3"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ODS</w:t>
      </w:r>
      <w:r w:rsidRPr="007E7514">
        <w:rPr>
          <w:rFonts w:asciiTheme="minorHAnsi" w:hAnsiTheme="minorHAnsi" w:cstheme="minorHAnsi"/>
          <w:lang w:val="en-GB"/>
        </w:rPr>
        <w:tab/>
        <w:t>Ozone Depleting Substance</w:t>
      </w:r>
    </w:p>
    <w:p w14:paraId="77495AFD" w14:textId="52746950" w:rsidR="00B15796" w:rsidRPr="007E7514" w:rsidRDefault="00B15796"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OPS</w:t>
      </w:r>
      <w:r w:rsidRPr="007E7514">
        <w:rPr>
          <w:rFonts w:asciiTheme="minorHAnsi" w:hAnsiTheme="minorHAnsi" w:cstheme="minorHAnsi"/>
          <w:lang w:val="en-GB"/>
        </w:rPr>
        <w:tab/>
        <w:t>Overall Performance Study</w:t>
      </w:r>
    </w:p>
    <w:p w14:paraId="598E6C57" w14:textId="14F3BD45" w:rsidR="001254C0" w:rsidRPr="007E7514" w:rsidRDefault="001254C0"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PCB</w:t>
      </w:r>
      <w:r w:rsidRPr="007E7514">
        <w:rPr>
          <w:rFonts w:asciiTheme="minorHAnsi" w:hAnsiTheme="minorHAnsi" w:cstheme="minorHAnsi"/>
          <w:lang w:val="en-GB"/>
        </w:rPr>
        <w:tab/>
        <w:t>Polychlorinated Biphenyl</w:t>
      </w:r>
    </w:p>
    <w:p w14:paraId="65B0C0E1" w14:textId="6937490C" w:rsidR="00B30A5F" w:rsidRPr="007E7514" w:rsidRDefault="00B30A5F"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PIF</w:t>
      </w:r>
      <w:r w:rsidRPr="007E7514">
        <w:rPr>
          <w:rFonts w:asciiTheme="minorHAnsi" w:hAnsiTheme="minorHAnsi" w:cstheme="minorHAnsi"/>
          <w:lang w:val="en-GB"/>
        </w:rPr>
        <w:tab/>
        <w:t>Project Identification Form</w:t>
      </w:r>
    </w:p>
    <w:p w14:paraId="15E53C4F" w14:textId="0ECDBEF3" w:rsidR="001B1E5D" w:rsidRPr="007E7514" w:rsidRDefault="001B1E5D"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PFD</w:t>
      </w:r>
      <w:r w:rsidRPr="007E7514">
        <w:rPr>
          <w:rFonts w:asciiTheme="minorHAnsi" w:hAnsiTheme="minorHAnsi" w:cstheme="minorHAnsi"/>
          <w:lang w:val="en-GB"/>
        </w:rPr>
        <w:tab/>
        <w:t>Program Framework Document</w:t>
      </w:r>
    </w:p>
    <w:p w14:paraId="642A2AFB" w14:textId="02995BC6"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POP</w:t>
      </w:r>
      <w:r w:rsidRPr="007E7514">
        <w:rPr>
          <w:rFonts w:asciiTheme="minorHAnsi" w:hAnsiTheme="minorHAnsi" w:cstheme="minorHAnsi"/>
          <w:lang w:val="en-GB"/>
        </w:rPr>
        <w:tab/>
        <w:t>Persistent Organic Pollutant</w:t>
      </w:r>
    </w:p>
    <w:p w14:paraId="506270A7" w14:textId="5E83D8B1" w:rsidR="00AC649C" w:rsidRPr="007E7514" w:rsidRDefault="00AC649C"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PPG</w:t>
      </w:r>
      <w:r w:rsidRPr="007E7514">
        <w:rPr>
          <w:rFonts w:asciiTheme="minorHAnsi" w:hAnsiTheme="minorHAnsi" w:cstheme="minorHAnsi"/>
          <w:lang w:val="en-GB"/>
        </w:rPr>
        <w:tab/>
        <w:t>Project Preparation Grant</w:t>
      </w:r>
    </w:p>
    <w:p w14:paraId="031CD479" w14:textId="766DC2D6" w:rsidR="00845D62" w:rsidRPr="007E7514" w:rsidRDefault="00845D6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PSES</w:t>
      </w:r>
      <w:r w:rsidRPr="007E7514">
        <w:rPr>
          <w:rFonts w:asciiTheme="minorHAnsi" w:hAnsiTheme="minorHAnsi" w:cstheme="minorHAnsi"/>
          <w:lang w:val="en-GB"/>
        </w:rPr>
        <w:tab/>
        <w:t>Private Sector Engagement Strategy</w:t>
      </w:r>
    </w:p>
    <w:p w14:paraId="6BD87191" w14:textId="49FDDBA7" w:rsidR="00BD1E7C" w:rsidRPr="007E7514" w:rsidRDefault="00BD1E7C"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 xml:space="preserve">SAICM </w:t>
      </w:r>
      <w:r w:rsidRPr="007E7514">
        <w:rPr>
          <w:rFonts w:asciiTheme="minorHAnsi" w:hAnsiTheme="minorHAnsi" w:cstheme="minorHAnsi"/>
          <w:lang w:val="en-GB"/>
        </w:rPr>
        <w:tab/>
        <w:t>Strategic Approach to International Chemicals Management</w:t>
      </w:r>
    </w:p>
    <w:p w14:paraId="2AE06C83" w14:textId="3354070E" w:rsidR="00137D54" w:rsidRPr="007E7514" w:rsidRDefault="00137D54"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SDG</w:t>
      </w:r>
      <w:r w:rsidRPr="007E7514">
        <w:rPr>
          <w:rFonts w:asciiTheme="minorHAnsi" w:hAnsiTheme="minorHAnsi" w:cstheme="minorHAnsi"/>
          <w:lang w:val="en-GB"/>
        </w:rPr>
        <w:tab/>
        <w:t>Sustainable Development Goal</w:t>
      </w:r>
    </w:p>
    <w:p w14:paraId="40BFC59C" w14:textId="754346A6" w:rsidR="0000292F" w:rsidRPr="007E7514" w:rsidRDefault="001E19D2" w:rsidP="00200294">
      <w:pPr>
        <w:pStyle w:val="BodyText"/>
        <w:tabs>
          <w:tab w:val="left" w:pos="1926"/>
        </w:tabs>
        <w:ind w:right="1475"/>
        <w:rPr>
          <w:rFonts w:asciiTheme="minorHAnsi" w:hAnsiTheme="minorHAnsi" w:cstheme="minorHAnsi"/>
          <w:lang w:val="en-GB"/>
        </w:rPr>
      </w:pPr>
      <w:r w:rsidRPr="007E7514">
        <w:rPr>
          <w:rFonts w:asciiTheme="minorHAnsi" w:hAnsiTheme="minorHAnsi" w:cstheme="minorHAnsi"/>
          <w:lang w:val="en-GB"/>
        </w:rPr>
        <w:t>SGP</w:t>
      </w:r>
      <w:r w:rsidRPr="007E7514">
        <w:rPr>
          <w:rFonts w:asciiTheme="minorHAnsi" w:hAnsiTheme="minorHAnsi" w:cstheme="minorHAnsi"/>
          <w:lang w:val="en-GB"/>
        </w:rPr>
        <w:tab/>
        <w:t>Small Grant Programme</w:t>
      </w:r>
    </w:p>
    <w:p w14:paraId="180CD721" w14:textId="00C8FB21" w:rsidR="0000292F" w:rsidRPr="007E7514" w:rsidRDefault="001E19D2"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SIDS</w:t>
      </w:r>
      <w:r w:rsidRPr="007E7514">
        <w:rPr>
          <w:rFonts w:asciiTheme="minorHAnsi" w:hAnsiTheme="minorHAnsi" w:cstheme="minorHAnsi"/>
          <w:lang w:val="en-GB"/>
        </w:rPr>
        <w:tab/>
        <w:t>Small Island Developing State</w:t>
      </w:r>
    </w:p>
    <w:p w14:paraId="3956DCEF" w14:textId="0A0F32D2" w:rsidR="00BD1E7C" w:rsidRPr="007E7514" w:rsidRDefault="00BD1E7C"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SIP</w:t>
      </w:r>
      <w:r w:rsidRPr="007E7514">
        <w:rPr>
          <w:rFonts w:asciiTheme="minorHAnsi" w:hAnsiTheme="minorHAnsi" w:cstheme="minorHAnsi"/>
          <w:lang w:val="en-GB"/>
        </w:rPr>
        <w:tab/>
        <w:t>Specific International Program</w:t>
      </w:r>
    </w:p>
    <w:p w14:paraId="041D6115" w14:textId="11CF4DDA" w:rsidR="00E65693" w:rsidRPr="007E7514" w:rsidRDefault="00E65693"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STAP</w:t>
      </w:r>
      <w:r w:rsidRPr="007E7514">
        <w:rPr>
          <w:rFonts w:asciiTheme="minorHAnsi" w:hAnsiTheme="minorHAnsi" w:cstheme="minorHAnsi"/>
          <w:lang w:val="en-GB"/>
        </w:rPr>
        <w:tab/>
        <w:t>Scientific and Technical Advisory Panel</w:t>
      </w:r>
    </w:p>
    <w:p w14:paraId="54EED469" w14:textId="07BDD34A" w:rsidR="00BD1E7C" w:rsidRPr="007E7514" w:rsidRDefault="00BD1E7C"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t>TAG</w:t>
      </w:r>
      <w:r w:rsidRPr="007E7514">
        <w:rPr>
          <w:rFonts w:asciiTheme="minorHAnsi" w:hAnsiTheme="minorHAnsi" w:cstheme="minorHAnsi"/>
          <w:lang w:val="en-GB"/>
        </w:rPr>
        <w:tab/>
        <w:t>Technical Advisory Committee</w:t>
      </w:r>
    </w:p>
    <w:p w14:paraId="3FA5BE37" w14:textId="77777777" w:rsidR="000304EE" w:rsidRPr="007E7514" w:rsidRDefault="001E19D2" w:rsidP="00200294">
      <w:pPr>
        <w:pStyle w:val="BodyText"/>
        <w:tabs>
          <w:tab w:val="left" w:pos="1926"/>
        </w:tabs>
        <w:rPr>
          <w:rFonts w:asciiTheme="minorHAnsi" w:hAnsiTheme="minorHAnsi" w:cstheme="minorHAnsi"/>
          <w:w w:val="99"/>
          <w:lang w:val="en-GB"/>
        </w:rPr>
      </w:pPr>
      <w:r w:rsidRPr="007E7514">
        <w:rPr>
          <w:rFonts w:asciiTheme="minorHAnsi" w:hAnsiTheme="minorHAnsi" w:cstheme="minorHAnsi"/>
          <w:lang w:val="en-GB"/>
        </w:rPr>
        <w:t>UNDP</w:t>
      </w:r>
      <w:r w:rsidRPr="007E7514">
        <w:rPr>
          <w:rFonts w:asciiTheme="minorHAnsi" w:hAnsiTheme="minorHAnsi" w:cstheme="minorHAnsi"/>
          <w:lang w:val="en-GB"/>
        </w:rPr>
        <w:tab/>
        <w:t xml:space="preserve">United Nations </w:t>
      </w:r>
      <w:r w:rsidR="00395A86" w:rsidRPr="007E7514">
        <w:rPr>
          <w:rFonts w:asciiTheme="minorHAnsi" w:hAnsiTheme="minorHAnsi" w:cstheme="minorHAnsi"/>
          <w:lang w:val="en-GB"/>
        </w:rPr>
        <w:t>Development</w:t>
      </w:r>
      <w:r w:rsidR="000304EE" w:rsidRPr="007E7514">
        <w:rPr>
          <w:rFonts w:asciiTheme="minorHAnsi" w:hAnsiTheme="minorHAnsi" w:cstheme="minorHAnsi"/>
          <w:lang w:val="en-GB"/>
        </w:rPr>
        <w:t xml:space="preserve"> </w:t>
      </w:r>
      <w:r w:rsidRPr="007E7514">
        <w:rPr>
          <w:rFonts w:asciiTheme="minorHAnsi" w:hAnsiTheme="minorHAnsi" w:cstheme="minorHAnsi"/>
          <w:lang w:val="en-GB"/>
        </w:rPr>
        <w:t>Programme</w:t>
      </w:r>
      <w:r w:rsidRPr="007E7514">
        <w:rPr>
          <w:rFonts w:asciiTheme="minorHAnsi" w:hAnsiTheme="minorHAnsi" w:cstheme="minorHAnsi"/>
          <w:w w:val="99"/>
          <w:lang w:val="en-GB"/>
        </w:rPr>
        <w:t xml:space="preserve"> </w:t>
      </w:r>
    </w:p>
    <w:p w14:paraId="547F2AC8" w14:textId="77777777" w:rsidR="0000292F" w:rsidRPr="007E7514" w:rsidRDefault="002F04B1" w:rsidP="00200294">
      <w:pPr>
        <w:pStyle w:val="BodyText"/>
        <w:tabs>
          <w:tab w:val="left" w:pos="1926"/>
        </w:tabs>
        <w:rPr>
          <w:rFonts w:asciiTheme="minorHAnsi" w:hAnsiTheme="minorHAnsi" w:cstheme="minorHAnsi"/>
          <w:lang w:val="en-GB"/>
        </w:rPr>
      </w:pPr>
      <w:r w:rsidRPr="007E7514">
        <w:rPr>
          <w:rFonts w:asciiTheme="minorHAnsi" w:hAnsiTheme="minorHAnsi" w:cstheme="minorHAnsi"/>
          <w:lang w:val="en-GB"/>
        </w:rPr>
        <w:lastRenderedPageBreak/>
        <w:t>UNEP</w:t>
      </w:r>
      <w:r w:rsidRPr="007E7514">
        <w:rPr>
          <w:rFonts w:asciiTheme="minorHAnsi" w:hAnsiTheme="minorHAnsi" w:cstheme="minorHAnsi"/>
          <w:lang w:val="en-GB"/>
        </w:rPr>
        <w:tab/>
        <w:t xml:space="preserve">United Nations </w:t>
      </w:r>
      <w:r w:rsidR="001E19D2" w:rsidRPr="007E7514">
        <w:rPr>
          <w:rFonts w:asciiTheme="minorHAnsi" w:hAnsiTheme="minorHAnsi" w:cstheme="minorHAnsi"/>
          <w:lang w:val="en-GB"/>
        </w:rPr>
        <w:t>Environment</w:t>
      </w:r>
      <w:r w:rsidRPr="007E7514">
        <w:rPr>
          <w:rFonts w:asciiTheme="minorHAnsi" w:hAnsiTheme="minorHAnsi" w:cstheme="minorHAnsi"/>
          <w:lang w:val="en-GB"/>
        </w:rPr>
        <w:t xml:space="preserve"> </w:t>
      </w:r>
      <w:r w:rsidR="001E19D2" w:rsidRPr="007E7514">
        <w:rPr>
          <w:rFonts w:asciiTheme="minorHAnsi" w:hAnsiTheme="minorHAnsi" w:cstheme="minorHAnsi"/>
          <w:lang w:val="en-GB"/>
        </w:rPr>
        <w:t>Programme</w:t>
      </w:r>
    </w:p>
    <w:p w14:paraId="2D991C97" w14:textId="77777777" w:rsidR="000304EE" w:rsidRPr="007E7514" w:rsidRDefault="001E19D2" w:rsidP="00200294">
      <w:pPr>
        <w:pStyle w:val="BodyText"/>
        <w:tabs>
          <w:tab w:val="left" w:pos="1926"/>
        </w:tabs>
        <w:ind w:right="90"/>
        <w:rPr>
          <w:rFonts w:asciiTheme="minorHAnsi" w:hAnsiTheme="minorHAnsi" w:cstheme="minorHAnsi"/>
          <w:lang w:val="en-GB"/>
        </w:rPr>
      </w:pPr>
      <w:r w:rsidRPr="007E7514">
        <w:rPr>
          <w:rFonts w:asciiTheme="minorHAnsi" w:hAnsiTheme="minorHAnsi" w:cstheme="minorHAnsi"/>
          <w:lang w:val="en-GB"/>
        </w:rPr>
        <w:t>UNIDO</w:t>
      </w:r>
      <w:r w:rsidRPr="007E7514">
        <w:rPr>
          <w:rFonts w:asciiTheme="minorHAnsi" w:hAnsiTheme="minorHAnsi" w:cstheme="minorHAnsi"/>
          <w:lang w:val="en-GB"/>
        </w:rPr>
        <w:tab/>
        <w:t>United Nations Industrial Development</w:t>
      </w:r>
      <w:r w:rsidR="000304EE" w:rsidRPr="007E7514">
        <w:rPr>
          <w:rFonts w:asciiTheme="minorHAnsi" w:hAnsiTheme="minorHAnsi" w:cstheme="minorHAnsi"/>
          <w:lang w:val="en-GB"/>
        </w:rPr>
        <w:t xml:space="preserve"> </w:t>
      </w:r>
      <w:r w:rsidRPr="007E7514">
        <w:rPr>
          <w:rFonts w:asciiTheme="minorHAnsi" w:hAnsiTheme="minorHAnsi" w:cstheme="minorHAnsi"/>
          <w:lang w:val="en-GB"/>
        </w:rPr>
        <w:t xml:space="preserve">Organization </w:t>
      </w:r>
    </w:p>
    <w:p w14:paraId="65EA8FD7" w14:textId="77777777" w:rsidR="0000292F" w:rsidRPr="007E7514" w:rsidRDefault="001E19D2" w:rsidP="00200294">
      <w:pPr>
        <w:pStyle w:val="BodyText"/>
        <w:tabs>
          <w:tab w:val="left" w:pos="1926"/>
        </w:tabs>
        <w:ind w:right="90"/>
        <w:rPr>
          <w:rFonts w:asciiTheme="minorHAnsi" w:hAnsiTheme="minorHAnsi" w:cstheme="minorHAnsi"/>
          <w:lang w:val="en-GB"/>
        </w:rPr>
      </w:pPr>
      <w:r w:rsidRPr="007E7514">
        <w:rPr>
          <w:rFonts w:asciiTheme="minorHAnsi" w:hAnsiTheme="minorHAnsi" w:cstheme="minorHAnsi"/>
          <w:lang w:val="en-GB"/>
        </w:rPr>
        <w:t>UPOP</w:t>
      </w:r>
      <w:r w:rsidRPr="007E7514">
        <w:rPr>
          <w:rFonts w:asciiTheme="minorHAnsi" w:hAnsiTheme="minorHAnsi" w:cstheme="minorHAnsi"/>
          <w:lang w:val="en-GB"/>
        </w:rPr>
        <w:tab/>
        <w:t>Unintentional Persistent Organic Pollutant</w:t>
      </w:r>
    </w:p>
    <w:p w14:paraId="729D13C7" w14:textId="77777777" w:rsidR="0000292F" w:rsidRPr="007E7514" w:rsidRDefault="0000292F">
      <w:pPr>
        <w:rPr>
          <w:rFonts w:asciiTheme="minorHAnsi" w:hAnsiTheme="minorHAnsi" w:cstheme="minorHAnsi"/>
          <w:lang w:val="en-GB"/>
        </w:rPr>
        <w:sectPr w:rsidR="0000292F" w:rsidRPr="007E7514" w:rsidSect="00165007">
          <w:headerReference w:type="even" r:id="rId22"/>
          <w:headerReference w:type="default" r:id="rId23"/>
          <w:headerReference w:type="first" r:id="rId24"/>
          <w:pgSz w:w="12240" w:h="15840"/>
          <w:pgMar w:top="1440" w:right="1440" w:bottom="1440" w:left="1440" w:header="0" w:footer="1168" w:gutter="0"/>
          <w:pgNumType w:fmt="lowerRoman"/>
          <w:cols w:space="720"/>
          <w:docGrid w:linePitch="326"/>
        </w:sectPr>
      </w:pPr>
    </w:p>
    <w:p w14:paraId="0F0CAFFC" w14:textId="77777777" w:rsidR="005D4850" w:rsidRPr="007E7514" w:rsidRDefault="001E19D2" w:rsidP="005D7C1E">
      <w:pPr>
        <w:pStyle w:val="Heading1"/>
        <w:rPr>
          <w:rFonts w:eastAsiaTheme="minorEastAsia" w:cs="Calibri"/>
          <w:color w:val="000000"/>
          <w:sz w:val="24"/>
          <w:szCs w:val="24"/>
          <w:lang w:val="en-GB" w:eastAsia="zh-CN"/>
        </w:rPr>
      </w:pPr>
      <w:bookmarkStart w:id="6" w:name="_bookmark1"/>
      <w:bookmarkStart w:id="7" w:name="_Toc76405366"/>
      <w:bookmarkEnd w:id="6"/>
      <w:r w:rsidRPr="007E7514">
        <w:rPr>
          <w:sz w:val="24"/>
          <w:szCs w:val="24"/>
          <w:lang w:val="en-GB"/>
        </w:rPr>
        <w:lastRenderedPageBreak/>
        <w:t>Executive Summary</w:t>
      </w:r>
      <w:bookmarkEnd w:id="7"/>
    </w:p>
    <w:p w14:paraId="74C7FF3B" w14:textId="3C113896" w:rsidR="00FD4BC4" w:rsidRPr="007E7514" w:rsidRDefault="001E19D2" w:rsidP="00B7581D">
      <w:pPr>
        <w:pStyle w:val="MainParagraphwith"/>
        <w:rPr>
          <w:lang w:val="en-GB"/>
        </w:rPr>
      </w:pPr>
      <w:bookmarkStart w:id="8" w:name="_Toc519159106"/>
      <w:bookmarkStart w:id="9" w:name="_Toc519159549"/>
      <w:bookmarkStart w:id="10" w:name="_Toc521069758"/>
      <w:bookmarkStart w:id="11" w:name="_Toc521071088"/>
      <w:r w:rsidRPr="007E7514">
        <w:rPr>
          <w:lang w:val="en-GB"/>
        </w:rPr>
        <w:t xml:space="preserve">Article 13 of the Minamata Convention includes the </w:t>
      </w:r>
      <w:r w:rsidR="0088490B" w:rsidRPr="007E7514">
        <w:rPr>
          <w:lang w:val="en-GB"/>
        </w:rPr>
        <w:t>Global Environment Facility (</w:t>
      </w:r>
      <w:r w:rsidRPr="007E7514">
        <w:rPr>
          <w:lang w:val="en-GB"/>
        </w:rPr>
        <w:t>GEF</w:t>
      </w:r>
      <w:r w:rsidR="0088490B" w:rsidRPr="007E7514">
        <w:rPr>
          <w:lang w:val="en-GB"/>
        </w:rPr>
        <w:t>)</w:t>
      </w:r>
      <w:r w:rsidRPr="007E7514">
        <w:rPr>
          <w:lang w:val="en-GB"/>
        </w:rPr>
        <w:t xml:space="preserve"> </w:t>
      </w:r>
      <w:r w:rsidR="009911FA" w:rsidRPr="007E7514">
        <w:rPr>
          <w:lang w:val="en-GB"/>
        </w:rPr>
        <w:t>in the Financial</w:t>
      </w:r>
      <w:r w:rsidRPr="007E7514">
        <w:rPr>
          <w:lang w:val="en-GB"/>
        </w:rPr>
        <w:t xml:space="preserve"> Mechanism </w:t>
      </w:r>
      <w:bookmarkEnd w:id="8"/>
      <w:bookmarkEnd w:id="9"/>
      <w:bookmarkEnd w:id="10"/>
      <w:bookmarkEnd w:id="11"/>
      <w:r w:rsidR="009911FA" w:rsidRPr="007E7514">
        <w:rPr>
          <w:lang w:val="en-GB"/>
        </w:rPr>
        <w:t>to provide new, predictable, adequate and timely financial resources to meet costs in support of implementation of this Convention as agreed by the Conference of the Parties</w:t>
      </w:r>
      <w:r w:rsidR="0097035A" w:rsidRPr="007E7514">
        <w:rPr>
          <w:lang w:val="en-GB"/>
        </w:rPr>
        <w:t xml:space="preserve"> (COP)</w:t>
      </w:r>
      <w:r w:rsidR="009911FA" w:rsidRPr="007E7514">
        <w:rPr>
          <w:lang w:val="en-GB"/>
        </w:rPr>
        <w:t>.</w:t>
      </w:r>
    </w:p>
    <w:p w14:paraId="37976C7A" w14:textId="0CB5D1D5" w:rsidR="009911FA" w:rsidRPr="007E7514" w:rsidRDefault="001E19D2" w:rsidP="00B7581D">
      <w:pPr>
        <w:pStyle w:val="MainParagraphwith"/>
        <w:rPr>
          <w:lang w:val="en-GB"/>
        </w:rPr>
      </w:pPr>
      <w:r w:rsidRPr="007E7514">
        <w:rPr>
          <w:lang w:val="en-GB"/>
        </w:rPr>
        <w:t xml:space="preserve">This report presents the work of the GEF </w:t>
      </w:r>
      <w:r w:rsidR="009911FA" w:rsidRPr="007E7514">
        <w:rPr>
          <w:lang w:val="en-GB"/>
        </w:rPr>
        <w:t>in fulfilling its mandate under the Minamata Convention</w:t>
      </w:r>
      <w:r w:rsidRPr="007E7514">
        <w:rPr>
          <w:lang w:val="en-GB"/>
        </w:rPr>
        <w:t xml:space="preserve"> between </w:t>
      </w:r>
      <w:r w:rsidR="00F6021C" w:rsidRPr="007E7514">
        <w:rPr>
          <w:lang w:val="en-GB"/>
        </w:rPr>
        <w:t>July 1, 201</w:t>
      </w:r>
      <w:r w:rsidR="00BE62FE" w:rsidRPr="007E7514">
        <w:rPr>
          <w:lang w:val="en-GB"/>
        </w:rPr>
        <w:t>9</w:t>
      </w:r>
      <w:r w:rsidR="00F6021C" w:rsidRPr="007E7514">
        <w:rPr>
          <w:lang w:val="en-GB"/>
        </w:rPr>
        <w:t xml:space="preserve"> </w:t>
      </w:r>
      <w:r w:rsidR="00396E45" w:rsidRPr="007E7514">
        <w:rPr>
          <w:lang w:val="en-GB"/>
        </w:rPr>
        <w:t xml:space="preserve">and </w:t>
      </w:r>
      <w:r w:rsidR="00745B15" w:rsidRPr="007E7514">
        <w:rPr>
          <w:lang w:val="en-GB"/>
        </w:rPr>
        <w:t>June 30, 20</w:t>
      </w:r>
      <w:r w:rsidR="00BE62FE" w:rsidRPr="007E7514">
        <w:rPr>
          <w:lang w:val="en-GB"/>
        </w:rPr>
        <w:t>21</w:t>
      </w:r>
      <w:r w:rsidR="00745B15" w:rsidRPr="007E7514">
        <w:rPr>
          <w:lang w:val="en-GB"/>
        </w:rPr>
        <w:t xml:space="preserve"> and</w:t>
      </w:r>
      <w:r w:rsidR="009911FA" w:rsidRPr="007E7514">
        <w:rPr>
          <w:lang w:val="en-GB"/>
        </w:rPr>
        <w:t xml:space="preserve"> </w:t>
      </w:r>
      <w:r w:rsidR="001769F6" w:rsidRPr="007E7514">
        <w:rPr>
          <w:lang w:val="en-GB"/>
        </w:rPr>
        <w:t>its</w:t>
      </w:r>
      <w:r w:rsidR="00EA64FF" w:rsidRPr="007E7514">
        <w:rPr>
          <w:lang w:val="en-GB"/>
        </w:rPr>
        <w:t xml:space="preserve"> </w:t>
      </w:r>
      <w:r w:rsidR="009911FA" w:rsidRPr="007E7514">
        <w:rPr>
          <w:lang w:val="en-GB"/>
        </w:rPr>
        <w:t>respon</w:t>
      </w:r>
      <w:r w:rsidR="001769F6" w:rsidRPr="007E7514">
        <w:rPr>
          <w:lang w:val="en-GB"/>
        </w:rPr>
        <w:t>se</w:t>
      </w:r>
      <w:r w:rsidR="009911FA" w:rsidRPr="007E7514">
        <w:rPr>
          <w:lang w:val="en-GB"/>
        </w:rPr>
        <w:t xml:space="preserve"> to the guidance </w:t>
      </w:r>
      <w:r w:rsidR="006F5A29" w:rsidRPr="007E7514">
        <w:rPr>
          <w:lang w:val="en-GB"/>
        </w:rPr>
        <w:t>received from</w:t>
      </w:r>
      <w:r w:rsidR="009911FA" w:rsidRPr="007E7514">
        <w:rPr>
          <w:lang w:val="en-GB"/>
        </w:rPr>
        <w:t xml:space="preserve"> the COP</w:t>
      </w:r>
      <w:r w:rsidR="008F7DAA" w:rsidRPr="007E7514">
        <w:rPr>
          <w:lang w:val="en-GB"/>
        </w:rPr>
        <w:t xml:space="preserve">. </w:t>
      </w:r>
    </w:p>
    <w:p w14:paraId="4729497B" w14:textId="157330EE" w:rsidR="002D5818" w:rsidRPr="007E7514" w:rsidRDefault="001769F6" w:rsidP="00B7581D">
      <w:pPr>
        <w:pStyle w:val="MainParagraphwith"/>
        <w:rPr>
          <w:lang w:val="en-GB"/>
        </w:rPr>
      </w:pPr>
      <w:r w:rsidRPr="007E7514">
        <w:rPr>
          <w:lang w:val="en-GB"/>
        </w:rPr>
        <w:t>In</w:t>
      </w:r>
      <w:r w:rsidR="5D7FE384" w:rsidRPr="007E7514">
        <w:rPr>
          <w:lang w:val="en-GB"/>
        </w:rPr>
        <w:t xml:space="preserve"> the reporting period, the GEF has approved </w:t>
      </w:r>
      <w:r w:rsidR="003429D5" w:rsidRPr="007E7514">
        <w:rPr>
          <w:lang w:val="en-GB"/>
        </w:rPr>
        <w:t>11</w:t>
      </w:r>
      <w:r w:rsidR="5D7FE384" w:rsidRPr="007E7514">
        <w:rPr>
          <w:lang w:val="en-GB"/>
        </w:rPr>
        <w:t xml:space="preserve"> full-size</w:t>
      </w:r>
      <w:r w:rsidR="00017743" w:rsidRPr="007E7514">
        <w:rPr>
          <w:lang w:val="en-GB"/>
        </w:rPr>
        <w:t>d</w:t>
      </w:r>
      <w:r w:rsidR="5D7FE384" w:rsidRPr="007E7514">
        <w:rPr>
          <w:lang w:val="en-GB"/>
        </w:rPr>
        <w:t xml:space="preserve"> projects (FSPs) covering </w:t>
      </w:r>
      <w:r w:rsidR="00457F2B" w:rsidRPr="007E7514">
        <w:rPr>
          <w:lang w:val="en-GB"/>
        </w:rPr>
        <w:t>23</w:t>
      </w:r>
      <w:r w:rsidR="5D7FE384" w:rsidRPr="007E7514">
        <w:rPr>
          <w:lang w:val="en-GB"/>
        </w:rPr>
        <w:t xml:space="preserve"> countries, </w:t>
      </w:r>
      <w:r w:rsidR="00072BAB" w:rsidRPr="007E7514">
        <w:rPr>
          <w:lang w:val="en-GB"/>
        </w:rPr>
        <w:t>three</w:t>
      </w:r>
      <w:r w:rsidR="5D7FE384" w:rsidRPr="007E7514">
        <w:rPr>
          <w:lang w:val="en-GB"/>
        </w:rPr>
        <w:t xml:space="preserve"> </w:t>
      </w:r>
      <w:r w:rsidR="00457F2B" w:rsidRPr="007E7514">
        <w:rPr>
          <w:lang w:val="en-GB"/>
        </w:rPr>
        <w:t xml:space="preserve">global </w:t>
      </w:r>
      <w:r w:rsidR="5D7FE384" w:rsidRPr="007E7514">
        <w:rPr>
          <w:lang w:val="en-GB"/>
        </w:rPr>
        <w:t>medium</w:t>
      </w:r>
      <w:r w:rsidR="00C3314E" w:rsidRPr="007E7514">
        <w:rPr>
          <w:lang w:val="en-GB"/>
        </w:rPr>
        <w:t>-</w:t>
      </w:r>
      <w:r w:rsidR="5D7FE384" w:rsidRPr="007E7514">
        <w:rPr>
          <w:lang w:val="en-GB"/>
        </w:rPr>
        <w:t>size</w:t>
      </w:r>
      <w:r w:rsidR="00017743" w:rsidRPr="007E7514">
        <w:rPr>
          <w:lang w:val="en-GB"/>
        </w:rPr>
        <w:t>d</w:t>
      </w:r>
      <w:r w:rsidR="5D7FE384" w:rsidRPr="007E7514">
        <w:rPr>
          <w:lang w:val="en-GB"/>
        </w:rPr>
        <w:t xml:space="preserve"> project</w:t>
      </w:r>
      <w:r w:rsidR="0062720B" w:rsidRPr="007E7514">
        <w:rPr>
          <w:lang w:val="en-GB"/>
        </w:rPr>
        <w:t>s</w:t>
      </w:r>
      <w:r w:rsidR="5D7FE384" w:rsidRPr="007E7514">
        <w:rPr>
          <w:lang w:val="en-GB"/>
        </w:rPr>
        <w:t xml:space="preserve"> (MSP</w:t>
      </w:r>
      <w:r w:rsidR="0062720B" w:rsidRPr="007E7514">
        <w:rPr>
          <w:lang w:val="en-GB"/>
        </w:rPr>
        <w:t>s</w:t>
      </w:r>
      <w:r w:rsidR="5D7FE384" w:rsidRPr="007E7514">
        <w:rPr>
          <w:lang w:val="en-GB"/>
        </w:rPr>
        <w:t xml:space="preserve">), </w:t>
      </w:r>
      <w:r w:rsidR="00072BAB" w:rsidRPr="007E7514">
        <w:rPr>
          <w:lang w:val="en-GB"/>
        </w:rPr>
        <w:t>three</w:t>
      </w:r>
      <w:r w:rsidR="5D7FE384" w:rsidRPr="007E7514">
        <w:rPr>
          <w:lang w:val="en-GB"/>
        </w:rPr>
        <w:t xml:space="preserve"> program</w:t>
      </w:r>
      <w:r w:rsidR="00444547" w:rsidRPr="007E7514">
        <w:rPr>
          <w:lang w:val="en-GB"/>
        </w:rPr>
        <w:t>s</w:t>
      </w:r>
      <w:r w:rsidR="5D7FE384" w:rsidRPr="007E7514">
        <w:rPr>
          <w:lang w:val="en-GB"/>
        </w:rPr>
        <w:t xml:space="preserve"> covering </w:t>
      </w:r>
      <w:r w:rsidR="004F2C0C" w:rsidRPr="007E7514">
        <w:rPr>
          <w:lang w:val="en-GB"/>
        </w:rPr>
        <w:t>19</w:t>
      </w:r>
      <w:r w:rsidR="5D7FE384" w:rsidRPr="007E7514">
        <w:rPr>
          <w:lang w:val="en-GB"/>
        </w:rPr>
        <w:t xml:space="preserve"> countries, and </w:t>
      </w:r>
      <w:r w:rsidR="003429D5" w:rsidRPr="007E7514">
        <w:rPr>
          <w:lang w:val="en-GB"/>
        </w:rPr>
        <w:t>1</w:t>
      </w:r>
      <w:r w:rsidR="00652E2B" w:rsidRPr="007E7514">
        <w:rPr>
          <w:lang w:val="en-GB"/>
        </w:rPr>
        <w:t>3</w:t>
      </w:r>
      <w:r w:rsidR="5D7FE384" w:rsidRPr="007E7514">
        <w:rPr>
          <w:lang w:val="en-GB"/>
        </w:rPr>
        <w:t xml:space="preserve"> single</w:t>
      </w:r>
      <w:r w:rsidRPr="007E7514">
        <w:rPr>
          <w:lang w:val="en-GB"/>
        </w:rPr>
        <w:t>-</w:t>
      </w:r>
      <w:r w:rsidR="5D7FE384" w:rsidRPr="007E7514">
        <w:rPr>
          <w:lang w:val="en-GB"/>
        </w:rPr>
        <w:t xml:space="preserve">country enabling activity </w:t>
      </w:r>
      <w:r w:rsidRPr="007E7514">
        <w:rPr>
          <w:lang w:val="en-GB"/>
        </w:rPr>
        <w:t xml:space="preserve">(EA) </w:t>
      </w:r>
      <w:r w:rsidR="5D7FE384" w:rsidRPr="007E7514">
        <w:rPr>
          <w:lang w:val="en-GB"/>
        </w:rPr>
        <w:t>projects.</w:t>
      </w:r>
      <w:r w:rsidR="0066736F" w:rsidRPr="007E7514">
        <w:rPr>
          <w:lang w:val="en-GB"/>
        </w:rPr>
        <w:t xml:space="preserve"> </w:t>
      </w:r>
      <w:r w:rsidR="003E4205" w:rsidRPr="007E7514">
        <w:rPr>
          <w:lang w:val="en-GB"/>
        </w:rPr>
        <w:t>This brings the cumulative GEF-7</w:t>
      </w:r>
      <w:r w:rsidR="008D6B62" w:rsidRPr="007E7514">
        <w:rPr>
          <w:lang w:val="en-GB"/>
        </w:rPr>
        <w:t xml:space="preserve"> total to </w:t>
      </w:r>
      <w:r w:rsidR="004F2C0C" w:rsidRPr="007E7514">
        <w:rPr>
          <w:lang w:val="en-GB"/>
        </w:rPr>
        <w:t xml:space="preserve">14 </w:t>
      </w:r>
      <w:r w:rsidR="001953DE" w:rsidRPr="007E7514">
        <w:rPr>
          <w:lang w:val="en-GB"/>
        </w:rPr>
        <w:t xml:space="preserve">FSPs covering </w:t>
      </w:r>
      <w:r w:rsidR="00C87FE1" w:rsidRPr="007E7514">
        <w:rPr>
          <w:lang w:val="en-GB"/>
        </w:rPr>
        <w:t>38</w:t>
      </w:r>
      <w:r w:rsidR="001953DE" w:rsidRPr="007E7514">
        <w:rPr>
          <w:lang w:val="en-GB"/>
        </w:rPr>
        <w:t xml:space="preserve"> countries, three global MSP</w:t>
      </w:r>
      <w:r w:rsidR="00E17275" w:rsidRPr="007E7514">
        <w:rPr>
          <w:lang w:val="en-GB"/>
        </w:rPr>
        <w:t>s and one sing</w:t>
      </w:r>
      <w:r w:rsidRPr="007E7514">
        <w:rPr>
          <w:lang w:val="en-GB"/>
        </w:rPr>
        <w:t>l</w:t>
      </w:r>
      <w:r w:rsidR="00E17275" w:rsidRPr="007E7514">
        <w:rPr>
          <w:lang w:val="en-GB"/>
        </w:rPr>
        <w:t>e</w:t>
      </w:r>
      <w:r w:rsidRPr="007E7514">
        <w:rPr>
          <w:lang w:val="en-GB"/>
        </w:rPr>
        <w:t>-</w:t>
      </w:r>
      <w:r w:rsidR="00E17275" w:rsidRPr="007E7514">
        <w:rPr>
          <w:lang w:val="en-GB"/>
        </w:rPr>
        <w:t>country MSP</w:t>
      </w:r>
      <w:r w:rsidR="001953DE" w:rsidRPr="007E7514">
        <w:rPr>
          <w:lang w:val="en-GB"/>
        </w:rPr>
        <w:t xml:space="preserve">, </w:t>
      </w:r>
      <w:r w:rsidR="00AE0921" w:rsidRPr="007E7514">
        <w:rPr>
          <w:lang w:val="en-GB"/>
        </w:rPr>
        <w:t>four</w:t>
      </w:r>
      <w:r w:rsidR="001953DE" w:rsidRPr="007E7514">
        <w:rPr>
          <w:lang w:val="en-GB"/>
        </w:rPr>
        <w:t xml:space="preserve"> programs covering </w:t>
      </w:r>
      <w:r w:rsidR="00AE0921" w:rsidRPr="007E7514">
        <w:rPr>
          <w:lang w:val="en-GB"/>
        </w:rPr>
        <w:t>46</w:t>
      </w:r>
      <w:r w:rsidR="001953DE" w:rsidRPr="007E7514">
        <w:rPr>
          <w:lang w:val="en-GB"/>
        </w:rPr>
        <w:t xml:space="preserve"> countries, and 1</w:t>
      </w:r>
      <w:r w:rsidR="00720BF9" w:rsidRPr="007E7514">
        <w:rPr>
          <w:lang w:val="en-GB"/>
        </w:rPr>
        <w:t>7</w:t>
      </w:r>
      <w:r w:rsidR="001953DE" w:rsidRPr="007E7514">
        <w:rPr>
          <w:lang w:val="en-GB"/>
        </w:rPr>
        <w:t xml:space="preserve"> single</w:t>
      </w:r>
      <w:r w:rsidRPr="007E7514">
        <w:rPr>
          <w:lang w:val="en-GB"/>
        </w:rPr>
        <w:t>-</w:t>
      </w:r>
      <w:r w:rsidR="001953DE" w:rsidRPr="007E7514">
        <w:rPr>
          <w:lang w:val="en-GB"/>
        </w:rPr>
        <w:t xml:space="preserve">country </w:t>
      </w:r>
      <w:r w:rsidRPr="007E7514">
        <w:rPr>
          <w:lang w:val="en-GB"/>
        </w:rPr>
        <w:t>EA</w:t>
      </w:r>
      <w:r w:rsidR="001953DE" w:rsidRPr="007E7514">
        <w:rPr>
          <w:lang w:val="en-GB"/>
        </w:rPr>
        <w:t xml:space="preserve"> projects</w:t>
      </w:r>
      <w:r w:rsidR="00BF1566" w:rsidRPr="007E7514">
        <w:rPr>
          <w:lang w:val="en-GB"/>
        </w:rPr>
        <w:t xml:space="preserve">. </w:t>
      </w:r>
    </w:p>
    <w:p w14:paraId="0299B380" w14:textId="6BB100DA" w:rsidR="00FB11C5" w:rsidRPr="007E7514" w:rsidRDefault="00E866E6" w:rsidP="00B7581D">
      <w:pPr>
        <w:pStyle w:val="MainParagraphwith"/>
        <w:rPr>
          <w:lang w:val="en-GB"/>
        </w:rPr>
      </w:pPr>
      <w:r w:rsidRPr="007E7514">
        <w:rPr>
          <w:lang w:val="en-GB"/>
        </w:rPr>
        <w:t>In</w:t>
      </w:r>
      <w:r w:rsidR="00FB11C5" w:rsidRPr="007E7514">
        <w:rPr>
          <w:lang w:val="en-GB"/>
        </w:rPr>
        <w:t xml:space="preserve"> the reporting period</w:t>
      </w:r>
      <w:r w:rsidRPr="007E7514">
        <w:rPr>
          <w:lang w:val="en-GB"/>
        </w:rPr>
        <w:t>,</w:t>
      </w:r>
      <w:r w:rsidR="00FB11C5" w:rsidRPr="007E7514">
        <w:rPr>
          <w:lang w:val="en-GB"/>
        </w:rPr>
        <w:t xml:space="preserve"> </w:t>
      </w:r>
      <w:r w:rsidR="009D0BBD" w:rsidRPr="007E7514">
        <w:rPr>
          <w:lang w:val="en-GB"/>
        </w:rPr>
        <w:t xml:space="preserve">a total of </w:t>
      </w:r>
      <w:r w:rsidR="0002508A" w:rsidRPr="007E7514">
        <w:rPr>
          <w:lang w:val="en-GB"/>
        </w:rPr>
        <w:t>5</w:t>
      </w:r>
      <w:r w:rsidR="00720BF9" w:rsidRPr="007E7514">
        <w:rPr>
          <w:lang w:val="en-GB"/>
        </w:rPr>
        <w:t>8</w:t>
      </w:r>
      <w:r w:rsidR="009D0BBD" w:rsidRPr="007E7514">
        <w:rPr>
          <w:lang w:val="en-GB"/>
        </w:rPr>
        <w:t xml:space="preserve"> countries </w:t>
      </w:r>
      <w:r w:rsidR="00374824" w:rsidRPr="007E7514">
        <w:rPr>
          <w:lang w:val="en-GB"/>
        </w:rPr>
        <w:t xml:space="preserve">have </w:t>
      </w:r>
      <w:r w:rsidR="009D0BBD" w:rsidRPr="007E7514">
        <w:rPr>
          <w:lang w:val="en-GB"/>
        </w:rPr>
        <w:t xml:space="preserve">received support, including </w:t>
      </w:r>
      <w:r w:rsidR="00F23443" w:rsidRPr="007E7514">
        <w:rPr>
          <w:lang w:val="en-GB"/>
        </w:rPr>
        <w:t xml:space="preserve">14 </w:t>
      </w:r>
      <w:r w:rsidRPr="007E7514">
        <w:rPr>
          <w:lang w:val="en-GB"/>
        </w:rPr>
        <w:t>l</w:t>
      </w:r>
      <w:r w:rsidR="00F23443" w:rsidRPr="007E7514">
        <w:rPr>
          <w:lang w:val="en-GB"/>
        </w:rPr>
        <w:t xml:space="preserve">east </w:t>
      </w:r>
      <w:r w:rsidRPr="007E7514">
        <w:rPr>
          <w:lang w:val="en-GB"/>
        </w:rPr>
        <w:t>d</w:t>
      </w:r>
      <w:r w:rsidR="00F23443" w:rsidRPr="007E7514">
        <w:rPr>
          <w:lang w:val="en-GB"/>
        </w:rPr>
        <w:t xml:space="preserve">eveloped </w:t>
      </w:r>
      <w:r w:rsidRPr="007E7514">
        <w:rPr>
          <w:lang w:val="en-GB"/>
        </w:rPr>
        <w:t>c</w:t>
      </w:r>
      <w:r w:rsidR="00F23443" w:rsidRPr="007E7514">
        <w:rPr>
          <w:lang w:val="en-GB"/>
        </w:rPr>
        <w:t xml:space="preserve">ountries (LDCs) and </w:t>
      </w:r>
      <w:r w:rsidR="0091603B" w:rsidRPr="007E7514">
        <w:rPr>
          <w:lang w:val="en-GB"/>
        </w:rPr>
        <w:t xml:space="preserve">seven </w:t>
      </w:r>
      <w:r w:rsidRPr="007E7514">
        <w:rPr>
          <w:lang w:val="en-GB"/>
        </w:rPr>
        <w:t>s</w:t>
      </w:r>
      <w:r w:rsidR="0091603B" w:rsidRPr="007E7514">
        <w:rPr>
          <w:lang w:val="en-GB"/>
        </w:rPr>
        <w:t xml:space="preserve">mall </w:t>
      </w:r>
      <w:r w:rsidRPr="007E7514">
        <w:rPr>
          <w:lang w:val="en-GB"/>
        </w:rPr>
        <w:t>i</w:t>
      </w:r>
      <w:r w:rsidR="0091603B" w:rsidRPr="007E7514">
        <w:rPr>
          <w:lang w:val="en-GB"/>
        </w:rPr>
        <w:t xml:space="preserve">sland </w:t>
      </w:r>
      <w:r w:rsidRPr="007E7514">
        <w:rPr>
          <w:lang w:val="en-GB"/>
        </w:rPr>
        <w:t>d</w:t>
      </w:r>
      <w:r w:rsidR="0091603B" w:rsidRPr="007E7514">
        <w:rPr>
          <w:lang w:val="en-GB"/>
        </w:rPr>
        <w:t>eveloping States (SIDS).</w:t>
      </w:r>
      <w:r w:rsidR="00CB5085" w:rsidRPr="007E7514">
        <w:rPr>
          <w:lang w:val="en-GB"/>
        </w:rPr>
        <w:t xml:space="preserve"> This brings the </w:t>
      </w:r>
      <w:r w:rsidR="00666496" w:rsidRPr="007E7514">
        <w:rPr>
          <w:lang w:val="en-GB"/>
        </w:rPr>
        <w:t xml:space="preserve">cumulative total </w:t>
      </w:r>
      <w:r w:rsidR="004546B0" w:rsidRPr="007E7514">
        <w:rPr>
          <w:lang w:val="en-GB"/>
        </w:rPr>
        <w:t xml:space="preserve">of countries receiving support on </w:t>
      </w:r>
      <w:r w:rsidR="00107E0F" w:rsidRPr="007E7514">
        <w:rPr>
          <w:lang w:val="en-GB"/>
        </w:rPr>
        <w:t xml:space="preserve">mercury </w:t>
      </w:r>
      <w:r w:rsidR="00666496" w:rsidRPr="007E7514">
        <w:rPr>
          <w:lang w:val="en-GB"/>
        </w:rPr>
        <w:t>in</w:t>
      </w:r>
      <w:r w:rsidRPr="007E7514">
        <w:rPr>
          <w:lang w:val="en-GB"/>
        </w:rPr>
        <w:t xml:space="preserve"> </w:t>
      </w:r>
      <w:r w:rsidR="00666496" w:rsidRPr="007E7514">
        <w:rPr>
          <w:lang w:val="en-GB"/>
        </w:rPr>
        <w:t>GEF-7 to</w:t>
      </w:r>
      <w:r w:rsidR="005727E6" w:rsidRPr="007E7514">
        <w:rPr>
          <w:lang w:val="en-GB"/>
        </w:rPr>
        <w:t xml:space="preserve"> </w:t>
      </w:r>
      <w:r w:rsidR="007450AB" w:rsidRPr="007E7514">
        <w:rPr>
          <w:lang w:val="en-GB"/>
        </w:rPr>
        <w:t xml:space="preserve">104 countries, including </w:t>
      </w:r>
      <w:r w:rsidR="007A5879" w:rsidRPr="007E7514">
        <w:rPr>
          <w:lang w:val="en-GB"/>
        </w:rPr>
        <w:t xml:space="preserve">26 LDCs and </w:t>
      </w:r>
      <w:r w:rsidR="002E6E85" w:rsidRPr="007E7514">
        <w:rPr>
          <w:lang w:val="en-GB"/>
        </w:rPr>
        <w:t>34 SIDS.</w:t>
      </w:r>
      <w:r w:rsidR="0091603B" w:rsidRPr="007E7514">
        <w:rPr>
          <w:lang w:val="en-GB"/>
        </w:rPr>
        <w:t xml:space="preserve"> </w:t>
      </w:r>
    </w:p>
    <w:p w14:paraId="15F4C043" w14:textId="216A7909" w:rsidR="002D5818" w:rsidRPr="007E7514" w:rsidRDefault="002D5818" w:rsidP="00B7581D">
      <w:pPr>
        <w:pStyle w:val="MainParagraphwith"/>
        <w:rPr>
          <w:lang w:val="en-GB"/>
        </w:rPr>
      </w:pPr>
      <w:r w:rsidRPr="007E7514">
        <w:rPr>
          <w:lang w:val="en-GB"/>
        </w:rPr>
        <w:t xml:space="preserve">The resources committed </w:t>
      </w:r>
      <w:r w:rsidR="00E866E6" w:rsidRPr="007E7514">
        <w:rPr>
          <w:lang w:val="en-GB"/>
        </w:rPr>
        <w:t>in</w:t>
      </w:r>
      <w:r w:rsidRPr="007E7514">
        <w:rPr>
          <w:lang w:val="en-GB"/>
        </w:rPr>
        <w:t xml:space="preserve"> the reporting period</w:t>
      </w:r>
      <w:r w:rsidR="00F56581" w:rsidRPr="007E7514">
        <w:rPr>
          <w:lang w:val="en-GB"/>
        </w:rPr>
        <w:t xml:space="preserve"> for the implementation of the Minamata Convention</w:t>
      </w:r>
      <w:r w:rsidRPr="007E7514">
        <w:rPr>
          <w:lang w:val="en-GB"/>
        </w:rPr>
        <w:t xml:space="preserve"> </w:t>
      </w:r>
      <w:r w:rsidR="00E866E6" w:rsidRPr="007E7514">
        <w:rPr>
          <w:lang w:val="en-GB"/>
        </w:rPr>
        <w:t>amount</w:t>
      </w:r>
      <w:r w:rsidR="00110E0C" w:rsidRPr="007E7514">
        <w:rPr>
          <w:lang w:val="en-GB"/>
        </w:rPr>
        <w:t>ed</w:t>
      </w:r>
      <w:r w:rsidR="00E866E6" w:rsidRPr="007E7514">
        <w:rPr>
          <w:lang w:val="en-GB"/>
        </w:rPr>
        <w:t xml:space="preserve"> to</w:t>
      </w:r>
      <w:r w:rsidR="00185D48" w:rsidRPr="007E7514">
        <w:rPr>
          <w:lang w:val="en-GB"/>
        </w:rPr>
        <w:t xml:space="preserve"> $</w:t>
      </w:r>
      <w:r w:rsidR="00376DF4" w:rsidRPr="007E7514">
        <w:rPr>
          <w:lang w:val="en-GB"/>
        </w:rPr>
        <w:t>13</w:t>
      </w:r>
      <w:r w:rsidR="00133009" w:rsidRPr="007E7514">
        <w:rPr>
          <w:lang w:val="en-GB"/>
        </w:rPr>
        <w:t>6.3</w:t>
      </w:r>
      <w:r w:rsidR="00585E1F" w:rsidRPr="007E7514">
        <w:rPr>
          <w:lang w:val="en-GB"/>
        </w:rPr>
        <w:t xml:space="preserve"> million.</w:t>
      </w:r>
      <w:r w:rsidR="00185D48" w:rsidRPr="007E7514">
        <w:rPr>
          <w:rStyle w:val="FootnoteReference"/>
          <w:lang w:val="en-GB"/>
        </w:rPr>
        <w:footnoteReference w:id="4"/>
      </w:r>
      <w:r w:rsidR="00934330" w:rsidRPr="007E7514">
        <w:rPr>
          <w:lang w:val="en-GB"/>
        </w:rPr>
        <w:t xml:space="preserve"> This brings the cumulative GEF-7 total </w:t>
      </w:r>
      <w:r w:rsidR="004B7244" w:rsidRPr="007E7514">
        <w:rPr>
          <w:lang w:val="en-GB"/>
        </w:rPr>
        <w:t>to $158.</w:t>
      </w:r>
      <w:r w:rsidR="008F1396" w:rsidRPr="007E7514">
        <w:rPr>
          <w:lang w:val="en-GB"/>
        </w:rPr>
        <w:t>9</w:t>
      </w:r>
      <w:r w:rsidR="00F61050" w:rsidRPr="007E7514">
        <w:rPr>
          <w:lang w:val="en-GB"/>
        </w:rPr>
        <w:t xml:space="preserve"> million.</w:t>
      </w:r>
    </w:p>
    <w:p w14:paraId="6980963D" w14:textId="23A1C413" w:rsidR="003F6632" w:rsidRPr="007E7514" w:rsidRDefault="00374824" w:rsidP="00B7581D">
      <w:pPr>
        <w:pStyle w:val="MainParagraphwith"/>
        <w:rPr>
          <w:lang w:val="en-GB"/>
        </w:rPr>
      </w:pPr>
      <w:r w:rsidRPr="007E7514">
        <w:rPr>
          <w:lang w:val="en-GB"/>
        </w:rPr>
        <w:t>In</w:t>
      </w:r>
      <w:r w:rsidR="006120DD" w:rsidRPr="007E7514">
        <w:rPr>
          <w:lang w:val="en-GB"/>
        </w:rPr>
        <w:t xml:space="preserve"> the reporting period</w:t>
      </w:r>
      <w:r w:rsidR="00162E36" w:rsidRPr="007E7514">
        <w:rPr>
          <w:lang w:val="en-GB"/>
        </w:rPr>
        <w:t>,</w:t>
      </w:r>
      <w:r w:rsidR="006120DD" w:rsidRPr="007E7514">
        <w:rPr>
          <w:lang w:val="en-GB"/>
        </w:rPr>
        <w:t xml:space="preserve"> </w:t>
      </w:r>
      <w:r w:rsidR="003F6632" w:rsidRPr="007E7514">
        <w:rPr>
          <w:lang w:val="en-GB"/>
        </w:rPr>
        <w:t>GEF resources</w:t>
      </w:r>
      <w:r w:rsidR="00A75A3B" w:rsidRPr="007E7514">
        <w:rPr>
          <w:lang w:val="en-GB"/>
        </w:rPr>
        <w:t xml:space="preserve"> have</w:t>
      </w:r>
      <w:r w:rsidR="003F6632" w:rsidRPr="007E7514">
        <w:rPr>
          <w:lang w:val="en-GB"/>
        </w:rPr>
        <w:t xml:space="preserve"> supported</w:t>
      </w:r>
      <w:r w:rsidR="006120DD" w:rsidRPr="007E7514">
        <w:rPr>
          <w:lang w:val="en-GB"/>
        </w:rPr>
        <w:t xml:space="preserve"> </w:t>
      </w:r>
      <w:r w:rsidR="009A44ED" w:rsidRPr="007E7514">
        <w:rPr>
          <w:lang w:val="en-GB"/>
        </w:rPr>
        <w:t>six</w:t>
      </w:r>
      <w:r w:rsidR="003F6632" w:rsidRPr="007E7514">
        <w:rPr>
          <w:lang w:val="en-GB"/>
        </w:rPr>
        <w:t xml:space="preserve"> Minamata Initial Assessment</w:t>
      </w:r>
      <w:r w:rsidRPr="007E7514">
        <w:rPr>
          <w:lang w:val="en-GB"/>
        </w:rPr>
        <w:t>s</w:t>
      </w:r>
      <w:r w:rsidR="003F6632" w:rsidRPr="007E7514">
        <w:rPr>
          <w:lang w:val="en-GB"/>
        </w:rPr>
        <w:t xml:space="preserve"> (MIA</w:t>
      </w:r>
      <w:r w:rsidRPr="007E7514">
        <w:rPr>
          <w:lang w:val="en-GB"/>
        </w:rPr>
        <w:t>s</w:t>
      </w:r>
      <w:r w:rsidR="003F6632" w:rsidRPr="007E7514">
        <w:rPr>
          <w:lang w:val="en-GB"/>
        </w:rPr>
        <w:t>)</w:t>
      </w:r>
      <w:r w:rsidR="006120DD" w:rsidRPr="007E7514">
        <w:rPr>
          <w:lang w:val="en-GB"/>
        </w:rPr>
        <w:t xml:space="preserve">.  </w:t>
      </w:r>
      <w:r w:rsidRPr="007E7514">
        <w:rPr>
          <w:lang w:val="en-GB"/>
        </w:rPr>
        <w:t xml:space="preserve">Cumulatively, </w:t>
      </w:r>
      <w:r w:rsidR="006120DD" w:rsidRPr="007E7514">
        <w:rPr>
          <w:lang w:val="en-GB"/>
        </w:rPr>
        <w:t>GEF resources have supported 11</w:t>
      </w:r>
      <w:r w:rsidR="00D35AA8" w:rsidRPr="007E7514">
        <w:rPr>
          <w:lang w:val="en-GB"/>
        </w:rPr>
        <w:t>7</w:t>
      </w:r>
      <w:r w:rsidR="006120DD" w:rsidRPr="007E7514">
        <w:rPr>
          <w:lang w:val="en-GB"/>
        </w:rPr>
        <w:t xml:space="preserve"> countries to conduct MIAs</w:t>
      </w:r>
      <w:r w:rsidR="00585E1F" w:rsidRPr="007E7514">
        <w:rPr>
          <w:lang w:val="en-GB"/>
        </w:rPr>
        <w:t>.</w:t>
      </w:r>
      <w:r w:rsidR="002405AA" w:rsidRPr="007E7514">
        <w:rPr>
          <w:rStyle w:val="FootnoteReference"/>
          <w:lang w:val="en-GB"/>
        </w:rPr>
        <w:footnoteReference w:id="5"/>
      </w:r>
      <w:r w:rsidR="00BF26FA" w:rsidRPr="007E7514">
        <w:rPr>
          <w:lang w:val="en-GB"/>
        </w:rPr>
        <w:t xml:space="preserve"> </w:t>
      </w:r>
      <w:r w:rsidR="009A44ED" w:rsidRPr="007E7514">
        <w:rPr>
          <w:lang w:val="en-GB"/>
        </w:rPr>
        <w:t xml:space="preserve">As </w:t>
      </w:r>
      <w:r w:rsidR="002654C5" w:rsidRPr="007E7514">
        <w:rPr>
          <w:lang w:val="en-GB"/>
        </w:rPr>
        <w:t>of</w:t>
      </w:r>
      <w:r w:rsidR="009A44ED" w:rsidRPr="007E7514">
        <w:rPr>
          <w:lang w:val="en-GB"/>
        </w:rPr>
        <w:t xml:space="preserve"> June 30, 2021,</w:t>
      </w:r>
      <w:r w:rsidR="00BF26FA" w:rsidRPr="007E7514">
        <w:rPr>
          <w:lang w:val="en-GB"/>
        </w:rPr>
        <w:t xml:space="preserve"> </w:t>
      </w:r>
      <w:r w:rsidR="00771340" w:rsidRPr="007E7514">
        <w:rPr>
          <w:lang w:val="en-GB"/>
        </w:rPr>
        <w:t xml:space="preserve">59 MIAs have </w:t>
      </w:r>
      <w:r w:rsidR="00A9387F" w:rsidRPr="007E7514">
        <w:rPr>
          <w:lang w:val="en-GB"/>
        </w:rPr>
        <w:t>been submitted to the Minamata Convention</w:t>
      </w:r>
      <w:r w:rsidR="00A25A4A" w:rsidRPr="007E7514">
        <w:rPr>
          <w:lang w:val="en-GB"/>
        </w:rPr>
        <w:t xml:space="preserve"> Secretariat</w:t>
      </w:r>
      <w:r w:rsidR="00A9387F" w:rsidRPr="007E7514">
        <w:rPr>
          <w:lang w:val="en-GB"/>
        </w:rPr>
        <w:t>.</w:t>
      </w:r>
      <w:r w:rsidR="00A9387F" w:rsidRPr="007E7514">
        <w:rPr>
          <w:rStyle w:val="FootnoteReference"/>
          <w:lang w:val="en-GB"/>
        </w:rPr>
        <w:footnoteReference w:id="6"/>
      </w:r>
    </w:p>
    <w:p w14:paraId="0510A271" w14:textId="30144069" w:rsidR="002405AA" w:rsidRPr="007E7514" w:rsidRDefault="009A44ED" w:rsidP="00B7581D">
      <w:pPr>
        <w:pStyle w:val="MainParagraphwith"/>
        <w:rPr>
          <w:lang w:val="en-GB"/>
        </w:rPr>
      </w:pPr>
      <w:r w:rsidRPr="007E7514">
        <w:rPr>
          <w:lang w:val="en-GB"/>
        </w:rPr>
        <w:t>Eight</w:t>
      </w:r>
      <w:r w:rsidR="006120DD" w:rsidRPr="007E7514">
        <w:rPr>
          <w:lang w:val="en-GB"/>
        </w:rPr>
        <w:t xml:space="preserve"> </w:t>
      </w:r>
      <w:r w:rsidR="003F6632" w:rsidRPr="007E7514">
        <w:rPr>
          <w:lang w:val="en-GB"/>
        </w:rPr>
        <w:t xml:space="preserve">National Action Plans </w:t>
      </w:r>
      <w:r w:rsidR="00162E36" w:rsidRPr="007E7514">
        <w:rPr>
          <w:lang w:val="en-GB"/>
        </w:rPr>
        <w:t xml:space="preserve">(NAPs) </w:t>
      </w:r>
      <w:r w:rsidR="003F6632" w:rsidRPr="007E7514">
        <w:rPr>
          <w:lang w:val="en-GB"/>
        </w:rPr>
        <w:t>for Artisanal and Small-</w:t>
      </w:r>
      <w:r w:rsidRPr="007E7514">
        <w:rPr>
          <w:lang w:val="en-GB"/>
        </w:rPr>
        <w:t>s</w:t>
      </w:r>
      <w:r w:rsidR="003F6632" w:rsidRPr="007E7514">
        <w:rPr>
          <w:lang w:val="en-GB"/>
        </w:rPr>
        <w:t>cale Gold Mining (</w:t>
      </w:r>
      <w:r w:rsidR="00162E36" w:rsidRPr="007E7514">
        <w:rPr>
          <w:lang w:val="en-GB"/>
        </w:rPr>
        <w:t>ASGM</w:t>
      </w:r>
      <w:r w:rsidR="003F6632" w:rsidRPr="007E7514">
        <w:rPr>
          <w:lang w:val="en-GB"/>
        </w:rPr>
        <w:t xml:space="preserve">) </w:t>
      </w:r>
      <w:r w:rsidRPr="007E7514">
        <w:rPr>
          <w:lang w:val="en-GB"/>
        </w:rPr>
        <w:t>have</w:t>
      </w:r>
      <w:r w:rsidR="003F6632" w:rsidRPr="007E7514">
        <w:rPr>
          <w:lang w:val="en-GB"/>
        </w:rPr>
        <w:t xml:space="preserve"> also </w:t>
      </w:r>
      <w:r w:rsidRPr="007E7514">
        <w:rPr>
          <w:lang w:val="en-GB"/>
        </w:rPr>
        <w:t xml:space="preserve">been </w:t>
      </w:r>
      <w:r w:rsidR="003F6632" w:rsidRPr="007E7514">
        <w:rPr>
          <w:lang w:val="en-GB"/>
        </w:rPr>
        <w:t>supported</w:t>
      </w:r>
      <w:r w:rsidRPr="007E7514">
        <w:rPr>
          <w:lang w:val="en-GB"/>
        </w:rPr>
        <w:t xml:space="preserve"> in the reporting period,</w:t>
      </w:r>
      <w:r w:rsidR="007B6C94" w:rsidRPr="007E7514">
        <w:rPr>
          <w:rStyle w:val="FootnoteReference"/>
          <w:lang w:val="en-GB"/>
        </w:rPr>
        <w:footnoteReference w:id="7"/>
      </w:r>
      <w:r w:rsidR="00585E1F" w:rsidRPr="007E7514">
        <w:rPr>
          <w:lang w:val="en-GB"/>
        </w:rPr>
        <w:t xml:space="preserve"> </w:t>
      </w:r>
      <w:r w:rsidRPr="007E7514">
        <w:rPr>
          <w:lang w:val="en-GB"/>
        </w:rPr>
        <w:t>bringing the total to</w:t>
      </w:r>
      <w:r w:rsidR="003429D5" w:rsidRPr="007E7514">
        <w:rPr>
          <w:lang w:val="en-GB"/>
        </w:rPr>
        <w:t xml:space="preserve"> 4</w:t>
      </w:r>
      <w:r w:rsidR="00FB1968" w:rsidRPr="007E7514">
        <w:rPr>
          <w:lang w:val="en-GB"/>
        </w:rPr>
        <w:t>3</w:t>
      </w:r>
      <w:r w:rsidR="00585E1F" w:rsidRPr="007E7514">
        <w:rPr>
          <w:lang w:val="en-GB"/>
        </w:rPr>
        <w:t xml:space="preserve"> </w:t>
      </w:r>
      <w:r w:rsidR="003F6632" w:rsidRPr="007E7514">
        <w:rPr>
          <w:lang w:val="en-GB"/>
        </w:rPr>
        <w:t>countries receiv</w:t>
      </w:r>
      <w:r w:rsidR="00585E1F" w:rsidRPr="007E7514">
        <w:rPr>
          <w:lang w:val="en-GB"/>
        </w:rPr>
        <w:t>ing</w:t>
      </w:r>
      <w:r w:rsidR="003F6632" w:rsidRPr="007E7514">
        <w:rPr>
          <w:lang w:val="en-GB"/>
        </w:rPr>
        <w:t xml:space="preserve"> support.</w:t>
      </w:r>
      <w:r w:rsidR="00FE5EB7" w:rsidRPr="007E7514">
        <w:rPr>
          <w:lang w:val="en-GB"/>
        </w:rPr>
        <w:t xml:space="preserve"> </w:t>
      </w:r>
      <w:r w:rsidRPr="007E7514">
        <w:rPr>
          <w:lang w:val="en-GB"/>
        </w:rPr>
        <w:t>As at June 30, 2021,</w:t>
      </w:r>
      <w:r w:rsidR="00FE5EB7" w:rsidRPr="007E7514">
        <w:rPr>
          <w:lang w:val="en-GB"/>
        </w:rPr>
        <w:t xml:space="preserve"> </w:t>
      </w:r>
      <w:r w:rsidR="00FE0AF9" w:rsidRPr="007E7514">
        <w:rPr>
          <w:lang w:val="en-GB"/>
        </w:rPr>
        <w:t xml:space="preserve">fourteen </w:t>
      </w:r>
      <w:r w:rsidR="00F955CF" w:rsidRPr="007E7514">
        <w:rPr>
          <w:lang w:val="en-GB"/>
        </w:rPr>
        <w:t>NAPs have been submitted to the Minamata Convention</w:t>
      </w:r>
      <w:r w:rsidR="00A25A4A" w:rsidRPr="007E7514">
        <w:rPr>
          <w:lang w:val="en-GB"/>
        </w:rPr>
        <w:t xml:space="preserve"> Secretariat</w:t>
      </w:r>
      <w:r w:rsidR="00F955CF" w:rsidRPr="007E7514">
        <w:rPr>
          <w:lang w:val="en-GB"/>
        </w:rPr>
        <w:t>.</w:t>
      </w:r>
      <w:r w:rsidR="00E14939" w:rsidRPr="007E7514">
        <w:rPr>
          <w:rStyle w:val="FootnoteReference"/>
          <w:lang w:val="en-GB"/>
        </w:rPr>
        <w:footnoteReference w:id="8"/>
      </w:r>
    </w:p>
    <w:p w14:paraId="6A347B53" w14:textId="39F1FA7E" w:rsidR="007207D5" w:rsidRPr="007E7514" w:rsidRDefault="00E45BF7" w:rsidP="00B7581D">
      <w:pPr>
        <w:pStyle w:val="MainParagraphwith"/>
        <w:rPr>
          <w:lang w:val="en-GB"/>
        </w:rPr>
      </w:pPr>
      <w:r w:rsidRPr="007E7514">
        <w:rPr>
          <w:lang w:val="en-GB"/>
        </w:rPr>
        <w:t>T</w:t>
      </w:r>
      <w:r w:rsidR="003000F5" w:rsidRPr="007E7514">
        <w:rPr>
          <w:lang w:val="en-GB"/>
        </w:rPr>
        <w:t>he</w:t>
      </w:r>
      <w:r w:rsidRPr="007E7514">
        <w:rPr>
          <w:lang w:val="en-GB"/>
        </w:rPr>
        <w:t xml:space="preserve"> </w:t>
      </w:r>
      <w:r w:rsidR="0088490B" w:rsidRPr="007E7514">
        <w:rPr>
          <w:lang w:val="en-GB"/>
        </w:rPr>
        <w:t xml:space="preserve">GEF </w:t>
      </w:r>
      <w:r w:rsidRPr="007E7514">
        <w:rPr>
          <w:lang w:val="en-GB"/>
        </w:rPr>
        <w:t>chemicals and waste</w:t>
      </w:r>
      <w:r w:rsidR="00A75A3B" w:rsidRPr="007E7514">
        <w:rPr>
          <w:lang w:val="en-GB"/>
        </w:rPr>
        <w:t xml:space="preserve"> </w:t>
      </w:r>
      <w:r w:rsidR="003000F5" w:rsidRPr="007E7514">
        <w:rPr>
          <w:lang w:val="en-GB"/>
        </w:rPr>
        <w:t>portfolio</w:t>
      </w:r>
      <w:r w:rsidR="00BD325F" w:rsidRPr="007E7514">
        <w:rPr>
          <w:lang w:val="en-GB"/>
        </w:rPr>
        <w:t>,</w:t>
      </w:r>
      <w:r w:rsidRPr="007E7514">
        <w:rPr>
          <w:lang w:val="en-GB"/>
        </w:rPr>
        <w:t xml:space="preserve"> which includes mercury</w:t>
      </w:r>
      <w:r w:rsidR="00BD325F" w:rsidRPr="007E7514">
        <w:rPr>
          <w:lang w:val="en-GB"/>
        </w:rPr>
        <w:t>,</w:t>
      </w:r>
      <w:r w:rsidR="003000F5" w:rsidRPr="007E7514">
        <w:rPr>
          <w:lang w:val="en-GB"/>
        </w:rPr>
        <w:t xml:space="preserve"> leveraged </w:t>
      </w:r>
      <w:r w:rsidR="006120DD" w:rsidRPr="007E7514">
        <w:rPr>
          <w:lang w:val="en-GB"/>
        </w:rPr>
        <w:t>$</w:t>
      </w:r>
      <w:r w:rsidR="00024AD3" w:rsidRPr="007E7514">
        <w:rPr>
          <w:lang w:val="en-GB"/>
        </w:rPr>
        <w:t>6</w:t>
      </w:r>
      <w:r w:rsidR="00D976FA" w:rsidRPr="007E7514">
        <w:rPr>
          <w:lang w:val="en-GB"/>
        </w:rPr>
        <w:t xml:space="preserve"> </w:t>
      </w:r>
      <w:r w:rsidR="0089017E" w:rsidRPr="007E7514">
        <w:rPr>
          <w:lang w:val="en-GB"/>
        </w:rPr>
        <w:t xml:space="preserve">from </w:t>
      </w:r>
      <w:r w:rsidR="0089017E" w:rsidRPr="007E7514">
        <w:rPr>
          <w:lang w:val="en-GB"/>
        </w:rPr>
        <w:br/>
      </w:r>
      <w:r w:rsidR="0089017E" w:rsidRPr="007E7514">
        <w:rPr>
          <w:lang w:val="en-GB"/>
        </w:rPr>
        <w:lastRenderedPageBreak/>
        <w:t xml:space="preserve">co-financing </w:t>
      </w:r>
      <w:r w:rsidR="00D976FA" w:rsidRPr="007E7514">
        <w:rPr>
          <w:lang w:val="en-GB"/>
        </w:rPr>
        <w:t>f</w:t>
      </w:r>
      <w:r w:rsidR="003000F5" w:rsidRPr="007E7514">
        <w:rPr>
          <w:lang w:val="en-GB"/>
        </w:rPr>
        <w:t xml:space="preserve">or every </w:t>
      </w:r>
      <w:r w:rsidR="006120DD" w:rsidRPr="007E7514">
        <w:rPr>
          <w:lang w:val="en-GB"/>
        </w:rPr>
        <w:t>$</w:t>
      </w:r>
      <w:r w:rsidR="00C67FDE" w:rsidRPr="007E7514">
        <w:rPr>
          <w:lang w:val="en-GB"/>
        </w:rPr>
        <w:t xml:space="preserve">1 </w:t>
      </w:r>
      <w:r w:rsidR="003000F5" w:rsidRPr="007E7514">
        <w:rPr>
          <w:lang w:val="en-GB"/>
        </w:rPr>
        <w:t xml:space="preserve">invested </w:t>
      </w:r>
      <w:r w:rsidR="0089017E" w:rsidRPr="007E7514">
        <w:rPr>
          <w:lang w:val="en-GB"/>
        </w:rPr>
        <w:t>by the GEF in</w:t>
      </w:r>
      <w:r w:rsidR="00A75A3B" w:rsidRPr="007E7514">
        <w:rPr>
          <w:lang w:val="en-GB"/>
        </w:rPr>
        <w:t xml:space="preserve"> the reporting period</w:t>
      </w:r>
      <w:r w:rsidR="003000F5" w:rsidRPr="007E7514">
        <w:rPr>
          <w:lang w:val="en-GB"/>
        </w:rPr>
        <w:t>.</w:t>
      </w:r>
      <w:r w:rsidR="006550BE" w:rsidRPr="007E7514">
        <w:rPr>
          <w:rStyle w:val="FootnoteReference"/>
          <w:lang w:val="en-GB"/>
        </w:rPr>
        <w:footnoteReference w:id="9"/>
      </w:r>
    </w:p>
    <w:p w14:paraId="65A1340D" w14:textId="2383111F" w:rsidR="00653059" w:rsidRPr="007E7514" w:rsidRDefault="003552FD" w:rsidP="00B7581D">
      <w:pPr>
        <w:pStyle w:val="MainParagraphwith"/>
        <w:rPr>
          <w:lang w:val="en-GB"/>
        </w:rPr>
      </w:pPr>
      <w:r w:rsidRPr="007E7514">
        <w:rPr>
          <w:lang w:val="en-GB"/>
        </w:rPr>
        <w:t>The GEF-7 results framework includes a core indicator</w:t>
      </w:r>
      <w:r w:rsidR="00BD325F" w:rsidRPr="007E7514">
        <w:rPr>
          <w:lang w:val="en-GB"/>
        </w:rPr>
        <w:t xml:space="preserve"> </w:t>
      </w:r>
      <w:r w:rsidRPr="007E7514">
        <w:rPr>
          <w:lang w:val="en-GB"/>
        </w:rPr>
        <w:t xml:space="preserve">to measure </w:t>
      </w:r>
      <w:r w:rsidR="0089017E" w:rsidRPr="007E7514">
        <w:rPr>
          <w:lang w:val="en-GB"/>
        </w:rPr>
        <w:t xml:space="preserve">the </w:t>
      </w:r>
      <w:r w:rsidRPr="007E7514">
        <w:rPr>
          <w:lang w:val="en-GB"/>
        </w:rPr>
        <w:t>results in the chemicals and waste focal area.</w:t>
      </w:r>
      <w:r w:rsidR="00BD325F" w:rsidRPr="007E7514">
        <w:rPr>
          <w:rStyle w:val="FootnoteReference"/>
          <w:lang w:val="en-GB"/>
        </w:rPr>
        <w:footnoteReference w:id="10"/>
      </w:r>
      <w:r w:rsidR="00BD325F" w:rsidRPr="007E7514">
        <w:rPr>
          <w:lang w:val="en-GB"/>
        </w:rPr>
        <w:t xml:space="preserve"> </w:t>
      </w:r>
      <w:r w:rsidRPr="007E7514">
        <w:rPr>
          <w:lang w:val="en-GB"/>
        </w:rPr>
        <w:t xml:space="preserve">This core indicator has a target of </w:t>
      </w:r>
      <w:r w:rsidR="0089017E" w:rsidRPr="007E7514">
        <w:rPr>
          <w:lang w:val="en-GB"/>
        </w:rPr>
        <w:t xml:space="preserve">addressing </w:t>
      </w:r>
      <w:r w:rsidRPr="007E7514">
        <w:rPr>
          <w:lang w:val="en-GB"/>
        </w:rPr>
        <w:t xml:space="preserve">100,000 </w:t>
      </w:r>
      <w:r w:rsidR="00266EC1" w:rsidRPr="007E7514">
        <w:rPr>
          <w:lang w:val="en-GB"/>
        </w:rPr>
        <w:t xml:space="preserve">metric tons </w:t>
      </w:r>
      <w:r w:rsidRPr="007E7514">
        <w:rPr>
          <w:lang w:val="en-GB"/>
        </w:rPr>
        <w:t>of chemicals and waste</w:t>
      </w:r>
      <w:r w:rsidR="0089017E" w:rsidRPr="007E7514">
        <w:rPr>
          <w:lang w:val="en-GB"/>
        </w:rPr>
        <w:t>,</w:t>
      </w:r>
      <w:r w:rsidRPr="007E7514">
        <w:rPr>
          <w:lang w:val="en-GB"/>
        </w:rPr>
        <w:t xml:space="preserve"> including mercury. </w:t>
      </w:r>
      <w:r w:rsidR="00E7685E" w:rsidRPr="007E7514">
        <w:rPr>
          <w:lang w:val="en-GB"/>
        </w:rPr>
        <w:t>There is no stand-alone target for mercury in</w:t>
      </w:r>
      <w:r w:rsidR="0089017E" w:rsidRPr="007E7514">
        <w:rPr>
          <w:lang w:val="en-GB"/>
        </w:rPr>
        <w:t xml:space="preserve"> </w:t>
      </w:r>
      <w:r w:rsidR="00E7685E" w:rsidRPr="007E7514">
        <w:rPr>
          <w:lang w:val="en-GB"/>
        </w:rPr>
        <w:t>GEF-7.</w:t>
      </w:r>
      <w:r w:rsidR="001A2A5B" w:rsidRPr="007E7514">
        <w:rPr>
          <w:lang w:val="en-GB"/>
        </w:rPr>
        <w:t xml:space="preserve"> </w:t>
      </w:r>
      <w:r w:rsidR="00771AB2" w:rsidRPr="007E7514">
        <w:rPr>
          <w:lang w:val="en-GB"/>
        </w:rPr>
        <w:t>The GEF</w:t>
      </w:r>
      <w:r w:rsidR="00D73C3D" w:rsidRPr="007E7514">
        <w:rPr>
          <w:lang w:val="en-GB"/>
        </w:rPr>
        <w:t xml:space="preserve"> expect</w:t>
      </w:r>
      <w:r w:rsidR="00771AB2" w:rsidRPr="007E7514">
        <w:rPr>
          <w:lang w:val="en-GB"/>
        </w:rPr>
        <w:t>s</w:t>
      </w:r>
      <w:r w:rsidR="00D73C3D" w:rsidRPr="007E7514">
        <w:rPr>
          <w:lang w:val="en-GB"/>
        </w:rPr>
        <w:t xml:space="preserve"> that </w:t>
      </w:r>
      <w:r w:rsidR="00626FF9" w:rsidRPr="007E7514">
        <w:rPr>
          <w:lang w:val="en-GB"/>
        </w:rPr>
        <w:t>793.1</w:t>
      </w:r>
      <w:r w:rsidR="009539F2" w:rsidRPr="007E7514">
        <w:rPr>
          <w:lang w:val="en-GB"/>
        </w:rPr>
        <w:t xml:space="preserve"> </w:t>
      </w:r>
      <w:r w:rsidRPr="007E7514">
        <w:rPr>
          <w:lang w:val="en-GB"/>
        </w:rPr>
        <w:t xml:space="preserve">metric tons of mercury </w:t>
      </w:r>
      <w:r w:rsidR="00D73C3D" w:rsidRPr="007E7514">
        <w:rPr>
          <w:lang w:val="en-GB"/>
        </w:rPr>
        <w:t>will</w:t>
      </w:r>
      <w:r w:rsidRPr="007E7514">
        <w:rPr>
          <w:lang w:val="en-GB"/>
        </w:rPr>
        <w:t xml:space="preserve"> be addressed by the projects</w:t>
      </w:r>
      <w:r w:rsidR="0097035A" w:rsidRPr="007E7514">
        <w:rPr>
          <w:lang w:val="en-GB"/>
        </w:rPr>
        <w:t xml:space="preserve"> that </w:t>
      </w:r>
      <w:r w:rsidR="00BD3BC7" w:rsidRPr="007E7514">
        <w:rPr>
          <w:lang w:val="en-GB"/>
        </w:rPr>
        <w:t>have been</w:t>
      </w:r>
      <w:r w:rsidR="0097035A" w:rsidRPr="007E7514">
        <w:rPr>
          <w:lang w:val="en-GB"/>
        </w:rPr>
        <w:t xml:space="preserve"> approved </w:t>
      </w:r>
      <w:r w:rsidR="0089017E" w:rsidRPr="007E7514">
        <w:rPr>
          <w:lang w:val="en-GB"/>
        </w:rPr>
        <w:t>in</w:t>
      </w:r>
      <w:r w:rsidR="0097035A" w:rsidRPr="007E7514">
        <w:rPr>
          <w:lang w:val="en-GB"/>
        </w:rPr>
        <w:t xml:space="preserve"> th</w:t>
      </w:r>
      <w:r w:rsidR="00BD3BC7" w:rsidRPr="007E7514">
        <w:rPr>
          <w:lang w:val="en-GB"/>
        </w:rPr>
        <w:t>e</w:t>
      </w:r>
      <w:r w:rsidR="0097035A" w:rsidRPr="007E7514">
        <w:rPr>
          <w:lang w:val="en-GB"/>
        </w:rPr>
        <w:t xml:space="preserve"> reporting period</w:t>
      </w:r>
      <w:r w:rsidRPr="007E7514">
        <w:rPr>
          <w:lang w:val="en-GB"/>
        </w:rPr>
        <w:t>.</w:t>
      </w:r>
      <w:r w:rsidR="00A1516B" w:rsidRPr="007E7514">
        <w:rPr>
          <w:lang w:val="en-GB"/>
        </w:rPr>
        <w:t xml:space="preserve"> </w:t>
      </w:r>
      <w:bookmarkStart w:id="14" w:name="_Hlk74119079"/>
      <w:r w:rsidR="00A1516B" w:rsidRPr="007E7514">
        <w:rPr>
          <w:lang w:val="en-GB"/>
        </w:rPr>
        <w:t>This brings the cumulative GEF-7 total to</w:t>
      </w:r>
      <w:r w:rsidR="005664E3" w:rsidRPr="007E7514">
        <w:rPr>
          <w:lang w:val="en-GB"/>
        </w:rPr>
        <w:t xml:space="preserve"> </w:t>
      </w:r>
      <w:r w:rsidR="00320910" w:rsidRPr="007E7514">
        <w:rPr>
          <w:lang w:val="en-GB"/>
        </w:rPr>
        <w:t xml:space="preserve">1,956.1 </w:t>
      </w:r>
      <w:r w:rsidR="00587EA4" w:rsidRPr="007E7514">
        <w:rPr>
          <w:lang w:val="en-GB"/>
        </w:rPr>
        <w:t>metric tons</w:t>
      </w:r>
      <w:r w:rsidR="00493C77" w:rsidRPr="007E7514">
        <w:rPr>
          <w:lang w:val="en-GB"/>
        </w:rPr>
        <w:t xml:space="preserve"> of </w:t>
      </w:r>
      <w:r w:rsidR="00BD3BC7" w:rsidRPr="007E7514">
        <w:rPr>
          <w:lang w:val="en-GB"/>
        </w:rPr>
        <w:t xml:space="preserve">addressed </w:t>
      </w:r>
      <w:r w:rsidR="00493C77" w:rsidRPr="007E7514">
        <w:rPr>
          <w:lang w:val="en-GB"/>
        </w:rPr>
        <w:t>mercury</w:t>
      </w:r>
      <w:r w:rsidR="00587EA4" w:rsidRPr="007E7514">
        <w:rPr>
          <w:lang w:val="en-GB"/>
        </w:rPr>
        <w:t>.</w:t>
      </w:r>
      <w:bookmarkEnd w:id="14"/>
    </w:p>
    <w:p w14:paraId="3A6B2DCF" w14:textId="552B9064" w:rsidR="00653059" w:rsidRPr="007E7514" w:rsidRDefault="00037A3D" w:rsidP="00B7581D">
      <w:pPr>
        <w:pStyle w:val="MainParagraphwith"/>
        <w:rPr>
          <w:lang w:val="en-GB"/>
        </w:rPr>
      </w:pPr>
      <w:r w:rsidRPr="007E7514">
        <w:rPr>
          <w:lang w:val="en-GB"/>
        </w:rPr>
        <w:t xml:space="preserve">In accordance with the guidance received from the Minamata Convention COP and the COP </w:t>
      </w:r>
      <w:r w:rsidR="00662BEF" w:rsidRPr="007E7514">
        <w:rPr>
          <w:lang w:val="en-GB"/>
        </w:rPr>
        <w:t>to</w:t>
      </w:r>
      <w:r w:rsidRPr="007E7514">
        <w:rPr>
          <w:lang w:val="en-GB"/>
        </w:rPr>
        <w:t xml:space="preserve"> the Stockholm Convention on Persistent Organic Pollutants (POPs), the GEF chemicals and waste focal area Programming Directions were developed along sectoral lines, permitting integrated programming across this and other focal areas. </w:t>
      </w:r>
      <w:r w:rsidR="0089017E" w:rsidRPr="007E7514">
        <w:rPr>
          <w:lang w:val="en-GB"/>
        </w:rPr>
        <w:t>Fifty-four</w:t>
      </w:r>
      <w:r w:rsidR="009A14A6" w:rsidRPr="007E7514">
        <w:rPr>
          <w:lang w:val="en-GB"/>
        </w:rPr>
        <w:t xml:space="preserve"> percent</w:t>
      </w:r>
      <w:r w:rsidR="00653059" w:rsidRPr="007E7514">
        <w:rPr>
          <w:lang w:val="en-GB"/>
        </w:rPr>
        <w:t xml:space="preserve"> of the FSPs and programs funded </w:t>
      </w:r>
      <w:r w:rsidR="0089017E" w:rsidRPr="007E7514">
        <w:rPr>
          <w:lang w:val="en-GB"/>
        </w:rPr>
        <w:t>in</w:t>
      </w:r>
      <w:r w:rsidR="00653059" w:rsidRPr="007E7514">
        <w:rPr>
          <w:lang w:val="en-GB"/>
        </w:rPr>
        <w:t xml:space="preserve"> the reporting period </w:t>
      </w:r>
      <w:r w:rsidR="00BD3BC7" w:rsidRPr="007E7514">
        <w:rPr>
          <w:lang w:val="en-GB"/>
        </w:rPr>
        <w:t xml:space="preserve">have </w:t>
      </w:r>
      <w:r w:rsidR="00653059" w:rsidRPr="007E7514">
        <w:rPr>
          <w:lang w:val="en-GB"/>
        </w:rPr>
        <w:t>tackle</w:t>
      </w:r>
      <w:r w:rsidR="00BD3BC7" w:rsidRPr="007E7514">
        <w:rPr>
          <w:lang w:val="en-GB"/>
        </w:rPr>
        <w:t>d</w:t>
      </w:r>
      <w:r w:rsidR="00653059" w:rsidRPr="007E7514">
        <w:rPr>
          <w:lang w:val="en-GB"/>
        </w:rPr>
        <w:t xml:space="preserve"> </w:t>
      </w:r>
      <w:r w:rsidR="0089017E" w:rsidRPr="007E7514">
        <w:rPr>
          <w:lang w:val="en-GB"/>
        </w:rPr>
        <w:t>matters</w:t>
      </w:r>
      <w:r w:rsidR="00653059" w:rsidRPr="007E7514">
        <w:rPr>
          <w:lang w:val="en-GB"/>
        </w:rPr>
        <w:t xml:space="preserve"> related to both Convention</w:t>
      </w:r>
      <w:r w:rsidRPr="007E7514">
        <w:rPr>
          <w:lang w:val="en-GB"/>
        </w:rPr>
        <w:t>s</w:t>
      </w:r>
      <w:r w:rsidR="0089017E" w:rsidRPr="007E7514">
        <w:rPr>
          <w:lang w:val="en-GB"/>
        </w:rPr>
        <w:t xml:space="preserve">, </w:t>
      </w:r>
      <w:r w:rsidR="00653059" w:rsidRPr="007E7514">
        <w:rPr>
          <w:lang w:val="en-GB"/>
        </w:rPr>
        <w:t xml:space="preserve">which </w:t>
      </w:r>
      <w:r w:rsidRPr="007E7514">
        <w:rPr>
          <w:lang w:val="en-GB"/>
        </w:rPr>
        <w:t xml:space="preserve">facilitates synergies between them and </w:t>
      </w:r>
      <w:r w:rsidR="00653059" w:rsidRPr="007E7514">
        <w:rPr>
          <w:lang w:val="en-GB"/>
        </w:rPr>
        <w:t xml:space="preserve">allows </w:t>
      </w:r>
      <w:r w:rsidRPr="007E7514">
        <w:rPr>
          <w:lang w:val="en-GB"/>
        </w:rPr>
        <w:t>the achievement of</w:t>
      </w:r>
      <w:r w:rsidR="00653059" w:rsidRPr="007E7514">
        <w:rPr>
          <w:lang w:val="en-GB"/>
        </w:rPr>
        <w:t xml:space="preserve"> multiple </w:t>
      </w:r>
      <w:r w:rsidRPr="007E7514">
        <w:rPr>
          <w:lang w:val="en-GB"/>
        </w:rPr>
        <w:t>Global Environmental B</w:t>
      </w:r>
      <w:r w:rsidR="00653059" w:rsidRPr="007E7514">
        <w:rPr>
          <w:lang w:val="en-GB"/>
        </w:rPr>
        <w:t xml:space="preserve">enefits </w:t>
      </w:r>
      <w:r w:rsidRPr="007E7514">
        <w:rPr>
          <w:lang w:val="en-GB"/>
        </w:rPr>
        <w:t>(GEBs). In addition to  mercury reductions,</w:t>
      </w:r>
      <w:r w:rsidR="00365A25" w:rsidRPr="007E7514">
        <w:rPr>
          <w:lang w:val="en-GB"/>
        </w:rPr>
        <w:t xml:space="preserve"> </w:t>
      </w:r>
      <w:r w:rsidRPr="007E7514">
        <w:rPr>
          <w:lang w:val="en-GB"/>
        </w:rPr>
        <w:t>this</w:t>
      </w:r>
      <w:r w:rsidR="00BD09CF" w:rsidRPr="007E7514">
        <w:rPr>
          <w:lang w:val="en-GB"/>
        </w:rPr>
        <w:t xml:space="preserve"> reporting period</w:t>
      </w:r>
      <w:r w:rsidRPr="007E7514">
        <w:rPr>
          <w:lang w:val="en-GB"/>
        </w:rPr>
        <w:t xml:space="preserve"> </w:t>
      </w:r>
      <w:r w:rsidR="00653059" w:rsidRPr="007E7514">
        <w:rPr>
          <w:lang w:val="en-GB"/>
        </w:rPr>
        <w:t>includ</w:t>
      </w:r>
      <w:r w:rsidRPr="007E7514">
        <w:rPr>
          <w:lang w:val="en-GB"/>
        </w:rPr>
        <w:t>ed</w:t>
      </w:r>
      <w:r w:rsidR="00BD09CF" w:rsidRPr="007E7514">
        <w:rPr>
          <w:lang w:val="en-GB"/>
        </w:rPr>
        <w:t xml:space="preserve"> benefits of</w:t>
      </w:r>
      <w:r w:rsidR="00653059" w:rsidRPr="007E7514">
        <w:rPr>
          <w:lang w:val="en-GB"/>
        </w:rPr>
        <w:t xml:space="preserve"> reducing 1,920.9 metric tons of</w:t>
      </w:r>
      <w:r w:rsidR="00A32400" w:rsidRPr="007E7514">
        <w:rPr>
          <w:lang w:val="en-GB"/>
        </w:rPr>
        <w:t xml:space="preserve"> </w:t>
      </w:r>
      <w:r w:rsidR="00653059" w:rsidRPr="007E7514">
        <w:rPr>
          <w:lang w:val="en-GB"/>
        </w:rPr>
        <w:t>POPs, dispos</w:t>
      </w:r>
      <w:r w:rsidR="001F239D" w:rsidRPr="007E7514">
        <w:rPr>
          <w:lang w:val="en-GB"/>
        </w:rPr>
        <w:t>ing</w:t>
      </w:r>
      <w:r w:rsidR="00653059" w:rsidRPr="007E7514">
        <w:rPr>
          <w:lang w:val="en-GB"/>
        </w:rPr>
        <w:t xml:space="preserve"> </w:t>
      </w:r>
      <w:r w:rsidR="00BD09CF" w:rsidRPr="007E7514">
        <w:rPr>
          <w:lang w:val="en-GB"/>
        </w:rPr>
        <w:t xml:space="preserve">of </w:t>
      </w:r>
      <w:r w:rsidR="00653059" w:rsidRPr="007E7514">
        <w:rPr>
          <w:lang w:val="en-GB"/>
        </w:rPr>
        <w:t>2,457,316.</w:t>
      </w:r>
      <w:r w:rsidR="00580ED6" w:rsidRPr="007E7514">
        <w:rPr>
          <w:lang w:val="en-GB"/>
        </w:rPr>
        <w:t>4</w:t>
      </w:r>
      <w:r w:rsidR="00653059" w:rsidRPr="007E7514">
        <w:rPr>
          <w:lang w:val="en-GB"/>
        </w:rPr>
        <w:t xml:space="preserve"> metric tons of POPs and mercury</w:t>
      </w:r>
      <w:r w:rsidR="00AF7D93" w:rsidRPr="007E7514">
        <w:rPr>
          <w:lang w:val="en-GB"/>
        </w:rPr>
        <w:t>-</w:t>
      </w:r>
      <w:r w:rsidR="00653059" w:rsidRPr="007E7514">
        <w:rPr>
          <w:lang w:val="en-GB"/>
        </w:rPr>
        <w:t>containing material, reducing 560.5 gT</w:t>
      </w:r>
      <w:r w:rsidR="006F255D" w:rsidRPr="007E7514">
        <w:rPr>
          <w:lang w:val="en-GB"/>
        </w:rPr>
        <w:t>EQ</w:t>
      </w:r>
      <w:r w:rsidR="00653059" w:rsidRPr="007E7514">
        <w:rPr>
          <w:lang w:val="en-GB"/>
        </w:rPr>
        <w:t xml:space="preserve"> </w:t>
      </w:r>
      <w:r w:rsidR="00F40E1E" w:rsidRPr="007E7514">
        <w:rPr>
          <w:lang w:val="en-GB"/>
        </w:rPr>
        <w:t xml:space="preserve">of </w:t>
      </w:r>
      <w:r w:rsidR="00AF7D93" w:rsidRPr="007E7514">
        <w:rPr>
          <w:lang w:val="en-GB"/>
        </w:rPr>
        <w:t>unintentional POP (</w:t>
      </w:r>
      <w:r w:rsidR="00653059" w:rsidRPr="007E7514">
        <w:rPr>
          <w:lang w:val="en-GB"/>
        </w:rPr>
        <w:t>UPOP</w:t>
      </w:r>
      <w:r w:rsidR="00AF7D93" w:rsidRPr="007E7514">
        <w:rPr>
          <w:lang w:val="en-GB"/>
        </w:rPr>
        <w:t>)</w:t>
      </w:r>
      <w:r w:rsidR="00653059" w:rsidRPr="007E7514">
        <w:rPr>
          <w:lang w:val="en-GB"/>
        </w:rPr>
        <w:t xml:space="preserve"> emissions, </w:t>
      </w:r>
      <w:r w:rsidR="00F40E1E" w:rsidRPr="007E7514">
        <w:rPr>
          <w:lang w:val="en-GB"/>
        </w:rPr>
        <w:t xml:space="preserve">improving </w:t>
      </w:r>
      <w:r w:rsidR="00653059" w:rsidRPr="007E7514">
        <w:rPr>
          <w:lang w:val="en-GB"/>
        </w:rPr>
        <w:t xml:space="preserve">300,000 hectares of landscapes, reducing 549,951.9 metric tons </w:t>
      </w:r>
      <w:r w:rsidR="00F40E1E" w:rsidRPr="007E7514">
        <w:rPr>
          <w:lang w:val="en-GB"/>
        </w:rPr>
        <w:t xml:space="preserve">of </w:t>
      </w:r>
      <w:r w:rsidR="00653059" w:rsidRPr="007E7514">
        <w:rPr>
          <w:lang w:val="en-GB"/>
        </w:rPr>
        <w:t>CO</w:t>
      </w:r>
      <w:r w:rsidR="00653059" w:rsidRPr="007E7514">
        <w:rPr>
          <w:vertAlign w:val="subscript"/>
          <w:lang w:val="en-GB"/>
        </w:rPr>
        <w:t>2</w:t>
      </w:r>
      <w:r w:rsidR="00F40E1E" w:rsidRPr="007E7514">
        <w:rPr>
          <w:lang w:val="en-GB"/>
        </w:rPr>
        <w:t xml:space="preserve"> </w:t>
      </w:r>
      <w:r w:rsidR="00ED091A" w:rsidRPr="007E7514">
        <w:rPr>
          <w:lang w:val="en-GB"/>
        </w:rPr>
        <w:t>eq</w:t>
      </w:r>
      <w:r w:rsidR="00653059" w:rsidRPr="007E7514">
        <w:rPr>
          <w:lang w:val="en-GB"/>
        </w:rPr>
        <w:t xml:space="preserve"> and </w:t>
      </w:r>
      <w:r w:rsidR="00F40E1E" w:rsidRPr="007E7514">
        <w:rPr>
          <w:lang w:val="en-GB"/>
        </w:rPr>
        <w:t xml:space="preserve">avoiding </w:t>
      </w:r>
      <w:r w:rsidR="00653059" w:rsidRPr="007E7514">
        <w:rPr>
          <w:lang w:val="en-GB"/>
        </w:rPr>
        <w:t xml:space="preserve">4,200 metric tons of marine litter. </w:t>
      </w:r>
    </w:p>
    <w:p w14:paraId="034F2592" w14:textId="3C1E9EC7" w:rsidR="00350AD1" w:rsidRPr="007E7514" w:rsidRDefault="00350AD1" w:rsidP="00350AD1">
      <w:pPr>
        <w:pStyle w:val="MainParagraphwith"/>
        <w:rPr>
          <w:lang w:val="en-GB"/>
        </w:rPr>
      </w:pPr>
      <w:r w:rsidRPr="007E7514">
        <w:rPr>
          <w:lang w:val="en-GB"/>
        </w:rPr>
        <w:t>As governments have striven to find the best ways to cope with the COVID-19 pandemic’s massive impact on the societies, the GEF has worked with countries and Agencies to ensure that the support for chemicals and waste priorities continues to be provided, with the approval of 98 projects and programs from the GEF Council in December 2020 and June 2021. The GEF developed a guidance framework that has helped project proponents to identify risks and opportunities related to the pandemic and incorporate them into project design and preparation. The GEF Secretariat has reviewed the projects for consideration by the Councils in accordance with this guidance framework. Furthermore, the GEF granted two extensions of project submission deadlines to allow for more flexibility in project preparation and avoid unnecessary cancellations, as Agencies and their national counterparts moved to work online.</w:t>
      </w:r>
    </w:p>
    <w:p w14:paraId="7253FBA1" w14:textId="77777777" w:rsidR="00165007" w:rsidRPr="007E7514" w:rsidRDefault="00165007">
      <w:pPr>
        <w:pStyle w:val="BodyText"/>
        <w:rPr>
          <w:rFonts w:asciiTheme="minorHAnsi" w:hAnsiTheme="minorHAnsi" w:cstheme="minorHAnsi"/>
          <w:sz w:val="20"/>
          <w:lang w:val="en-GB"/>
        </w:rPr>
      </w:pPr>
    </w:p>
    <w:p w14:paraId="0E0A9D60" w14:textId="2EF7C52C" w:rsidR="00350AD1" w:rsidRPr="007E7514" w:rsidRDefault="00350AD1">
      <w:pPr>
        <w:pStyle w:val="BodyText"/>
        <w:rPr>
          <w:rFonts w:asciiTheme="minorHAnsi" w:hAnsiTheme="minorHAnsi" w:cstheme="minorHAnsi"/>
          <w:sz w:val="20"/>
          <w:lang w:val="en-GB"/>
        </w:rPr>
        <w:sectPr w:rsidR="00350AD1" w:rsidRPr="007E7514" w:rsidSect="00BD7490">
          <w:headerReference w:type="even" r:id="rId25"/>
          <w:headerReference w:type="default" r:id="rId26"/>
          <w:footerReference w:type="default" r:id="rId27"/>
          <w:headerReference w:type="first" r:id="rId28"/>
          <w:pgSz w:w="12240" w:h="15840"/>
          <w:pgMar w:top="1440" w:right="1440" w:bottom="1440" w:left="1440" w:header="0" w:footer="1296" w:gutter="0"/>
          <w:pgNumType w:fmt="lowerRoman"/>
          <w:cols w:space="720"/>
          <w:docGrid w:linePitch="326"/>
        </w:sectPr>
      </w:pPr>
    </w:p>
    <w:p w14:paraId="48442F29" w14:textId="77777777" w:rsidR="0000292F" w:rsidRPr="007E7514" w:rsidRDefault="001E19D2" w:rsidP="005D7C1E">
      <w:pPr>
        <w:pStyle w:val="Heading1"/>
        <w:rPr>
          <w:sz w:val="24"/>
          <w:szCs w:val="24"/>
          <w:lang w:val="en-GB"/>
        </w:rPr>
      </w:pPr>
      <w:bookmarkStart w:id="15" w:name="_Toc76405367"/>
      <w:r w:rsidRPr="007E7514">
        <w:rPr>
          <w:sz w:val="24"/>
          <w:szCs w:val="24"/>
          <w:lang w:val="en-GB"/>
        </w:rPr>
        <w:lastRenderedPageBreak/>
        <w:t>Introduction</w:t>
      </w:r>
      <w:bookmarkEnd w:id="15"/>
    </w:p>
    <w:p w14:paraId="1A76C89C" w14:textId="102AEF6B" w:rsidR="007B055E" w:rsidRPr="007E7514" w:rsidRDefault="001E19D2" w:rsidP="00B7581D">
      <w:pPr>
        <w:pStyle w:val="MainParagraphwith"/>
        <w:numPr>
          <w:ilvl w:val="0"/>
          <w:numId w:val="26"/>
        </w:numPr>
        <w:ind w:left="0" w:firstLine="0"/>
        <w:rPr>
          <w:lang w:val="en-GB"/>
        </w:rPr>
      </w:pPr>
      <w:r w:rsidRPr="007E7514">
        <w:rPr>
          <w:lang w:val="en-GB"/>
        </w:rPr>
        <w:t xml:space="preserve">This report presents the work of the Global Environment Facility (GEF) </w:t>
      </w:r>
      <w:r w:rsidR="00BF4281" w:rsidRPr="007E7514">
        <w:rPr>
          <w:lang w:val="en-GB"/>
        </w:rPr>
        <w:t>to support the implementation of the Minamata Convention on Mercury</w:t>
      </w:r>
      <w:r w:rsidRPr="007E7514">
        <w:rPr>
          <w:lang w:val="en-GB"/>
        </w:rPr>
        <w:t xml:space="preserve"> </w:t>
      </w:r>
      <w:r w:rsidR="00B61CF9" w:rsidRPr="007E7514">
        <w:rPr>
          <w:lang w:val="en-GB"/>
        </w:rPr>
        <w:t xml:space="preserve">between </w:t>
      </w:r>
      <w:r w:rsidR="009366A8" w:rsidRPr="007E7514">
        <w:rPr>
          <w:lang w:val="en-GB"/>
        </w:rPr>
        <w:t>July 1, 201</w:t>
      </w:r>
      <w:r w:rsidR="008B427B" w:rsidRPr="007E7514">
        <w:rPr>
          <w:lang w:val="en-GB"/>
        </w:rPr>
        <w:t>9</w:t>
      </w:r>
      <w:r w:rsidR="009366A8" w:rsidRPr="007E7514">
        <w:rPr>
          <w:lang w:val="en-GB"/>
        </w:rPr>
        <w:t xml:space="preserve"> </w:t>
      </w:r>
      <w:r w:rsidRPr="007E7514">
        <w:rPr>
          <w:lang w:val="en-GB"/>
        </w:rPr>
        <w:t xml:space="preserve">and </w:t>
      </w:r>
      <w:r w:rsidR="006A5402" w:rsidRPr="007E7514">
        <w:rPr>
          <w:lang w:val="en-GB"/>
        </w:rPr>
        <w:br/>
      </w:r>
      <w:r w:rsidR="00B61CF9" w:rsidRPr="007E7514">
        <w:rPr>
          <w:lang w:val="en-GB"/>
        </w:rPr>
        <w:t>June</w:t>
      </w:r>
      <w:r w:rsidR="00DE291C" w:rsidRPr="007E7514">
        <w:rPr>
          <w:lang w:val="en-GB"/>
        </w:rPr>
        <w:t xml:space="preserve"> 30,</w:t>
      </w:r>
      <w:r w:rsidR="00B61CF9" w:rsidRPr="007E7514">
        <w:rPr>
          <w:lang w:val="en-GB"/>
        </w:rPr>
        <w:t xml:space="preserve"> 20</w:t>
      </w:r>
      <w:bookmarkStart w:id="16" w:name="_Hlk519503465"/>
      <w:r w:rsidR="008B427B" w:rsidRPr="007E7514">
        <w:rPr>
          <w:lang w:val="en-GB"/>
        </w:rPr>
        <w:t>21</w:t>
      </w:r>
      <w:r w:rsidR="00BF4281" w:rsidRPr="007E7514">
        <w:rPr>
          <w:lang w:val="en-GB"/>
        </w:rPr>
        <w:t xml:space="preserve"> (the reporting period)</w:t>
      </w:r>
      <w:r w:rsidR="008F7DAA" w:rsidRPr="007E7514">
        <w:rPr>
          <w:lang w:val="en-GB"/>
        </w:rPr>
        <w:t xml:space="preserve">. </w:t>
      </w:r>
      <w:r w:rsidR="006E3759" w:rsidRPr="007E7514">
        <w:rPr>
          <w:lang w:val="en-GB"/>
        </w:rPr>
        <w:t xml:space="preserve">The </w:t>
      </w:r>
      <w:r w:rsidR="00F9133E" w:rsidRPr="007E7514">
        <w:rPr>
          <w:lang w:val="en-GB"/>
        </w:rPr>
        <w:t>report is presented in accordance with the</w:t>
      </w:r>
      <w:r w:rsidR="00743876" w:rsidRPr="007E7514">
        <w:rPr>
          <w:lang w:val="en-GB"/>
        </w:rPr>
        <w:t xml:space="preserve"> </w:t>
      </w:r>
      <w:bookmarkEnd w:id="16"/>
      <w:r w:rsidR="00BE7D8B" w:rsidRPr="007E7514">
        <w:rPr>
          <w:lang w:val="en-GB"/>
        </w:rPr>
        <w:t xml:space="preserve">Memorandum </w:t>
      </w:r>
      <w:r w:rsidR="00FE20B7" w:rsidRPr="007E7514">
        <w:rPr>
          <w:lang w:val="en-GB"/>
        </w:rPr>
        <w:t>o</w:t>
      </w:r>
      <w:r w:rsidR="00BE7D8B" w:rsidRPr="007E7514">
        <w:rPr>
          <w:lang w:val="en-GB"/>
        </w:rPr>
        <w:t xml:space="preserve">f Understanding </w:t>
      </w:r>
      <w:r w:rsidR="0008789E" w:rsidRPr="007E7514">
        <w:rPr>
          <w:lang w:val="en-GB"/>
        </w:rPr>
        <w:t xml:space="preserve">(MOU) </w:t>
      </w:r>
      <w:r w:rsidR="00FE20B7" w:rsidRPr="007E7514">
        <w:rPr>
          <w:lang w:val="en-GB"/>
        </w:rPr>
        <w:t>b</w:t>
      </w:r>
      <w:r w:rsidR="00BE7D8B" w:rsidRPr="007E7514">
        <w:rPr>
          <w:lang w:val="en-GB"/>
        </w:rPr>
        <w:t xml:space="preserve">etween </w:t>
      </w:r>
      <w:r w:rsidR="00FE20B7" w:rsidRPr="007E7514">
        <w:rPr>
          <w:lang w:val="en-GB"/>
        </w:rPr>
        <w:t>t</w:t>
      </w:r>
      <w:r w:rsidR="00BE7D8B" w:rsidRPr="007E7514">
        <w:rPr>
          <w:lang w:val="en-GB"/>
        </w:rPr>
        <w:t xml:space="preserve">he Conference </w:t>
      </w:r>
      <w:r w:rsidR="00FE20B7" w:rsidRPr="007E7514">
        <w:rPr>
          <w:lang w:val="en-GB"/>
        </w:rPr>
        <w:t>o</w:t>
      </w:r>
      <w:r w:rsidR="00BE7D8B" w:rsidRPr="007E7514">
        <w:rPr>
          <w:lang w:val="en-GB"/>
        </w:rPr>
        <w:t xml:space="preserve">f </w:t>
      </w:r>
      <w:r w:rsidR="00980BC6" w:rsidRPr="007E7514">
        <w:rPr>
          <w:lang w:val="en-GB"/>
        </w:rPr>
        <w:t>t</w:t>
      </w:r>
      <w:r w:rsidR="00BE7D8B" w:rsidRPr="007E7514">
        <w:rPr>
          <w:lang w:val="en-GB"/>
        </w:rPr>
        <w:t>he Parties</w:t>
      </w:r>
      <w:r w:rsidR="0008789E" w:rsidRPr="007E7514">
        <w:rPr>
          <w:lang w:val="en-GB"/>
        </w:rPr>
        <w:t xml:space="preserve"> (COP)</w:t>
      </w:r>
      <w:r w:rsidR="00BE7D8B" w:rsidRPr="007E7514">
        <w:rPr>
          <w:lang w:val="en-GB"/>
        </w:rPr>
        <w:t xml:space="preserve"> </w:t>
      </w:r>
      <w:r w:rsidR="00FE20B7" w:rsidRPr="007E7514">
        <w:rPr>
          <w:lang w:val="en-GB"/>
        </w:rPr>
        <w:t>t</w:t>
      </w:r>
      <w:r w:rsidR="00BE7D8B" w:rsidRPr="007E7514">
        <w:rPr>
          <w:lang w:val="en-GB"/>
        </w:rPr>
        <w:t xml:space="preserve">o </w:t>
      </w:r>
      <w:r w:rsidR="00FE20B7" w:rsidRPr="007E7514">
        <w:rPr>
          <w:lang w:val="en-GB"/>
        </w:rPr>
        <w:t>t</w:t>
      </w:r>
      <w:r w:rsidR="00BE7D8B" w:rsidRPr="007E7514">
        <w:rPr>
          <w:lang w:val="en-GB"/>
        </w:rPr>
        <w:t xml:space="preserve">he Minamata Convention </w:t>
      </w:r>
      <w:r w:rsidR="00FE20B7" w:rsidRPr="007E7514">
        <w:rPr>
          <w:lang w:val="en-GB"/>
        </w:rPr>
        <w:t>o</w:t>
      </w:r>
      <w:r w:rsidR="00BE7D8B" w:rsidRPr="007E7514">
        <w:rPr>
          <w:lang w:val="en-GB"/>
        </w:rPr>
        <w:t xml:space="preserve">n Mercury </w:t>
      </w:r>
      <w:r w:rsidR="00FE20B7" w:rsidRPr="007E7514">
        <w:rPr>
          <w:lang w:val="en-GB"/>
        </w:rPr>
        <w:t>a</w:t>
      </w:r>
      <w:r w:rsidR="00BE7D8B" w:rsidRPr="007E7514">
        <w:rPr>
          <w:lang w:val="en-GB"/>
        </w:rPr>
        <w:t xml:space="preserve">nd </w:t>
      </w:r>
      <w:r w:rsidR="00FE20B7" w:rsidRPr="007E7514">
        <w:rPr>
          <w:lang w:val="en-GB"/>
        </w:rPr>
        <w:t>t</w:t>
      </w:r>
      <w:r w:rsidR="00BE7D8B" w:rsidRPr="007E7514">
        <w:rPr>
          <w:lang w:val="en-GB"/>
        </w:rPr>
        <w:t xml:space="preserve">he Council </w:t>
      </w:r>
      <w:r w:rsidR="00FE20B7" w:rsidRPr="007E7514">
        <w:rPr>
          <w:lang w:val="en-GB"/>
        </w:rPr>
        <w:t>o</w:t>
      </w:r>
      <w:r w:rsidR="00BE7D8B" w:rsidRPr="007E7514">
        <w:rPr>
          <w:lang w:val="en-GB"/>
        </w:rPr>
        <w:t xml:space="preserve">f </w:t>
      </w:r>
      <w:r w:rsidR="00396478" w:rsidRPr="007E7514">
        <w:rPr>
          <w:lang w:val="en-GB"/>
        </w:rPr>
        <w:t>t</w:t>
      </w:r>
      <w:r w:rsidR="00BE7D8B" w:rsidRPr="007E7514">
        <w:rPr>
          <w:lang w:val="en-GB"/>
        </w:rPr>
        <w:t>he G</w:t>
      </w:r>
      <w:r w:rsidR="00396478" w:rsidRPr="007E7514">
        <w:rPr>
          <w:lang w:val="en-GB"/>
        </w:rPr>
        <w:t>EF</w:t>
      </w:r>
      <w:r w:rsidR="00C30138" w:rsidRPr="007E7514">
        <w:rPr>
          <w:lang w:val="en-GB"/>
        </w:rPr>
        <w:t>.</w:t>
      </w:r>
      <w:r w:rsidR="00D04B70" w:rsidRPr="007E7514">
        <w:rPr>
          <w:rStyle w:val="FootnoteReference"/>
          <w:lang w:val="en-GB"/>
        </w:rPr>
        <w:footnoteReference w:id="11"/>
      </w:r>
    </w:p>
    <w:p w14:paraId="0DEA50C7" w14:textId="761D011E" w:rsidR="00674399" w:rsidRPr="007E7514" w:rsidRDefault="001E19D2" w:rsidP="005D7C1E">
      <w:pPr>
        <w:pStyle w:val="Heading1"/>
        <w:rPr>
          <w:sz w:val="24"/>
          <w:szCs w:val="24"/>
          <w:lang w:val="en-GB"/>
        </w:rPr>
      </w:pPr>
      <w:bookmarkStart w:id="17" w:name="_Toc76405368"/>
      <w:bookmarkStart w:id="18" w:name="_Hlk10034473"/>
      <w:r w:rsidRPr="007E7514">
        <w:rPr>
          <w:sz w:val="24"/>
          <w:szCs w:val="24"/>
          <w:lang w:val="en-GB"/>
        </w:rPr>
        <w:t>Par</w:t>
      </w:r>
      <w:r w:rsidR="00DE291C" w:rsidRPr="007E7514">
        <w:rPr>
          <w:sz w:val="24"/>
          <w:szCs w:val="24"/>
          <w:lang w:val="en-GB"/>
        </w:rPr>
        <w:t xml:space="preserve">t I: GEF’s </w:t>
      </w:r>
      <w:r w:rsidR="008E7DDC" w:rsidRPr="007E7514">
        <w:rPr>
          <w:sz w:val="24"/>
          <w:szCs w:val="24"/>
          <w:lang w:val="en-GB"/>
        </w:rPr>
        <w:t>W</w:t>
      </w:r>
      <w:r w:rsidR="00DE291C" w:rsidRPr="007E7514">
        <w:rPr>
          <w:sz w:val="24"/>
          <w:szCs w:val="24"/>
          <w:lang w:val="en-GB"/>
        </w:rPr>
        <w:t xml:space="preserve">ork on </w:t>
      </w:r>
      <w:r w:rsidR="008E7DDC" w:rsidRPr="007E7514">
        <w:rPr>
          <w:sz w:val="24"/>
          <w:szCs w:val="24"/>
          <w:lang w:val="en-GB"/>
        </w:rPr>
        <w:t>M</w:t>
      </w:r>
      <w:r w:rsidR="00DE291C" w:rsidRPr="007E7514">
        <w:rPr>
          <w:sz w:val="24"/>
          <w:szCs w:val="24"/>
          <w:lang w:val="en-GB"/>
        </w:rPr>
        <w:t xml:space="preserve">ercury </w:t>
      </w:r>
      <w:r w:rsidR="00D26529" w:rsidRPr="007E7514">
        <w:rPr>
          <w:sz w:val="24"/>
          <w:szCs w:val="24"/>
          <w:lang w:val="en-GB"/>
        </w:rPr>
        <w:t>in</w:t>
      </w:r>
      <w:r w:rsidR="00961ACD" w:rsidRPr="007E7514">
        <w:rPr>
          <w:sz w:val="24"/>
          <w:szCs w:val="24"/>
          <w:lang w:val="en-GB"/>
        </w:rPr>
        <w:t xml:space="preserve"> the Reporting Period</w:t>
      </w:r>
      <w:bookmarkEnd w:id="17"/>
    </w:p>
    <w:p w14:paraId="3C803E16" w14:textId="4CF611F2" w:rsidR="0050375A" w:rsidRPr="007E7514" w:rsidRDefault="0050375A" w:rsidP="00674399">
      <w:pPr>
        <w:pStyle w:val="Heading1"/>
        <w:rPr>
          <w:lang w:val="en-GB"/>
        </w:rPr>
      </w:pPr>
      <w:bookmarkStart w:id="19" w:name="_bookmark4"/>
      <w:bookmarkEnd w:id="18"/>
      <w:bookmarkEnd w:id="19"/>
    </w:p>
    <w:p w14:paraId="421F0C90" w14:textId="0E5CE202" w:rsidR="0000292F" w:rsidRPr="007E7514" w:rsidRDefault="00A01924" w:rsidP="002D4A77">
      <w:pPr>
        <w:pStyle w:val="Heading2"/>
        <w:rPr>
          <w:lang w:val="en-GB"/>
        </w:rPr>
      </w:pPr>
      <w:bookmarkStart w:id="20" w:name="_bookmark6"/>
      <w:bookmarkStart w:id="21" w:name="_Toc76405369"/>
      <w:bookmarkEnd w:id="20"/>
      <w:r w:rsidRPr="007E7514">
        <w:rPr>
          <w:lang w:val="en-GB"/>
        </w:rPr>
        <w:t xml:space="preserve">Response to </w:t>
      </w:r>
      <w:r w:rsidR="00D26529" w:rsidRPr="007E7514">
        <w:rPr>
          <w:lang w:val="en-GB"/>
        </w:rPr>
        <w:t xml:space="preserve">the </w:t>
      </w:r>
      <w:r w:rsidRPr="007E7514">
        <w:rPr>
          <w:lang w:val="en-GB"/>
        </w:rPr>
        <w:t xml:space="preserve">Guidance </w:t>
      </w:r>
      <w:r w:rsidR="005858D4" w:rsidRPr="007E7514">
        <w:rPr>
          <w:lang w:val="en-GB"/>
        </w:rPr>
        <w:t>f</w:t>
      </w:r>
      <w:r w:rsidRPr="007E7514">
        <w:rPr>
          <w:lang w:val="en-GB"/>
        </w:rPr>
        <w:t xml:space="preserve">rom the </w:t>
      </w:r>
      <w:r w:rsidR="00D26529" w:rsidRPr="007E7514">
        <w:rPr>
          <w:lang w:val="en-GB"/>
        </w:rPr>
        <w:t>COP</w:t>
      </w:r>
      <w:r w:rsidRPr="007E7514">
        <w:rPr>
          <w:lang w:val="en-GB"/>
        </w:rPr>
        <w:t xml:space="preserve"> to the Minamata Convention</w:t>
      </w:r>
      <w:r w:rsidR="008929DC" w:rsidRPr="007E7514">
        <w:rPr>
          <w:lang w:val="en-GB"/>
        </w:rPr>
        <w:t xml:space="preserve"> </w:t>
      </w:r>
      <w:r w:rsidR="002D4A77" w:rsidRPr="007E7514">
        <w:rPr>
          <w:lang w:val="en-GB"/>
        </w:rPr>
        <w:br/>
      </w:r>
      <w:r w:rsidR="008929DC" w:rsidRPr="007E7514">
        <w:rPr>
          <w:lang w:val="en-GB"/>
        </w:rPr>
        <w:t>(MOU Paragraph 9</w:t>
      </w:r>
      <w:r w:rsidR="00016F6B" w:rsidRPr="007E7514">
        <w:rPr>
          <w:lang w:val="en-GB"/>
        </w:rPr>
        <w:t>(</w:t>
      </w:r>
      <w:r w:rsidR="00C77196" w:rsidRPr="007E7514">
        <w:rPr>
          <w:lang w:val="en-GB"/>
        </w:rPr>
        <w:t>a</w:t>
      </w:r>
      <w:r w:rsidR="008929DC" w:rsidRPr="007E7514">
        <w:rPr>
          <w:lang w:val="en-GB"/>
        </w:rPr>
        <w:t>)</w:t>
      </w:r>
      <w:r w:rsidR="00016F6B" w:rsidRPr="007E7514">
        <w:rPr>
          <w:lang w:val="en-GB"/>
        </w:rPr>
        <w:t>)</w:t>
      </w:r>
      <w:bookmarkEnd w:id="21"/>
    </w:p>
    <w:p w14:paraId="3C31D35E" w14:textId="71AED11A" w:rsidR="008112BA" w:rsidRPr="007E7514" w:rsidRDefault="005C05B5" w:rsidP="00B7581D">
      <w:pPr>
        <w:pStyle w:val="MainParagraphwith"/>
        <w:rPr>
          <w:lang w:val="en-GB"/>
        </w:rPr>
      </w:pPr>
      <w:r w:rsidRPr="007E7514">
        <w:rPr>
          <w:lang w:val="en-GB"/>
        </w:rPr>
        <w:t xml:space="preserve">The first </w:t>
      </w:r>
      <w:r w:rsidR="0008789E" w:rsidRPr="007E7514">
        <w:rPr>
          <w:lang w:val="en-GB"/>
        </w:rPr>
        <w:t>COP</w:t>
      </w:r>
      <w:r w:rsidR="00AB72AE" w:rsidRPr="007E7514">
        <w:rPr>
          <w:lang w:val="en-GB"/>
        </w:rPr>
        <w:t xml:space="preserve"> </w:t>
      </w:r>
      <w:r w:rsidRPr="007E7514">
        <w:rPr>
          <w:lang w:val="en-GB"/>
        </w:rPr>
        <w:t>to the Minamata Convention on Mercury</w:t>
      </w:r>
      <w:r w:rsidR="005666D5" w:rsidRPr="007E7514">
        <w:rPr>
          <w:lang w:val="en-GB"/>
        </w:rPr>
        <w:t xml:space="preserve"> </w:t>
      </w:r>
      <w:r w:rsidR="0008332A" w:rsidRPr="007E7514">
        <w:rPr>
          <w:lang w:val="en-GB"/>
        </w:rPr>
        <w:t xml:space="preserve">was held </w:t>
      </w:r>
      <w:r w:rsidR="00662BEF" w:rsidRPr="007E7514">
        <w:rPr>
          <w:lang w:val="en-GB"/>
        </w:rPr>
        <w:t xml:space="preserve">in </w:t>
      </w:r>
      <w:r w:rsidRPr="007E7514">
        <w:rPr>
          <w:lang w:val="en-GB"/>
        </w:rPr>
        <w:t>2017</w:t>
      </w:r>
      <w:r w:rsidR="00E32E60" w:rsidRPr="007E7514">
        <w:rPr>
          <w:lang w:val="en-GB"/>
        </w:rPr>
        <w:t xml:space="preserve">. The </w:t>
      </w:r>
      <w:r w:rsidR="0008332A" w:rsidRPr="007E7514">
        <w:rPr>
          <w:lang w:val="en-GB"/>
        </w:rPr>
        <w:t>COP</w:t>
      </w:r>
      <w:r w:rsidR="00E32E60" w:rsidRPr="007E7514">
        <w:rPr>
          <w:lang w:val="en-GB"/>
        </w:rPr>
        <w:t xml:space="preserve"> provided </w:t>
      </w:r>
      <w:r w:rsidR="000B6681" w:rsidRPr="007E7514">
        <w:rPr>
          <w:lang w:val="en-GB"/>
        </w:rPr>
        <w:t xml:space="preserve">the </w:t>
      </w:r>
      <w:r w:rsidR="0008332A" w:rsidRPr="007E7514">
        <w:rPr>
          <w:lang w:val="en-GB"/>
        </w:rPr>
        <w:t>g</w:t>
      </w:r>
      <w:r w:rsidR="00E32E60" w:rsidRPr="007E7514">
        <w:rPr>
          <w:lang w:val="en-GB"/>
        </w:rPr>
        <w:t xml:space="preserve">uidance to the </w:t>
      </w:r>
      <w:r w:rsidR="0008332A" w:rsidRPr="007E7514">
        <w:rPr>
          <w:lang w:val="en-GB"/>
        </w:rPr>
        <w:t>GEF</w:t>
      </w:r>
      <w:r w:rsidR="00E32E60" w:rsidRPr="007E7514">
        <w:rPr>
          <w:lang w:val="en-GB"/>
        </w:rPr>
        <w:t xml:space="preserve"> on overall strategies, policies, program priorities and eligibility for</w:t>
      </w:r>
      <w:r w:rsidR="000B6681" w:rsidRPr="007E7514">
        <w:rPr>
          <w:lang w:val="en-GB"/>
        </w:rPr>
        <w:t>,</w:t>
      </w:r>
      <w:r w:rsidR="00E32E60" w:rsidRPr="007E7514">
        <w:rPr>
          <w:lang w:val="en-GB"/>
        </w:rPr>
        <w:t xml:space="preserve"> access to</w:t>
      </w:r>
      <w:r w:rsidR="000B6681" w:rsidRPr="007E7514">
        <w:rPr>
          <w:lang w:val="en-GB"/>
        </w:rPr>
        <w:t>,</w:t>
      </w:r>
      <w:r w:rsidR="00E32E60" w:rsidRPr="007E7514">
        <w:rPr>
          <w:lang w:val="en-GB"/>
        </w:rPr>
        <w:t xml:space="preserve"> and utilization of financial resources</w:t>
      </w:r>
      <w:r w:rsidR="0008332A" w:rsidRPr="007E7514">
        <w:rPr>
          <w:lang w:val="en-GB"/>
        </w:rPr>
        <w:t>. The COP also provided guidance</w:t>
      </w:r>
      <w:r w:rsidR="00E32E60" w:rsidRPr="007E7514">
        <w:rPr>
          <w:lang w:val="en-GB"/>
        </w:rPr>
        <w:t xml:space="preserve"> on an indicative list of categories of activities that could receive support from the </w:t>
      </w:r>
      <w:r w:rsidR="0008332A" w:rsidRPr="007E7514">
        <w:rPr>
          <w:lang w:val="en-GB"/>
        </w:rPr>
        <w:t xml:space="preserve">GEF </w:t>
      </w:r>
      <w:r w:rsidR="00E32E60" w:rsidRPr="007E7514">
        <w:rPr>
          <w:lang w:val="en-GB"/>
        </w:rPr>
        <w:t>Trust Fund</w:t>
      </w:r>
      <w:r w:rsidR="00335877" w:rsidRPr="007E7514">
        <w:rPr>
          <w:lang w:val="en-GB"/>
        </w:rPr>
        <w:t>.</w:t>
      </w:r>
      <w:r w:rsidR="00792999" w:rsidRPr="007E7514">
        <w:rPr>
          <w:rStyle w:val="FootnoteReference"/>
          <w:lang w:val="en-GB"/>
        </w:rPr>
        <w:footnoteReference w:id="12"/>
      </w:r>
      <w:r w:rsidR="008F7DAA" w:rsidRPr="007E7514">
        <w:rPr>
          <w:lang w:val="en-GB"/>
        </w:rPr>
        <w:t xml:space="preserve"> </w:t>
      </w:r>
      <w:r w:rsidR="006455D5" w:rsidRPr="007E7514">
        <w:rPr>
          <w:lang w:val="en-GB"/>
        </w:rPr>
        <w:t xml:space="preserve">There was no </w:t>
      </w:r>
      <w:r w:rsidR="004B3869" w:rsidRPr="007E7514">
        <w:rPr>
          <w:lang w:val="en-GB"/>
        </w:rPr>
        <w:t xml:space="preserve">additional </w:t>
      </w:r>
      <w:r w:rsidR="006455D5" w:rsidRPr="007E7514">
        <w:rPr>
          <w:lang w:val="en-GB"/>
        </w:rPr>
        <w:t>guidance to the GEF from COP 2</w:t>
      </w:r>
      <w:r w:rsidR="008D51F6" w:rsidRPr="007E7514">
        <w:rPr>
          <w:lang w:val="en-GB"/>
        </w:rPr>
        <w:t xml:space="preserve"> in 2018</w:t>
      </w:r>
      <w:r w:rsidR="00790B7B" w:rsidRPr="007E7514">
        <w:rPr>
          <w:lang w:val="en-GB"/>
        </w:rPr>
        <w:t xml:space="preserve"> </w:t>
      </w:r>
      <w:r w:rsidR="00EA4428" w:rsidRPr="007E7514">
        <w:rPr>
          <w:lang w:val="en-GB"/>
        </w:rPr>
        <w:t>and</w:t>
      </w:r>
      <w:r w:rsidR="00790B7B" w:rsidRPr="007E7514">
        <w:rPr>
          <w:lang w:val="en-GB"/>
        </w:rPr>
        <w:t xml:space="preserve"> COP 3 in 2019</w:t>
      </w:r>
      <w:r w:rsidR="008F7DAA" w:rsidRPr="007E7514">
        <w:rPr>
          <w:lang w:val="en-GB"/>
        </w:rPr>
        <w:t xml:space="preserve">. </w:t>
      </w:r>
      <w:r w:rsidR="008857AD" w:rsidRPr="007E7514">
        <w:rPr>
          <w:lang w:val="en-GB"/>
        </w:rPr>
        <w:t>Table 1</w:t>
      </w:r>
      <w:r w:rsidR="00E32E60" w:rsidRPr="007E7514">
        <w:rPr>
          <w:lang w:val="en-GB"/>
        </w:rPr>
        <w:t xml:space="preserve"> </w:t>
      </w:r>
      <w:r w:rsidR="00EA4428" w:rsidRPr="007E7514">
        <w:rPr>
          <w:lang w:val="en-GB"/>
        </w:rPr>
        <w:t xml:space="preserve">includes </w:t>
      </w:r>
      <w:r w:rsidR="00E32E60" w:rsidRPr="007E7514">
        <w:rPr>
          <w:lang w:val="en-GB"/>
        </w:rPr>
        <w:t xml:space="preserve">the </w:t>
      </w:r>
      <w:r w:rsidR="008857AD" w:rsidRPr="007E7514">
        <w:rPr>
          <w:lang w:val="en-GB"/>
        </w:rPr>
        <w:t xml:space="preserve">complete list of guidance and </w:t>
      </w:r>
      <w:r w:rsidR="006640F4" w:rsidRPr="007E7514">
        <w:rPr>
          <w:lang w:val="en-GB"/>
        </w:rPr>
        <w:t>an</w:t>
      </w:r>
      <w:r w:rsidR="007324EB" w:rsidRPr="007E7514">
        <w:rPr>
          <w:lang w:val="en-GB"/>
        </w:rPr>
        <w:t xml:space="preserve"> update</w:t>
      </w:r>
      <w:r w:rsidR="005F2649" w:rsidRPr="007E7514">
        <w:rPr>
          <w:lang w:val="en-GB"/>
        </w:rPr>
        <w:t>d list</w:t>
      </w:r>
      <w:r w:rsidR="007324EB" w:rsidRPr="007E7514">
        <w:rPr>
          <w:lang w:val="en-GB"/>
        </w:rPr>
        <w:t xml:space="preserve"> </w:t>
      </w:r>
      <w:r w:rsidR="005F2649" w:rsidRPr="007E7514">
        <w:rPr>
          <w:lang w:val="en-GB"/>
        </w:rPr>
        <w:t>of</w:t>
      </w:r>
      <w:r w:rsidR="007324EB" w:rsidRPr="007E7514">
        <w:rPr>
          <w:lang w:val="en-GB"/>
        </w:rPr>
        <w:t xml:space="preserve"> the</w:t>
      </w:r>
      <w:r w:rsidR="006640F4" w:rsidRPr="007E7514">
        <w:rPr>
          <w:lang w:val="en-GB"/>
        </w:rPr>
        <w:t xml:space="preserve"> </w:t>
      </w:r>
      <w:r w:rsidR="008857AD" w:rsidRPr="007E7514">
        <w:rPr>
          <w:lang w:val="en-GB"/>
        </w:rPr>
        <w:t>GEF’s response</w:t>
      </w:r>
      <w:r w:rsidR="009B0000" w:rsidRPr="007E7514">
        <w:rPr>
          <w:lang w:val="en-GB"/>
        </w:rPr>
        <w:t>.</w:t>
      </w:r>
    </w:p>
    <w:p w14:paraId="0F36EEA5" w14:textId="1D15B45B" w:rsidR="00324D52" w:rsidRPr="007E7514" w:rsidRDefault="00324D52" w:rsidP="00EC1059">
      <w:pPr>
        <w:pStyle w:val="Caption"/>
        <w:keepNext/>
        <w:jc w:val="center"/>
      </w:pPr>
      <w:bookmarkStart w:id="22" w:name="_bookmark7"/>
      <w:bookmarkStart w:id="23" w:name="_Toc76405542"/>
      <w:bookmarkStart w:id="24" w:name="_Toc523407697"/>
      <w:bookmarkEnd w:id="22"/>
      <w:r w:rsidRPr="007E7514">
        <w:t xml:space="preserve">Table </w:t>
      </w:r>
      <w:r w:rsidRPr="007E7514">
        <w:fldChar w:fldCharType="begin"/>
      </w:r>
      <w:r w:rsidRPr="007E7514">
        <w:instrText xml:space="preserve"> SEQ Table \* ARABIC </w:instrText>
      </w:r>
      <w:r w:rsidRPr="007E7514">
        <w:fldChar w:fldCharType="separate"/>
      </w:r>
      <w:r w:rsidR="00C604A6">
        <w:rPr>
          <w:noProof/>
        </w:rPr>
        <w:t>1</w:t>
      </w:r>
      <w:r w:rsidRPr="007E7514">
        <w:fldChar w:fldCharType="end"/>
      </w:r>
      <w:r w:rsidRPr="007E7514">
        <w:t xml:space="preserve">: Response to </w:t>
      </w:r>
      <w:r w:rsidR="000B6681" w:rsidRPr="007E7514">
        <w:t xml:space="preserve">the </w:t>
      </w:r>
      <w:r w:rsidRPr="007E7514">
        <w:t xml:space="preserve">Guidance from </w:t>
      </w:r>
      <w:r w:rsidR="00EC1059" w:rsidRPr="007E7514">
        <w:t xml:space="preserve">the </w:t>
      </w:r>
      <w:r w:rsidRPr="007E7514">
        <w:t xml:space="preserve">Conference of </w:t>
      </w:r>
      <w:r w:rsidR="00D0304F" w:rsidRPr="007E7514">
        <w:t xml:space="preserve">the </w:t>
      </w:r>
      <w:r w:rsidRPr="007E7514">
        <w:t xml:space="preserve">Parties to </w:t>
      </w:r>
      <w:r w:rsidR="00EC1059" w:rsidRPr="007E7514">
        <w:t xml:space="preserve">the </w:t>
      </w:r>
      <w:r w:rsidRPr="007E7514">
        <w:t>Minamata Convention</w:t>
      </w:r>
      <w:bookmarkEnd w:id="23"/>
    </w:p>
    <w:bookmarkEnd w:id="24"/>
    <w:p w14:paraId="6D18F10B" w14:textId="77777777" w:rsidR="0009173B" w:rsidRPr="007E7514" w:rsidRDefault="0009173B" w:rsidP="004E221B">
      <w:pPr>
        <w:rPr>
          <w:lang w:val="en-GB"/>
        </w:rPr>
      </w:pPr>
    </w:p>
    <w:tbl>
      <w:tblPr>
        <w:tblStyle w:val="GridTable5Dark-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15" w:type="dxa"/>
          <w:right w:w="115" w:type="dxa"/>
        </w:tblCellMar>
        <w:tblLook w:val="04A0" w:firstRow="1" w:lastRow="0" w:firstColumn="1" w:lastColumn="0" w:noHBand="0" w:noVBand="1"/>
      </w:tblPr>
      <w:tblGrid>
        <w:gridCol w:w="454"/>
        <w:gridCol w:w="4678"/>
        <w:gridCol w:w="4218"/>
      </w:tblGrid>
      <w:tr w:rsidR="00DF5C07" w:rsidRPr="007E7514" w14:paraId="3E8FC48C" w14:textId="77777777" w:rsidTr="00A143AE">
        <w:trPr>
          <w:cnfStyle w:val="100000000000" w:firstRow="1" w:lastRow="0" w:firstColumn="0" w:lastColumn="0" w:oddVBand="0" w:evenVBand="0" w:oddHBand="0" w:evenHBand="0" w:firstRowFirstColumn="0" w:firstRowLastColumn="0" w:lastRowFirstColumn="0" w:lastRowLastColumn="0"/>
          <w:trHeight w:val="316"/>
          <w:tblHeader/>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left w:val="single" w:sz="4" w:space="0" w:color="auto"/>
              <w:right w:val="single" w:sz="4" w:space="0" w:color="auto"/>
            </w:tcBorders>
            <w:shd w:val="clear" w:color="auto" w:fill="auto"/>
          </w:tcPr>
          <w:p w14:paraId="70E42F4D" w14:textId="77777777" w:rsidR="00DF5C07" w:rsidRPr="007E7514" w:rsidRDefault="00A01924" w:rsidP="00A143AE">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COP Guidance</w:t>
            </w:r>
          </w:p>
        </w:tc>
        <w:tc>
          <w:tcPr>
            <w:tcW w:w="0" w:type="auto"/>
            <w:tcBorders>
              <w:top w:val="single" w:sz="4" w:space="0" w:color="auto"/>
              <w:left w:val="single" w:sz="4" w:space="0" w:color="auto"/>
              <w:right w:val="single" w:sz="4" w:space="0" w:color="auto"/>
            </w:tcBorders>
            <w:shd w:val="clear" w:color="auto" w:fill="auto"/>
          </w:tcPr>
          <w:p w14:paraId="7CF783FF" w14:textId="77777777" w:rsidR="00DF5C07" w:rsidRPr="007E7514" w:rsidRDefault="00DF5C07" w:rsidP="00A143AE">
            <w:pPr>
              <w:spacing w:before="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GEF’s Response</w:t>
            </w:r>
          </w:p>
        </w:tc>
      </w:tr>
      <w:tr w:rsidR="00DF5C07" w:rsidRPr="007E7514" w14:paraId="7C057B1C"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left w:val="single" w:sz="4" w:space="0" w:color="auto"/>
            </w:tcBorders>
            <w:shd w:val="clear" w:color="auto" w:fill="FFFFFF" w:themeFill="background1"/>
          </w:tcPr>
          <w:p w14:paraId="2C7412E4" w14:textId="76AF01E4" w:rsidR="00DF5C07" w:rsidRPr="007E7514" w:rsidRDefault="00A143AE"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 xml:space="preserve">I. </w:t>
            </w:r>
            <w:r w:rsidR="00DF5C07" w:rsidRPr="007E7514">
              <w:rPr>
                <w:rFonts w:asciiTheme="minorHAnsi" w:hAnsiTheme="minorHAnsi" w:cstheme="minorHAnsi"/>
                <w:color w:val="auto"/>
                <w:sz w:val="22"/>
                <w:szCs w:val="22"/>
                <w:lang w:val="en-GB"/>
              </w:rPr>
              <w:t>Eligibility for access to and utilization of financial resources</w:t>
            </w:r>
          </w:p>
        </w:tc>
      </w:tr>
      <w:tr w:rsidR="00DF5C07" w:rsidRPr="007E7514" w14:paraId="3CE52647" w14:textId="77777777" w:rsidTr="00EA19E4">
        <w:trPr>
          <w:trHeight w:val="70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7950C98B"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2</w:t>
            </w:r>
          </w:p>
        </w:tc>
        <w:tc>
          <w:tcPr>
            <w:tcW w:w="0" w:type="auto"/>
            <w:shd w:val="clear" w:color="auto" w:fill="FFFFFF" w:themeFill="background1"/>
          </w:tcPr>
          <w:p w14:paraId="2B50DAC0" w14:textId="7777777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To be eligible for funding from GEF as one of the entities comprising the financial mechanism of the Minamata Convention on Mercury, a country must be a Party to the Convention and must be a developing country or a country with an economy in transition.</w:t>
            </w:r>
          </w:p>
        </w:tc>
        <w:tc>
          <w:tcPr>
            <w:tcW w:w="0" w:type="auto"/>
            <w:shd w:val="clear" w:color="auto" w:fill="FFFFFF" w:themeFill="background1"/>
          </w:tcPr>
          <w:p w14:paraId="57E4B7F6" w14:textId="76A02A9A"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The GEF’s eligibility policy for mercury incorporates the criteria for funding enabling activities</w:t>
            </w:r>
            <w:r w:rsidR="000B7D4B" w:rsidRPr="007E7514">
              <w:rPr>
                <w:rFonts w:asciiTheme="minorHAnsi" w:hAnsiTheme="minorHAnsi" w:cstheme="minorHAnsi"/>
                <w:sz w:val="22"/>
                <w:szCs w:val="22"/>
                <w:lang w:val="en-GB"/>
              </w:rPr>
              <w:t xml:space="preserve"> (EAs)</w:t>
            </w:r>
            <w:r w:rsidRPr="007E7514">
              <w:rPr>
                <w:rFonts w:asciiTheme="minorHAnsi" w:hAnsiTheme="minorHAnsi" w:cstheme="minorHAnsi"/>
                <w:sz w:val="22"/>
                <w:szCs w:val="22"/>
                <w:lang w:val="en-GB"/>
              </w:rPr>
              <w:t xml:space="preserve">. The guidelines for </w:t>
            </w:r>
            <w:r w:rsidR="000B7D4B" w:rsidRPr="007E7514">
              <w:rPr>
                <w:rFonts w:asciiTheme="minorHAnsi" w:hAnsiTheme="minorHAnsi" w:cstheme="minorHAnsi"/>
                <w:sz w:val="22"/>
                <w:szCs w:val="22"/>
                <w:lang w:val="en-GB"/>
              </w:rPr>
              <w:t>EAs</w:t>
            </w:r>
            <w:r w:rsidRPr="007E7514">
              <w:rPr>
                <w:rFonts w:asciiTheme="minorHAnsi" w:hAnsiTheme="minorHAnsi" w:cstheme="minorHAnsi"/>
                <w:sz w:val="22"/>
                <w:szCs w:val="22"/>
                <w:lang w:val="en-GB"/>
              </w:rPr>
              <w:t xml:space="preserve"> are found in the information document of the 45</w:t>
            </w:r>
            <w:r w:rsidRPr="007E7514">
              <w:rPr>
                <w:rFonts w:asciiTheme="minorHAnsi" w:hAnsiTheme="minorHAnsi" w:cstheme="minorHAnsi"/>
                <w:sz w:val="22"/>
                <w:szCs w:val="22"/>
                <w:vertAlign w:val="superscript"/>
                <w:lang w:val="en-GB"/>
              </w:rPr>
              <w:t>th</w:t>
            </w:r>
            <w:r w:rsidRPr="007E7514">
              <w:rPr>
                <w:rFonts w:asciiTheme="minorHAnsi" w:hAnsiTheme="minorHAnsi" w:cstheme="minorHAnsi"/>
                <w:sz w:val="22"/>
                <w:szCs w:val="22"/>
                <w:lang w:val="en-GB"/>
              </w:rPr>
              <w:t xml:space="preserve"> GEF Council</w:t>
            </w:r>
            <w:r w:rsidR="000B7D4B" w:rsidRPr="007E7514">
              <w:rPr>
                <w:rFonts w:asciiTheme="minorHAnsi" w:hAnsiTheme="minorHAnsi" w:cstheme="minorHAnsi"/>
                <w:sz w:val="22"/>
                <w:szCs w:val="22"/>
                <w:lang w:val="en-GB"/>
              </w:rPr>
              <w:t xml:space="preserve"> meeting</w:t>
            </w:r>
            <w:r w:rsidRPr="007E7514">
              <w:rPr>
                <w:rFonts w:asciiTheme="minorHAnsi" w:hAnsiTheme="minorHAnsi" w:cstheme="minorHAnsi"/>
                <w:sz w:val="22"/>
                <w:szCs w:val="22"/>
                <w:lang w:val="en-GB"/>
              </w:rPr>
              <w:t xml:space="preserve"> </w:t>
            </w:r>
            <w:r w:rsidR="00845D62" w:rsidRPr="007E7514">
              <w:rPr>
                <w:rFonts w:asciiTheme="minorHAnsi" w:hAnsiTheme="minorHAnsi" w:cstheme="minorHAnsi"/>
                <w:sz w:val="22"/>
                <w:szCs w:val="22"/>
                <w:lang w:val="en-GB"/>
              </w:rPr>
              <w:t xml:space="preserve">held in </w:t>
            </w:r>
            <w:r w:rsidRPr="007E7514">
              <w:rPr>
                <w:rFonts w:asciiTheme="minorHAnsi" w:hAnsiTheme="minorHAnsi" w:cstheme="minorHAnsi"/>
                <w:sz w:val="22"/>
                <w:szCs w:val="22"/>
                <w:lang w:val="en-GB"/>
              </w:rPr>
              <w:t>January 2014.</w:t>
            </w:r>
            <w:r w:rsidRPr="007E7514">
              <w:rPr>
                <w:rStyle w:val="FootnoteReference"/>
                <w:rFonts w:asciiTheme="minorHAnsi" w:hAnsiTheme="minorHAnsi" w:cstheme="minorHAnsi"/>
                <w:sz w:val="22"/>
                <w:szCs w:val="22"/>
                <w:lang w:val="en-GB"/>
              </w:rPr>
              <w:footnoteReference w:id="13"/>
            </w:r>
          </w:p>
          <w:p w14:paraId="7C724BC1" w14:textId="77777777" w:rsidR="00BA0F80" w:rsidRPr="007E7514" w:rsidRDefault="00BA0F80"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47D120D3" w14:textId="5A98C7C8" w:rsidR="00BA0F80" w:rsidRPr="007E7514" w:rsidRDefault="00845D62" w:rsidP="00D05424">
            <w:pPr>
              <w:spacing w:before="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E7514">
              <w:rPr>
                <w:rFonts w:ascii="Calibri" w:hAnsi="Calibri" w:cs="Calibri"/>
                <w:sz w:val="22"/>
                <w:szCs w:val="22"/>
                <w:lang w:val="en-GB"/>
              </w:rPr>
              <w:t xml:space="preserve">In </w:t>
            </w:r>
            <w:r w:rsidR="00625428" w:rsidRPr="007E7514">
              <w:rPr>
                <w:rFonts w:ascii="Calibri" w:hAnsi="Calibri" w:cs="Calibri"/>
                <w:sz w:val="22"/>
                <w:szCs w:val="22"/>
                <w:lang w:val="en-GB"/>
              </w:rPr>
              <w:t xml:space="preserve">GEF-5 and </w:t>
            </w:r>
            <w:r w:rsidR="00BA0F80" w:rsidRPr="007E7514">
              <w:rPr>
                <w:rFonts w:ascii="Calibri" w:hAnsi="Calibri" w:cs="Calibri"/>
                <w:sz w:val="22"/>
                <w:szCs w:val="22"/>
                <w:lang w:val="en-GB"/>
              </w:rPr>
              <w:t>GEF</w:t>
            </w:r>
            <w:r w:rsidR="00436DF4" w:rsidRPr="007E7514">
              <w:rPr>
                <w:rFonts w:ascii="Calibri" w:hAnsi="Calibri" w:cs="Calibri"/>
                <w:sz w:val="22"/>
                <w:szCs w:val="22"/>
                <w:lang w:val="en-GB"/>
              </w:rPr>
              <w:t>-</w:t>
            </w:r>
            <w:r w:rsidR="00BA0F80" w:rsidRPr="007E7514">
              <w:rPr>
                <w:rFonts w:ascii="Calibri" w:hAnsi="Calibri" w:cs="Calibri"/>
                <w:sz w:val="22"/>
                <w:szCs w:val="22"/>
                <w:lang w:val="en-GB"/>
              </w:rPr>
              <w:t xml:space="preserve">6, prior to the </w:t>
            </w:r>
            <w:r w:rsidR="00A21BBF" w:rsidRPr="007E7514">
              <w:rPr>
                <w:rFonts w:ascii="Calibri" w:hAnsi="Calibri" w:cs="Calibri"/>
                <w:sz w:val="22"/>
                <w:szCs w:val="22"/>
                <w:lang w:val="en-GB"/>
              </w:rPr>
              <w:t xml:space="preserve">first </w:t>
            </w:r>
            <w:r w:rsidR="00BA0F80" w:rsidRPr="007E7514">
              <w:rPr>
                <w:rFonts w:ascii="Calibri" w:hAnsi="Calibri" w:cs="Calibri"/>
                <w:sz w:val="22"/>
                <w:szCs w:val="22"/>
                <w:lang w:val="en-GB"/>
              </w:rPr>
              <w:t>C</w:t>
            </w:r>
            <w:r w:rsidRPr="007E7514">
              <w:rPr>
                <w:rFonts w:ascii="Calibri" w:hAnsi="Calibri" w:cs="Calibri"/>
                <w:sz w:val="22"/>
                <w:szCs w:val="22"/>
                <w:lang w:val="en-GB"/>
              </w:rPr>
              <w:t>OP</w:t>
            </w:r>
            <w:r w:rsidR="00BA0F80" w:rsidRPr="007E7514">
              <w:rPr>
                <w:rFonts w:ascii="Calibri" w:hAnsi="Calibri" w:cs="Calibri"/>
                <w:sz w:val="22"/>
                <w:szCs w:val="22"/>
                <w:lang w:val="en-GB"/>
              </w:rPr>
              <w:t xml:space="preserve">, both signatory countries and </w:t>
            </w:r>
            <w:r w:rsidR="00564C18" w:rsidRPr="007E7514">
              <w:rPr>
                <w:rFonts w:ascii="Calibri" w:hAnsi="Calibri" w:cs="Calibri"/>
                <w:sz w:val="22"/>
                <w:szCs w:val="22"/>
                <w:lang w:val="en-GB"/>
              </w:rPr>
              <w:t>P</w:t>
            </w:r>
            <w:r w:rsidR="00BA0F80" w:rsidRPr="007E7514">
              <w:rPr>
                <w:rFonts w:ascii="Calibri" w:hAnsi="Calibri" w:cs="Calibri"/>
                <w:sz w:val="22"/>
                <w:szCs w:val="22"/>
                <w:lang w:val="en-GB"/>
              </w:rPr>
              <w:t xml:space="preserve">arties were eligible </w:t>
            </w:r>
            <w:r w:rsidR="00335877" w:rsidRPr="007E7514">
              <w:rPr>
                <w:rFonts w:ascii="Calibri" w:hAnsi="Calibri" w:cs="Calibri"/>
                <w:sz w:val="22"/>
                <w:szCs w:val="22"/>
                <w:lang w:val="en-GB"/>
              </w:rPr>
              <w:t xml:space="preserve">to </w:t>
            </w:r>
            <w:r w:rsidR="00BA0F80" w:rsidRPr="007E7514">
              <w:rPr>
                <w:rFonts w:ascii="Calibri" w:hAnsi="Calibri" w:cs="Calibri"/>
                <w:sz w:val="22"/>
                <w:szCs w:val="22"/>
                <w:lang w:val="en-GB"/>
              </w:rPr>
              <w:t>receiv</w:t>
            </w:r>
            <w:r w:rsidR="00335877" w:rsidRPr="007E7514">
              <w:rPr>
                <w:rFonts w:ascii="Calibri" w:hAnsi="Calibri" w:cs="Calibri"/>
                <w:sz w:val="22"/>
                <w:szCs w:val="22"/>
                <w:lang w:val="en-GB"/>
              </w:rPr>
              <w:t>e</w:t>
            </w:r>
            <w:r w:rsidR="00BA0F80" w:rsidRPr="007E7514">
              <w:rPr>
                <w:rFonts w:ascii="Calibri" w:hAnsi="Calibri" w:cs="Calibri"/>
                <w:sz w:val="22"/>
                <w:szCs w:val="22"/>
                <w:lang w:val="en-GB"/>
              </w:rPr>
              <w:t xml:space="preserve"> funding from the GEF. In GEF</w:t>
            </w:r>
            <w:r w:rsidR="00436DF4" w:rsidRPr="007E7514">
              <w:rPr>
                <w:rFonts w:ascii="Calibri" w:hAnsi="Calibri" w:cs="Calibri"/>
                <w:sz w:val="22"/>
                <w:szCs w:val="22"/>
                <w:lang w:val="en-GB"/>
              </w:rPr>
              <w:t>-</w:t>
            </w:r>
            <w:r w:rsidR="00BA0F80" w:rsidRPr="007E7514">
              <w:rPr>
                <w:rFonts w:ascii="Calibri" w:hAnsi="Calibri" w:cs="Calibri"/>
                <w:sz w:val="22"/>
                <w:szCs w:val="22"/>
                <w:lang w:val="en-GB"/>
              </w:rPr>
              <w:t>7</w:t>
            </w:r>
            <w:r w:rsidR="00436DF4" w:rsidRPr="007E7514">
              <w:rPr>
                <w:rFonts w:ascii="Calibri" w:hAnsi="Calibri" w:cs="Calibri"/>
                <w:sz w:val="22"/>
                <w:szCs w:val="22"/>
                <w:lang w:val="en-GB"/>
              </w:rPr>
              <w:t>,</w:t>
            </w:r>
            <w:r w:rsidR="00BA0F80" w:rsidRPr="007E7514">
              <w:rPr>
                <w:rFonts w:ascii="Calibri" w:hAnsi="Calibri" w:cs="Calibri"/>
                <w:sz w:val="22"/>
                <w:szCs w:val="22"/>
                <w:lang w:val="en-GB"/>
              </w:rPr>
              <w:t xml:space="preserve"> only Parties </w:t>
            </w:r>
            <w:r w:rsidR="00436DF4" w:rsidRPr="007E7514">
              <w:rPr>
                <w:rFonts w:ascii="Calibri" w:hAnsi="Calibri" w:cs="Calibri"/>
                <w:sz w:val="22"/>
                <w:szCs w:val="22"/>
                <w:lang w:val="en-GB"/>
              </w:rPr>
              <w:t>are</w:t>
            </w:r>
            <w:r w:rsidR="00BA0F80" w:rsidRPr="007E7514">
              <w:rPr>
                <w:rFonts w:ascii="Calibri" w:hAnsi="Calibri" w:cs="Calibri"/>
                <w:sz w:val="22"/>
                <w:szCs w:val="22"/>
                <w:lang w:val="en-GB"/>
              </w:rPr>
              <w:t xml:space="preserve"> eligible to access GEF resources</w:t>
            </w:r>
            <w:r w:rsidR="00F250AA" w:rsidRPr="007E7514">
              <w:rPr>
                <w:rFonts w:ascii="Calibri" w:hAnsi="Calibri" w:cs="Calibri"/>
                <w:sz w:val="22"/>
                <w:szCs w:val="22"/>
                <w:lang w:val="en-GB"/>
              </w:rPr>
              <w:t>, except for</w:t>
            </w:r>
            <w:r w:rsidR="008A5C3B" w:rsidRPr="007E7514">
              <w:rPr>
                <w:rFonts w:ascii="Calibri" w:hAnsi="Calibri" w:cs="Calibri"/>
                <w:sz w:val="22"/>
                <w:szCs w:val="22"/>
                <w:lang w:val="en-GB"/>
              </w:rPr>
              <w:t xml:space="preserve"> </w:t>
            </w:r>
            <w:r w:rsidRPr="007E7514">
              <w:rPr>
                <w:rFonts w:ascii="Calibri" w:hAnsi="Calibri" w:cs="Calibri"/>
                <w:sz w:val="22"/>
                <w:szCs w:val="22"/>
                <w:lang w:val="en-GB"/>
              </w:rPr>
              <w:t>EAs</w:t>
            </w:r>
            <w:r w:rsidR="00BA0F80" w:rsidRPr="007E7514">
              <w:rPr>
                <w:rFonts w:ascii="Calibri" w:hAnsi="Calibri" w:cs="Calibri"/>
                <w:sz w:val="22"/>
                <w:szCs w:val="22"/>
                <w:lang w:val="en-GB"/>
              </w:rPr>
              <w:t>.</w:t>
            </w:r>
            <w:r w:rsidR="00B74516" w:rsidRPr="007E7514">
              <w:rPr>
                <w:rFonts w:ascii="Calibri" w:hAnsi="Calibri" w:cs="Calibri"/>
                <w:sz w:val="22"/>
                <w:szCs w:val="22"/>
                <w:lang w:val="en-GB"/>
              </w:rPr>
              <w:t xml:space="preserve"> </w:t>
            </w:r>
            <w:r w:rsidR="00DB630C" w:rsidRPr="007E7514">
              <w:rPr>
                <w:rFonts w:ascii="Calibri" w:hAnsi="Calibri" w:cs="Calibri"/>
                <w:sz w:val="22"/>
                <w:szCs w:val="22"/>
                <w:lang w:val="en-GB"/>
              </w:rPr>
              <w:t>According to the COP guidance</w:t>
            </w:r>
            <w:r w:rsidRPr="007E7514">
              <w:rPr>
                <w:rFonts w:ascii="Calibri" w:hAnsi="Calibri" w:cs="Calibri"/>
                <w:sz w:val="22"/>
                <w:szCs w:val="22"/>
                <w:lang w:val="en-GB"/>
              </w:rPr>
              <w:t>,</w:t>
            </w:r>
            <w:r w:rsidR="00DB630C" w:rsidRPr="007E7514">
              <w:rPr>
                <w:rFonts w:ascii="Calibri" w:hAnsi="Calibri" w:cs="Calibri"/>
                <w:sz w:val="22"/>
                <w:szCs w:val="22"/>
                <w:lang w:val="en-GB"/>
              </w:rPr>
              <w:t xml:space="preserve"> </w:t>
            </w:r>
            <w:r w:rsidR="00725107" w:rsidRPr="007E7514">
              <w:rPr>
                <w:rFonts w:ascii="Calibri" w:hAnsi="Calibri" w:cs="Calibri"/>
                <w:sz w:val="22"/>
                <w:szCs w:val="22"/>
                <w:lang w:val="en-GB"/>
              </w:rPr>
              <w:t>s</w:t>
            </w:r>
            <w:r w:rsidR="00B74516" w:rsidRPr="007E7514">
              <w:rPr>
                <w:rFonts w:ascii="Calibri" w:hAnsi="Calibri" w:cs="Calibri"/>
                <w:sz w:val="22"/>
                <w:szCs w:val="22"/>
                <w:lang w:val="en-GB"/>
              </w:rPr>
              <w:t xml:space="preserve">ignatories to the Convention </w:t>
            </w:r>
            <w:r w:rsidR="00B74516" w:rsidRPr="007E7514">
              <w:rPr>
                <w:rFonts w:ascii="Calibri" w:hAnsi="Calibri" w:cs="Calibri"/>
                <w:sz w:val="22"/>
                <w:szCs w:val="22"/>
                <w:lang w:val="en-GB"/>
              </w:rPr>
              <w:lastRenderedPageBreak/>
              <w:t xml:space="preserve">are eligible for </w:t>
            </w:r>
            <w:r w:rsidR="00E006A4" w:rsidRPr="007E7514">
              <w:rPr>
                <w:rFonts w:ascii="Calibri" w:hAnsi="Calibri" w:cs="Calibri"/>
                <w:sz w:val="22"/>
                <w:szCs w:val="22"/>
                <w:lang w:val="en-GB"/>
              </w:rPr>
              <w:t xml:space="preserve">GEF </w:t>
            </w:r>
            <w:r w:rsidR="00B74516" w:rsidRPr="007E7514">
              <w:rPr>
                <w:rFonts w:ascii="Calibri" w:hAnsi="Calibri" w:cs="Calibri"/>
                <w:sz w:val="22"/>
                <w:szCs w:val="22"/>
                <w:lang w:val="en-GB"/>
              </w:rPr>
              <w:t xml:space="preserve">funding from for </w:t>
            </w:r>
            <w:r w:rsidRPr="007E7514">
              <w:rPr>
                <w:rFonts w:ascii="Calibri" w:hAnsi="Calibri" w:cs="Calibri"/>
                <w:sz w:val="22"/>
                <w:szCs w:val="22"/>
                <w:lang w:val="en-GB"/>
              </w:rPr>
              <w:t>EA</w:t>
            </w:r>
            <w:r w:rsidR="00B74516" w:rsidRPr="007E7514">
              <w:rPr>
                <w:rFonts w:ascii="Calibri" w:hAnsi="Calibri" w:cs="Calibri"/>
                <w:sz w:val="22"/>
                <w:szCs w:val="22"/>
                <w:lang w:val="en-GB"/>
              </w:rPr>
              <w:t>, provided that any such signatory is taking meaningful steps towards becoming a Party</w:t>
            </w:r>
            <w:r w:rsidR="00812931" w:rsidRPr="007E7514">
              <w:rPr>
                <w:rFonts w:ascii="Calibri" w:hAnsi="Calibri" w:cs="Calibri"/>
                <w:sz w:val="22"/>
                <w:szCs w:val="22"/>
                <w:lang w:val="en-GB"/>
              </w:rPr>
              <w:t>.</w:t>
            </w:r>
          </w:p>
        </w:tc>
      </w:tr>
      <w:tr w:rsidR="00DF5C07" w:rsidRPr="007E7514" w14:paraId="6692CB75" w14:textId="77777777" w:rsidTr="00EC1059">
        <w:trPr>
          <w:cnfStyle w:val="000000100000" w:firstRow="0" w:lastRow="0" w:firstColumn="0" w:lastColumn="0" w:oddVBand="0" w:evenVBand="0" w:oddHBand="1" w:evenHBand="0" w:firstRowFirstColumn="0" w:firstRowLastColumn="0" w:lastRowFirstColumn="0" w:lastRowLastColumn="0"/>
          <w:trHeight w:val="889"/>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4" w:space="0" w:color="auto"/>
            </w:tcBorders>
            <w:shd w:val="clear" w:color="auto" w:fill="FFFFFF" w:themeFill="background1"/>
          </w:tcPr>
          <w:p w14:paraId="3DFA53A6"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lastRenderedPageBreak/>
              <w:t>3</w:t>
            </w:r>
          </w:p>
        </w:tc>
        <w:tc>
          <w:tcPr>
            <w:tcW w:w="0" w:type="auto"/>
            <w:tcBorders>
              <w:bottom w:val="single" w:sz="4" w:space="0" w:color="auto"/>
            </w:tcBorders>
            <w:shd w:val="clear" w:color="auto" w:fill="FFFFFF" w:themeFill="background1"/>
          </w:tcPr>
          <w:p w14:paraId="4767E9AF"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Activities that are eligible for funding from the GEF trust fund are those that seek to meet the objectives of the Convention and are consistent with the present guidance.</w:t>
            </w:r>
          </w:p>
        </w:tc>
        <w:tc>
          <w:tcPr>
            <w:tcW w:w="0" w:type="auto"/>
            <w:tcBorders>
              <w:bottom w:val="single" w:sz="4" w:space="0" w:color="auto"/>
            </w:tcBorders>
            <w:shd w:val="clear" w:color="auto" w:fill="FFFFFF" w:themeFill="background1"/>
          </w:tcPr>
          <w:p w14:paraId="787CCB5E" w14:textId="65ADEFBB"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According to the GEF Instrument</w:t>
            </w:r>
            <w:r w:rsidR="00335877"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para</w:t>
            </w:r>
            <w:r w:rsidR="00436DF4" w:rsidRPr="007E7514">
              <w:rPr>
                <w:rFonts w:asciiTheme="minorHAnsi" w:hAnsiTheme="minorHAnsi" w:cstheme="minorHAnsi"/>
                <w:sz w:val="22"/>
                <w:szCs w:val="22"/>
                <w:lang w:val="en-GB"/>
              </w:rPr>
              <w:t>graph</w:t>
            </w:r>
            <w:r w:rsidRPr="007E7514">
              <w:rPr>
                <w:rFonts w:asciiTheme="minorHAnsi" w:hAnsiTheme="minorHAnsi" w:cstheme="minorHAnsi"/>
                <w:sz w:val="22"/>
                <w:szCs w:val="22"/>
                <w:lang w:val="en-GB"/>
              </w:rPr>
              <w:t xml:space="preserve"> 6</w:t>
            </w:r>
            <w:r w:rsidR="00335877"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w:t>
            </w:r>
            <w:r w:rsidR="007409C9" w:rsidRPr="007E7514">
              <w:rPr>
                <w:rFonts w:asciiTheme="minorHAnsi" w:hAnsiTheme="minorHAnsi" w:cstheme="minorHAnsi"/>
                <w:sz w:val="22"/>
                <w:szCs w:val="22"/>
                <w:lang w:val="en-GB"/>
              </w:rPr>
              <w:t>e</w:t>
            </w:r>
            <w:r w:rsidRPr="007E7514">
              <w:rPr>
                <w:rFonts w:asciiTheme="minorHAnsi" w:hAnsiTheme="minorHAnsi" w:cstheme="minorHAnsi"/>
                <w:sz w:val="22"/>
                <w:szCs w:val="22"/>
                <w:lang w:val="en-GB"/>
              </w:rPr>
              <w:t>)</w:t>
            </w:r>
            <w:r w:rsidR="00335877"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the GEF </w:t>
            </w:r>
            <w:r w:rsidR="00436DF4"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hall:</w:t>
            </w:r>
            <w:r w:rsidRPr="007E7514">
              <w:rPr>
                <w:rFonts w:asciiTheme="minorHAnsi" w:hAnsiTheme="minorHAnsi"/>
                <w:sz w:val="22"/>
                <w:szCs w:val="22"/>
                <w:lang w:val="en-GB"/>
              </w:rPr>
              <w:t xml:space="preserve"> </w:t>
            </w:r>
            <w:r w:rsidRPr="007E7514">
              <w:rPr>
                <w:rFonts w:asciiTheme="minorHAnsi" w:hAnsiTheme="minorHAnsi" w:cstheme="minorHAnsi"/>
                <w:sz w:val="22"/>
                <w:szCs w:val="22"/>
                <w:lang w:val="en-GB"/>
              </w:rPr>
              <w:t>Operate as one of the entities comprising the financial mechanism of the Minamata Convention on Mercury, pursuant to its Article 13, paragraphs 5, 6</w:t>
            </w:r>
            <w:r w:rsidR="00335877"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and 8. In such respects, the GEF shall operate under the guidance of, and be accountable to the Conference of the Parties, which shall provide guidance on overall strategies, policies, program priorities and eligibility for access to and utilization of financial resources. In addition, the GEF shall receive guidance from the Conference of the Parties on an indicative list of categories of activities that could receive support; and shall provide resources to meet the agreed incremental costs of global environmental benefits and the agreed full costs of some </w:t>
            </w:r>
            <w:r w:rsidR="00937A76" w:rsidRPr="007E7514">
              <w:rPr>
                <w:rFonts w:asciiTheme="minorHAnsi" w:hAnsiTheme="minorHAnsi" w:cstheme="minorHAnsi"/>
                <w:sz w:val="22"/>
                <w:szCs w:val="22"/>
                <w:lang w:val="en-GB"/>
              </w:rPr>
              <w:t>EAs</w:t>
            </w:r>
            <w:r w:rsidRPr="007E7514">
              <w:rPr>
                <w:rFonts w:asciiTheme="minorHAnsi" w:hAnsiTheme="minorHAnsi" w:cstheme="minorHAnsi"/>
                <w:sz w:val="22"/>
                <w:szCs w:val="22"/>
                <w:lang w:val="en-GB"/>
              </w:rPr>
              <w:t>, pursuant to Article 13, paragraph 7, of the Minamata Convention on Mercury.</w:t>
            </w:r>
          </w:p>
        </w:tc>
      </w:tr>
      <w:tr w:rsidR="00DF5C07" w:rsidRPr="007E7514" w14:paraId="71D20A17" w14:textId="77777777" w:rsidTr="00EC105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4" w:space="0" w:color="auto"/>
            </w:tcBorders>
            <w:shd w:val="clear" w:color="auto" w:fill="auto"/>
          </w:tcPr>
          <w:p w14:paraId="28944084"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4</w:t>
            </w:r>
          </w:p>
        </w:tc>
        <w:tc>
          <w:tcPr>
            <w:tcW w:w="0" w:type="auto"/>
            <w:tcBorders>
              <w:bottom w:val="single" w:sz="4" w:space="0" w:color="auto"/>
            </w:tcBorders>
            <w:shd w:val="clear" w:color="auto" w:fill="auto"/>
          </w:tcPr>
          <w:p w14:paraId="5A7BC8D7" w14:textId="7777777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Signatories to the Convention are eligible for funding from GEF for enabling activities, provided that any such signatory is taking meaningful steps towards becoming a Party as evidenced by a letter from the relevant minister to the Executive Director of the United Nations Environment Programme and to the Chief Executive Officer and Chairperson of the Global Environment Facility.</w:t>
            </w:r>
          </w:p>
        </w:tc>
        <w:tc>
          <w:tcPr>
            <w:tcW w:w="0" w:type="auto"/>
            <w:tcBorders>
              <w:bottom w:val="single" w:sz="4" w:space="0" w:color="auto"/>
            </w:tcBorders>
            <w:shd w:val="clear" w:color="auto" w:fill="FFFFFF" w:themeFill="background1"/>
          </w:tcPr>
          <w:p w14:paraId="59D4C57B" w14:textId="227FE558" w:rsidR="00DF5C07" w:rsidRPr="007E7514" w:rsidRDefault="007909C2"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 to June 30, 2018, the GEF</w:t>
            </w:r>
            <w:r w:rsidR="00845D62"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supported a total of 110 countries through</w:t>
            </w:r>
            <w:r w:rsidR="00845D62"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 xml:space="preserve">GEF-5 and GEF-6 to implement </w:t>
            </w:r>
            <w:r w:rsidR="00845D62" w:rsidRPr="007E7514">
              <w:rPr>
                <w:rFonts w:asciiTheme="minorHAnsi" w:hAnsiTheme="minorHAnsi" w:cstheme="minorHAnsi"/>
                <w:sz w:val="22"/>
                <w:szCs w:val="22"/>
                <w:lang w:val="en-GB"/>
              </w:rPr>
              <w:t>Minamata Initial Assessments (</w:t>
            </w:r>
            <w:r w:rsidRPr="007E7514">
              <w:rPr>
                <w:rFonts w:asciiTheme="minorHAnsi" w:hAnsiTheme="minorHAnsi" w:cstheme="minorHAnsi"/>
                <w:sz w:val="22"/>
                <w:szCs w:val="22"/>
                <w:lang w:val="en-GB"/>
              </w:rPr>
              <w:t>MIA</w:t>
            </w:r>
            <w:r w:rsidR="001778DE" w:rsidRPr="007E7514">
              <w:rPr>
                <w:rFonts w:asciiTheme="minorHAnsi" w:hAnsiTheme="minorHAnsi" w:cstheme="minorHAnsi"/>
                <w:sz w:val="22"/>
                <w:szCs w:val="22"/>
                <w:lang w:val="en-GB"/>
              </w:rPr>
              <w:t>s</w:t>
            </w:r>
            <w:r w:rsidR="00845D62"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and 32 countries to conduct their </w:t>
            </w:r>
            <w:r w:rsidR="00845D62" w:rsidRPr="007E7514">
              <w:rPr>
                <w:rFonts w:asciiTheme="minorHAnsi" w:hAnsiTheme="minorHAnsi" w:cstheme="minorHAnsi"/>
                <w:sz w:val="22"/>
                <w:szCs w:val="22"/>
                <w:lang w:val="en-GB"/>
              </w:rPr>
              <w:t>Artisanal and Small-scale Gold Mining (</w:t>
            </w:r>
            <w:r w:rsidRPr="007E7514">
              <w:rPr>
                <w:rFonts w:asciiTheme="minorHAnsi" w:hAnsiTheme="minorHAnsi" w:cstheme="minorHAnsi"/>
                <w:sz w:val="22"/>
                <w:szCs w:val="22"/>
                <w:lang w:val="en-GB"/>
              </w:rPr>
              <w:t>ASGM</w:t>
            </w:r>
            <w:r w:rsidR="00845D62"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w:t>
            </w:r>
            <w:r w:rsidR="00845D62" w:rsidRPr="007E7514">
              <w:rPr>
                <w:rFonts w:asciiTheme="minorHAnsi" w:hAnsiTheme="minorHAnsi" w:cstheme="minorHAnsi"/>
                <w:sz w:val="22"/>
                <w:szCs w:val="22"/>
                <w:lang w:val="en-GB"/>
              </w:rPr>
              <w:t>National Action Plans (</w:t>
            </w:r>
            <w:r w:rsidRPr="007E7514">
              <w:rPr>
                <w:rFonts w:asciiTheme="minorHAnsi" w:hAnsiTheme="minorHAnsi" w:cstheme="minorHAnsi"/>
                <w:sz w:val="22"/>
                <w:szCs w:val="22"/>
                <w:lang w:val="en-GB"/>
              </w:rPr>
              <w:t>NAP</w:t>
            </w:r>
            <w:r w:rsidR="00CF2263" w:rsidRPr="007E7514">
              <w:rPr>
                <w:rFonts w:asciiTheme="minorHAnsi" w:hAnsiTheme="minorHAnsi" w:cstheme="minorHAnsi"/>
                <w:sz w:val="22"/>
                <w:szCs w:val="22"/>
                <w:lang w:val="en-GB"/>
              </w:rPr>
              <w:t>s</w:t>
            </w:r>
            <w:r w:rsidR="00845D62"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w:t>
            </w:r>
            <w:r w:rsidR="00845D62" w:rsidRPr="007E7514">
              <w:rPr>
                <w:rFonts w:asciiTheme="minorHAnsi" w:hAnsiTheme="minorHAnsi" w:cstheme="minorHAnsi"/>
                <w:sz w:val="22"/>
                <w:szCs w:val="22"/>
                <w:lang w:val="en-GB"/>
              </w:rPr>
              <w:t>Seventy-eight</w:t>
            </w:r>
            <w:r w:rsidRPr="007E7514">
              <w:rPr>
                <w:rFonts w:asciiTheme="minorHAnsi" w:hAnsiTheme="minorHAnsi" w:cstheme="minorHAnsi"/>
                <w:sz w:val="22"/>
                <w:szCs w:val="22"/>
                <w:lang w:val="en-GB"/>
              </w:rPr>
              <w:t xml:space="preserve"> out of 89 </w:t>
            </w:r>
            <w:r w:rsidR="00007D55"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ignatories received funding for these </w:t>
            </w:r>
            <w:r w:rsidR="00937A76" w:rsidRPr="007E7514">
              <w:rPr>
                <w:rFonts w:asciiTheme="minorHAnsi" w:hAnsiTheme="minorHAnsi" w:cstheme="minorHAnsi"/>
                <w:sz w:val="22"/>
                <w:szCs w:val="22"/>
                <w:lang w:val="en-GB"/>
              </w:rPr>
              <w:t>EAs</w:t>
            </w:r>
            <w:r w:rsidRPr="007E7514">
              <w:rPr>
                <w:rFonts w:asciiTheme="minorHAnsi" w:hAnsiTheme="minorHAnsi" w:cstheme="minorHAnsi"/>
                <w:sz w:val="22"/>
                <w:szCs w:val="22"/>
                <w:lang w:val="en-GB"/>
              </w:rPr>
              <w:t xml:space="preserve">. Of the remaining </w:t>
            </w:r>
            <w:r w:rsidR="00845D62" w:rsidRPr="007E7514">
              <w:rPr>
                <w:rFonts w:asciiTheme="minorHAnsi" w:hAnsiTheme="minorHAnsi" w:cstheme="minorHAnsi"/>
                <w:sz w:val="22"/>
                <w:szCs w:val="22"/>
                <w:lang w:val="en-GB"/>
              </w:rPr>
              <w:t>eleven</w:t>
            </w:r>
            <w:r w:rsidR="00DD48BE"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 xml:space="preserve">countries, </w:t>
            </w:r>
            <w:r w:rsidR="00845D62" w:rsidRPr="007E7514">
              <w:rPr>
                <w:rFonts w:asciiTheme="minorHAnsi" w:hAnsiTheme="minorHAnsi" w:cstheme="minorHAnsi"/>
                <w:sz w:val="22"/>
                <w:szCs w:val="22"/>
                <w:lang w:val="en-GB"/>
              </w:rPr>
              <w:t>six</w:t>
            </w:r>
            <w:r w:rsidR="00DD48BE"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 xml:space="preserve">have become Parties </w:t>
            </w:r>
            <w:r w:rsidR="00A21BBF" w:rsidRPr="007E7514">
              <w:rPr>
                <w:rFonts w:asciiTheme="minorHAnsi" w:hAnsiTheme="minorHAnsi" w:cstheme="minorHAnsi"/>
                <w:sz w:val="22"/>
                <w:szCs w:val="22"/>
                <w:lang w:val="en-GB"/>
              </w:rPr>
              <w:t xml:space="preserve">as </w:t>
            </w:r>
            <w:r w:rsidR="00845D62" w:rsidRPr="007E7514">
              <w:rPr>
                <w:rFonts w:asciiTheme="minorHAnsi" w:hAnsiTheme="minorHAnsi" w:cstheme="minorHAnsi"/>
                <w:sz w:val="22"/>
                <w:szCs w:val="22"/>
                <w:lang w:val="en-GB"/>
              </w:rPr>
              <w:t>at</w:t>
            </w:r>
            <w:r w:rsidR="00A21BBF" w:rsidRPr="007E7514">
              <w:rPr>
                <w:rFonts w:asciiTheme="minorHAnsi" w:hAnsiTheme="minorHAnsi" w:cstheme="minorHAnsi"/>
                <w:sz w:val="22"/>
                <w:szCs w:val="22"/>
                <w:lang w:val="en-GB"/>
              </w:rPr>
              <w:t xml:space="preserve"> June 30, 2018.</w:t>
            </w:r>
            <w:r w:rsidRPr="007E7514">
              <w:rPr>
                <w:rFonts w:asciiTheme="minorHAnsi" w:hAnsiTheme="minorHAnsi" w:cstheme="minorHAnsi"/>
                <w:sz w:val="22"/>
                <w:szCs w:val="22"/>
                <w:lang w:val="en-GB"/>
              </w:rPr>
              <w:t xml:space="preserve"> </w:t>
            </w:r>
            <w:r w:rsidR="00E006A4" w:rsidRPr="007E7514">
              <w:rPr>
                <w:rFonts w:asciiTheme="minorHAnsi" w:hAnsiTheme="minorHAnsi" w:cstheme="minorHAnsi"/>
                <w:sz w:val="22"/>
                <w:szCs w:val="22"/>
                <w:lang w:val="en-GB"/>
              </w:rPr>
              <w:br/>
            </w:r>
            <w:r w:rsidRPr="007E7514">
              <w:rPr>
                <w:rFonts w:asciiTheme="minorHAnsi" w:hAnsiTheme="minorHAnsi" w:cstheme="minorHAnsi"/>
                <w:sz w:val="22"/>
                <w:szCs w:val="22"/>
                <w:lang w:val="en-GB"/>
              </w:rPr>
              <w:t xml:space="preserve">Twenty-three countries that were </w:t>
            </w:r>
            <w:r w:rsidR="00E006A4" w:rsidRPr="007E7514">
              <w:rPr>
                <w:rFonts w:asciiTheme="minorHAnsi" w:hAnsiTheme="minorHAnsi" w:cstheme="minorHAnsi"/>
                <w:sz w:val="22"/>
                <w:szCs w:val="22"/>
                <w:lang w:val="en-GB"/>
              </w:rPr>
              <w:br/>
            </w:r>
            <w:r w:rsidRPr="007E7514">
              <w:rPr>
                <w:rFonts w:asciiTheme="minorHAnsi" w:hAnsiTheme="minorHAnsi" w:cstheme="minorHAnsi"/>
                <w:sz w:val="22"/>
                <w:szCs w:val="22"/>
                <w:lang w:val="en-GB"/>
              </w:rPr>
              <w:t>non-signatory and non-</w:t>
            </w:r>
            <w:r w:rsidR="00335877" w:rsidRPr="007E7514">
              <w:rPr>
                <w:rFonts w:asciiTheme="minorHAnsi" w:hAnsiTheme="minorHAnsi" w:cstheme="minorHAnsi"/>
                <w:sz w:val="22"/>
                <w:szCs w:val="22"/>
                <w:lang w:val="en-GB"/>
              </w:rPr>
              <w:t>P</w:t>
            </w:r>
            <w:r w:rsidRPr="007E7514">
              <w:rPr>
                <w:rFonts w:asciiTheme="minorHAnsi" w:hAnsiTheme="minorHAnsi" w:cstheme="minorHAnsi"/>
                <w:sz w:val="22"/>
                <w:szCs w:val="22"/>
                <w:lang w:val="en-GB"/>
              </w:rPr>
              <w:t xml:space="preserve">arty have accessed </w:t>
            </w:r>
            <w:r w:rsidR="00845D62" w:rsidRPr="007E7514">
              <w:rPr>
                <w:rFonts w:asciiTheme="minorHAnsi" w:hAnsiTheme="minorHAnsi" w:cstheme="minorHAnsi"/>
                <w:sz w:val="22"/>
                <w:szCs w:val="22"/>
                <w:lang w:val="en-GB"/>
              </w:rPr>
              <w:t>EA</w:t>
            </w:r>
            <w:r w:rsidRPr="007E7514">
              <w:rPr>
                <w:rFonts w:asciiTheme="minorHAnsi" w:hAnsiTheme="minorHAnsi" w:cstheme="minorHAnsi"/>
                <w:sz w:val="22"/>
                <w:szCs w:val="22"/>
                <w:lang w:val="en-GB"/>
              </w:rPr>
              <w:t xml:space="preserve"> resources</w:t>
            </w:r>
            <w:r w:rsidR="00335877"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w:t>
            </w:r>
            <w:r w:rsidR="00335877" w:rsidRPr="007E7514">
              <w:rPr>
                <w:rFonts w:asciiTheme="minorHAnsi" w:hAnsiTheme="minorHAnsi" w:cstheme="minorHAnsi"/>
                <w:sz w:val="22"/>
                <w:szCs w:val="22"/>
                <w:lang w:val="en-GB"/>
              </w:rPr>
              <w:t xml:space="preserve">at the request of the sixth session of the intergovernmental </w:t>
            </w:r>
            <w:r w:rsidR="000D1518" w:rsidRPr="007E7514">
              <w:rPr>
                <w:rFonts w:asciiTheme="minorHAnsi" w:hAnsiTheme="minorHAnsi" w:cstheme="minorHAnsi"/>
                <w:sz w:val="22"/>
                <w:szCs w:val="22"/>
                <w:lang w:val="en-GB"/>
              </w:rPr>
              <w:t xml:space="preserve">negotiating </w:t>
            </w:r>
            <w:r w:rsidR="00335877" w:rsidRPr="007E7514">
              <w:rPr>
                <w:rFonts w:asciiTheme="minorHAnsi" w:hAnsiTheme="minorHAnsi" w:cstheme="minorHAnsi"/>
                <w:sz w:val="22"/>
                <w:szCs w:val="22"/>
                <w:lang w:val="en-GB"/>
              </w:rPr>
              <w:t>committee on mercury (INC</w:t>
            </w:r>
            <w:r w:rsidR="00E006A4" w:rsidRPr="007E7514">
              <w:rPr>
                <w:rFonts w:asciiTheme="minorHAnsi" w:hAnsiTheme="minorHAnsi" w:cstheme="minorHAnsi"/>
                <w:sz w:val="22"/>
                <w:szCs w:val="22"/>
                <w:lang w:val="en-GB"/>
              </w:rPr>
              <w:t xml:space="preserve"> </w:t>
            </w:r>
            <w:r w:rsidR="00335877" w:rsidRPr="007E7514">
              <w:rPr>
                <w:rFonts w:asciiTheme="minorHAnsi" w:hAnsiTheme="minorHAnsi" w:cstheme="minorHAnsi"/>
                <w:sz w:val="22"/>
                <w:szCs w:val="22"/>
                <w:lang w:val="en-GB"/>
              </w:rPr>
              <w:t xml:space="preserve">6) to allow non-signatory, non-Party States to access resources for </w:t>
            </w:r>
            <w:r w:rsidR="00845D62" w:rsidRPr="007E7514">
              <w:rPr>
                <w:rFonts w:asciiTheme="minorHAnsi" w:hAnsiTheme="minorHAnsi" w:cstheme="minorHAnsi"/>
                <w:sz w:val="22"/>
                <w:szCs w:val="22"/>
                <w:lang w:val="en-GB"/>
              </w:rPr>
              <w:t>EAs</w:t>
            </w:r>
            <w:r w:rsidR="00335877" w:rsidRPr="007E7514">
              <w:rPr>
                <w:rFonts w:asciiTheme="minorHAnsi" w:hAnsiTheme="minorHAnsi" w:cstheme="minorHAnsi"/>
                <w:sz w:val="22"/>
                <w:szCs w:val="22"/>
                <w:lang w:val="en-GB"/>
              </w:rPr>
              <w:t xml:space="preserve"> from the GEF, the GEF Council </w:t>
            </w:r>
            <w:r w:rsidRPr="007E7514">
              <w:rPr>
                <w:rFonts w:asciiTheme="minorHAnsi" w:hAnsiTheme="minorHAnsi" w:cstheme="minorHAnsi"/>
                <w:sz w:val="22"/>
                <w:szCs w:val="22"/>
                <w:lang w:val="en-GB"/>
              </w:rPr>
              <w:t>var</w:t>
            </w:r>
            <w:r w:rsidR="00335877" w:rsidRPr="007E7514">
              <w:rPr>
                <w:rFonts w:asciiTheme="minorHAnsi" w:hAnsiTheme="minorHAnsi" w:cstheme="minorHAnsi"/>
                <w:sz w:val="22"/>
                <w:szCs w:val="22"/>
                <w:lang w:val="en-GB"/>
              </w:rPr>
              <w:t>ied</w:t>
            </w:r>
            <w:r w:rsidRPr="007E7514">
              <w:rPr>
                <w:rFonts w:asciiTheme="minorHAnsi" w:hAnsiTheme="minorHAnsi" w:cstheme="minorHAnsi"/>
                <w:sz w:val="22"/>
                <w:szCs w:val="22"/>
                <w:lang w:val="en-GB"/>
              </w:rPr>
              <w:t xml:space="preserve"> the eligibility criteria through a decision by mail on </w:t>
            </w:r>
            <w:r w:rsidR="00E006A4" w:rsidRPr="007E7514">
              <w:rPr>
                <w:rFonts w:asciiTheme="minorHAnsi" w:hAnsiTheme="minorHAnsi" w:cstheme="minorHAnsi"/>
                <w:sz w:val="22"/>
                <w:szCs w:val="22"/>
                <w:lang w:val="en-GB"/>
              </w:rPr>
              <w:br/>
            </w:r>
            <w:r w:rsidRPr="007E7514">
              <w:rPr>
                <w:rFonts w:asciiTheme="minorHAnsi" w:hAnsiTheme="minorHAnsi" w:cstheme="minorHAnsi"/>
                <w:sz w:val="22"/>
                <w:szCs w:val="22"/>
                <w:lang w:val="en-GB"/>
              </w:rPr>
              <w:t>January 14, 2015. This variation of the eligibility for non-signatories, non-</w:t>
            </w:r>
            <w:r w:rsidR="00564C18" w:rsidRPr="007E7514">
              <w:rPr>
                <w:rFonts w:asciiTheme="minorHAnsi" w:hAnsiTheme="minorHAnsi" w:cstheme="minorHAnsi"/>
                <w:sz w:val="22"/>
                <w:szCs w:val="22"/>
                <w:lang w:val="en-GB"/>
              </w:rPr>
              <w:t>P</w:t>
            </w:r>
            <w:r w:rsidRPr="007E7514">
              <w:rPr>
                <w:rFonts w:asciiTheme="minorHAnsi" w:hAnsiTheme="minorHAnsi" w:cstheme="minorHAnsi"/>
                <w:sz w:val="22"/>
                <w:szCs w:val="22"/>
                <w:lang w:val="en-GB"/>
              </w:rPr>
              <w:t xml:space="preserve">arties is </w:t>
            </w:r>
            <w:r w:rsidR="00845D62" w:rsidRPr="007E7514">
              <w:rPr>
                <w:rFonts w:asciiTheme="minorHAnsi" w:hAnsiTheme="minorHAnsi" w:cstheme="minorHAnsi"/>
                <w:sz w:val="22"/>
                <w:szCs w:val="22"/>
                <w:lang w:val="en-GB"/>
              </w:rPr>
              <w:lastRenderedPageBreak/>
              <w:t xml:space="preserve">no </w:t>
            </w:r>
            <w:r w:rsidRPr="007E7514">
              <w:rPr>
                <w:rFonts w:asciiTheme="minorHAnsi" w:hAnsiTheme="minorHAnsi" w:cstheme="minorHAnsi"/>
                <w:sz w:val="22"/>
                <w:szCs w:val="22"/>
                <w:lang w:val="en-GB"/>
              </w:rPr>
              <w:t>longer applicable</w:t>
            </w:r>
            <w:r w:rsidR="00335877"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as the COP 1 guidance only applies to signatories and Parties with respect to access of funding of </w:t>
            </w:r>
            <w:r w:rsidR="00845D62" w:rsidRPr="007E7514">
              <w:rPr>
                <w:rFonts w:asciiTheme="minorHAnsi" w:hAnsiTheme="minorHAnsi" w:cstheme="minorHAnsi"/>
                <w:sz w:val="22"/>
                <w:szCs w:val="22"/>
                <w:lang w:val="en-GB"/>
              </w:rPr>
              <w:t>EAs</w:t>
            </w:r>
            <w:r w:rsidRPr="007E7514">
              <w:rPr>
                <w:rFonts w:asciiTheme="minorHAnsi" w:hAnsiTheme="minorHAnsi" w:cstheme="minorHAnsi"/>
                <w:sz w:val="22"/>
                <w:szCs w:val="22"/>
                <w:lang w:val="en-GB"/>
              </w:rPr>
              <w:t>.</w:t>
            </w:r>
          </w:p>
          <w:p w14:paraId="52A8F6AB" w14:textId="77777777" w:rsidR="007909C2" w:rsidRPr="007E7514" w:rsidRDefault="007909C2"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370BE90B" w14:textId="77777777" w:rsidR="007909C2" w:rsidRPr="007E7514" w:rsidRDefault="007909C2" w:rsidP="00D05424">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3:</w:t>
            </w:r>
          </w:p>
          <w:p w14:paraId="4C7B9FF9" w14:textId="77777777" w:rsidR="007909C2" w:rsidRPr="007E7514" w:rsidRDefault="00B931E8">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 to June 30, 2019, the GEF supported a total of 111 countries to implement MIA</w:t>
            </w:r>
            <w:r w:rsidR="001778DE"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 and 35 countries to conduct their ASGM NAP</w:t>
            </w:r>
            <w:r w:rsidR="00CF2263"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w:t>
            </w:r>
          </w:p>
          <w:p w14:paraId="5FDB1B79" w14:textId="77777777" w:rsidR="00BC06B9" w:rsidRPr="007E7514" w:rsidRDefault="00BC06B9">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047E4629" w14:textId="77777777" w:rsidR="00BC06B9" w:rsidRPr="007E7514" w:rsidRDefault="00BC06B9">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Update for COP 4: </w:t>
            </w:r>
          </w:p>
          <w:p w14:paraId="5EF82C8D" w14:textId="0D9EE6D1" w:rsidR="003F4FAF" w:rsidRPr="007E7514" w:rsidRDefault="003F4FAF">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 to June 30, 20</w:t>
            </w:r>
            <w:r w:rsidR="00653059" w:rsidRPr="007E7514">
              <w:rPr>
                <w:rFonts w:asciiTheme="minorHAnsi" w:hAnsiTheme="minorHAnsi" w:cstheme="minorHAnsi"/>
                <w:sz w:val="22"/>
                <w:szCs w:val="22"/>
                <w:lang w:val="en-GB"/>
              </w:rPr>
              <w:t>21</w:t>
            </w:r>
            <w:r w:rsidRPr="007E7514">
              <w:rPr>
                <w:rFonts w:asciiTheme="minorHAnsi" w:hAnsiTheme="minorHAnsi" w:cstheme="minorHAnsi"/>
                <w:sz w:val="22"/>
                <w:szCs w:val="22"/>
                <w:lang w:val="en-GB"/>
              </w:rPr>
              <w:t>, the GEF supported a total of 11</w:t>
            </w:r>
            <w:r w:rsidR="009F7704" w:rsidRPr="007E7514">
              <w:rPr>
                <w:rFonts w:asciiTheme="minorHAnsi" w:hAnsiTheme="minorHAnsi" w:cstheme="minorHAnsi"/>
                <w:sz w:val="22"/>
                <w:szCs w:val="22"/>
                <w:lang w:val="en-GB"/>
              </w:rPr>
              <w:t>7</w:t>
            </w:r>
            <w:r w:rsidRPr="007E7514">
              <w:rPr>
                <w:rFonts w:asciiTheme="minorHAnsi" w:hAnsiTheme="minorHAnsi" w:cstheme="minorHAnsi"/>
                <w:sz w:val="22"/>
                <w:szCs w:val="22"/>
                <w:lang w:val="en-GB"/>
              </w:rPr>
              <w:t xml:space="preserve"> countries to implement MIAs and </w:t>
            </w:r>
            <w:r w:rsidR="00FF64CF" w:rsidRPr="007E7514">
              <w:rPr>
                <w:rFonts w:asciiTheme="minorHAnsi" w:hAnsiTheme="minorHAnsi" w:cstheme="minorHAnsi"/>
                <w:sz w:val="22"/>
                <w:szCs w:val="22"/>
                <w:lang w:val="en-GB"/>
              </w:rPr>
              <w:t>4</w:t>
            </w:r>
            <w:r w:rsidR="000E27BB" w:rsidRPr="007E7514">
              <w:rPr>
                <w:rFonts w:asciiTheme="minorHAnsi" w:hAnsiTheme="minorHAnsi" w:cstheme="minorHAnsi"/>
                <w:sz w:val="22"/>
                <w:szCs w:val="22"/>
                <w:lang w:val="en-GB"/>
              </w:rPr>
              <w:t>3</w:t>
            </w:r>
            <w:r w:rsidRPr="007E7514">
              <w:rPr>
                <w:rFonts w:asciiTheme="minorHAnsi" w:hAnsiTheme="minorHAnsi" w:cstheme="minorHAnsi"/>
                <w:sz w:val="22"/>
                <w:szCs w:val="22"/>
                <w:lang w:val="en-GB"/>
              </w:rPr>
              <w:t xml:space="preserve"> countries to conduct their ASGM NAPs.</w:t>
            </w:r>
          </w:p>
        </w:tc>
      </w:tr>
      <w:tr w:rsidR="00DF5C07" w:rsidRPr="007E7514" w14:paraId="45E368AA" w14:textId="77777777" w:rsidTr="00EC10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left w:val="none" w:sz="0" w:space="0" w:color="auto"/>
            </w:tcBorders>
            <w:shd w:val="clear" w:color="auto" w:fill="FFFFFF" w:themeFill="background1"/>
          </w:tcPr>
          <w:p w14:paraId="21DA11A3"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lastRenderedPageBreak/>
              <w:t>II. Overall strategies and policies</w:t>
            </w:r>
          </w:p>
        </w:tc>
      </w:tr>
      <w:tr w:rsidR="00DF5C07" w:rsidRPr="007E7514" w14:paraId="542AE50A"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4033226A"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5</w:t>
            </w:r>
          </w:p>
        </w:tc>
        <w:tc>
          <w:tcPr>
            <w:tcW w:w="0" w:type="auto"/>
            <w:shd w:val="clear" w:color="auto" w:fill="FFFFFF" w:themeFill="background1"/>
          </w:tcPr>
          <w:p w14:paraId="04BC227D" w14:textId="7777777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 accordance with Article 13, paragraph 7, of the Convention, the GEF trust fund shall provide new, predictable, adequate</w:t>
            </w:r>
            <w:r w:rsidR="00335877"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 and timely financial resources to meet costs in support of implementation of the Convention as agreed by the Conference of the Parties, including costs arising from activities that: </w:t>
            </w:r>
          </w:p>
          <w:p w14:paraId="4083D10E" w14:textId="7777777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(a) Are country-driven; </w:t>
            </w:r>
          </w:p>
          <w:p w14:paraId="1BF7D00B" w14:textId="7777777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(b) Are in conformity with programme priorities as reflected in relevant guidance provided by the Conference of the Parties;</w:t>
            </w:r>
          </w:p>
          <w:p w14:paraId="0CF4F431" w14:textId="77777777" w:rsidR="00DF5C07" w:rsidRPr="007E7514" w:rsidRDefault="00DF5C07" w:rsidP="00D05424">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(c) Build capacity and promote the utilization of local and regional expertise, if applicable; </w:t>
            </w:r>
          </w:p>
          <w:p w14:paraId="2C48A623" w14:textId="77777777" w:rsidR="00DF5C07" w:rsidRPr="007E7514" w:rsidRDefault="00DF5C07">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(d) Promote synergies with other focal areas;</w:t>
            </w:r>
          </w:p>
          <w:p w14:paraId="7A1A583D" w14:textId="77777777" w:rsidR="00DF5C07" w:rsidRPr="007E7514" w:rsidRDefault="00DF5C07">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(e) Continue to enhance synergies and co-benefits within the chemicals and wastes focal area;</w:t>
            </w:r>
          </w:p>
          <w:p w14:paraId="5FB81FF5" w14:textId="77777777" w:rsidR="00DF5C07" w:rsidRPr="007E7514" w:rsidRDefault="00DF5C07">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(f) Promote multiple-source funding approaches, mechanisms and arrangements, including from the private sector, if applicable; and </w:t>
            </w:r>
          </w:p>
          <w:p w14:paraId="35AEE753" w14:textId="77777777" w:rsidR="00DF5C07" w:rsidRPr="007E7514" w:rsidRDefault="00DF5C07">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(g) Promote sustainable national socioeconomic development, poverty reduction and activities </w:t>
            </w:r>
            <w:r w:rsidRPr="007E7514">
              <w:rPr>
                <w:rFonts w:asciiTheme="minorHAnsi" w:hAnsiTheme="minorHAnsi" w:cstheme="minorHAnsi"/>
                <w:sz w:val="22"/>
                <w:szCs w:val="22"/>
                <w:lang w:val="en-GB"/>
              </w:rPr>
              <w:lastRenderedPageBreak/>
              <w:t>consistent with existing national sound environmental management programmes geared towards the protection of human health and the environment.</w:t>
            </w:r>
          </w:p>
        </w:tc>
        <w:tc>
          <w:tcPr>
            <w:tcW w:w="0" w:type="auto"/>
            <w:shd w:val="clear" w:color="auto" w:fill="FFFFFF" w:themeFill="background1"/>
          </w:tcPr>
          <w:p w14:paraId="27138E78" w14:textId="7F569BF0" w:rsidR="00DF5C07" w:rsidRPr="007E7514" w:rsidRDefault="00DF5C07">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lastRenderedPageBreak/>
              <w:t xml:space="preserve">This guidance </w:t>
            </w:r>
            <w:r w:rsidR="00E006A4" w:rsidRPr="007E7514">
              <w:rPr>
                <w:rFonts w:asciiTheme="minorHAnsi" w:hAnsiTheme="minorHAnsi" w:cstheme="minorHAnsi"/>
                <w:sz w:val="22"/>
                <w:szCs w:val="22"/>
                <w:lang w:val="en-GB"/>
              </w:rPr>
              <w:t>was</w:t>
            </w:r>
            <w:r w:rsidRPr="007E7514">
              <w:rPr>
                <w:rFonts w:asciiTheme="minorHAnsi" w:hAnsiTheme="minorHAnsi" w:cstheme="minorHAnsi"/>
                <w:sz w:val="22"/>
                <w:szCs w:val="22"/>
                <w:lang w:val="en-GB"/>
              </w:rPr>
              <w:t xml:space="preserve"> used to inform the </w:t>
            </w:r>
            <w:r w:rsidR="00E006A4" w:rsidRPr="007E7514">
              <w:rPr>
                <w:rFonts w:asciiTheme="minorHAnsi" w:hAnsiTheme="minorHAnsi" w:cstheme="minorHAnsi"/>
                <w:sz w:val="22"/>
                <w:szCs w:val="22"/>
                <w:lang w:val="en-GB"/>
              </w:rPr>
              <w:t xml:space="preserve">GEF-6 and GEF-7 </w:t>
            </w:r>
            <w:r w:rsidRPr="007E7514">
              <w:rPr>
                <w:rFonts w:asciiTheme="minorHAnsi" w:hAnsiTheme="minorHAnsi" w:cstheme="minorHAnsi"/>
                <w:sz w:val="22"/>
                <w:szCs w:val="22"/>
                <w:lang w:val="en-GB"/>
              </w:rPr>
              <w:t xml:space="preserve">programming in and </w:t>
            </w:r>
            <w:r w:rsidR="00E006A4" w:rsidRPr="007E7514">
              <w:rPr>
                <w:rFonts w:asciiTheme="minorHAnsi" w:hAnsiTheme="minorHAnsi" w:cstheme="minorHAnsi"/>
                <w:sz w:val="22"/>
                <w:szCs w:val="22"/>
                <w:lang w:val="en-GB"/>
              </w:rPr>
              <w:t>was</w:t>
            </w:r>
            <w:r w:rsidRPr="007E7514">
              <w:rPr>
                <w:rFonts w:asciiTheme="minorHAnsi" w:hAnsiTheme="minorHAnsi" w:cstheme="minorHAnsi"/>
                <w:sz w:val="22"/>
                <w:szCs w:val="22"/>
                <w:lang w:val="en-GB"/>
              </w:rPr>
              <w:t xml:space="preserve"> addressed in the GEF-7 replenishment negotiations, which </w:t>
            </w:r>
            <w:r w:rsidR="00E006A4" w:rsidRPr="007E7514">
              <w:rPr>
                <w:rFonts w:asciiTheme="minorHAnsi" w:hAnsiTheme="minorHAnsi" w:cstheme="minorHAnsi"/>
                <w:sz w:val="22"/>
                <w:szCs w:val="22"/>
                <w:lang w:val="en-GB"/>
              </w:rPr>
              <w:t xml:space="preserve">were </w:t>
            </w:r>
            <w:r w:rsidRPr="007E7514">
              <w:rPr>
                <w:rFonts w:asciiTheme="minorHAnsi" w:hAnsiTheme="minorHAnsi" w:cstheme="minorHAnsi"/>
                <w:sz w:val="22"/>
                <w:szCs w:val="22"/>
                <w:lang w:val="en-GB"/>
              </w:rPr>
              <w:t>concluded in April 2018.</w:t>
            </w:r>
            <w:r w:rsidR="00131F1F" w:rsidRPr="007E7514">
              <w:rPr>
                <w:rFonts w:asciiTheme="minorHAnsi" w:hAnsiTheme="minorHAnsi" w:cstheme="minorHAnsi"/>
                <w:sz w:val="22"/>
                <w:szCs w:val="22"/>
                <w:lang w:val="en-GB"/>
              </w:rPr>
              <w:t xml:space="preserve"> </w:t>
            </w:r>
            <w:r w:rsidR="00436DF4" w:rsidRPr="007E7514">
              <w:rPr>
                <w:rFonts w:asciiTheme="minorHAnsi" w:hAnsiTheme="minorHAnsi" w:cstheme="minorHAnsi"/>
                <w:sz w:val="22"/>
                <w:szCs w:val="22"/>
                <w:lang w:val="en-GB"/>
              </w:rPr>
              <w:t xml:space="preserve">The new strategy is included in the summary of negotiations of </w:t>
            </w:r>
            <w:r w:rsidR="00845D62" w:rsidRPr="007E7514">
              <w:rPr>
                <w:rFonts w:asciiTheme="minorHAnsi" w:hAnsiTheme="minorHAnsi" w:cstheme="minorHAnsi"/>
                <w:sz w:val="22"/>
                <w:szCs w:val="22"/>
                <w:lang w:val="en-GB"/>
              </w:rPr>
              <w:t>GEF-7</w:t>
            </w:r>
            <w:r w:rsidR="00436DF4" w:rsidRPr="007E7514">
              <w:rPr>
                <w:rFonts w:asciiTheme="minorHAnsi" w:hAnsiTheme="minorHAnsi" w:cstheme="minorHAnsi"/>
                <w:sz w:val="22"/>
                <w:szCs w:val="22"/>
                <w:lang w:val="en-GB"/>
              </w:rPr>
              <w:t>.</w:t>
            </w:r>
            <w:r w:rsidR="00436DF4" w:rsidRPr="007E7514">
              <w:rPr>
                <w:rStyle w:val="FootnoteReference"/>
                <w:rFonts w:asciiTheme="minorHAnsi" w:hAnsiTheme="minorHAnsi" w:cstheme="minorHAnsi"/>
                <w:sz w:val="22"/>
                <w:szCs w:val="22"/>
                <w:lang w:val="en-GB"/>
              </w:rPr>
              <w:footnoteReference w:id="14"/>
            </w:r>
          </w:p>
          <w:p w14:paraId="17F46073" w14:textId="77777777" w:rsidR="00622984" w:rsidRPr="007E7514" w:rsidRDefault="00622984">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5C266DFD" w14:textId="77777777" w:rsidR="00622984" w:rsidRPr="007E7514" w:rsidRDefault="00622984">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4:</w:t>
            </w:r>
          </w:p>
          <w:p w14:paraId="11ED3585" w14:textId="423029E0" w:rsidR="00622984" w:rsidRPr="007E7514" w:rsidRDefault="00F9236E">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The project</w:t>
            </w:r>
            <w:r w:rsidR="00845D62"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 approved </w:t>
            </w:r>
            <w:r w:rsidR="00845D62" w:rsidRPr="007E7514">
              <w:rPr>
                <w:rFonts w:asciiTheme="minorHAnsi" w:hAnsiTheme="minorHAnsi" w:cstheme="minorHAnsi"/>
                <w:sz w:val="22"/>
                <w:szCs w:val="22"/>
                <w:lang w:val="en-GB"/>
              </w:rPr>
              <w:t>in</w:t>
            </w:r>
            <w:r w:rsidRPr="007E7514">
              <w:rPr>
                <w:rFonts w:asciiTheme="minorHAnsi" w:hAnsiTheme="minorHAnsi" w:cstheme="minorHAnsi"/>
                <w:sz w:val="22"/>
                <w:szCs w:val="22"/>
                <w:lang w:val="en-GB"/>
              </w:rPr>
              <w:t xml:space="preserve"> th</w:t>
            </w:r>
            <w:r w:rsidR="00E006A4" w:rsidRPr="007E7514">
              <w:rPr>
                <w:rFonts w:asciiTheme="minorHAnsi" w:hAnsiTheme="minorHAnsi" w:cstheme="minorHAnsi"/>
                <w:sz w:val="22"/>
                <w:szCs w:val="22"/>
                <w:lang w:val="en-GB"/>
              </w:rPr>
              <w:t>e</w:t>
            </w:r>
            <w:r w:rsidRPr="007E7514">
              <w:rPr>
                <w:rFonts w:asciiTheme="minorHAnsi" w:hAnsiTheme="minorHAnsi" w:cstheme="minorHAnsi"/>
                <w:sz w:val="22"/>
                <w:szCs w:val="22"/>
                <w:lang w:val="en-GB"/>
              </w:rPr>
              <w:t xml:space="preserve"> reporting period follow this guidance</w:t>
            </w:r>
            <w:r w:rsidR="00A82983" w:rsidRPr="007E7514">
              <w:rPr>
                <w:rFonts w:asciiTheme="minorHAnsi" w:hAnsiTheme="minorHAnsi" w:cstheme="minorHAnsi"/>
                <w:sz w:val="22"/>
                <w:szCs w:val="22"/>
                <w:lang w:val="en-GB"/>
              </w:rPr>
              <w:t xml:space="preserve">. </w:t>
            </w:r>
            <w:r w:rsidR="0087488C" w:rsidRPr="007E7514">
              <w:rPr>
                <w:rFonts w:asciiTheme="minorHAnsi" w:hAnsiTheme="minorHAnsi" w:cstheme="minorHAnsi"/>
                <w:sz w:val="22"/>
                <w:szCs w:val="22"/>
                <w:lang w:val="en-GB"/>
              </w:rPr>
              <w:t>Through</w:t>
            </w:r>
            <w:r w:rsidR="00E006A4" w:rsidRPr="007E7514">
              <w:rPr>
                <w:rFonts w:asciiTheme="minorHAnsi" w:hAnsiTheme="minorHAnsi" w:cstheme="minorHAnsi"/>
                <w:sz w:val="22"/>
                <w:szCs w:val="22"/>
                <w:lang w:val="en-GB"/>
              </w:rPr>
              <w:t>out</w:t>
            </w:r>
            <w:r w:rsidR="0087488C" w:rsidRPr="007E7514">
              <w:rPr>
                <w:rFonts w:asciiTheme="minorHAnsi" w:hAnsiTheme="minorHAnsi" w:cstheme="minorHAnsi"/>
                <w:sz w:val="22"/>
                <w:szCs w:val="22"/>
                <w:lang w:val="en-GB"/>
              </w:rPr>
              <w:t xml:space="preserve"> GEF-7</w:t>
            </w:r>
            <w:r w:rsidR="004F7E3C" w:rsidRPr="007E7514">
              <w:rPr>
                <w:rFonts w:asciiTheme="minorHAnsi" w:hAnsiTheme="minorHAnsi" w:cstheme="minorHAnsi"/>
                <w:sz w:val="22"/>
                <w:szCs w:val="22"/>
                <w:lang w:val="en-GB"/>
              </w:rPr>
              <w:t>,</w:t>
            </w:r>
            <w:r w:rsidR="0087488C" w:rsidRPr="007E7514">
              <w:rPr>
                <w:rFonts w:asciiTheme="minorHAnsi" w:hAnsiTheme="minorHAnsi" w:cstheme="minorHAnsi"/>
                <w:sz w:val="22"/>
                <w:szCs w:val="22"/>
                <w:lang w:val="en-GB"/>
              </w:rPr>
              <w:t xml:space="preserve"> th</w:t>
            </w:r>
            <w:r w:rsidR="004F7E3C" w:rsidRPr="007E7514">
              <w:rPr>
                <w:rFonts w:asciiTheme="minorHAnsi" w:hAnsiTheme="minorHAnsi" w:cstheme="minorHAnsi"/>
                <w:sz w:val="22"/>
                <w:szCs w:val="22"/>
                <w:lang w:val="en-GB"/>
              </w:rPr>
              <w:t>ere</w:t>
            </w:r>
            <w:r w:rsidR="0087488C" w:rsidRPr="007E7514">
              <w:rPr>
                <w:rFonts w:asciiTheme="minorHAnsi" w:hAnsiTheme="minorHAnsi" w:cstheme="minorHAnsi"/>
                <w:sz w:val="22"/>
                <w:szCs w:val="22"/>
                <w:lang w:val="en-GB"/>
              </w:rPr>
              <w:t xml:space="preserve"> has been a focus on sy</w:t>
            </w:r>
            <w:r w:rsidR="00380E5D" w:rsidRPr="007E7514">
              <w:rPr>
                <w:rFonts w:asciiTheme="minorHAnsi" w:hAnsiTheme="minorHAnsi" w:cstheme="minorHAnsi"/>
                <w:sz w:val="22"/>
                <w:szCs w:val="22"/>
                <w:lang w:val="en-GB"/>
              </w:rPr>
              <w:t xml:space="preserve">nergies within the chemicals and waste focal area and </w:t>
            </w:r>
            <w:r w:rsidR="00FD3B43" w:rsidRPr="007E7514">
              <w:rPr>
                <w:rFonts w:asciiTheme="minorHAnsi" w:hAnsiTheme="minorHAnsi" w:cstheme="minorHAnsi"/>
                <w:sz w:val="22"/>
                <w:szCs w:val="22"/>
                <w:lang w:val="en-GB"/>
              </w:rPr>
              <w:t xml:space="preserve">with other focal areas. </w:t>
            </w:r>
            <w:r w:rsidR="008A4A7C" w:rsidRPr="007E7514">
              <w:rPr>
                <w:rFonts w:asciiTheme="minorHAnsi" w:hAnsiTheme="minorHAnsi" w:cstheme="minorHAnsi"/>
                <w:sz w:val="22"/>
                <w:szCs w:val="22"/>
                <w:lang w:val="en-GB"/>
              </w:rPr>
              <w:t>Private sector engagement is also a priority</w:t>
            </w:r>
            <w:r w:rsidR="0035725D" w:rsidRPr="007E7514">
              <w:rPr>
                <w:rFonts w:asciiTheme="minorHAnsi" w:hAnsiTheme="minorHAnsi" w:cstheme="minorHAnsi"/>
                <w:sz w:val="22"/>
                <w:szCs w:val="22"/>
                <w:lang w:val="en-GB"/>
              </w:rPr>
              <w:t xml:space="preserve">. </w:t>
            </w:r>
            <w:r w:rsidR="00845D62" w:rsidRPr="007E7514">
              <w:rPr>
                <w:rFonts w:asciiTheme="minorHAnsi" w:hAnsiTheme="minorHAnsi" w:cstheme="minorHAnsi"/>
                <w:sz w:val="22"/>
                <w:szCs w:val="22"/>
                <w:lang w:val="en-GB"/>
              </w:rPr>
              <w:t>In</w:t>
            </w:r>
            <w:r w:rsidR="0035725D" w:rsidRPr="007E7514">
              <w:rPr>
                <w:rFonts w:asciiTheme="minorHAnsi" w:hAnsiTheme="minorHAnsi" w:cstheme="minorHAnsi"/>
                <w:sz w:val="22"/>
                <w:szCs w:val="22"/>
                <w:lang w:val="en-GB"/>
              </w:rPr>
              <w:t xml:space="preserve"> th</w:t>
            </w:r>
            <w:r w:rsidR="00E006A4" w:rsidRPr="007E7514">
              <w:rPr>
                <w:rFonts w:asciiTheme="minorHAnsi" w:hAnsiTheme="minorHAnsi" w:cstheme="minorHAnsi"/>
                <w:sz w:val="22"/>
                <w:szCs w:val="22"/>
                <w:lang w:val="en-GB"/>
              </w:rPr>
              <w:t>e</w:t>
            </w:r>
            <w:r w:rsidR="0035725D" w:rsidRPr="007E7514">
              <w:rPr>
                <w:rFonts w:asciiTheme="minorHAnsi" w:hAnsiTheme="minorHAnsi" w:cstheme="minorHAnsi"/>
                <w:sz w:val="22"/>
                <w:szCs w:val="22"/>
                <w:lang w:val="en-GB"/>
              </w:rPr>
              <w:t xml:space="preserve"> reporting period, the 59</w:t>
            </w:r>
            <w:r w:rsidR="0035725D" w:rsidRPr="007E7514">
              <w:rPr>
                <w:rFonts w:asciiTheme="minorHAnsi" w:hAnsiTheme="minorHAnsi" w:cstheme="minorHAnsi"/>
                <w:sz w:val="22"/>
                <w:szCs w:val="22"/>
                <w:vertAlign w:val="superscript"/>
                <w:lang w:val="en-GB"/>
              </w:rPr>
              <w:t>th</w:t>
            </w:r>
            <w:r w:rsidR="0035725D" w:rsidRPr="007E7514">
              <w:rPr>
                <w:rFonts w:asciiTheme="minorHAnsi" w:hAnsiTheme="minorHAnsi" w:cstheme="minorHAnsi"/>
                <w:sz w:val="22"/>
                <w:szCs w:val="22"/>
                <w:lang w:val="en-GB"/>
              </w:rPr>
              <w:t xml:space="preserve"> GEF Council </w:t>
            </w:r>
            <w:r w:rsidR="00845D62" w:rsidRPr="007E7514">
              <w:rPr>
                <w:rFonts w:asciiTheme="minorHAnsi" w:hAnsiTheme="minorHAnsi" w:cstheme="minorHAnsi"/>
                <w:sz w:val="22"/>
                <w:szCs w:val="22"/>
                <w:lang w:val="en-GB"/>
              </w:rPr>
              <w:t>m</w:t>
            </w:r>
            <w:r w:rsidR="0035725D" w:rsidRPr="007E7514">
              <w:rPr>
                <w:rFonts w:asciiTheme="minorHAnsi" w:hAnsiTheme="minorHAnsi" w:cstheme="minorHAnsi"/>
                <w:sz w:val="22"/>
                <w:szCs w:val="22"/>
                <w:lang w:val="en-GB"/>
              </w:rPr>
              <w:t>eeting in December 2020 approved GEF’s Private Sector Engagement Strategy (PSES).</w:t>
            </w:r>
            <w:r w:rsidR="00916A83" w:rsidRPr="007E7514">
              <w:rPr>
                <w:rStyle w:val="FootnoteReference"/>
                <w:rFonts w:asciiTheme="minorHAnsi" w:hAnsiTheme="minorHAnsi" w:cstheme="minorHAnsi"/>
                <w:sz w:val="22"/>
                <w:szCs w:val="22"/>
                <w:lang w:val="en-GB"/>
              </w:rPr>
              <w:footnoteReference w:id="15"/>
            </w:r>
            <w:r w:rsidR="0035725D" w:rsidRPr="007E7514">
              <w:rPr>
                <w:rFonts w:asciiTheme="minorHAnsi" w:hAnsiTheme="minorHAnsi" w:cstheme="minorHAnsi"/>
                <w:sz w:val="22"/>
                <w:szCs w:val="22"/>
                <w:lang w:val="en-GB"/>
              </w:rPr>
              <w:t xml:space="preserve"> The PSES is supported </w:t>
            </w:r>
            <w:r w:rsidR="00845D62" w:rsidRPr="007E7514">
              <w:rPr>
                <w:rFonts w:asciiTheme="minorHAnsi" w:hAnsiTheme="minorHAnsi" w:cstheme="minorHAnsi"/>
                <w:sz w:val="22"/>
                <w:szCs w:val="22"/>
                <w:lang w:val="en-GB"/>
              </w:rPr>
              <w:t>by</w:t>
            </w:r>
            <w:r w:rsidR="0035725D" w:rsidRPr="007E7514">
              <w:rPr>
                <w:rFonts w:asciiTheme="minorHAnsi" w:hAnsiTheme="minorHAnsi" w:cstheme="minorHAnsi"/>
                <w:sz w:val="22"/>
                <w:szCs w:val="22"/>
                <w:lang w:val="en-GB"/>
              </w:rPr>
              <w:t xml:space="preserve"> an Implementation Plan that sets </w:t>
            </w:r>
            <w:r w:rsidR="00845D62" w:rsidRPr="007E7514">
              <w:rPr>
                <w:rFonts w:asciiTheme="minorHAnsi" w:hAnsiTheme="minorHAnsi" w:cstheme="minorHAnsi"/>
                <w:sz w:val="22"/>
                <w:szCs w:val="22"/>
                <w:lang w:val="en-GB"/>
              </w:rPr>
              <w:t xml:space="preserve">out </w:t>
            </w:r>
            <w:r w:rsidR="0035725D" w:rsidRPr="007E7514">
              <w:rPr>
                <w:rFonts w:asciiTheme="minorHAnsi" w:hAnsiTheme="minorHAnsi" w:cstheme="minorHAnsi"/>
                <w:sz w:val="22"/>
                <w:szCs w:val="22"/>
                <w:lang w:val="en-GB"/>
              </w:rPr>
              <w:t xml:space="preserve">actions and deliverables </w:t>
            </w:r>
            <w:r w:rsidR="00845D62" w:rsidRPr="007E7514">
              <w:rPr>
                <w:rFonts w:asciiTheme="minorHAnsi" w:hAnsiTheme="minorHAnsi" w:cstheme="minorHAnsi"/>
                <w:sz w:val="22"/>
                <w:szCs w:val="22"/>
                <w:lang w:val="en-GB"/>
              </w:rPr>
              <w:t xml:space="preserve">up </w:t>
            </w:r>
            <w:r w:rsidR="0035725D" w:rsidRPr="007E7514">
              <w:rPr>
                <w:rFonts w:asciiTheme="minorHAnsi" w:hAnsiTheme="minorHAnsi" w:cstheme="minorHAnsi"/>
                <w:sz w:val="22"/>
                <w:szCs w:val="22"/>
                <w:lang w:val="en-GB"/>
              </w:rPr>
              <w:t xml:space="preserve">to the end of </w:t>
            </w:r>
            <w:r w:rsidR="00E006A4" w:rsidRPr="007E7514">
              <w:rPr>
                <w:rFonts w:asciiTheme="minorHAnsi" w:hAnsiTheme="minorHAnsi" w:cstheme="minorHAnsi"/>
                <w:sz w:val="22"/>
                <w:szCs w:val="22"/>
                <w:lang w:val="en-GB"/>
              </w:rPr>
              <w:t xml:space="preserve">the </w:t>
            </w:r>
            <w:r w:rsidR="0035725D" w:rsidRPr="007E7514">
              <w:rPr>
                <w:rFonts w:asciiTheme="minorHAnsi" w:hAnsiTheme="minorHAnsi" w:cstheme="minorHAnsi"/>
                <w:sz w:val="22"/>
                <w:szCs w:val="22"/>
                <w:lang w:val="en-GB"/>
              </w:rPr>
              <w:t>GEF-7 period.</w:t>
            </w:r>
            <w:r w:rsidR="004F51EB" w:rsidRPr="007E7514">
              <w:rPr>
                <w:rFonts w:asciiTheme="minorHAnsi" w:hAnsiTheme="minorHAnsi" w:cstheme="minorHAnsi"/>
                <w:sz w:val="22"/>
                <w:szCs w:val="22"/>
                <w:lang w:val="en-GB"/>
              </w:rPr>
              <w:t xml:space="preserve"> The </w:t>
            </w:r>
            <w:r w:rsidR="00845D62" w:rsidRPr="007E7514">
              <w:rPr>
                <w:rFonts w:asciiTheme="minorHAnsi" w:hAnsiTheme="minorHAnsi" w:cstheme="minorHAnsi"/>
                <w:i/>
                <w:iCs/>
                <w:sz w:val="22"/>
                <w:szCs w:val="22"/>
                <w:lang w:val="en-GB"/>
              </w:rPr>
              <w:t>Implementing Sustainable Low and Non-Chemical Development in SIDS (</w:t>
            </w:r>
            <w:r w:rsidR="004F51EB" w:rsidRPr="007E7514">
              <w:rPr>
                <w:rFonts w:asciiTheme="minorHAnsi" w:hAnsiTheme="minorHAnsi" w:cstheme="minorHAnsi"/>
                <w:i/>
                <w:iCs/>
                <w:sz w:val="22"/>
                <w:szCs w:val="22"/>
                <w:lang w:val="en-GB"/>
              </w:rPr>
              <w:t>ISLANDS</w:t>
            </w:r>
            <w:r w:rsidR="00845D62" w:rsidRPr="007E7514">
              <w:rPr>
                <w:rFonts w:asciiTheme="minorHAnsi" w:hAnsiTheme="minorHAnsi" w:cstheme="minorHAnsi"/>
                <w:i/>
                <w:iCs/>
                <w:sz w:val="22"/>
                <w:szCs w:val="22"/>
                <w:lang w:val="en-GB"/>
              </w:rPr>
              <w:t>)</w:t>
            </w:r>
            <w:r w:rsidR="004F51EB" w:rsidRPr="007E7514">
              <w:rPr>
                <w:rFonts w:asciiTheme="minorHAnsi" w:hAnsiTheme="minorHAnsi" w:cstheme="minorHAnsi"/>
                <w:i/>
                <w:iCs/>
                <w:sz w:val="22"/>
                <w:szCs w:val="22"/>
                <w:lang w:val="en-GB"/>
              </w:rPr>
              <w:t xml:space="preserve"> </w:t>
            </w:r>
            <w:r w:rsidR="004F51EB" w:rsidRPr="007E7514">
              <w:rPr>
                <w:rFonts w:asciiTheme="minorHAnsi" w:hAnsiTheme="minorHAnsi" w:cstheme="minorHAnsi"/>
                <w:sz w:val="22"/>
                <w:szCs w:val="22"/>
                <w:lang w:val="en-GB"/>
              </w:rPr>
              <w:t>Program</w:t>
            </w:r>
            <w:r w:rsidR="00AF08F9" w:rsidRPr="007E7514">
              <w:rPr>
                <w:rFonts w:asciiTheme="minorHAnsi" w:hAnsiTheme="minorHAnsi" w:cstheme="minorHAnsi"/>
                <w:sz w:val="22"/>
                <w:szCs w:val="22"/>
                <w:lang w:val="en-GB"/>
              </w:rPr>
              <w:t xml:space="preserve"> achieves synergies </w:t>
            </w:r>
            <w:r w:rsidR="00AF08F9" w:rsidRPr="007E7514">
              <w:rPr>
                <w:rFonts w:asciiTheme="minorHAnsi" w:hAnsiTheme="minorHAnsi" w:cstheme="minorHAnsi"/>
                <w:sz w:val="22"/>
                <w:szCs w:val="22"/>
                <w:lang w:val="en-GB"/>
              </w:rPr>
              <w:lastRenderedPageBreak/>
              <w:t xml:space="preserve">across the </w:t>
            </w:r>
            <w:r w:rsidR="000D1E1F" w:rsidRPr="007E7514">
              <w:rPr>
                <w:rFonts w:asciiTheme="minorHAnsi" w:hAnsiTheme="minorHAnsi" w:cstheme="minorHAnsi"/>
                <w:sz w:val="22"/>
                <w:szCs w:val="22"/>
                <w:lang w:val="en-GB"/>
              </w:rPr>
              <w:t>chemicals</w:t>
            </w:r>
            <w:r w:rsidR="00AF08F9" w:rsidRPr="007E7514">
              <w:rPr>
                <w:rFonts w:asciiTheme="minorHAnsi" w:hAnsiTheme="minorHAnsi" w:cstheme="minorHAnsi"/>
                <w:sz w:val="22"/>
                <w:szCs w:val="22"/>
                <w:lang w:val="en-GB"/>
              </w:rPr>
              <w:t xml:space="preserve"> and waste focal area </w:t>
            </w:r>
            <w:r w:rsidR="000D1E1F" w:rsidRPr="007E7514">
              <w:rPr>
                <w:rFonts w:asciiTheme="minorHAnsi" w:hAnsiTheme="minorHAnsi" w:cstheme="minorHAnsi"/>
                <w:sz w:val="22"/>
                <w:szCs w:val="22"/>
                <w:lang w:val="en-GB"/>
              </w:rPr>
              <w:t xml:space="preserve">while the project </w:t>
            </w:r>
            <w:r w:rsidR="000D1E1F" w:rsidRPr="007E7514">
              <w:rPr>
                <w:rFonts w:asciiTheme="minorHAnsi" w:hAnsiTheme="minorHAnsi" w:cstheme="minorHAnsi"/>
                <w:i/>
                <w:iCs/>
                <w:sz w:val="22"/>
                <w:szCs w:val="22"/>
                <w:lang w:val="en-GB"/>
              </w:rPr>
              <w:t>Integrated Watershed Management of the Putumayo-Içá River Basin</w:t>
            </w:r>
            <w:r w:rsidR="000D1E1F" w:rsidRPr="007E7514">
              <w:rPr>
                <w:rFonts w:asciiTheme="minorHAnsi" w:hAnsiTheme="minorHAnsi" w:cstheme="minorHAnsi"/>
                <w:sz w:val="22"/>
                <w:szCs w:val="22"/>
                <w:lang w:val="en-GB"/>
              </w:rPr>
              <w:t xml:space="preserve"> combines mercury and int</w:t>
            </w:r>
            <w:r w:rsidR="00B945DC" w:rsidRPr="007E7514">
              <w:rPr>
                <w:rFonts w:asciiTheme="minorHAnsi" w:hAnsiTheme="minorHAnsi" w:cstheme="minorHAnsi"/>
                <w:sz w:val="22"/>
                <w:szCs w:val="22"/>
                <w:lang w:val="en-GB"/>
              </w:rPr>
              <w:t>e</w:t>
            </w:r>
            <w:r w:rsidR="000D1E1F" w:rsidRPr="007E7514">
              <w:rPr>
                <w:rFonts w:asciiTheme="minorHAnsi" w:hAnsiTheme="minorHAnsi" w:cstheme="minorHAnsi"/>
                <w:sz w:val="22"/>
                <w:szCs w:val="22"/>
                <w:lang w:val="en-GB"/>
              </w:rPr>
              <w:t xml:space="preserve">rnational water resources </w:t>
            </w:r>
            <w:r w:rsidR="003979D1" w:rsidRPr="007E7514">
              <w:rPr>
                <w:rFonts w:asciiTheme="minorHAnsi" w:hAnsiTheme="minorHAnsi" w:cstheme="minorHAnsi"/>
                <w:sz w:val="22"/>
                <w:szCs w:val="22"/>
                <w:lang w:val="en-GB"/>
              </w:rPr>
              <w:t>as</w:t>
            </w:r>
            <w:r w:rsidR="000D1E1F" w:rsidRPr="007E7514">
              <w:rPr>
                <w:rFonts w:asciiTheme="minorHAnsi" w:hAnsiTheme="minorHAnsi" w:cstheme="minorHAnsi"/>
                <w:sz w:val="22"/>
                <w:szCs w:val="22"/>
                <w:lang w:val="en-GB"/>
              </w:rPr>
              <w:t xml:space="preserve"> a multi</w:t>
            </w:r>
            <w:r w:rsidR="00E006A4" w:rsidRPr="007E7514">
              <w:rPr>
                <w:rFonts w:asciiTheme="minorHAnsi" w:hAnsiTheme="minorHAnsi" w:cstheme="minorHAnsi"/>
                <w:sz w:val="22"/>
                <w:szCs w:val="22"/>
                <w:lang w:val="en-GB"/>
              </w:rPr>
              <w:t>-</w:t>
            </w:r>
            <w:r w:rsidR="000D1E1F" w:rsidRPr="007E7514">
              <w:rPr>
                <w:rFonts w:asciiTheme="minorHAnsi" w:hAnsiTheme="minorHAnsi" w:cstheme="minorHAnsi"/>
                <w:sz w:val="22"/>
                <w:szCs w:val="22"/>
                <w:lang w:val="en-GB"/>
              </w:rPr>
              <w:t>focal area project</w:t>
            </w:r>
            <w:r w:rsidR="00A222B8" w:rsidRPr="007E7514">
              <w:rPr>
                <w:rFonts w:asciiTheme="minorHAnsi" w:hAnsiTheme="minorHAnsi" w:cstheme="minorHAnsi"/>
                <w:sz w:val="22"/>
                <w:szCs w:val="22"/>
                <w:lang w:val="en-GB"/>
              </w:rPr>
              <w:t xml:space="preserve"> in </w:t>
            </w:r>
            <w:r w:rsidR="00E577A0" w:rsidRPr="007E7514">
              <w:rPr>
                <w:rFonts w:asciiTheme="minorHAnsi" w:hAnsiTheme="minorHAnsi" w:cstheme="minorHAnsi"/>
                <w:sz w:val="22"/>
                <w:szCs w:val="22"/>
                <w:lang w:val="en-GB"/>
              </w:rPr>
              <w:t>Brazil, Colombia, Ecuador and Peru</w:t>
            </w:r>
            <w:r w:rsidR="000D1E1F" w:rsidRPr="007E7514">
              <w:rPr>
                <w:rFonts w:asciiTheme="minorHAnsi" w:hAnsiTheme="minorHAnsi" w:cstheme="minorHAnsi"/>
                <w:sz w:val="22"/>
                <w:szCs w:val="22"/>
                <w:lang w:val="en-GB"/>
              </w:rPr>
              <w:t xml:space="preserve">.  </w:t>
            </w:r>
          </w:p>
        </w:tc>
      </w:tr>
      <w:tr w:rsidR="00DF5C07" w:rsidRPr="007E7514" w14:paraId="2DA5E5FB"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left w:val="none" w:sz="0" w:space="0" w:color="auto"/>
            </w:tcBorders>
            <w:shd w:val="clear" w:color="auto" w:fill="FFFFFF" w:themeFill="background1"/>
          </w:tcPr>
          <w:p w14:paraId="0CA1938B"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lastRenderedPageBreak/>
              <w:t>III. Programme priorities</w:t>
            </w:r>
          </w:p>
        </w:tc>
      </w:tr>
      <w:tr w:rsidR="00DF5C07" w:rsidRPr="007E7514" w14:paraId="31C7B0D4"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5074A7A6"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6</w:t>
            </w:r>
          </w:p>
        </w:tc>
        <w:tc>
          <w:tcPr>
            <w:tcW w:w="0" w:type="auto"/>
            <w:shd w:val="clear" w:color="auto" w:fill="FFFFFF" w:themeFill="background1"/>
          </w:tcPr>
          <w:p w14:paraId="26506080" w14:textId="3C55810E"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In accordance with </w:t>
            </w:r>
            <w:r w:rsidR="003550E0"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rticle 13, paragraph 7, of the Convention, the GEF trust fund shall provide resources to meet the agreed incremental costs of global environmental benefits and the agreed full costs of some enabling activities.</w:t>
            </w:r>
          </w:p>
        </w:tc>
        <w:tc>
          <w:tcPr>
            <w:tcW w:w="0" w:type="auto"/>
            <w:shd w:val="clear" w:color="auto" w:fill="FFFFFF" w:themeFill="background1"/>
          </w:tcPr>
          <w:p w14:paraId="7492D621" w14:textId="04170F84" w:rsidR="00DF5C07" w:rsidRPr="007E7514" w:rsidRDefault="00DF5C07" w:rsidP="00E006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This is reflected in the </w:t>
            </w:r>
            <w:r w:rsidR="003979D1" w:rsidRPr="007E7514">
              <w:rPr>
                <w:rFonts w:asciiTheme="minorHAnsi" w:hAnsiTheme="minorHAnsi" w:cstheme="minorHAnsi"/>
                <w:sz w:val="22"/>
                <w:szCs w:val="22"/>
                <w:lang w:val="en-GB"/>
              </w:rPr>
              <w:t xml:space="preserve">GEF </w:t>
            </w:r>
            <w:r w:rsidRPr="007E7514">
              <w:rPr>
                <w:rFonts w:asciiTheme="minorHAnsi" w:hAnsiTheme="minorHAnsi" w:cstheme="minorHAnsi"/>
                <w:sz w:val="22"/>
                <w:szCs w:val="22"/>
                <w:lang w:val="en-GB"/>
              </w:rPr>
              <w:t>strategies.</w:t>
            </w:r>
          </w:p>
          <w:p w14:paraId="3327EB6B" w14:textId="637EFF6B" w:rsidR="00DF5C07" w:rsidRPr="007E7514" w:rsidRDefault="00DF5C07" w:rsidP="00E006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 GEF-</w:t>
            </w:r>
            <w:r w:rsidR="006455D5" w:rsidRPr="007E7514">
              <w:rPr>
                <w:rFonts w:asciiTheme="minorHAnsi" w:hAnsiTheme="minorHAnsi" w:cstheme="minorHAnsi"/>
                <w:sz w:val="22"/>
                <w:szCs w:val="22"/>
                <w:lang w:val="en-GB"/>
              </w:rPr>
              <w:t>7</w:t>
            </w:r>
            <w:r w:rsidRPr="007E7514">
              <w:rPr>
                <w:rFonts w:asciiTheme="minorHAnsi" w:hAnsiTheme="minorHAnsi" w:cstheme="minorHAnsi"/>
                <w:sz w:val="22"/>
                <w:szCs w:val="22"/>
                <w:lang w:val="en-GB"/>
              </w:rPr>
              <w:t>, $</w:t>
            </w:r>
            <w:r w:rsidR="006455D5" w:rsidRPr="007E7514">
              <w:rPr>
                <w:rFonts w:asciiTheme="minorHAnsi" w:hAnsiTheme="minorHAnsi" w:cstheme="minorHAnsi"/>
                <w:sz w:val="22"/>
                <w:szCs w:val="22"/>
                <w:lang w:val="en-GB"/>
              </w:rPr>
              <w:t>206</w:t>
            </w:r>
            <w:r w:rsidRPr="007E7514">
              <w:rPr>
                <w:rFonts w:asciiTheme="minorHAnsi" w:hAnsiTheme="minorHAnsi" w:cstheme="minorHAnsi"/>
                <w:sz w:val="22"/>
                <w:szCs w:val="22"/>
                <w:lang w:val="en-GB"/>
              </w:rPr>
              <w:t xml:space="preserve"> million </w:t>
            </w:r>
            <w:r w:rsidR="006455D5" w:rsidRPr="007E7514">
              <w:rPr>
                <w:rFonts w:asciiTheme="minorHAnsi" w:hAnsiTheme="minorHAnsi" w:cstheme="minorHAnsi"/>
                <w:sz w:val="22"/>
                <w:szCs w:val="22"/>
                <w:lang w:val="en-GB"/>
              </w:rPr>
              <w:t xml:space="preserve">is </w:t>
            </w:r>
            <w:r w:rsidRPr="007E7514">
              <w:rPr>
                <w:rFonts w:asciiTheme="minorHAnsi" w:hAnsiTheme="minorHAnsi" w:cstheme="minorHAnsi"/>
                <w:sz w:val="22"/>
                <w:szCs w:val="22"/>
                <w:lang w:val="en-GB"/>
              </w:rPr>
              <w:t xml:space="preserve">allocated for the implementation of the Minamata Convention. The GEF has programmed resources to meet the full cost of the MIAs and the ASGM NAPs. The GEF has programmed resources for several projects that are aimed at early implementation, particularly in the ASGM sector. </w:t>
            </w:r>
          </w:p>
          <w:p w14:paraId="33C40EEA" w14:textId="77777777" w:rsidR="006A2BB0" w:rsidRPr="007E7514" w:rsidRDefault="006A2BB0"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3B780094" w14:textId="77777777" w:rsidR="006A2BB0" w:rsidRPr="007E7514" w:rsidRDefault="006A2BB0"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4:</w:t>
            </w:r>
          </w:p>
          <w:p w14:paraId="402DA2B4" w14:textId="791A7FFB" w:rsidR="006A2BB0" w:rsidRPr="007E7514" w:rsidRDefault="003979D1"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w:t>
            </w:r>
            <w:r w:rsidR="00C32757" w:rsidRPr="007E7514">
              <w:rPr>
                <w:rFonts w:asciiTheme="minorHAnsi" w:hAnsiTheme="minorHAnsi" w:cstheme="minorHAnsi"/>
                <w:sz w:val="22"/>
                <w:szCs w:val="22"/>
                <w:lang w:val="en-GB"/>
              </w:rPr>
              <w:t xml:space="preserve"> the reporting period</w:t>
            </w:r>
            <w:r w:rsidR="00B54C1C" w:rsidRPr="007E7514">
              <w:rPr>
                <w:rFonts w:asciiTheme="minorHAnsi" w:hAnsiTheme="minorHAnsi" w:cstheme="minorHAnsi"/>
                <w:sz w:val="22"/>
                <w:szCs w:val="22"/>
                <w:lang w:val="en-GB"/>
              </w:rPr>
              <w:t>,</w:t>
            </w:r>
            <w:r w:rsidR="00C32757" w:rsidRPr="007E7514">
              <w:rPr>
                <w:rFonts w:asciiTheme="minorHAnsi" w:hAnsiTheme="minorHAnsi" w:cstheme="minorHAnsi"/>
                <w:sz w:val="22"/>
                <w:szCs w:val="22"/>
                <w:lang w:val="en-GB"/>
              </w:rPr>
              <w:t xml:space="preserve"> </w:t>
            </w:r>
            <w:r w:rsidR="000C04D9" w:rsidRPr="007E7514">
              <w:rPr>
                <w:rFonts w:asciiTheme="minorHAnsi" w:hAnsiTheme="minorHAnsi" w:cstheme="minorHAnsi"/>
                <w:sz w:val="22"/>
                <w:szCs w:val="22"/>
                <w:lang w:val="en-GB"/>
              </w:rPr>
              <w:t>the GEF has programmed resources to meet the full cost of the MIAs and the ASGM NAPs.</w:t>
            </w:r>
            <w:r w:rsidR="003D0DB4" w:rsidRPr="007E7514">
              <w:rPr>
                <w:rFonts w:asciiTheme="minorHAnsi" w:hAnsiTheme="minorHAnsi" w:cstheme="minorHAnsi"/>
                <w:sz w:val="22"/>
                <w:szCs w:val="22"/>
                <w:lang w:val="en-GB"/>
              </w:rPr>
              <w:t xml:space="preserve"> Other programmed resources for projects that are aimed at early implementation address several areas of </w:t>
            </w:r>
            <w:r w:rsidR="00E67446" w:rsidRPr="007E7514">
              <w:rPr>
                <w:rFonts w:asciiTheme="minorHAnsi" w:hAnsiTheme="minorHAnsi" w:cstheme="minorHAnsi"/>
                <w:sz w:val="22"/>
                <w:szCs w:val="22"/>
                <w:lang w:val="en-GB"/>
              </w:rPr>
              <w:t xml:space="preserve">priorities of the Minamata Convention </w:t>
            </w:r>
            <w:r w:rsidR="001703E1" w:rsidRPr="007E7514">
              <w:rPr>
                <w:rFonts w:asciiTheme="minorHAnsi" w:hAnsiTheme="minorHAnsi" w:cstheme="minorHAnsi"/>
                <w:sz w:val="22"/>
                <w:szCs w:val="22"/>
                <w:lang w:val="en-GB"/>
              </w:rPr>
              <w:t xml:space="preserve">that </w:t>
            </w:r>
            <w:r w:rsidR="003A577C" w:rsidRPr="007E7514">
              <w:rPr>
                <w:rFonts w:asciiTheme="minorHAnsi" w:hAnsiTheme="minorHAnsi" w:cstheme="minorHAnsi"/>
                <w:sz w:val="22"/>
                <w:szCs w:val="22"/>
                <w:lang w:val="en-GB"/>
              </w:rPr>
              <w:t>meet</w:t>
            </w:r>
            <w:r w:rsidR="00E67446" w:rsidRPr="007E7514">
              <w:rPr>
                <w:rFonts w:asciiTheme="minorHAnsi" w:hAnsiTheme="minorHAnsi" w:cstheme="minorHAnsi"/>
                <w:sz w:val="22"/>
                <w:szCs w:val="22"/>
                <w:lang w:val="en-GB"/>
              </w:rPr>
              <w:t xml:space="preserve"> the</w:t>
            </w:r>
            <w:r w:rsidR="001703E1" w:rsidRPr="007E7514">
              <w:rPr>
                <w:rFonts w:asciiTheme="minorHAnsi" w:hAnsiTheme="minorHAnsi" w:cstheme="minorHAnsi"/>
                <w:sz w:val="22"/>
                <w:szCs w:val="22"/>
                <w:lang w:val="en-GB"/>
              </w:rPr>
              <w:t xml:space="preserve"> agreed</w:t>
            </w:r>
            <w:r w:rsidR="00E67446" w:rsidRPr="007E7514">
              <w:rPr>
                <w:rFonts w:asciiTheme="minorHAnsi" w:hAnsiTheme="minorHAnsi" w:cstheme="minorHAnsi"/>
                <w:sz w:val="22"/>
                <w:szCs w:val="22"/>
                <w:lang w:val="en-GB"/>
              </w:rPr>
              <w:t xml:space="preserve"> incremental costs </w:t>
            </w:r>
            <w:r w:rsidR="005F4645" w:rsidRPr="007E7514">
              <w:rPr>
                <w:rFonts w:asciiTheme="minorHAnsi" w:hAnsiTheme="minorHAnsi" w:cstheme="minorHAnsi"/>
                <w:sz w:val="22"/>
                <w:szCs w:val="22"/>
                <w:lang w:val="en-GB"/>
              </w:rPr>
              <w:t xml:space="preserve">of </w:t>
            </w:r>
            <w:r w:rsidR="00883D8F" w:rsidRPr="007E7514">
              <w:rPr>
                <w:rFonts w:asciiTheme="minorHAnsi" w:hAnsiTheme="minorHAnsi" w:cstheme="minorHAnsi"/>
                <w:sz w:val="22"/>
                <w:szCs w:val="22"/>
                <w:lang w:val="en-GB"/>
              </w:rPr>
              <w:t>mercury reduction</w:t>
            </w:r>
            <w:r w:rsidR="001F6079" w:rsidRPr="007E7514">
              <w:rPr>
                <w:rFonts w:asciiTheme="minorHAnsi" w:hAnsiTheme="minorHAnsi" w:cstheme="minorHAnsi"/>
                <w:sz w:val="22"/>
                <w:szCs w:val="22"/>
                <w:lang w:val="en-GB"/>
              </w:rPr>
              <w:t xml:space="preserve">, such as </w:t>
            </w:r>
            <w:r w:rsidR="00013EB5" w:rsidRPr="007E7514">
              <w:rPr>
                <w:rFonts w:asciiTheme="minorHAnsi" w:hAnsiTheme="minorHAnsi" w:cstheme="minorHAnsi"/>
                <w:sz w:val="22"/>
                <w:szCs w:val="22"/>
                <w:lang w:val="en-GB"/>
              </w:rPr>
              <w:t>chlor alkali, mercury products</w:t>
            </w:r>
            <w:r w:rsidR="007D3BC3" w:rsidRPr="007E7514">
              <w:rPr>
                <w:rFonts w:asciiTheme="minorHAnsi" w:hAnsiTheme="minorHAnsi" w:cstheme="minorHAnsi"/>
                <w:sz w:val="22"/>
                <w:szCs w:val="22"/>
                <w:lang w:val="en-GB"/>
              </w:rPr>
              <w:t xml:space="preserve"> including medical devices</w:t>
            </w:r>
            <w:r w:rsidR="00013EB5" w:rsidRPr="007E7514">
              <w:rPr>
                <w:rFonts w:asciiTheme="minorHAnsi" w:hAnsiTheme="minorHAnsi" w:cstheme="minorHAnsi"/>
                <w:sz w:val="22"/>
                <w:szCs w:val="22"/>
                <w:lang w:val="en-GB"/>
              </w:rPr>
              <w:t xml:space="preserve"> and ASGM. </w:t>
            </w:r>
          </w:p>
        </w:tc>
      </w:tr>
      <w:tr w:rsidR="00DF5C07" w:rsidRPr="007E7514" w14:paraId="63AC19BB"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54D77BE6"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7</w:t>
            </w:r>
          </w:p>
        </w:tc>
        <w:tc>
          <w:tcPr>
            <w:tcW w:w="0" w:type="auto"/>
            <w:shd w:val="clear" w:color="auto" w:fill="FFFFFF" w:themeFill="background1"/>
          </w:tcPr>
          <w:p w14:paraId="69B8F9F3"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 particular, it should give priority to the following activities when providing financial resources to developing-country Parties and Parties with economies in transition:</w:t>
            </w:r>
          </w:p>
          <w:p w14:paraId="7859BF7B"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(a) Enabling activities, particularly Minamata Convention initial assessment activities and national action plans for artisanal and small-scale gold mining;</w:t>
            </w:r>
          </w:p>
          <w:p w14:paraId="2613DA94"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(b) Activities to implement the provisions of the Convention, affording priority to those that: </w:t>
            </w:r>
          </w:p>
          <w:p w14:paraId="62B53435" w14:textId="77777777" w:rsidR="00DF5C07" w:rsidRPr="007E7514" w:rsidRDefault="00DF5C07" w:rsidP="00D05424">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 Relate to legally binding obligations;</w:t>
            </w:r>
          </w:p>
          <w:p w14:paraId="5CA0CA4A" w14:textId="77777777"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(ii) Facilitate early implementation on entry into force of the Convention for a Party; </w:t>
            </w:r>
          </w:p>
          <w:p w14:paraId="1F7D6E73" w14:textId="77777777"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(iii) Allow for reduction in mercury emissions and releases and address the health and environmental impacts of mercury.</w:t>
            </w:r>
          </w:p>
        </w:tc>
        <w:tc>
          <w:tcPr>
            <w:tcW w:w="0" w:type="auto"/>
            <w:shd w:val="clear" w:color="auto" w:fill="FFFFFF" w:themeFill="background1"/>
          </w:tcPr>
          <w:p w14:paraId="2A02E508" w14:textId="0F88B384"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This guidance </w:t>
            </w:r>
            <w:r w:rsidR="00E006A4" w:rsidRPr="007E7514">
              <w:rPr>
                <w:rFonts w:asciiTheme="minorHAnsi" w:hAnsiTheme="minorHAnsi" w:cstheme="minorHAnsi"/>
                <w:sz w:val="22"/>
                <w:szCs w:val="22"/>
                <w:lang w:val="en-GB"/>
              </w:rPr>
              <w:t>was</w:t>
            </w:r>
            <w:r w:rsidRPr="007E7514">
              <w:rPr>
                <w:rFonts w:asciiTheme="minorHAnsi" w:hAnsiTheme="minorHAnsi" w:cstheme="minorHAnsi"/>
                <w:sz w:val="22"/>
                <w:szCs w:val="22"/>
                <w:lang w:val="en-GB"/>
              </w:rPr>
              <w:t xml:space="preserve"> used in the </w:t>
            </w:r>
            <w:r w:rsidR="00B653DD" w:rsidRPr="007E7514">
              <w:rPr>
                <w:rFonts w:asciiTheme="minorHAnsi" w:hAnsiTheme="minorHAnsi" w:cstheme="minorHAnsi"/>
                <w:sz w:val="22"/>
                <w:szCs w:val="22"/>
                <w:lang w:val="en-GB"/>
              </w:rPr>
              <w:t xml:space="preserve">GEF-6 and GEF-7 </w:t>
            </w:r>
            <w:r w:rsidRPr="007E7514">
              <w:rPr>
                <w:rFonts w:asciiTheme="minorHAnsi" w:hAnsiTheme="minorHAnsi" w:cstheme="minorHAnsi"/>
                <w:sz w:val="22"/>
                <w:szCs w:val="22"/>
                <w:lang w:val="en-GB"/>
              </w:rPr>
              <w:t xml:space="preserve">programming and </w:t>
            </w:r>
            <w:r w:rsidR="00B653DD" w:rsidRPr="007E7514">
              <w:rPr>
                <w:rFonts w:asciiTheme="minorHAnsi" w:hAnsiTheme="minorHAnsi" w:cstheme="minorHAnsi"/>
                <w:sz w:val="22"/>
                <w:szCs w:val="22"/>
                <w:lang w:val="en-GB"/>
              </w:rPr>
              <w:t>was</w:t>
            </w:r>
            <w:r w:rsidRPr="007E7514">
              <w:rPr>
                <w:rFonts w:asciiTheme="minorHAnsi" w:hAnsiTheme="minorHAnsi" w:cstheme="minorHAnsi"/>
                <w:sz w:val="22"/>
                <w:szCs w:val="22"/>
                <w:lang w:val="en-GB"/>
              </w:rPr>
              <w:t xml:space="preserve"> addressed in the priorities of the GEF-7 </w:t>
            </w:r>
            <w:r w:rsidR="002C0A9D" w:rsidRPr="007E7514">
              <w:rPr>
                <w:rFonts w:asciiTheme="minorHAnsi" w:hAnsiTheme="minorHAnsi" w:cstheme="minorHAnsi"/>
                <w:sz w:val="22"/>
                <w:szCs w:val="22"/>
                <w:lang w:val="en-GB"/>
              </w:rPr>
              <w:t xml:space="preserve">chemicals </w:t>
            </w:r>
            <w:r w:rsidRPr="007E7514">
              <w:rPr>
                <w:rFonts w:asciiTheme="minorHAnsi" w:hAnsiTheme="minorHAnsi" w:cstheme="minorHAnsi"/>
                <w:sz w:val="22"/>
                <w:szCs w:val="22"/>
                <w:lang w:val="en-GB"/>
              </w:rPr>
              <w:t xml:space="preserve">and </w:t>
            </w:r>
            <w:r w:rsidR="002C0A9D" w:rsidRPr="007E7514">
              <w:rPr>
                <w:rFonts w:asciiTheme="minorHAnsi" w:hAnsiTheme="minorHAnsi" w:cstheme="minorHAnsi"/>
                <w:sz w:val="22"/>
                <w:szCs w:val="22"/>
                <w:lang w:val="en-GB"/>
              </w:rPr>
              <w:t xml:space="preserve">waste focal area </w:t>
            </w:r>
            <w:r w:rsidR="00BB242A" w:rsidRPr="007E7514">
              <w:rPr>
                <w:rFonts w:asciiTheme="minorHAnsi" w:hAnsiTheme="minorHAnsi" w:cstheme="minorHAnsi"/>
                <w:sz w:val="22"/>
                <w:szCs w:val="22"/>
                <w:lang w:val="en-GB"/>
              </w:rPr>
              <w:t>Programming S</w:t>
            </w:r>
            <w:r w:rsidR="002C0A9D" w:rsidRPr="007E7514">
              <w:rPr>
                <w:rFonts w:asciiTheme="minorHAnsi" w:hAnsiTheme="minorHAnsi" w:cstheme="minorHAnsi"/>
                <w:sz w:val="22"/>
                <w:szCs w:val="22"/>
                <w:lang w:val="en-GB"/>
              </w:rPr>
              <w:t>trategy</w:t>
            </w:r>
            <w:r w:rsidRPr="007E7514">
              <w:rPr>
                <w:rFonts w:asciiTheme="minorHAnsi" w:hAnsiTheme="minorHAnsi" w:cstheme="minorHAnsi"/>
                <w:sz w:val="22"/>
                <w:szCs w:val="22"/>
                <w:lang w:val="en-GB"/>
              </w:rPr>
              <w:t>. All projects and programs in GEF-</w:t>
            </w:r>
            <w:r w:rsidR="006455D5" w:rsidRPr="007E7514">
              <w:rPr>
                <w:rFonts w:asciiTheme="minorHAnsi" w:hAnsiTheme="minorHAnsi" w:cstheme="minorHAnsi"/>
                <w:sz w:val="22"/>
                <w:szCs w:val="22"/>
                <w:lang w:val="en-GB"/>
              </w:rPr>
              <w:t>7</w:t>
            </w:r>
            <w:r w:rsidRPr="007E7514">
              <w:rPr>
                <w:rFonts w:asciiTheme="minorHAnsi" w:hAnsiTheme="minorHAnsi" w:cstheme="minorHAnsi"/>
                <w:sz w:val="22"/>
                <w:szCs w:val="22"/>
                <w:lang w:val="en-GB"/>
              </w:rPr>
              <w:t xml:space="preserve"> that seek to implement the Minamata Convention </w:t>
            </w:r>
            <w:r w:rsidR="00BB242A" w:rsidRPr="007E7514">
              <w:rPr>
                <w:rFonts w:asciiTheme="minorHAnsi" w:hAnsiTheme="minorHAnsi" w:cstheme="minorHAnsi"/>
                <w:sz w:val="22"/>
                <w:szCs w:val="22"/>
                <w:lang w:val="en-GB"/>
              </w:rPr>
              <w:t>have been</w:t>
            </w:r>
            <w:r w:rsidR="00E006A4" w:rsidRPr="007E7514">
              <w:rPr>
                <w:rFonts w:asciiTheme="minorHAnsi" w:hAnsiTheme="minorHAnsi" w:cstheme="minorHAnsi"/>
                <w:sz w:val="22"/>
                <w:szCs w:val="22"/>
                <w:lang w:val="en-GB"/>
              </w:rPr>
              <w:t xml:space="preserve"> designed</w:t>
            </w:r>
            <w:r w:rsidRPr="007E7514">
              <w:rPr>
                <w:rFonts w:asciiTheme="minorHAnsi" w:hAnsiTheme="minorHAnsi" w:cstheme="minorHAnsi"/>
                <w:sz w:val="22"/>
                <w:szCs w:val="22"/>
                <w:lang w:val="en-GB"/>
              </w:rPr>
              <w:t xml:space="preserve"> consistent</w:t>
            </w:r>
            <w:r w:rsidR="00E006A4" w:rsidRPr="007E7514">
              <w:rPr>
                <w:rFonts w:asciiTheme="minorHAnsi" w:hAnsiTheme="minorHAnsi" w:cstheme="minorHAnsi"/>
                <w:sz w:val="22"/>
                <w:szCs w:val="22"/>
                <w:lang w:val="en-GB"/>
              </w:rPr>
              <w:t>ly</w:t>
            </w:r>
            <w:r w:rsidRPr="007E7514">
              <w:rPr>
                <w:rFonts w:asciiTheme="minorHAnsi" w:hAnsiTheme="minorHAnsi" w:cstheme="minorHAnsi"/>
                <w:sz w:val="22"/>
                <w:szCs w:val="22"/>
                <w:lang w:val="en-GB"/>
              </w:rPr>
              <w:t xml:space="preserve"> with this guidance.</w:t>
            </w:r>
          </w:p>
          <w:p w14:paraId="4C1920AC" w14:textId="77777777" w:rsidR="00DE5FB9" w:rsidRPr="007E7514" w:rsidRDefault="00DE5FB9">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7B074C3C" w14:textId="77777777" w:rsidR="008A7EEF" w:rsidRPr="007E7514" w:rsidRDefault="008A7EEF">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3:</w:t>
            </w:r>
          </w:p>
          <w:p w14:paraId="2046563F" w14:textId="1E6A4651" w:rsidR="00DE5FB9" w:rsidRPr="007E7514" w:rsidRDefault="00BB242A">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w:t>
            </w:r>
            <w:r w:rsidR="00DE5FB9" w:rsidRPr="007E7514">
              <w:rPr>
                <w:rFonts w:asciiTheme="minorHAnsi" w:hAnsiTheme="minorHAnsi" w:cstheme="minorHAnsi"/>
                <w:sz w:val="22"/>
                <w:szCs w:val="22"/>
                <w:lang w:val="en-GB"/>
              </w:rPr>
              <w:t xml:space="preserve"> the reporting period</w:t>
            </w:r>
            <w:r w:rsidR="00EE5084" w:rsidRPr="007E7514">
              <w:rPr>
                <w:rFonts w:asciiTheme="minorHAnsi" w:hAnsiTheme="minorHAnsi" w:cstheme="minorHAnsi"/>
                <w:sz w:val="22"/>
                <w:szCs w:val="22"/>
                <w:lang w:val="en-GB"/>
              </w:rPr>
              <w:t>,</w:t>
            </w:r>
            <w:r w:rsidR="00DE5FB9" w:rsidRPr="007E7514">
              <w:rPr>
                <w:rFonts w:asciiTheme="minorHAnsi" w:hAnsiTheme="minorHAnsi" w:cstheme="minorHAnsi"/>
                <w:sz w:val="22"/>
                <w:szCs w:val="22"/>
                <w:lang w:val="en-GB"/>
              </w:rPr>
              <w:t xml:space="preserve"> </w:t>
            </w:r>
            <w:r w:rsidR="00EE5084" w:rsidRPr="007E7514">
              <w:rPr>
                <w:rFonts w:asciiTheme="minorHAnsi" w:hAnsiTheme="minorHAnsi" w:cstheme="minorHAnsi"/>
                <w:sz w:val="22"/>
                <w:szCs w:val="22"/>
                <w:lang w:val="en-GB"/>
              </w:rPr>
              <w:t>four</w:t>
            </w:r>
            <w:r w:rsidR="00DE5FB9"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EAs</w:t>
            </w:r>
            <w:r w:rsidR="006867A6" w:rsidRPr="007E7514">
              <w:rPr>
                <w:rFonts w:asciiTheme="minorHAnsi" w:hAnsiTheme="minorHAnsi" w:cstheme="minorHAnsi"/>
                <w:sz w:val="22"/>
                <w:szCs w:val="22"/>
                <w:lang w:val="en-GB"/>
              </w:rPr>
              <w:t xml:space="preserve">, including </w:t>
            </w:r>
            <w:r w:rsidR="00973D77" w:rsidRPr="007E7514">
              <w:rPr>
                <w:rFonts w:asciiTheme="minorHAnsi" w:hAnsiTheme="minorHAnsi" w:cstheme="minorHAnsi"/>
                <w:sz w:val="22"/>
                <w:szCs w:val="22"/>
                <w:lang w:val="en-GB"/>
              </w:rPr>
              <w:t>one</w:t>
            </w:r>
            <w:r w:rsidR="006867A6" w:rsidRPr="007E7514">
              <w:rPr>
                <w:rFonts w:asciiTheme="minorHAnsi" w:hAnsiTheme="minorHAnsi" w:cstheme="minorHAnsi"/>
                <w:sz w:val="22"/>
                <w:szCs w:val="22"/>
                <w:lang w:val="en-GB"/>
              </w:rPr>
              <w:t xml:space="preserve"> MIA and </w:t>
            </w:r>
            <w:r w:rsidR="00EE5084" w:rsidRPr="007E7514">
              <w:rPr>
                <w:rFonts w:asciiTheme="minorHAnsi" w:hAnsiTheme="minorHAnsi" w:cstheme="minorHAnsi"/>
                <w:sz w:val="22"/>
                <w:szCs w:val="22"/>
                <w:lang w:val="en-GB"/>
              </w:rPr>
              <w:t>three</w:t>
            </w:r>
            <w:r w:rsidR="006867A6" w:rsidRPr="007E7514">
              <w:rPr>
                <w:rFonts w:asciiTheme="minorHAnsi" w:hAnsiTheme="minorHAnsi" w:cstheme="minorHAnsi"/>
                <w:sz w:val="22"/>
                <w:szCs w:val="22"/>
                <w:lang w:val="en-GB"/>
              </w:rPr>
              <w:t xml:space="preserve"> </w:t>
            </w:r>
            <w:r w:rsidR="00B3392A" w:rsidRPr="007E7514">
              <w:rPr>
                <w:rFonts w:asciiTheme="minorHAnsi" w:hAnsiTheme="minorHAnsi" w:cstheme="minorHAnsi"/>
                <w:sz w:val="22"/>
                <w:szCs w:val="22"/>
                <w:lang w:val="en-GB"/>
              </w:rPr>
              <w:t>ASGM NAPs</w:t>
            </w:r>
            <w:r w:rsidRPr="007E7514">
              <w:rPr>
                <w:rFonts w:asciiTheme="minorHAnsi" w:hAnsiTheme="minorHAnsi" w:cstheme="minorHAnsi"/>
                <w:sz w:val="22"/>
                <w:szCs w:val="22"/>
                <w:lang w:val="en-GB"/>
              </w:rPr>
              <w:t>,</w:t>
            </w:r>
            <w:r w:rsidR="00B3392A" w:rsidRPr="007E7514">
              <w:rPr>
                <w:rFonts w:asciiTheme="minorHAnsi" w:hAnsiTheme="minorHAnsi" w:cstheme="minorHAnsi"/>
                <w:sz w:val="22"/>
                <w:szCs w:val="22"/>
                <w:lang w:val="en-GB"/>
              </w:rPr>
              <w:t xml:space="preserve"> were approved in accordance with (a)</w:t>
            </w:r>
            <w:r w:rsidR="008F7DAA" w:rsidRPr="007E7514">
              <w:rPr>
                <w:rFonts w:asciiTheme="minorHAnsi" w:hAnsiTheme="minorHAnsi" w:cstheme="minorHAnsi"/>
                <w:sz w:val="22"/>
                <w:szCs w:val="22"/>
                <w:lang w:val="en-GB"/>
              </w:rPr>
              <w:t xml:space="preserve">. </w:t>
            </w:r>
            <w:r w:rsidR="00676A55" w:rsidRPr="007E7514">
              <w:rPr>
                <w:rFonts w:asciiTheme="minorHAnsi" w:hAnsiTheme="minorHAnsi" w:cstheme="minorHAnsi"/>
                <w:sz w:val="22"/>
                <w:szCs w:val="22"/>
                <w:lang w:val="en-GB"/>
              </w:rPr>
              <w:t xml:space="preserve">All </w:t>
            </w:r>
            <w:r w:rsidRPr="007E7514">
              <w:rPr>
                <w:rFonts w:asciiTheme="minorHAnsi" w:hAnsiTheme="minorHAnsi" w:cstheme="minorHAnsi"/>
                <w:sz w:val="22"/>
                <w:szCs w:val="22"/>
                <w:lang w:val="en-GB"/>
              </w:rPr>
              <w:t xml:space="preserve">approved </w:t>
            </w:r>
            <w:r w:rsidR="00F93266" w:rsidRPr="007E7514">
              <w:rPr>
                <w:rFonts w:asciiTheme="minorHAnsi" w:hAnsiTheme="minorHAnsi" w:cstheme="minorHAnsi"/>
                <w:sz w:val="22"/>
                <w:szCs w:val="22"/>
                <w:lang w:val="en-GB"/>
              </w:rPr>
              <w:t>full</w:t>
            </w:r>
            <w:r w:rsidR="00973D77" w:rsidRPr="007E7514">
              <w:rPr>
                <w:rFonts w:asciiTheme="minorHAnsi" w:hAnsiTheme="minorHAnsi" w:cstheme="minorHAnsi"/>
                <w:sz w:val="22"/>
                <w:szCs w:val="22"/>
                <w:lang w:val="en-GB"/>
              </w:rPr>
              <w:t>-</w:t>
            </w:r>
            <w:r w:rsidR="00F93266" w:rsidRPr="007E7514">
              <w:rPr>
                <w:rFonts w:asciiTheme="minorHAnsi" w:hAnsiTheme="minorHAnsi" w:cstheme="minorHAnsi"/>
                <w:sz w:val="22"/>
                <w:szCs w:val="22"/>
                <w:lang w:val="en-GB"/>
              </w:rPr>
              <w:t>size</w:t>
            </w:r>
            <w:r w:rsidR="000E404C" w:rsidRPr="007E7514">
              <w:rPr>
                <w:rFonts w:asciiTheme="minorHAnsi" w:hAnsiTheme="minorHAnsi" w:cstheme="minorHAnsi"/>
                <w:sz w:val="22"/>
                <w:szCs w:val="22"/>
                <w:lang w:val="en-GB"/>
              </w:rPr>
              <w:t>d</w:t>
            </w:r>
            <w:r w:rsidR="00F93266" w:rsidRPr="007E7514">
              <w:rPr>
                <w:rFonts w:asciiTheme="minorHAnsi" w:hAnsiTheme="minorHAnsi" w:cstheme="minorHAnsi"/>
                <w:sz w:val="22"/>
                <w:szCs w:val="22"/>
                <w:lang w:val="en-GB"/>
              </w:rPr>
              <w:t xml:space="preserve"> projects </w:t>
            </w:r>
            <w:r w:rsidR="00965C21" w:rsidRPr="007E7514">
              <w:rPr>
                <w:rFonts w:asciiTheme="minorHAnsi" w:hAnsiTheme="minorHAnsi" w:cstheme="minorHAnsi"/>
                <w:sz w:val="22"/>
                <w:szCs w:val="22"/>
                <w:lang w:val="en-GB"/>
              </w:rPr>
              <w:t xml:space="preserve">(FSPs) </w:t>
            </w:r>
            <w:r w:rsidR="002326C9" w:rsidRPr="007E7514">
              <w:rPr>
                <w:rFonts w:asciiTheme="minorHAnsi" w:hAnsiTheme="minorHAnsi" w:cstheme="minorHAnsi"/>
                <w:sz w:val="22"/>
                <w:szCs w:val="22"/>
                <w:lang w:val="en-GB"/>
              </w:rPr>
              <w:t xml:space="preserve">met the guidance under (b). </w:t>
            </w:r>
          </w:p>
          <w:p w14:paraId="2DC49276" w14:textId="77777777" w:rsidR="00FF6B47" w:rsidRPr="007E7514" w:rsidRDefault="00FF6B4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18D448A3" w14:textId="77777777" w:rsidR="00FF6B47" w:rsidRPr="007E7514" w:rsidRDefault="00FF6B4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lastRenderedPageBreak/>
              <w:t>Update for COP 4:</w:t>
            </w:r>
          </w:p>
          <w:p w14:paraId="62048D42" w14:textId="722938D5" w:rsidR="00FF6B47" w:rsidRPr="007E7514" w:rsidRDefault="00965C21">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w:t>
            </w:r>
            <w:r w:rsidR="00FD66EE" w:rsidRPr="007E7514">
              <w:rPr>
                <w:rFonts w:asciiTheme="minorHAnsi" w:hAnsiTheme="minorHAnsi" w:cstheme="minorHAnsi"/>
                <w:sz w:val="22"/>
                <w:szCs w:val="22"/>
                <w:lang w:val="en-GB"/>
              </w:rPr>
              <w:t xml:space="preserve"> the reporting period, </w:t>
            </w:r>
            <w:r w:rsidR="00FF64CF" w:rsidRPr="007E7514">
              <w:rPr>
                <w:rFonts w:asciiTheme="minorHAnsi" w:hAnsiTheme="minorHAnsi" w:cstheme="minorHAnsi"/>
                <w:sz w:val="22"/>
                <w:szCs w:val="22"/>
                <w:lang w:val="en-GB"/>
              </w:rPr>
              <w:t>1</w:t>
            </w:r>
            <w:r w:rsidR="003B406E" w:rsidRPr="007E7514">
              <w:rPr>
                <w:rFonts w:asciiTheme="minorHAnsi" w:hAnsiTheme="minorHAnsi" w:cstheme="minorHAnsi"/>
                <w:sz w:val="22"/>
                <w:szCs w:val="22"/>
                <w:lang w:val="en-GB"/>
              </w:rPr>
              <w:t>3</w:t>
            </w:r>
            <w:r w:rsidR="00FD66EE"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EAs</w:t>
            </w:r>
            <w:r w:rsidR="00FD66EE" w:rsidRPr="007E7514">
              <w:rPr>
                <w:rFonts w:asciiTheme="minorHAnsi" w:hAnsiTheme="minorHAnsi" w:cstheme="minorHAnsi"/>
                <w:sz w:val="22"/>
                <w:szCs w:val="22"/>
                <w:lang w:val="en-GB"/>
              </w:rPr>
              <w:t xml:space="preserve">, including </w:t>
            </w:r>
            <w:r w:rsidR="00B634A7" w:rsidRPr="007E7514">
              <w:rPr>
                <w:rFonts w:asciiTheme="minorHAnsi" w:hAnsiTheme="minorHAnsi" w:cstheme="minorHAnsi"/>
                <w:sz w:val="22"/>
                <w:szCs w:val="22"/>
                <w:lang w:val="en-GB"/>
              </w:rPr>
              <w:t>6</w:t>
            </w:r>
            <w:r w:rsidR="00FD66EE" w:rsidRPr="007E7514">
              <w:rPr>
                <w:rFonts w:asciiTheme="minorHAnsi" w:hAnsiTheme="minorHAnsi" w:cstheme="minorHAnsi"/>
                <w:sz w:val="22"/>
                <w:szCs w:val="22"/>
                <w:lang w:val="en-GB"/>
              </w:rPr>
              <w:t xml:space="preserve"> MIA and </w:t>
            </w:r>
            <w:r w:rsidR="00B634A7" w:rsidRPr="007E7514">
              <w:rPr>
                <w:rFonts w:asciiTheme="minorHAnsi" w:hAnsiTheme="minorHAnsi" w:cstheme="minorHAnsi"/>
                <w:sz w:val="22"/>
                <w:szCs w:val="22"/>
                <w:lang w:val="en-GB"/>
              </w:rPr>
              <w:t>8</w:t>
            </w:r>
            <w:r w:rsidR="00FD66EE" w:rsidRPr="007E7514">
              <w:rPr>
                <w:rFonts w:asciiTheme="minorHAnsi" w:hAnsiTheme="minorHAnsi" w:cstheme="minorHAnsi"/>
                <w:sz w:val="22"/>
                <w:szCs w:val="22"/>
                <w:lang w:val="en-GB"/>
              </w:rPr>
              <w:t xml:space="preserve"> ASGM NAPs</w:t>
            </w:r>
            <w:r w:rsidR="00F70F0E" w:rsidRPr="007E7514">
              <w:rPr>
                <w:rStyle w:val="FootnoteReference"/>
                <w:rFonts w:asciiTheme="minorHAnsi" w:hAnsiTheme="minorHAnsi" w:cstheme="minorHAnsi"/>
                <w:sz w:val="22"/>
                <w:szCs w:val="22"/>
                <w:lang w:val="en-GB"/>
              </w:rPr>
              <w:footnoteReference w:id="16"/>
            </w:r>
            <w:r w:rsidR="00FD66EE" w:rsidRPr="007E7514">
              <w:rPr>
                <w:rFonts w:asciiTheme="minorHAnsi" w:hAnsiTheme="minorHAnsi" w:cstheme="minorHAnsi"/>
                <w:sz w:val="22"/>
                <w:szCs w:val="22"/>
                <w:lang w:val="en-GB"/>
              </w:rPr>
              <w:t xml:space="preserve"> were approved in accordance with (a). All </w:t>
            </w:r>
            <w:r w:rsidR="004133BD" w:rsidRPr="007E7514">
              <w:rPr>
                <w:rFonts w:asciiTheme="minorHAnsi" w:hAnsiTheme="minorHAnsi" w:cstheme="minorHAnsi"/>
                <w:sz w:val="22"/>
                <w:szCs w:val="22"/>
                <w:lang w:val="en-GB"/>
              </w:rPr>
              <w:t xml:space="preserve">approved </w:t>
            </w:r>
            <w:r w:rsidR="004133BD" w:rsidRPr="007E7514">
              <w:rPr>
                <w:rFonts w:asciiTheme="minorHAnsi" w:hAnsiTheme="minorHAnsi" w:cstheme="minorHAnsi"/>
                <w:sz w:val="22"/>
                <w:szCs w:val="22"/>
                <w:lang w:val="en-GB"/>
              </w:rPr>
              <w:br/>
            </w:r>
            <w:r w:rsidR="00580E34" w:rsidRPr="007E7514">
              <w:rPr>
                <w:rFonts w:asciiTheme="minorHAnsi" w:hAnsiTheme="minorHAnsi" w:cstheme="minorHAnsi"/>
                <w:sz w:val="22"/>
                <w:szCs w:val="22"/>
                <w:lang w:val="en-GB"/>
              </w:rPr>
              <w:t>medium-size</w:t>
            </w:r>
            <w:r w:rsidR="0030099A" w:rsidRPr="007E7514">
              <w:rPr>
                <w:rFonts w:asciiTheme="minorHAnsi" w:hAnsiTheme="minorHAnsi" w:cstheme="minorHAnsi"/>
                <w:sz w:val="22"/>
                <w:szCs w:val="22"/>
                <w:lang w:val="en-GB"/>
              </w:rPr>
              <w:t>d</w:t>
            </w:r>
            <w:r w:rsidRPr="007E7514">
              <w:rPr>
                <w:rFonts w:asciiTheme="minorHAnsi" w:hAnsiTheme="minorHAnsi" w:cstheme="minorHAnsi"/>
                <w:sz w:val="22"/>
                <w:szCs w:val="22"/>
                <w:lang w:val="en-GB"/>
              </w:rPr>
              <w:t xml:space="preserve"> projects (MSPs) </w:t>
            </w:r>
            <w:r w:rsidR="00580E34" w:rsidRPr="007E7514">
              <w:rPr>
                <w:rFonts w:asciiTheme="minorHAnsi" w:hAnsiTheme="minorHAnsi" w:cstheme="minorHAnsi"/>
                <w:sz w:val="22"/>
                <w:szCs w:val="22"/>
                <w:lang w:val="en-GB"/>
              </w:rPr>
              <w:t xml:space="preserve">and </w:t>
            </w:r>
            <w:r w:rsidRPr="007E7514">
              <w:rPr>
                <w:rFonts w:asciiTheme="minorHAnsi" w:hAnsiTheme="minorHAnsi" w:cstheme="minorHAnsi"/>
                <w:sz w:val="22"/>
                <w:szCs w:val="22"/>
                <w:lang w:val="en-GB"/>
              </w:rPr>
              <w:t>FSPs</w:t>
            </w:r>
            <w:r w:rsidR="00FD66EE" w:rsidRPr="007E7514">
              <w:rPr>
                <w:rFonts w:asciiTheme="minorHAnsi" w:hAnsiTheme="minorHAnsi" w:cstheme="minorHAnsi"/>
                <w:sz w:val="22"/>
                <w:szCs w:val="22"/>
                <w:lang w:val="en-GB"/>
              </w:rPr>
              <w:t xml:space="preserve"> met the guidance under (b).</w:t>
            </w:r>
            <w:r w:rsidR="00DD3F40" w:rsidRPr="007E7514">
              <w:rPr>
                <w:rFonts w:asciiTheme="minorHAnsi" w:hAnsiTheme="minorHAnsi" w:cstheme="minorHAnsi"/>
                <w:sz w:val="22"/>
                <w:szCs w:val="22"/>
                <w:lang w:val="en-GB"/>
              </w:rPr>
              <w:t xml:space="preserve"> </w:t>
            </w:r>
            <w:r w:rsidR="005F46A2" w:rsidRPr="007E7514">
              <w:rPr>
                <w:rFonts w:asciiTheme="minorHAnsi" w:hAnsiTheme="minorHAnsi" w:cstheme="minorHAnsi"/>
                <w:sz w:val="22"/>
                <w:szCs w:val="22"/>
                <w:lang w:val="en-GB"/>
              </w:rPr>
              <w:t xml:space="preserve">For example, </w:t>
            </w:r>
            <w:r w:rsidR="00B326D5" w:rsidRPr="007E7514">
              <w:rPr>
                <w:rFonts w:asciiTheme="minorHAnsi" w:hAnsiTheme="minorHAnsi" w:cstheme="minorHAnsi"/>
                <w:sz w:val="22"/>
                <w:szCs w:val="22"/>
                <w:lang w:val="en-GB"/>
              </w:rPr>
              <w:t xml:space="preserve">the </w:t>
            </w:r>
            <w:r w:rsidR="005F46A2" w:rsidRPr="007E7514">
              <w:rPr>
                <w:rFonts w:asciiTheme="minorHAnsi" w:hAnsiTheme="minorHAnsi" w:cstheme="minorHAnsi"/>
                <w:sz w:val="22"/>
                <w:szCs w:val="22"/>
                <w:lang w:val="en-GB"/>
              </w:rPr>
              <w:t>project</w:t>
            </w:r>
            <w:r w:rsidR="0092613E" w:rsidRPr="007E7514">
              <w:rPr>
                <w:rFonts w:asciiTheme="minorHAnsi" w:hAnsiTheme="minorHAnsi" w:cstheme="minorHAnsi"/>
                <w:sz w:val="22"/>
                <w:szCs w:val="22"/>
                <w:lang w:val="en-GB"/>
              </w:rPr>
              <w:t xml:space="preserve"> to</w:t>
            </w:r>
            <w:r w:rsidR="005F46A2" w:rsidRPr="007E7514">
              <w:rPr>
                <w:rFonts w:asciiTheme="minorHAnsi" w:hAnsiTheme="minorHAnsi" w:cstheme="minorHAnsi"/>
                <w:sz w:val="22"/>
                <w:szCs w:val="22"/>
                <w:lang w:val="en-GB"/>
              </w:rPr>
              <w:t xml:space="preserve"> address</w:t>
            </w:r>
            <w:r w:rsidR="00DD3F40" w:rsidRPr="007E7514">
              <w:rPr>
                <w:rFonts w:asciiTheme="minorHAnsi" w:hAnsiTheme="minorHAnsi" w:cstheme="minorHAnsi"/>
                <w:sz w:val="22"/>
                <w:szCs w:val="22"/>
                <w:lang w:val="en-GB"/>
              </w:rPr>
              <w:t xml:space="preserve"> chlor alkali</w:t>
            </w:r>
            <w:r w:rsidR="0092613E" w:rsidRPr="007E7514">
              <w:rPr>
                <w:rFonts w:asciiTheme="minorHAnsi" w:hAnsiTheme="minorHAnsi" w:cstheme="minorHAnsi"/>
                <w:sz w:val="22"/>
                <w:szCs w:val="22"/>
                <w:lang w:val="en-GB"/>
              </w:rPr>
              <w:t xml:space="preserve"> in Mexico</w:t>
            </w:r>
            <w:r w:rsidR="00C83C78" w:rsidRPr="007E7514">
              <w:rPr>
                <w:rFonts w:asciiTheme="minorHAnsi" w:hAnsiTheme="minorHAnsi" w:cstheme="minorHAnsi"/>
                <w:sz w:val="22"/>
                <w:szCs w:val="22"/>
                <w:lang w:val="en-GB"/>
              </w:rPr>
              <w:t>,</w:t>
            </w:r>
            <w:r w:rsidR="0092613E" w:rsidRPr="007E7514">
              <w:rPr>
                <w:rFonts w:asciiTheme="minorHAnsi" w:hAnsiTheme="minorHAnsi" w:cstheme="minorHAnsi"/>
                <w:sz w:val="22"/>
                <w:szCs w:val="22"/>
                <w:lang w:val="en-GB"/>
              </w:rPr>
              <w:t xml:space="preserve"> </w:t>
            </w:r>
            <w:r w:rsidR="00554D15" w:rsidRPr="007E7514">
              <w:rPr>
                <w:rFonts w:asciiTheme="minorHAnsi" w:hAnsiTheme="minorHAnsi" w:cstheme="minorHAnsi"/>
                <w:sz w:val="22"/>
                <w:szCs w:val="22"/>
                <w:lang w:val="en-GB"/>
              </w:rPr>
              <w:t xml:space="preserve">the </w:t>
            </w:r>
            <w:r w:rsidR="00554D15" w:rsidRPr="007E7514">
              <w:rPr>
                <w:rFonts w:asciiTheme="minorHAnsi" w:hAnsiTheme="minorHAnsi" w:cstheme="minorHAnsi"/>
                <w:i/>
                <w:iCs/>
                <w:sz w:val="22"/>
                <w:szCs w:val="22"/>
                <w:lang w:val="en-GB"/>
              </w:rPr>
              <w:t>GOLD+</w:t>
            </w:r>
            <w:r w:rsidR="00554D15" w:rsidRPr="007E7514">
              <w:rPr>
                <w:rFonts w:asciiTheme="minorHAnsi" w:hAnsiTheme="minorHAnsi" w:cstheme="minorHAnsi"/>
                <w:sz w:val="22"/>
                <w:szCs w:val="22"/>
                <w:lang w:val="en-GB"/>
              </w:rPr>
              <w:t xml:space="preserve"> </w:t>
            </w:r>
            <w:r w:rsidR="00753F78" w:rsidRPr="007E7514">
              <w:rPr>
                <w:rFonts w:asciiTheme="minorHAnsi" w:hAnsiTheme="minorHAnsi" w:cstheme="minorHAnsi"/>
                <w:sz w:val="22"/>
                <w:szCs w:val="22"/>
                <w:lang w:val="en-GB"/>
              </w:rPr>
              <w:t>P</w:t>
            </w:r>
            <w:r w:rsidR="00554D15" w:rsidRPr="007E7514">
              <w:rPr>
                <w:rFonts w:asciiTheme="minorHAnsi" w:hAnsiTheme="minorHAnsi" w:cstheme="minorHAnsi"/>
                <w:sz w:val="22"/>
                <w:szCs w:val="22"/>
                <w:lang w:val="en-GB"/>
              </w:rPr>
              <w:t>rogram</w:t>
            </w:r>
            <w:r w:rsidR="00C83C78" w:rsidRPr="007E7514">
              <w:rPr>
                <w:rFonts w:asciiTheme="minorHAnsi" w:hAnsiTheme="minorHAnsi" w:cstheme="minorHAnsi"/>
                <w:sz w:val="22"/>
                <w:szCs w:val="22"/>
                <w:lang w:val="en-GB"/>
              </w:rPr>
              <w:t xml:space="preserve"> addressing ASGM in 15 countries, and </w:t>
            </w:r>
            <w:r w:rsidR="00B879C6" w:rsidRPr="007E7514">
              <w:rPr>
                <w:rFonts w:asciiTheme="minorHAnsi" w:hAnsiTheme="minorHAnsi" w:cstheme="minorHAnsi"/>
                <w:sz w:val="22"/>
                <w:szCs w:val="22"/>
                <w:lang w:val="en-GB"/>
              </w:rPr>
              <w:t>the projects addressing</w:t>
            </w:r>
            <w:r w:rsidR="00DD3F40" w:rsidRPr="007E7514">
              <w:rPr>
                <w:rFonts w:asciiTheme="minorHAnsi" w:hAnsiTheme="minorHAnsi" w:cstheme="minorHAnsi"/>
                <w:sz w:val="22"/>
                <w:szCs w:val="22"/>
                <w:lang w:val="en-GB"/>
              </w:rPr>
              <w:t xml:space="preserve"> mercury products</w:t>
            </w:r>
            <w:r w:rsidRPr="007E7514">
              <w:rPr>
                <w:rFonts w:asciiTheme="minorHAnsi" w:hAnsiTheme="minorHAnsi" w:cstheme="minorHAnsi"/>
                <w:sz w:val="22"/>
                <w:szCs w:val="22"/>
                <w:lang w:val="en-GB"/>
              </w:rPr>
              <w:t>,</w:t>
            </w:r>
            <w:r w:rsidR="00B879C6" w:rsidRPr="007E7514">
              <w:rPr>
                <w:rFonts w:asciiTheme="minorHAnsi" w:hAnsiTheme="minorHAnsi" w:cstheme="minorHAnsi"/>
                <w:sz w:val="22"/>
                <w:szCs w:val="22"/>
                <w:lang w:val="en-GB"/>
              </w:rPr>
              <w:t xml:space="preserve"> all </w:t>
            </w:r>
            <w:r w:rsidR="00020E51" w:rsidRPr="007E7514">
              <w:rPr>
                <w:rFonts w:asciiTheme="minorHAnsi" w:hAnsiTheme="minorHAnsi" w:cstheme="minorHAnsi"/>
                <w:sz w:val="22"/>
                <w:szCs w:val="22"/>
                <w:lang w:val="en-GB"/>
              </w:rPr>
              <w:t xml:space="preserve">support legally binding obligations that facilitate early implementation and </w:t>
            </w:r>
            <w:r w:rsidR="002F0113" w:rsidRPr="007E7514">
              <w:rPr>
                <w:rFonts w:asciiTheme="minorHAnsi" w:hAnsiTheme="minorHAnsi" w:cstheme="minorHAnsi"/>
                <w:sz w:val="22"/>
                <w:szCs w:val="22"/>
                <w:lang w:val="en-GB"/>
              </w:rPr>
              <w:t xml:space="preserve">address health and </w:t>
            </w:r>
            <w:r w:rsidR="00A520D3" w:rsidRPr="007E7514">
              <w:rPr>
                <w:rFonts w:asciiTheme="minorHAnsi" w:hAnsiTheme="minorHAnsi" w:cstheme="minorHAnsi"/>
                <w:sz w:val="22"/>
                <w:szCs w:val="22"/>
                <w:lang w:val="en-GB"/>
              </w:rPr>
              <w:t>environmental</w:t>
            </w:r>
            <w:r w:rsidR="002F0113" w:rsidRPr="007E7514">
              <w:rPr>
                <w:rFonts w:asciiTheme="minorHAnsi" w:hAnsiTheme="minorHAnsi" w:cstheme="minorHAnsi"/>
                <w:sz w:val="22"/>
                <w:szCs w:val="22"/>
                <w:lang w:val="en-GB"/>
              </w:rPr>
              <w:t xml:space="preserve"> impacts</w:t>
            </w:r>
            <w:r w:rsidR="00DD3F40" w:rsidRPr="007E7514">
              <w:rPr>
                <w:rFonts w:asciiTheme="minorHAnsi" w:hAnsiTheme="minorHAnsi" w:cstheme="minorHAnsi"/>
                <w:sz w:val="22"/>
                <w:szCs w:val="22"/>
                <w:lang w:val="en-GB"/>
              </w:rPr>
              <w:t>.</w:t>
            </w:r>
          </w:p>
        </w:tc>
      </w:tr>
      <w:tr w:rsidR="00DF5C07" w:rsidRPr="007E7514" w14:paraId="1B6EF048"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5C640555"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lastRenderedPageBreak/>
              <w:t>8</w:t>
            </w:r>
          </w:p>
        </w:tc>
        <w:tc>
          <w:tcPr>
            <w:tcW w:w="0" w:type="auto"/>
            <w:shd w:val="clear" w:color="auto" w:fill="FFFFFF" w:themeFill="background1"/>
          </w:tcPr>
          <w:p w14:paraId="042D6506" w14:textId="67C9932C"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In providing resources for an activity, GEF should take into account the potential mercury reductions of a proposed activity relative to its costs in accordance with paragraph 8 of </w:t>
            </w:r>
            <w:r w:rsidR="003550E0"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rticle 13 of the Convention.</w:t>
            </w:r>
          </w:p>
        </w:tc>
        <w:tc>
          <w:tcPr>
            <w:tcW w:w="0" w:type="auto"/>
            <w:shd w:val="clear" w:color="auto" w:fill="FFFFFF" w:themeFill="background1"/>
          </w:tcPr>
          <w:p w14:paraId="5C89542B" w14:textId="327627C9"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 GEF-</w:t>
            </w:r>
            <w:r w:rsidR="006455D5" w:rsidRPr="007E7514">
              <w:rPr>
                <w:rFonts w:asciiTheme="minorHAnsi" w:hAnsiTheme="minorHAnsi" w:cstheme="minorHAnsi"/>
                <w:sz w:val="22"/>
                <w:szCs w:val="22"/>
                <w:lang w:val="en-GB"/>
              </w:rPr>
              <w:t>7</w:t>
            </w:r>
            <w:r w:rsidRPr="007E7514">
              <w:rPr>
                <w:rFonts w:asciiTheme="minorHAnsi" w:hAnsiTheme="minorHAnsi" w:cstheme="minorHAnsi"/>
                <w:sz w:val="22"/>
                <w:szCs w:val="22"/>
                <w:lang w:val="en-GB"/>
              </w:rPr>
              <w:t>, projects with potential for significant mercury reduction</w:t>
            </w:r>
            <w:r w:rsidR="004133BD"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 have been approved. The GEF continue</w:t>
            </w:r>
            <w:r w:rsidR="006206C9"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 to work with countries and </w:t>
            </w:r>
            <w:r w:rsidR="0013224B"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 xml:space="preserve">gencies to look at the potential </w:t>
            </w:r>
            <w:r w:rsidR="00B653DD" w:rsidRPr="007E7514">
              <w:rPr>
                <w:rFonts w:asciiTheme="minorHAnsi" w:hAnsiTheme="minorHAnsi" w:cstheme="minorHAnsi"/>
                <w:sz w:val="22"/>
                <w:szCs w:val="22"/>
                <w:lang w:val="en-GB"/>
              </w:rPr>
              <w:t xml:space="preserve">mercury </w:t>
            </w:r>
            <w:r w:rsidRPr="007E7514">
              <w:rPr>
                <w:rFonts w:asciiTheme="minorHAnsi" w:hAnsiTheme="minorHAnsi" w:cstheme="minorHAnsi"/>
                <w:sz w:val="22"/>
                <w:szCs w:val="22"/>
                <w:lang w:val="en-GB"/>
              </w:rPr>
              <w:t>reduction</w:t>
            </w:r>
            <w:r w:rsidR="004133BD"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 of </w:t>
            </w:r>
            <w:r w:rsidR="00B653DD" w:rsidRPr="007E7514">
              <w:rPr>
                <w:rFonts w:asciiTheme="minorHAnsi" w:hAnsiTheme="minorHAnsi" w:cstheme="minorHAnsi"/>
                <w:sz w:val="22"/>
                <w:szCs w:val="22"/>
                <w:lang w:val="en-GB"/>
              </w:rPr>
              <w:t xml:space="preserve">a proposed </w:t>
            </w:r>
            <w:r w:rsidR="00DF48B5" w:rsidRPr="007E7514">
              <w:rPr>
                <w:rFonts w:asciiTheme="minorHAnsi" w:hAnsiTheme="minorHAnsi" w:cstheme="minorHAnsi"/>
                <w:sz w:val="22"/>
                <w:szCs w:val="22"/>
                <w:lang w:val="en-GB"/>
              </w:rPr>
              <w:t>activity</w:t>
            </w:r>
            <w:r w:rsidR="00B653DD"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relative to its cost</w:t>
            </w:r>
            <w:r w:rsidR="00B653DD"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 </w:t>
            </w:r>
          </w:p>
        </w:tc>
      </w:tr>
      <w:tr w:rsidR="00DF5C07" w:rsidRPr="007E7514" w14:paraId="1C3EB1B8"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left w:val="none" w:sz="0" w:space="0" w:color="auto"/>
            </w:tcBorders>
            <w:shd w:val="clear" w:color="auto" w:fill="FFFFFF" w:themeFill="background1"/>
          </w:tcPr>
          <w:p w14:paraId="0A04BAE6"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IV. Indicative list of categories of activities that could receive support</w:t>
            </w:r>
          </w:p>
          <w:p w14:paraId="7282BAA1"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A. Enabling activities</w:t>
            </w:r>
          </w:p>
        </w:tc>
      </w:tr>
      <w:tr w:rsidR="00DF5C07" w:rsidRPr="007E7514" w14:paraId="752667CF"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2C34A3CE" w14:textId="77777777" w:rsidR="00DF5C07" w:rsidRPr="007E7514" w:rsidRDefault="00DF5C07" w:rsidP="004E221B">
            <w:pPr>
              <w:spacing w:before="60"/>
              <w:jc w:val="center"/>
              <w:rPr>
                <w:rFonts w:asciiTheme="minorHAnsi" w:hAnsiTheme="minorHAnsi" w:cstheme="minorHAnsi"/>
                <w:color w:val="auto"/>
                <w:sz w:val="22"/>
                <w:szCs w:val="22"/>
                <w:lang w:val="en-GB"/>
              </w:rPr>
            </w:pPr>
          </w:p>
        </w:tc>
        <w:tc>
          <w:tcPr>
            <w:tcW w:w="0" w:type="auto"/>
            <w:shd w:val="clear" w:color="auto" w:fill="FFFFFF" w:themeFill="background1"/>
          </w:tcPr>
          <w:p w14:paraId="7A7CE602" w14:textId="3B1FDAB2"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1. Minamata Convention initial assessments </w:t>
            </w:r>
          </w:p>
          <w:p w14:paraId="2490C234" w14:textId="5015C51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2. Preparation of national action plans for artisanal and small-scale gold mining in accordance with paragraph 3 of </w:t>
            </w:r>
            <w:r w:rsidR="003550E0"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 xml:space="preserve">rticle 7 and Annex C </w:t>
            </w:r>
          </w:p>
          <w:p w14:paraId="607718E2" w14:textId="7777777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3. Other types of enabling activities as agreed by the Conference of the Parties</w:t>
            </w:r>
          </w:p>
        </w:tc>
        <w:tc>
          <w:tcPr>
            <w:tcW w:w="0" w:type="auto"/>
            <w:shd w:val="clear" w:color="auto" w:fill="FFFFFF" w:themeFill="background1"/>
          </w:tcPr>
          <w:p w14:paraId="540287B1" w14:textId="42DBF43F" w:rsidR="00FD7142" w:rsidRPr="007E7514" w:rsidRDefault="00DF5C07" w:rsidP="00FD7142">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This guidance </w:t>
            </w:r>
            <w:r w:rsidR="00B653DD" w:rsidRPr="007E7514">
              <w:rPr>
                <w:rFonts w:asciiTheme="minorHAnsi" w:hAnsiTheme="minorHAnsi" w:cstheme="minorHAnsi"/>
                <w:sz w:val="22"/>
                <w:szCs w:val="22"/>
                <w:lang w:val="en-GB"/>
              </w:rPr>
              <w:t>was</w:t>
            </w:r>
            <w:r w:rsidRPr="007E7514">
              <w:rPr>
                <w:rFonts w:asciiTheme="minorHAnsi" w:hAnsiTheme="minorHAnsi" w:cstheme="minorHAnsi"/>
                <w:sz w:val="22"/>
                <w:szCs w:val="22"/>
                <w:lang w:val="en-GB"/>
              </w:rPr>
              <w:t xml:space="preserve"> used to inform the</w:t>
            </w:r>
            <w:r w:rsidR="00B653DD" w:rsidRPr="007E7514">
              <w:rPr>
                <w:rFonts w:asciiTheme="minorHAnsi" w:hAnsiTheme="minorHAnsi" w:cstheme="minorHAnsi"/>
                <w:sz w:val="22"/>
                <w:szCs w:val="22"/>
                <w:lang w:val="en-GB"/>
              </w:rPr>
              <w:t xml:space="preserve"> GEF-6 and GEF-7</w:t>
            </w:r>
            <w:r w:rsidRPr="007E7514">
              <w:rPr>
                <w:rFonts w:asciiTheme="minorHAnsi" w:hAnsiTheme="minorHAnsi" w:cstheme="minorHAnsi"/>
                <w:sz w:val="22"/>
                <w:szCs w:val="22"/>
                <w:lang w:val="en-GB"/>
              </w:rPr>
              <w:t xml:space="preserve"> programming and </w:t>
            </w:r>
            <w:r w:rsidR="00B653DD" w:rsidRPr="007E7514">
              <w:rPr>
                <w:rFonts w:asciiTheme="minorHAnsi" w:hAnsiTheme="minorHAnsi" w:cstheme="minorHAnsi"/>
                <w:sz w:val="22"/>
                <w:szCs w:val="22"/>
                <w:lang w:val="en-GB"/>
              </w:rPr>
              <w:t>was</w:t>
            </w:r>
            <w:r w:rsidRPr="007E7514">
              <w:rPr>
                <w:rFonts w:asciiTheme="minorHAnsi" w:hAnsiTheme="minorHAnsi" w:cstheme="minorHAnsi"/>
                <w:sz w:val="22"/>
                <w:szCs w:val="22"/>
                <w:lang w:val="en-GB"/>
              </w:rPr>
              <w:t xml:space="preserve"> addressed in the priorities of the GEF-7 </w:t>
            </w:r>
            <w:r w:rsidR="00997001" w:rsidRPr="007E7514">
              <w:rPr>
                <w:rFonts w:asciiTheme="minorHAnsi" w:hAnsiTheme="minorHAnsi" w:cstheme="minorHAnsi"/>
                <w:sz w:val="22"/>
                <w:szCs w:val="22"/>
                <w:lang w:val="en-GB"/>
              </w:rPr>
              <w:t>c</w:t>
            </w:r>
            <w:r w:rsidRPr="007E7514">
              <w:rPr>
                <w:rFonts w:asciiTheme="minorHAnsi" w:hAnsiTheme="minorHAnsi" w:cstheme="minorHAnsi"/>
                <w:sz w:val="22"/>
                <w:szCs w:val="22"/>
                <w:lang w:val="en-GB"/>
              </w:rPr>
              <w:t xml:space="preserve">hemicals and </w:t>
            </w:r>
            <w:r w:rsidR="00997001" w:rsidRPr="007E7514">
              <w:rPr>
                <w:rFonts w:asciiTheme="minorHAnsi" w:hAnsiTheme="minorHAnsi" w:cstheme="minorHAnsi"/>
                <w:sz w:val="22"/>
                <w:szCs w:val="22"/>
                <w:lang w:val="en-GB"/>
              </w:rPr>
              <w:t>w</w:t>
            </w:r>
            <w:r w:rsidRPr="007E7514">
              <w:rPr>
                <w:rFonts w:asciiTheme="minorHAnsi" w:hAnsiTheme="minorHAnsi" w:cstheme="minorHAnsi"/>
                <w:sz w:val="22"/>
                <w:szCs w:val="22"/>
                <w:lang w:val="en-GB"/>
              </w:rPr>
              <w:t xml:space="preserve">aste </w:t>
            </w:r>
            <w:r w:rsidR="00997001" w:rsidRPr="007E7514">
              <w:rPr>
                <w:rFonts w:asciiTheme="minorHAnsi" w:hAnsiTheme="minorHAnsi" w:cstheme="minorHAnsi"/>
                <w:sz w:val="22"/>
                <w:szCs w:val="22"/>
                <w:lang w:val="en-GB"/>
              </w:rPr>
              <w:t>f</w:t>
            </w:r>
            <w:r w:rsidRPr="007E7514">
              <w:rPr>
                <w:rFonts w:asciiTheme="minorHAnsi" w:hAnsiTheme="minorHAnsi" w:cstheme="minorHAnsi"/>
                <w:sz w:val="22"/>
                <w:szCs w:val="22"/>
                <w:lang w:val="en-GB"/>
              </w:rPr>
              <w:t xml:space="preserve">ocal </w:t>
            </w:r>
            <w:r w:rsidR="00997001"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 xml:space="preserve">rea </w:t>
            </w:r>
            <w:r w:rsidR="00484CF9" w:rsidRPr="007E7514">
              <w:rPr>
                <w:rFonts w:asciiTheme="minorHAnsi" w:hAnsiTheme="minorHAnsi" w:cstheme="minorHAnsi"/>
                <w:sz w:val="22"/>
                <w:szCs w:val="22"/>
                <w:lang w:val="en-GB"/>
              </w:rPr>
              <w:t>Programming S</w:t>
            </w:r>
            <w:r w:rsidRPr="007E7514">
              <w:rPr>
                <w:rFonts w:asciiTheme="minorHAnsi" w:hAnsiTheme="minorHAnsi" w:cstheme="minorHAnsi"/>
                <w:sz w:val="22"/>
                <w:szCs w:val="22"/>
                <w:lang w:val="en-GB"/>
              </w:rPr>
              <w:t xml:space="preserve">trategy. In </w:t>
            </w:r>
            <w:r w:rsidR="006455D5" w:rsidRPr="007E7514">
              <w:rPr>
                <w:rFonts w:asciiTheme="minorHAnsi" w:hAnsiTheme="minorHAnsi" w:cstheme="minorHAnsi"/>
                <w:sz w:val="22"/>
                <w:szCs w:val="22"/>
                <w:lang w:val="en-GB"/>
              </w:rPr>
              <w:t xml:space="preserve">GEF-6 and </w:t>
            </w:r>
            <w:r w:rsidRPr="007E7514">
              <w:rPr>
                <w:rFonts w:asciiTheme="minorHAnsi" w:hAnsiTheme="minorHAnsi" w:cstheme="minorHAnsi"/>
                <w:sz w:val="22"/>
                <w:szCs w:val="22"/>
                <w:lang w:val="en-GB"/>
              </w:rPr>
              <w:t>GEF-</w:t>
            </w:r>
            <w:r w:rsidR="006455D5" w:rsidRPr="007E7514">
              <w:rPr>
                <w:rFonts w:asciiTheme="minorHAnsi" w:hAnsiTheme="minorHAnsi" w:cstheme="minorHAnsi"/>
                <w:sz w:val="22"/>
                <w:szCs w:val="22"/>
                <w:lang w:val="en-GB"/>
              </w:rPr>
              <w:t>7</w:t>
            </w:r>
            <w:r w:rsidRPr="007E7514">
              <w:rPr>
                <w:rFonts w:asciiTheme="minorHAnsi" w:hAnsiTheme="minorHAnsi" w:cstheme="minorHAnsi"/>
                <w:sz w:val="22"/>
                <w:szCs w:val="22"/>
                <w:lang w:val="en-GB"/>
              </w:rPr>
              <w:t xml:space="preserve">, all eligible </w:t>
            </w:r>
            <w:r w:rsidR="00484CF9" w:rsidRPr="007E7514">
              <w:rPr>
                <w:rFonts w:asciiTheme="minorHAnsi" w:hAnsiTheme="minorHAnsi" w:cstheme="minorHAnsi"/>
                <w:sz w:val="22"/>
                <w:szCs w:val="22"/>
                <w:lang w:val="en-GB"/>
              </w:rPr>
              <w:t>EAs</w:t>
            </w:r>
            <w:r w:rsidRPr="007E7514">
              <w:rPr>
                <w:rFonts w:asciiTheme="minorHAnsi" w:hAnsiTheme="minorHAnsi" w:cstheme="minorHAnsi"/>
                <w:sz w:val="22"/>
                <w:szCs w:val="22"/>
                <w:lang w:val="en-GB"/>
              </w:rPr>
              <w:t xml:space="preserve"> that were submitted to the GEF received funding.</w:t>
            </w:r>
          </w:p>
          <w:p w14:paraId="001C793B" w14:textId="77777777" w:rsidR="00E243C1" w:rsidRPr="007E7514" w:rsidRDefault="00E243C1" w:rsidP="00FD7142">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5F637D6F" w14:textId="77777777" w:rsidR="00E243C1" w:rsidRPr="007E7514" w:rsidRDefault="00E243C1" w:rsidP="00FD7142">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3:</w:t>
            </w:r>
          </w:p>
          <w:p w14:paraId="5860CDBF" w14:textId="6E572BCE" w:rsidR="00E243C1" w:rsidRPr="007E7514" w:rsidRDefault="00E243C1" w:rsidP="00FD7142">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The GEF-7 notional allocation for Minamata Convention </w:t>
            </w:r>
            <w:r w:rsidR="00484CF9" w:rsidRPr="007E7514">
              <w:rPr>
                <w:rFonts w:asciiTheme="minorHAnsi" w:hAnsiTheme="minorHAnsi" w:cstheme="minorHAnsi"/>
                <w:sz w:val="22"/>
                <w:szCs w:val="22"/>
                <w:lang w:val="en-GB"/>
              </w:rPr>
              <w:t>EAs</w:t>
            </w:r>
            <w:r w:rsidRPr="007E7514">
              <w:rPr>
                <w:rFonts w:asciiTheme="minorHAnsi" w:hAnsiTheme="minorHAnsi" w:cstheme="minorHAnsi"/>
                <w:sz w:val="22"/>
                <w:szCs w:val="22"/>
                <w:lang w:val="en-GB"/>
              </w:rPr>
              <w:t xml:space="preserve"> </w:t>
            </w:r>
            <w:r w:rsidR="00484CF9" w:rsidRPr="007E7514">
              <w:rPr>
                <w:rFonts w:asciiTheme="minorHAnsi" w:hAnsiTheme="minorHAnsi" w:cstheme="minorHAnsi"/>
                <w:sz w:val="22"/>
                <w:szCs w:val="22"/>
                <w:lang w:val="en-GB"/>
              </w:rPr>
              <w:t>wa</w:t>
            </w:r>
            <w:r w:rsidRPr="007E7514">
              <w:rPr>
                <w:rFonts w:asciiTheme="minorHAnsi" w:hAnsiTheme="minorHAnsi" w:cstheme="minorHAnsi"/>
                <w:sz w:val="22"/>
                <w:szCs w:val="22"/>
                <w:lang w:val="en-GB"/>
              </w:rPr>
              <w:t>s $14 million.</w:t>
            </w:r>
          </w:p>
          <w:p w14:paraId="71B552E0" w14:textId="77777777" w:rsidR="007F41CA" w:rsidRPr="007E7514" w:rsidRDefault="007F41CA" w:rsidP="00FD7142">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771805DE" w14:textId="77777777" w:rsidR="007F41CA" w:rsidRPr="007E7514" w:rsidRDefault="007F41CA" w:rsidP="00FD7142">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4:</w:t>
            </w:r>
          </w:p>
          <w:p w14:paraId="06D00397" w14:textId="2FFCFCC5" w:rsidR="007F41CA" w:rsidRPr="007E7514" w:rsidRDefault="00484CF9" w:rsidP="00FD7142">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In</w:t>
            </w:r>
            <w:r w:rsidR="00FF64CF" w:rsidRPr="007E7514">
              <w:rPr>
                <w:rFonts w:asciiTheme="minorHAnsi" w:hAnsiTheme="minorHAnsi" w:cstheme="minorHAnsi"/>
                <w:sz w:val="22"/>
                <w:szCs w:val="22"/>
                <w:lang w:val="en-GB"/>
              </w:rPr>
              <w:t xml:space="preserve"> the reporting period</w:t>
            </w:r>
            <w:r w:rsidRPr="007E7514">
              <w:rPr>
                <w:rFonts w:asciiTheme="minorHAnsi" w:hAnsiTheme="minorHAnsi" w:cstheme="minorHAnsi"/>
                <w:sz w:val="22"/>
                <w:szCs w:val="22"/>
                <w:lang w:val="en-GB"/>
              </w:rPr>
              <w:t>,</w:t>
            </w:r>
            <w:r w:rsidR="00FF64CF" w:rsidRPr="007E7514">
              <w:rPr>
                <w:rFonts w:asciiTheme="minorHAnsi" w:hAnsiTheme="minorHAnsi" w:cstheme="minorHAnsi"/>
                <w:sz w:val="22"/>
                <w:szCs w:val="22"/>
                <w:lang w:val="en-GB"/>
              </w:rPr>
              <w:t xml:space="preserve"> all eligible </w:t>
            </w:r>
            <w:r w:rsidRPr="007E7514">
              <w:rPr>
                <w:rFonts w:asciiTheme="minorHAnsi" w:hAnsiTheme="minorHAnsi" w:cstheme="minorHAnsi"/>
                <w:sz w:val="22"/>
                <w:szCs w:val="22"/>
                <w:lang w:val="en-GB"/>
              </w:rPr>
              <w:t>EAs</w:t>
            </w:r>
            <w:r w:rsidR="00FF64CF" w:rsidRPr="007E7514">
              <w:rPr>
                <w:rFonts w:asciiTheme="minorHAnsi" w:hAnsiTheme="minorHAnsi" w:cstheme="minorHAnsi"/>
                <w:sz w:val="22"/>
                <w:szCs w:val="22"/>
                <w:lang w:val="en-GB"/>
              </w:rPr>
              <w:t xml:space="preserve"> that were submitted to the GEF received funding.</w:t>
            </w:r>
          </w:p>
        </w:tc>
      </w:tr>
      <w:tr w:rsidR="00DF5C07" w:rsidRPr="007E7514" w14:paraId="7BD6E299"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left w:val="none" w:sz="0" w:space="0" w:color="auto"/>
            </w:tcBorders>
            <w:shd w:val="clear" w:color="auto" w:fill="FFFFFF" w:themeFill="background1"/>
          </w:tcPr>
          <w:p w14:paraId="5D6953A1"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B. Activities to implement the provisions of the Convention</w:t>
            </w:r>
          </w:p>
          <w:p w14:paraId="2CBA22D4"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1. Activities to implement the provisions of the Convention that relate to legally binding obligations</w:t>
            </w:r>
          </w:p>
        </w:tc>
      </w:tr>
      <w:tr w:rsidR="00DF5C07" w:rsidRPr="007E7514" w14:paraId="2A75B41C"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7DC001A3"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9</w:t>
            </w:r>
          </w:p>
        </w:tc>
        <w:tc>
          <w:tcPr>
            <w:tcW w:w="0" w:type="auto"/>
            <w:shd w:val="clear" w:color="auto" w:fill="FFFFFF" w:themeFill="background1"/>
          </w:tcPr>
          <w:p w14:paraId="4A0BC65F" w14:textId="3E34F716"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When providing financial resources to eligible Parties for activities to implement the provisions </w:t>
            </w:r>
            <w:r w:rsidRPr="007E7514">
              <w:rPr>
                <w:rFonts w:asciiTheme="minorHAnsi" w:hAnsiTheme="minorHAnsi" w:cstheme="minorHAnsi"/>
                <w:sz w:val="22"/>
                <w:szCs w:val="22"/>
                <w:lang w:val="en-GB"/>
              </w:rPr>
              <w:lastRenderedPageBreak/>
              <w:t>of the Convention, GEF should afford priority to those activities that relate to legally binding obligations of Parties under the Convention and should take into account the potential mercury reductions of a proposed activity relative to its costs. Such activities could include those related to the following areas, listed in no particular order:</w:t>
            </w:r>
          </w:p>
          <w:p w14:paraId="10F7DD63" w14:textId="77777777" w:rsidR="00EC1059" w:rsidRPr="007E7514" w:rsidRDefault="00EC1059"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40C6039A"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Mercury supply sources and trade;</w:t>
            </w:r>
          </w:p>
          <w:p w14:paraId="078503AA"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Mercury-added products; </w:t>
            </w:r>
          </w:p>
          <w:p w14:paraId="14EA46A2"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Manufacturing processes in which mercury or mercury compounds are used; </w:t>
            </w:r>
          </w:p>
          <w:p w14:paraId="7AA47F54"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Artisanal and small-scale gold mining;</w:t>
            </w:r>
          </w:p>
          <w:p w14:paraId="13B5A87D"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Emissions;</w:t>
            </w:r>
          </w:p>
          <w:p w14:paraId="3B0D7756"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Releases;</w:t>
            </w:r>
          </w:p>
          <w:p w14:paraId="0EA7F35D"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Environmentally sound interim storage of mercury, other than waste mercury; </w:t>
            </w:r>
          </w:p>
          <w:p w14:paraId="5C2FF772"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Mercury wastes; </w:t>
            </w:r>
          </w:p>
          <w:p w14:paraId="3734C740"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Reporting;</w:t>
            </w:r>
          </w:p>
          <w:p w14:paraId="7ECCBF3C" w14:textId="77777777" w:rsidR="00DF5C07" w:rsidRPr="007E7514" w:rsidRDefault="00DF5C07" w:rsidP="00934D90">
            <w:pPr>
              <w:pStyle w:val="ListParagraph"/>
              <w:numPr>
                <w:ilvl w:val="0"/>
                <w:numId w:val="2"/>
              </w:numPr>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Relevant capacity-building, technical assistance and technology transfer in relation to the above.</w:t>
            </w:r>
          </w:p>
        </w:tc>
        <w:tc>
          <w:tcPr>
            <w:tcW w:w="0" w:type="auto"/>
            <w:shd w:val="clear" w:color="auto" w:fill="FFFFFF" w:themeFill="background1"/>
          </w:tcPr>
          <w:p w14:paraId="0FD14A99" w14:textId="378D2F70"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lastRenderedPageBreak/>
              <w:t xml:space="preserve">These have been included in the GEF-7 </w:t>
            </w:r>
            <w:r w:rsidR="0082752B" w:rsidRPr="007E7514">
              <w:rPr>
                <w:rFonts w:asciiTheme="minorHAnsi" w:hAnsiTheme="minorHAnsi" w:cstheme="minorHAnsi"/>
                <w:sz w:val="22"/>
                <w:szCs w:val="22"/>
                <w:lang w:val="en-GB"/>
              </w:rPr>
              <w:t>c</w:t>
            </w:r>
            <w:r w:rsidRPr="007E7514">
              <w:rPr>
                <w:rFonts w:asciiTheme="minorHAnsi" w:hAnsiTheme="minorHAnsi" w:cstheme="minorHAnsi"/>
                <w:sz w:val="22"/>
                <w:szCs w:val="22"/>
                <w:lang w:val="en-GB"/>
              </w:rPr>
              <w:t xml:space="preserve">hemicals and </w:t>
            </w:r>
            <w:r w:rsidR="0082752B" w:rsidRPr="007E7514">
              <w:rPr>
                <w:rFonts w:asciiTheme="minorHAnsi" w:hAnsiTheme="minorHAnsi" w:cstheme="minorHAnsi"/>
                <w:sz w:val="22"/>
                <w:szCs w:val="22"/>
                <w:lang w:val="en-GB"/>
              </w:rPr>
              <w:t>w</w:t>
            </w:r>
            <w:r w:rsidRPr="007E7514">
              <w:rPr>
                <w:rFonts w:asciiTheme="minorHAnsi" w:hAnsiTheme="minorHAnsi" w:cstheme="minorHAnsi"/>
                <w:sz w:val="22"/>
                <w:szCs w:val="22"/>
                <w:lang w:val="en-GB"/>
              </w:rPr>
              <w:t xml:space="preserve">aste </w:t>
            </w:r>
            <w:r w:rsidR="0082752B" w:rsidRPr="007E7514">
              <w:rPr>
                <w:rFonts w:asciiTheme="minorHAnsi" w:hAnsiTheme="minorHAnsi" w:cstheme="minorHAnsi"/>
                <w:sz w:val="22"/>
                <w:szCs w:val="22"/>
                <w:lang w:val="en-GB"/>
              </w:rPr>
              <w:t>f</w:t>
            </w:r>
            <w:r w:rsidRPr="007E7514">
              <w:rPr>
                <w:rFonts w:asciiTheme="minorHAnsi" w:hAnsiTheme="minorHAnsi" w:cstheme="minorHAnsi"/>
                <w:sz w:val="22"/>
                <w:szCs w:val="22"/>
                <w:lang w:val="en-GB"/>
              </w:rPr>
              <w:t xml:space="preserve">ocal </w:t>
            </w:r>
            <w:r w:rsidR="0082752B"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 xml:space="preserve">rea </w:t>
            </w:r>
            <w:r w:rsidR="00DF08AB" w:rsidRPr="007E7514">
              <w:rPr>
                <w:rFonts w:asciiTheme="minorHAnsi" w:hAnsiTheme="minorHAnsi" w:cstheme="minorHAnsi"/>
                <w:sz w:val="22"/>
                <w:szCs w:val="22"/>
                <w:lang w:val="en-GB"/>
              </w:rPr>
              <w:lastRenderedPageBreak/>
              <w:t>Programming S</w:t>
            </w:r>
            <w:r w:rsidRPr="007E7514">
              <w:rPr>
                <w:rFonts w:asciiTheme="minorHAnsi" w:hAnsiTheme="minorHAnsi" w:cstheme="minorHAnsi"/>
                <w:sz w:val="22"/>
                <w:szCs w:val="22"/>
                <w:lang w:val="en-GB"/>
              </w:rPr>
              <w:t>trategy</w:t>
            </w:r>
            <w:r w:rsidR="00436DF4" w:rsidRPr="007E7514">
              <w:rPr>
                <w:rFonts w:asciiTheme="minorHAnsi" w:hAnsiTheme="minorHAnsi" w:cstheme="minorHAnsi"/>
                <w:sz w:val="22"/>
                <w:szCs w:val="22"/>
                <w:lang w:val="en-GB"/>
              </w:rPr>
              <w:t>.</w:t>
            </w:r>
            <w:r w:rsidR="006455D5" w:rsidRPr="007E7514">
              <w:rPr>
                <w:sz w:val="22"/>
                <w:szCs w:val="22"/>
                <w:lang w:val="en-GB"/>
              </w:rPr>
              <w:t xml:space="preserve"> </w:t>
            </w:r>
            <w:r w:rsidR="006455D5" w:rsidRPr="007E7514">
              <w:rPr>
                <w:rFonts w:asciiTheme="minorHAnsi" w:hAnsiTheme="minorHAnsi" w:cstheme="minorHAnsi"/>
                <w:sz w:val="22"/>
                <w:szCs w:val="22"/>
                <w:lang w:val="en-GB"/>
              </w:rPr>
              <w:t xml:space="preserve">This guidance </w:t>
            </w:r>
            <w:r w:rsidR="00DF08AB" w:rsidRPr="007E7514">
              <w:rPr>
                <w:rFonts w:asciiTheme="minorHAnsi" w:hAnsiTheme="minorHAnsi" w:cstheme="minorHAnsi"/>
                <w:sz w:val="22"/>
                <w:szCs w:val="22"/>
                <w:lang w:val="en-GB"/>
              </w:rPr>
              <w:t>was</w:t>
            </w:r>
            <w:r w:rsidR="006455D5" w:rsidRPr="007E7514">
              <w:rPr>
                <w:rFonts w:asciiTheme="minorHAnsi" w:hAnsiTheme="minorHAnsi" w:cstheme="minorHAnsi"/>
                <w:sz w:val="22"/>
                <w:szCs w:val="22"/>
                <w:lang w:val="en-GB"/>
              </w:rPr>
              <w:t xml:space="preserve"> used to inform the </w:t>
            </w:r>
            <w:r w:rsidR="00DF08AB" w:rsidRPr="007E7514">
              <w:rPr>
                <w:rFonts w:asciiTheme="minorHAnsi" w:hAnsiTheme="minorHAnsi" w:cstheme="minorHAnsi"/>
                <w:sz w:val="22"/>
                <w:szCs w:val="22"/>
                <w:lang w:val="en-GB"/>
              </w:rPr>
              <w:t xml:space="preserve">GEF-6 and GEF-7 </w:t>
            </w:r>
            <w:r w:rsidR="006455D5" w:rsidRPr="007E7514">
              <w:rPr>
                <w:rFonts w:asciiTheme="minorHAnsi" w:hAnsiTheme="minorHAnsi" w:cstheme="minorHAnsi"/>
                <w:sz w:val="22"/>
                <w:szCs w:val="22"/>
                <w:lang w:val="en-GB"/>
              </w:rPr>
              <w:t>programming.</w:t>
            </w:r>
            <w:r w:rsidRPr="007E7514">
              <w:rPr>
                <w:rFonts w:asciiTheme="minorHAnsi" w:hAnsiTheme="minorHAnsi" w:cstheme="minorHAnsi"/>
                <w:sz w:val="22"/>
                <w:szCs w:val="22"/>
                <w:lang w:val="en-GB"/>
              </w:rPr>
              <w:t xml:space="preserve"> </w:t>
            </w:r>
          </w:p>
          <w:p w14:paraId="6B279557" w14:textId="77777777" w:rsidR="00846D58" w:rsidRPr="007E7514" w:rsidRDefault="00846D58"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68990890" w14:textId="77777777" w:rsidR="00846D58" w:rsidRPr="007E7514" w:rsidRDefault="00846D58"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3:</w:t>
            </w:r>
          </w:p>
          <w:p w14:paraId="53286563" w14:textId="3E61BA9F" w:rsidR="00846D58" w:rsidRPr="007E7514" w:rsidRDefault="00025249"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Projects approved </w:t>
            </w:r>
            <w:r w:rsidR="00484CF9" w:rsidRPr="007E7514">
              <w:rPr>
                <w:rFonts w:asciiTheme="minorHAnsi" w:hAnsiTheme="minorHAnsi" w:cstheme="minorHAnsi"/>
                <w:sz w:val="22"/>
                <w:szCs w:val="22"/>
                <w:lang w:val="en-GB"/>
              </w:rPr>
              <w:t>in</w:t>
            </w:r>
            <w:r w:rsidRPr="007E7514">
              <w:rPr>
                <w:rFonts w:asciiTheme="minorHAnsi" w:hAnsiTheme="minorHAnsi" w:cstheme="minorHAnsi"/>
                <w:sz w:val="22"/>
                <w:szCs w:val="22"/>
                <w:lang w:val="en-GB"/>
              </w:rPr>
              <w:t xml:space="preserve"> th</w:t>
            </w:r>
            <w:r w:rsidR="00DF08AB" w:rsidRPr="007E7514">
              <w:rPr>
                <w:rFonts w:asciiTheme="minorHAnsi" w:hAnsiTheme="minorHAnsi" w:cstheme="minorHAnsi"/>
                <w:sz w:val="22"/>
                <w:szCs w:val="22"/>
                <w:lang w:val="en-GB"/>
              </w:rPr>
              <w:t>e</w:t>
            </w:r>
            <w:r w:rsidRPr="007E7514">
              <w:rPr>
                <w:rFonts w:asciiTheme="minorHAnsi" w:hAnsiTheme="minorHAnsi" w:cstheme="minorHAnsi"/>
                <w:sz w:val="22"/>
                <w:szCs w:val="22"/>
                <w:lang w:val="en-GB"/>
              </w:rPr>
              <w:t xml:space="preserve"> reporting period </w:t>
            </w:r>
            <w:r w:rsidR="002A1EA0" w:rsidRPr="007E7514">
              <w:rPr>
                <w:rFonts w:asciiTheme="minorHAnsi" w:hAnsiTheme="minorHAnsi" w:cstheme="minorHAnsi"/>
                <w:sz w:val="22"/>
                <w:szCs w:val="22"/>
                <w:lang w:val="en-GB"/>
              </w:rPr>
              <w:t>follow this guidance</w:t>
            </w:r>
            <w:r w:rsidR="008F7DAA" w:rsidRPr="007E7514">
              <w:rPr>
                <w:rFonts w:asciiTheme="minorHAnsi" w:hAnsiTheme="minorHAnsi" w:cstheme="minorHAnsi"/>
                <w:sz w:val="22"/>
                <w:szCs w:val="22"/>
                <w:lang w:val="en-GB"/>
              </w:rPr>
              <w:t xml:space="preserve">. </w:t>
            </w:r>
            <w:r w:rsidR="002A1EA0" w:rsidRPr="007E7514">
              <w:rPr>
                <w:rFonts w:asciiTheme="minorHAnsi" w:hAnsiTheme="minorHAnsi" w:cstheme="minorHAnsi"/>
                <w:sz w:val="22"/>
                <w:szCs w:val="22"/>
                <w:lang w:val="en-GB"/>
              </w:rPr>
              <w:t xml:space="preserve">One project </w:t>
            </w:r>
            <w:r w:rsidR="00323C16" w:rsidRPr="007E7514">
              <w:rPr>
                <w:rFonts w:asciiTheme="minorHAnsi" w:hAnsiTheme="minorHAnsi" w:cstheme="minorHAnsi"/>
                <w:sz w:val="22"/>
                <w:szCs w:val="22"/>
                <w:lang w:val="en-GB"/>
              </w:rPr>
              <w:t>address</w:t>
            </w:r>
            <w:r w:rsidR="00484CF9" w:rsidRPr="007E7514">
              <w:rPr>
                <w:rFonts w:asciiTheme="minorHAnsi" w:hAnsiTheme="minorHAnsi" w:cstheme="minorHAnsi"/>
                <w:sz w:val="22"/>
                <w:szCs w:val="22"/>
                <w:lang w:val="en-GB"/>
              </w:rPr>
              <w:t>es</w:t>
            </w:r>
            <w:r w:rsidR="002A1EA0" w:rsidRPr="007E7514">
              <w:rPr>
                <w:rFonts w:asciiTheme="minorHAnsi" w:hAnsiTheme="minorHAnsi" w:cstheme="minorHAnsi"/>
                <w:sz w:val="22"/>
                <w:szCs w:val="22"/>
                <w:lang w:val="en-GB"/>
              </w:rPr>
              <w:t xml:space="preserve"> </w:t>
            </w:r>
            <w:r w:rsidR="00F45F7B" w:rsidRPr="007E7514">
              <w:rPr>
                <w:rFonts w:asciiTheme="minorHAnsi" w:hAnsiTheme="minorHAnsi" w:cstheme="minorHAnsi"/>
                <w:sz w:val="22"/>
                <w:szCs w:val="22"/>
                <w:lang w:val="en-GB"/>
              </w:rPr>
              <w:t xml:space="preserve">mercury sources and trade. </w:t>
            </w:r>
            <w:r w:rsidR="00BC7735" w:rsidRPr="007E7514">
              <w:rPr>
                <w:rFonts w:asciiTheme="minorHAnsi" w:hAnsiTheme="minorHAnsi" w:cstheme="minorHAnsi"/>
                <w:sz w:val="22"/>
                <w:szCs w:val="22"/>
                <w:lang w:val="en-GB"/>
              </w:rPr>
              <w:t>All project</w:t>
            </w:r>
            <w:r w:rsidR="00A36DE8" w:rsidRPr="007E7514">
              <w:rPr>
                <w:rFonts w:asciiTheme="minorHAnsi" w:hAnsiTheme="minorHAnsi" w:cstheme="minorHAnsi"/>
                <w:sz w:val="22"/>
                <w:szCs w:val="22"/>
                <w:lang w:val="en-GB"/>
              </w:rPr>
              <w:t>s</w:t>
            </w:r>
            <w:r w:rsidR="00BC7735" w:rsidRPr="007E7514">
              <w:rPr>
                <w:rFonts w:asciiTheme="minorHAnsi" w:hAnsiTheme="minorHAnsi" w:cstheme="minorHAnsi"/>
                <w:sz w:val="22"/>
                <w:szCs w:val="22"/>
                <w:lang w:val="en-GB"/>
              </w:rPr>
              <w:t xml:space="preserve"> </w:t>
            </w:r>
            <w:r w:rsidR="00BA7473" w:rsidRPr="007E7514">
              <w:rPr>
                <w:rFonts w:asciiTheme="minorHAnsi" w:hAnsiTheme="minorHAnsi" w:cstheme="minorHAnsi"/>
                <w:sz w:val="22"/>
                <w:szCs w:val="22"/>
                <w:lang w:val="en-GB"/>
              </w:rPr>
              <w:t xml:space="preserve">include </w:t>
            </w:r>
            <w:r w:rsidR="00F8390E" w:rsidRPr="007E7514">
              <w:rPr>
                <w:rFonts w:asciiTheme="minorHAnsi" w:hAnsiTheme="minorHAnsi" w:cstheme="minorHAnsi"/>
                <w:sz w:val="22"/>
                <w:szCs w:val="22"/>
                <w:lang w:val="en-GB"/>
              </w:rPr>
              <w:t>capacity</w:t>
            </w:r>
            <w:r w:rsidR="00BA7473" w:rsidRPr="007E7514">
              <w:rPr>
                <w:rFonts w:asciiTheme="minorHAnsi" w:hAnsiTheme="minorHAnsi" w:cstheme="minorHAnsi"/>
                <w:sz w:val="22"/>
                <w:szCs w:val="22"/>
                <w:lang w:val="en-GB"/>
              </w:rPr>
              <w:t xml:space="preserve"> building</w:t>
            </w:r>
            <w:r w:rsidR="00484CF9" w:rsidRPr="007E7514">
              <w:rPr>
                <w:rFonts w:asciiTheme="minorHAnsi" w:hAnsiTheme="minorHAnsi" w:cstheme="minorHAnsi"/>
                <w:sz w:val="22"/>
                <w:szCs w:val="22"/>
                <w:lang w:val="en-GB"/>
              </w:rPr>
              <w:t>,</w:t>
            </w:r>
            <w:r w:rsidR="00720448" w:rsidRPr="007E7514">
              <w:rPr>
                <w:rFonts w:asciiTheme="minorHAnsi" w:hAnsiTheme="minorHAnsi" w:cstheme="minorHAnsi"/>
                <w:sz w:val="22"/>
                <w:szCs w:val="22"/>
                <w:lang w:val="en-GB"/>
              </w:rPr>
              <w:t xml:space="preserve"> and other project</w:t>
            </w:r>
            <w:r w:rsidR="0055725B" w:rsidRPr="007E7514">
              <w:rPr>
                <w:rFonts w:asciiTheme="minorHAnsi" w:hAnsiTheme="minorHAnsi" w:cstheme="minorHAnsi"/>
                <w:sz w:val="22"/>
                <w:szCs w:val="22"/>
                <w:lang w:val="en-GB"/>
              </w:rPr>
              <w:t>s</w:t>
            </w:r>
            <w:r w:rsidR="004907D7" w:rsidRPr="007E7514">
              <w:rPr>
                <w:rFonts w:asciiTheme="minorHAnsi" w:hAnsiTheme="minorHAnsi" w:cstheme="minorHAnsi"/>
                <w:sz w:val="22"/>
                <w:szCs w:val="22"/>
                <w:lang w:val="en-GB"/>
              </w:rPr>
              <w:t>,</w:t>
            </w:r>
            <w:r w:rsidR="0055725B" w:rsidRPr="007E7514">
              <w:rPr>
                <w:rFonts w:asciiTheme="minorHAnsi" w:hAnsiTheme="minorHAnsi" w:cstheme="minorHAnsi"/>
                <w:sz w:val="22"/>
                <w:szCs w:val="22"/>
                <w:lang w:val="en-GB"/>
              </w:rPr>
              <w:t xml:space="preserve"> including the </w:t>
            </w:r>
            <w:r w:rsidR="00484CF9" w:rsidRPr="007E7514">
              <w:rPr>
                <w:rFonts w:asciiTheme="minorHAnsi" w:hAnsiTheme="minorHAnsi" w:cstheme="minorHAnsi"/>
                <w:i/>
                <w:iCs/>
                <w:sz w:val="22"/>
                <w:szCs w:val="22"/>
                <w:lang w:val="en-GB"/>
              </w:rPr>
              <w:t xml:space="preserve">ISLANDS </w:t>
            </w:r>
            <w:r w:rsidR="00484CF9" w:rsidRPr="007E7514">
              <w:rPr>
                <w:rFonts w:asciiTheme="minorHAnsi" w:hAnsiTheme="minorHAnsi" w:cstheme="minorHAnsi"/>
                <w:sz w:val="22"/>
                <w:szCs w:val="22"/>
                <w:lang w:val="en-GB"/>
              </w:rPr>
              <w:t>P</w:t>
            </w:r>
            <w:r w:rsidR="00A21BBF" w:rsidRPr="007E7514">
              <w:rPr>
                <w:rFonts w:asciiTheme="minorHAnsi" w:hAnsiTheme="minorHAnsi" w:cstheme="minorHAnsi"/>
                <w:sz w:val="22"/>
                <w:szCs w:val="22"/>
                <w:lang w:val="en-GB"/>
              </w:rPr>
              <w:t>rogram</w:t>
            </w:r>
            <w:r w:rsidR="00A21BBF" w:rsidRPr="007E7514">
              <w:rPr>
                <w:sz w:val="22"/>
                <w:szCs w:val="22"/>
                <w:lang w:val="en-GB"/>
              </w:rPr>
              <w:t xml:space="preserve"> </w:t>
            </w:r>
            <w:r w:rsidR="0055725B" w:rsidRPr="007E7514">
              <w:rPr>
                <w:rFonts w:asciiTheme="minorHAnsi" w:hAnsiTheme="minorHAnsi" w:cstheme="minorHAnsi"/>
                <w:sz w:val="22"/>
                <w:szCs w:val="22"/>
                <w:lang w:val="en-GB"/>
              </w:rPr>
              <w:t>and the</w:t>
            </w:r>
            <w:r w:rsidR="002430CC" w:rsidRPr="007E7514">
              <w:rPr>
                <w:sz w:val="22"/>
                <w:szCs w:val="22"/>
                <w:lang w:val="en-GB"/>
              </w:rPr>
              <w:t xml:space="preserve"> </w:t>
            </w:r>
            <w:r w:rsidR="00A21BBF" w:rsidRPr="007E7514">
              <w:rPr>
                <w:rFonts w:asciiTheme="minorHAnsi" w:hAnsiTheme="minorHAnsi" w:cstheme="minorHAnsi"/>
                <w:i/>
                <w:iCs/>
                <w:sz w:val="22"/>
                <w:szCs w:val="22"/>
                <w:lang w:val="en-GB"/>
              </w:rPr>
              <w:t xml:space="preserve">Scaling-up Investment and Technology Transfer to Facilitate Capacity Strengthening and Technical Assistance for the Implementation of </w:t>
            </w:r>
            <w:r w:rsidR="00484CF9" w:rsidRPr="007E7514">
              <w:rPr>
                <w:rFonts w:asciiTheme="minorHAnsi" w:hAnsiTheme="minorHAnsi" w:cstheme="minorHAnsi"/>
                <w:i/>
                <w:iCs/>
                <w:sz w:val="22"/>
                <w:szCs w:val="22"/>
                <w:lang w:val="en-GB"/>
              </w:rPr>
              <w:t xml:space="preserve">the </w:t>
            </w:r>
            <w:r w:rsidR="00A21BBF" w:rsidRPr="007E7514">
              <w:rPr>
                <w:rFonts w:asciiTheme="minorHAnsi" w:hAnsiTheme="minorHAnsi" w:cstheme="minorHAnsi"/>
                <w:i/>
                <w:iCs/>
                <w:sz w:val="22"/>
                <w:szCs w:val="22"/>
                <w:lang w:val="en-GB"/>
              </w:rPr>
              <w:t>Stockholm and Minamata Conventions in African LDCs</w:t>
            </w:r>
            <w:r w:rsidR="0055725B" w:rsidRPr="007E7514">
              <w:rPr>
                <w:rFonts w:asciiTheme="minorHAnsi" w:hAnsiTheme="minorHAnsi" w:cstheme="minorHAnsi"/>
                <w:sz w:val="22"/>
                <w:szCs w:val="22"/>
                <w:lang w:val="en-GB"/>
              </w:rPr>
              <w:t xml:space="preserve"> project</w:t>
            </w:r>
            <w:r w:rsidR="00DF08AB" w:rsidRPr="007E7514">
              <w:rPr>
                <w:rFonts w:asciiTheme="minorHAnsi" w:hAnsiTheme="minorHAnsi" w:cstheme="minorHAnsi"/>
                <w:sz w:val="22"/>
                <w:szCs w:val="22"/>
                <w:lang w:val="en-GB"/>
              </w:rPr>
              <w:t>,</w:t>
            </w:r>
            <w:r w:rsidR="00720448" w:rsidRPr="007E7514">
              <w:rPr>
                <w:rFonts w:asciiTheme="minorHAnsi" w:hAnsiTheme="minorHAnsi" w:cstheme="minorHAnsi"/>
                <w:sz w:val="22"/>
                <w:szCs w:val="22"/>
                <w:lang w:val="en-GB"/>
              </w:rPr>
              <w:t xml:space="preserve"> address </w:t>
            </w:r>
            <w:r w:rsidR="00BA64EC" w:rsidRPr="007E7514">
              <w:rPr>
                <w:rFonts w:asciiTheme="minorHAnsi" w:hAnsiTheme="minorHAnsi" w:cstheme="minorHAnsi"/>
                <w:sz w:val="22"/>
                <w:szCs w:val="22"/>
                <w:lang w:val="en-GB"/>
              </w:rPr>
              <w:t>mercury waste</w:t>
            </w:r>
            <w:r w:rsidR="0055725B" w:rsidRPr="007E7514">
              <w:rPr>
                <w:rFonts w:asciiTheme="minorHAnsi" w:hAnsiTheme="minorHAnsi" w:cstheme="minorHAnsi"/>
                <w:sz w:val="22"/>
                <w:szCs w:val="22"/>
                <w:lang w:val="en-GB"/>
              </w:rPr>
              <w:t xml:space="preserve"> and mercury</w:t>
            </w:r>
            <w:r w:rsidR="00484CF9" w:rsidRPr="007E7514">
              <w:rPr>
                <w:rFonts w:asciiTheme="minorHAnsi" w:hAnsiTheme="minorHAnsi" w:cstheme="minorHAnsi"/>
                <w:sz w:val="22"/>
                <w:szCs w:val="22"/>
                <w:lang w:val="en-GB"/>
              </w:rPr>
              <w:t>-</w:t>
            </w:r>
            <w:r w:rsidR="0055725B" w:rsidRPr="007E7514">
              <w:rPr>
                <w:rFonts w:asciiTheme="minorHAnsi" w:hAnsiTheme="minorHAnsi" w:cstheme="minorHAnsi"/>
                <w:sz w:val="22"/>
                <w:szCs w:val="22"/>
                <w:lang w:val="en-GB"/>
              </w:rPr>
              <w:t>containing products</w:t>
            </w:r>
            <w:r w:rsidR="008F7DAA" w:rsidRPr="007E7514">
              <w:rPr>
                <w:rFonts w:asciiTheme="minorHAnsi" w:hAnsiTheme="minorHAnsi" w:cstheme="minorHAnsi"/>
                <w:sz w:val="22"/>
                <w:szCs w:val="22"/>
                <w:lang w:val="en-GB"/>
              </w:rPr>
              <w:t xml:space="preserve">. </w:t>
            </w:r>
          </w:p>
          <w:p w14:paraId="0A81F93C" w14:textId="77777777" w:rsidR="00991406" w:rsidRPr="007E7514" w:rsidRDefault="00991406"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12A4873A" w14:textId="77777777" w:rsidR="00991406" w:rsidRPr="007E7514" w:rsidRDefault="00991406"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Update for COP 4: </w:t>
            </w:r>
          </w:p>
          <w:p w14:paraId="51EA741F" w14:textId="50FDDF6F" w:rsidR="006B5EF5" w:rsidRPr="007E7514" w:rsidRDefault="006B5EF5"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Projects approved </w:t>
            </w:r>
            <w:r w:rsidR="00484CF9" w:rsidRPr="007E7514">
              <w:rPr>
                <w:rFonts w:asciiTheme="minorHAnsi" w:hAnsiTheme="minorHAnsi" w:cstheme="minorHAnsi"/>
                <w:sz w:val="22"/>
                <w:szCs w:val="22"/>
                <w:lang w:val="en-GB"/>
              </w:rPr>
              <w:t>in</w:t>
            </w:r>
            <w:r w:rsidRPr="007E7514">
              <w:rPr>
                <w:rFonts w:asciiTheme="minorHAnsi" w:hAnsiTheme="minorHAnsi" w:cstheme="minorHAnsi"/>
                <w:sz w:val="22"/>
                <w:szCs w:val="22"/>
                <w:lang w:val="en-GB"/>
              </w:rPr>
              <w:t xml:space="preserve"> th</w:t>
            </w:r>
            <w:r w:rsidR="00DF08AB" w:rsidRPr="007E7514">
              <w:rPr>
                <w:rFonts w:asciiTheme="minorHAnsi" w:hAnsiTheme="minorHAnsi" w:cstheme="minorHAnsi"/>
                <w:sz w:val="22"/>
                <w:szCs w:val="22"/>
                <w:lang w:val="en-GB"/>
              </w:rPr>
              <w:t>e</w:t>
            </w:r>
            <w:r w:rsidRPr="007E7514">
              <w:rPr>
                <w:rFonts w:asciiTheme="minorHAnsi" w:hAnsiTheme="minorHAnsi" w:cstheme="minorHAnsi"/>
                <w:sz w:val="22"/>
                <w:szCs w:val="22"/>
                <w:lang w:val="en-GB"/>
              </w:rPr>
              <w:t xml:space="preserve"> reporting period follow this guidance. </w:t>
            </w:r>
            <w:r w:rsidR="003B218D" w:rsidRPr="007E7514">
              <w:rPr>
                <w:rFonts w:asciiTheme="minorHAnsi" w:hAnsiTheme="minorHAnsi" w:cstheme="minorHAnsi"/>
                <w:sz w:val="22"/>
                <w:szCs w:val="22"/>
                <w:lang w:val="en-GB"/>
              </w:rPr>
              <w:t xml:space="preserve">All </w:t>
            </w:r>
            <w:r w:rsidR="00484CF9" w:rsidRPr="007E7514">
              <w:rPr>
                <w:rFonts w:asciiTheme="minorHAnsi" w:hAnsiTheme="minorHAnsi" w:cstheme="minorHAnsi"/>
                <w:sz w:val="22"/>
                <w:szCs w:val="22"/>
                <w:lang w:val="en-GB"/>
              </w:rPr>
              <w:t>MSPs and FSPs</w:t>
            </w:r>
            <w:r w:rsidR="006C6E54" w:rsidRPr="007E7514">
              <w:rPr>
                <w:rFonts w:asciiTheme="minorHAnsi" w:hAnsiTheme="minorHAnsi" w:cstheme="minorHAnsi"/>
                <w:sz w:val="22"/>
                <w:szCs w:val="22"/>
                <w:lang w:val="en-GB"/>
              </w:rPr>
              <w:t xml:space="preserve"> include capacity building.</w:t>
            </w:r>
            <w:r w:rsidR="000D05BA" w:rsidRPr="007E7514">
              <w:rPr>
                <w:rFonts w:asciiTheme="minorHAnsi" w:hAnsiTheme="minorHAnsi" w:cstheme="minorHAnsi"/>
                <w:sz w:val="22"/>
                <w:szCs w:val="22"/>
                <w:lang w:val="en-GB"/>
              </w:rPr>
              <w:t xml:space="preserve"> There are projects </w:t>
            </w:r>
            <w:r w:rsidR="009E19CF" w:rsidRPr="007E7514">
              <w:rPr>
                <w:rFonts w:asciiTheme="minorHAnsi" w:hAnsiTheme="minorHAnsi" w:cstheme="minorHAnsi"/>
                <w:sz w:val="22"/>
                <w:szCs w:val="22"/>
                <w:lang w:val="en-GB"/>
              </w:rPr>
              <w:t>on mercury</w:t>
            </w:r>
            <w:r w:rsidR="00484CF9" w:rsidRPr="007E7514">
              <w:rPr>
                <w:rFonts w:asciiTheme="minorHAnsi" w:hAnsiTheme="minorHAnsi" w:cstheme="minorHAnsi"/>
                <w:sz w:val="22"/>
                <w:szCs w:val="22"/>
                <w:lang w:val="en-GB"/>
              </w:rPr>
              <w:t>-</w:t>
            </w:r>
            <w:r w:rsidR="009E19CF" w:rsidRPr="007E7514">
              <w:rPr>
                <w:rFonts w:asciiTheme="minorHAnsi" w:hAnsiTheme="minorHAnsi" w:cstheme="minorHAnsi"/>
                <w:sz w:val="22"/>
                <w:szCs w:val="22"/>
                <w:lang w:val="en-GB"/>
              </w:rPr>
              <w:t xml:space="preserve">added products, manufacturing processes, </w:t>
            </w:r>
            <w:r w:rsidR="001260D0" w:rsidRPr="007E7514">
              <w:rPr>
                <w:rFonts w:asciiTheme="minorHAnsi" w:hAnsiTheme="minorHAnsi" w:cstheme="minorHAnsi"/>
                <w:sz w:val="22"/>
                <w:szCs w:val="22"/>
                <w:lang w:val="en-GB"/>
              </w:rPr>
              <w:t xml:space="preserve">ASGM, emissions, releases, environmentally sound storage, </w:t>
            </w:r>
            <w:r w:rsidR="00DD7D3D" w:rsidRPr="007E7514">
              <w:rPr>
                <w:rFonts w:asciiTheme="minorHAnsi" w:hAnsiTheme="minorHAnsi" w:cstheme="minorHAnsi"/>
                <w:sz w:val="22"/>
                <w:szCs w:val="22"/>
                <w:lang w:val="en-GB"/>
              </w:rPr>
              <w:t>and mercury waste.</w:t>
            </w:r>
            <w:r w:rsidR="003D416B" w:rsidRPr="007E7514">
              <w:rPr>
                <w:rFonts w:asciiTheme="minorHAnsi" w:hAnsiTheme="minorHAnsi" w:cstheme="minorHAnsi"/>
                <w:sz w:val="22"/>
                <w:szCs w:val="22"/>
                <w:lang w:val="en-GB"/>
              </w:rPr>
              <w:t xml:space="preserve"> The chlor alkali project</w:t>
            </w:r>
            <w:r w:rsidR="006270CE" w:rsidRPr="007E7514">
              <w:rPr>
                <w:rFonts w:asciiTheme="minorHAnsi" w:hAnsiTheme="minorHAnsi" w:cstheme="minorHAnsi"/>
                <w:sz w:val="22"/>
                <w:szCs w:val="22"/>
                <w:lang w:val="en-GB"/>
              </w:rPr>
              <w:t xml:space="preserve"> in Mexico</w:t>
            </w:r>
            <w:r w:rsidR="003D416B" w:rsidRPr="007E7514">
              <w:rPr>
                <w:rFonts w:asciiTheme="minorHAnsi" w:hAnsiTheme="minorHAnsi" w:cstheme="minorHAnsi"/>
                <w:sz w:val="22"/>
                <w:szCs w:val="22"/>
                <w:lang w:val="en-GB"/>
              </w:rPr>
              <w:t xml:space="preserve"> </w:t>
            </w:r>
            <w:r w:rsidR="00DF08AB" w:rsidRPr="007E7514">
              <w:rPr>
                <w:rFonts w:asciiTheme="minorHAnsi" w:hAnsiTheme="minorHAnsi" w:cstheme="minorHAnsi"/>
                <w:sz w:val="22"/>
                <w:szCs w:val="22"/>
                <w:lang w:val="en-GB"/>
              </w:rPr>
              <w:t>i</w:t>
            </w:r>
            <w:r w:rsidR="003D416B" w:rsidRPr="007E7514">
              <w:rPr>
                <w:rFonts w:asciiTheme="minorHAnsi" w:hAnsiTheme="minorHAnsi" w:cstheme="minorHAnsi"/>
                <w:sz w:val="22"/>
                <w:szCs w:val="22"/>
                <w:lang w:val="en-GB"/>
              </w:rPr>
              <w:t xml:space="preserve">s the first addressing the sector and </w:t>
            </w:r>
            <w:r w:rsidR="00D21570" w:rsidRPr="007E7514">
              <w:rPr>
                <w:rFonts w:asciiTheme="minorHAnsi" w:hAnsiTheme="minorHAnsi" w:cstheme="minorHAnsi"/>
                <w:sz w:val="22"/>
                <w:szCs w:val="22"/>
                <w:lang w:val="en-GB"/>
              </w:rPr>
              <w:t>ha</w:t>
            </w:r>
            <w:r w:rsidR="00484CF9" w:rsidRPr="007E7514">
              <w:rPr>
                <w:rFonts w:asciiTheme="minorHAnsi" w:hAnsiTheme="minorHAnsi" w:cstheme="minorHAnsi"/>
                <w:sz w:val="22"/>
                <w:szCs w:val="22"/>
                <w:lang w:val="en-GB"/>
              </w:rPr>
              <w:t>s</w:t>
            </w:r>
            <w:r w:rsidR="00D21570" w:rsidRPr="007E7514">
              <w:rPr>
                <w:rFonts w:asciiTheme="minorHAnsi" w:hAnsiTheme="minorHAnsi" w:cstheme="minorHAnsi"/>
                <w:sz w:val="22"/>
                <w:szCs w:val="22"/>
                <w:lang w:val="en-GB"/>
              </w:rPr>
              <w:t xml:space="preserve"> the potential to serve</w:t>
            </w:r>
            <w:r w:rsidR="006270CE" w:rsidRPr="007E7514">
              <w:rPr>
                <w:rFonts w:asciiTheme="minorHAnsi" w:hAnsiTheme="minorHAnsi" w:cstheme="minorHAnsi"/>
                <w:sz w:val="22"/>
                <w:szCs w:val="22"/>
                <w:lang w:val="en-GB"/>
              </w:rPr>
              <w:t xml:space="preserve"> as a model for other projects in the region and globally. </w:t>
            </w:r>
            <w:r w:rsidR="00DD7D3D" w:rsidRPr="007E7514">
              <w:rPr>
                <w:rFonts w:asciiTheme="minorHAnsi" w:hAnsiTheme="minorHAnsi" w:cstheme="minorHAnsi"/>
                <w:sz w:val="22"/>
                <w:szCs w:val="22"/>
                <w:lang w:val="en-GB"/>
              </w:rPr>
              <w:t xml:space="preserve"> </w:t>
            </w:r>
            <w:r w:rsidR="006C6E54" w:rsidRPr="007E7514">
              <w:rPr>
                <w:rFonts w:asciiTheme="minorHAnsi" w:hAnsiTheme="minorHAnsi" w:cstheme="minorHAnsi"/>
                <w:sz w:val="22"/>
                <w:szCs w:val="22"/>
                <w:lang w:val="en-GB"/>
              </w:rPr>
              <w:t xml:space="preserve"> </w:t>
            </w:r>
          </w:p>
        </w:tc>
      </w:tr>
      <w:tr w:rsidR="00DF5C07" w:rsidRPr="007E7514" w14:paraId="0071B379"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left w:val="none" w:sz="0" w:space="0" w:color="auto"/>
            </w:tcBorders>
            <w:shd w:val="clear" w:color="auto" w:fill="FFFFFF" w:themeFill="background1"/>
          </w:tcPr>
          <w:p w14:paraId="008B70C4"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lastRenderedPageBreak/>
              <w:t>2. Activities to implement the provisions of the Convention that facilitate early implementation on entry into force of the Convention for a Party</w:t>
            </w:r>
          </w:p>
        </w:tc>
      </w:tr>
      <w:tr w:rsidR="00DF5C07" w:rsidRPr="007E7514" w14:paraId="62B3680B"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24FED924"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10</w:t>
            </w:r>
          </w:p>
        </w:tc>
        <w:tc>
          <w:tcPr>
            <w:tcW w:w="0" w:type="auto"/>
            <w:shd w:val="clear" w:color="auto" w:fill="FFFFFF" w:themeFill="background1"/>
          </w:tcPr>
          <w:p w14:paraId="5FDCF12F" w14:textId="77777777"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When considering activities to implement the provisions of the Convention that facilitate early implementation on entry into force, GEF should also consider providing support for activities that, although they are not the subject of a legal obligation under the Convention, may significantly contribute to a Party’s preparedness to implement the Convention upon its entry into force for that country.</w:t>
            </w:r>
          </w:p>
        </w:tc>
        <w:tc>
          <w:tcPr>
            <w:tcW w:w="0" w:type="auto"/>
            <w:shd w:val="clear" w:color="auto" w:fill="FFFFFF" w:themeFill="background1"/>
          </w:tcPr>
          <w:p w14:paraId="3A1D84FC" w14:textId="3B817CEF" w:rsidR="00DF5C07" w:rsidRPr="007E7514" w:rsidRDefault="00DF5C07"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This </w:t>
            </w:r>
            <w:r w:rsidR="00B97DFF" w:rsidRPr="007E7514">
              <w:rPr>
                <w:rFonts w:asciiTheme="minorHAnsi" w:hAnsiTheme="minorHAnsi" w:cstheme="minorHAnsi"/>
                <w:sz w:val="22"/>
                <w:szCs w:val="22"/>
                <w:lang w:val="en-GB"/>
              </w:rPr>
              <w:t>was</w:t>
            </w:r>
            <w:r w:rsidRPr="007E7514">
              <w:rPr>
                <w:rFonts w:asciiTheme="minorHAnsi" w:hAnsiTheme="minorHAnsi" w:cstheme="minorHAnsi"/>
                <w:sz w:val="22"/>
                <w:szCs w:val="22"/>
                <w:lang w:val="en-GB"/>
              </w:rPr>
              <w:t xml:space="preserve"> addressed during </w:t>
            </w:r>
            <w:r w:rsidR="00582C05" w:rsidRPr="007E7514">
              <w:rPr>
                <w:rFonts w:asciiTheme="minorHAnsi" w:hAnsiTheme="minorHAnsi" w:cstheme="minorHAnsi"/>
                <w:sz w:val="22"/>
                <w:szCs w:val="22"/>
                <w:lang w:val="en-GB"/>
              </w:rPr>
              <w:t xml:space="preserve">the </w:t>
            </w:r>
            <w:r w:rsidR="00DF08AB" w:rsidRPr="007E7514">
              <w:rPr>
                <w:rFonts w:asciiTheme="minorHAnsi" w:hAnsiTheme="minorHAnsi" w:cstheme="minorHAnsi"/>
                <w:sz w:val="22"/>
                <w:szCs w:val="22"/>
                <w:lang w:val="en-GB"/>
              </w:rPr>
              <w:t xml:space="preserve">GEF-7 </w:t>
            </w:r>
            <w:r w:rsidRPr="007E7514">
              <w:rPr>
                <w:rFonts w:asciiTheme="minorHAnsi" w:hAnsiTheme="minorHAnsi" w:cstheme="minorHAnsi"/>
                <w:sz w:val="22"/>
                <w:szCs w:val="22"/>
                <w:lang w:val="en-GB"/>
              </w:rPr>
              <w:t>programming</w:t>
            </w:r>
            <w:r w:rsidR="00B97DFF" w:rsidRPr="007E7514">
              <w:rPr>
                <w:rFonts w:asciiTheme="minorHAnsi" w:hAnsiTheme="minorHAnsi" w:cstheme="minorHAnsi"/>
                <w:sz w:val="22"/>
                <w:szCs w:val="22"/>
                <w:lang w:val="en-GB"/>
              </w:rPr>
              <w:t>, to</w:t>
            </w:r>
            <w:r w:rsidRPr="007E7514">
              <w:rPr>
                <w:rFonts w:asciiTheme="minorHAnsi" w:hAnsiTheme="minorHAnsi" w:cstheme="minorHAnsi"/>
                <w:sz w:val="22"/>
                <w:szCs w:val="22"/>
                <w:lang w:val="en-GB"/>
              </w:rPr>
              <w:t xml:space="preserve"> be reported on at subsequent COPs</w:t>
            </w:r>
            <w:r w:rsidR="004145F6" w:rsidRPr="007E7514">
              <w:rPr>
                <w:rFonts w:asciiTheme="minorHAnsi" w:hAnsiTheme="minorHAnsi" w:cstheme="minorHAnsi"/>
                <w:sz w:val="22"/>
                <w:szCs w:val="22"/>
                <w:lang w:val="en-GB"/>
              </w:rPr>
              <w:t>.</w:t>
            </w:r>
          </w:p>
          <w:p w14:paraId="19837EBB" w14:textId="77777777" w:rsidR="008F76A3" w:rsidRPr="007E7514" w:rsidRDefault="008F76A3" w:rsidP="004E221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64A194D6" w14:textId="77777777" w:rsidR="008F76A3" w:rsidRPr="007E7514" w:rsidRDefault="008F76A3" w:rsidP="00D05424">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3:</w:t>
            </w:r>
          </w:p>
          <w:p w14:paraId="48511CBE" w14:textId="746ABF09" w:rsidR="008F76A3" w:rsidRPr="007E7514" w:rsidRDefault="002C542F">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GEF projects primarily focus on implementing obligations</w:t>
            </w:r>
            <w:r w:rsidR="005F32D3" w:rsidRPr="007E7514">
              <w:rPr>
                <w:rFonts w:asciiTheme="minorHAnsi" w:hAnsiTheme="minorHAnsi" w:cstheme="minorHAnsi"/>
                <w:sz w:val="22"/>
                <w:szCs w:val="22"/>
                <w:lang w:val="en-GB"/>
              </w:rPr>
              <w:t xml:space="preserve"> of the </w:t>
            </w:r>
            <w:r w:rsidR="00B97DFF" w:rsidRPr="007E7514">
              <w:rPr>
                <w:rFonts w:asciiTheme="minorHAnsi" w:hAnsiTheme="minorHAnsi" w:cstheme="minorHAnsi"/>
                <w:sz w:val="22"/>
                <w:szCs w:val="22"/>
                <w:lang w:val="en-GB"/>
              </w:rPr>
              <w:t>C</w:t>
            </w:r>
            <w:r w:rsidR="005F32D3" w:rsidRPr="007E7514">
              <w:rPr>
                <w:rFonts w:asciiTheme="minorHAnsi" w:hAnsiTheme="minorHAnsi" w:cstheme="minorHAnsi"/>
                <w:sz w:val="22"/>
                <w:szCs w:val="22"/>
                <w:lang w:val="en-GB"/>
              </w:rPr>
              <w:t xml:space="preserve">onvention that </w:t>
            </w:r>
            <w:r w:rsidRPr="007E7514">
              <w:rPr>
                <w:rFonts w:asciiTheme="minorHAnsi" w:hAnsiTheme="minorHAnsi" w:cstheme="minorHAnsi"/>
                <w:sz w:val="22"/>
                <w:szCs w:val="22"/>
                <w:lang w:val="en-GB"/>
              </w:rPr>
              <w:t>reduce mercury</w:t>
            </w:r>
            <w:r w:rsidR="00CA0B81"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Other</w:t>
            </w:r>
            <w:r w:rsidR="00B97DFF" w:rsidRPr="007E7514">
              <w:rPr>
                <w:rFonts w:asciiTheme="minorHAnsi" w:hAnsiTheme="minorHAnsi" w:cstheme="minorHAnsi"/>
                <w:sz w:val="22"/>
                <w:szCs w:val="22"/>
                <w:lang w:val="en-GB"/>
              </w:rPr>
              <w:t xml:space="preserve"> activities</w:t>
            </w:r>
            <w:r w:rsidRPr="007E7514">
              <w:rPr>
                <w:rFonts w:asciiTheme="minorHAnsi" w:hAnsiTheme="minorHAnsi" w:cstheme="minorHAnsi"/>
                <w:sz w:val="22"/>
                <w:szCs w:val="22"/>
                <w:lang w:val="en-GB"/>
              </w:rPr>
              <w:t xml:space="preserve"> are considered on a case</w:t>
            </w:r>
            <w:r w:rsidR="00B97DFF"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by</w:t>
            </w:r>
            <w:r w:rsidR="00B97DFF"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case basis.</w:t>
            </w:r>
            <w:r w:rsidR="00141C85" w:rsidRPr="007E7514">
              <w:rPr>
                <w:rFonts w:asciiTheme="minorHAnsi" w:hAnsiTheme="minorHAnsi" w:cstheme="minorHAnsi"/>
                <w:sz w:val="22"/>
                <w:szCs w:val="22"/>
                <w:lang w:val="en-GB"/>
              </w:rPr>
              <w:t xml:space="preserve"> </w:t>
            </w:r>
            <w:r w:rsidR="005F32D3" w:rsidRPr="007E7514">
              <w:rPr>
                <w:rFonts w:asciiTheme="minorHAnsi" w:hAnsiTheme="minorHAnsi" w:cstheme="minorHAnsi"/>
                <w:sz w:val="22"/>
                <w:szCs w:val="22"/>
                <w:lang w:val="en-GB"/>
              </w:rPr>
              <w:t xml:space="preserve">Projects typically include technical assistance and capacity building that address a legally binding obligation. For example, training of </w:t>
            </w:r>
            <w:r w:rsidR="005F32D3" w:rsidRPr="007E7514">
              <w:rPr>
                <w:rFonts w:asciiTheme="minorHAnsi" w:hAnsiTheme="minorHAnsi" w:cstheme="minorHAnsi"/>
                <w:sz w:val="22"/>
                <w:szCs w:val="22"/>
                <w:lang w:val="en-GB"/>
              </w:rPr>
              <w:lastRenderedPageBreak/>
              <w:t xml:space="preserve">customs officers in </w:t>
            </w:r>
            <w:r w:rsidR="00B5476C" w:rsidRPr="007E7514">
              <w:rPr>
                <w:rFonts w:asciiTheme="minorHAnsi" w:hAnsiTheme="minorHAnsi" w:cstheme="minorHAnsi"/>
                <w:sz w:val="22"/>
                <w:szCs w:val="22"/>
                <w:lang w:val="en-GB"/>
              </w:rPr>
              <w:t xml:space="preserve">the </w:t>
            </w:r>
            <w:r w:rsidR="005F32D3" w:rsidRPr="007E7514">
              <w:rPr>
                <w:rFonts w:asciiTheme="minorHAnsi" w:hAnsiTheme="minorHAnsi" w:cstheme="minorHAnsi"/>
                <w:i/>
                <w:iCs/>
                <w:sz w:val="22"/>
                <w:szCs w:val="22"/>
                <w:lang w:val="en-GB"/>
              </w:rPr>
              <w:t>ISLANDS</w:t>
            </w:r>
            <w:r w:rsidR="005F32D3" w:rsidRPr="007E7514">
              <w:rPr>
                <w:rFonts w:asciiTheme="minorHAnsi" w:hAnsiTheme="minorHAnsi" w:cstheme="minorHAnsi"/>
                <w:sz w:val="22"/>
                <w:szCs w:val="22"/>
                <w:lang w:val="en-GB"/>
              </w:rPr>
              <w:t xml:space="preserve"> </w:t>
            </w:r>
            <w:r w:rsidR="00B97DFF" w:rsidRPr="007E7514">
              <w:rPr>
                <w:rFonts w:asciiTheme="minorHAnsi" w:hAnsiTheme="minorHAnsi" w:cstheme="minorHAnsi"/>
                <w:sz w:val="22"/>
                <w:szCs w:val="22"/>
                <w:lang w:val="en-GB"/>
              </w:rPr>
              <w:t>P</w:t>
            </w:r>
            <w:r w:rsidR="00B5476C" w:rsidRPr="007E7514">
              <w:rPr>
                <w:rFonts w:asciiTheme="minorHAnsi" w:hAnsiTheme="minorHAnsi" w:cstheme="minorHAnsi"/>
                <w:sz w:val="22"/>
                <w:szCs w:val="22"/>
                <w:lang w:val="en-GB"/>
              </w:rPr>
              <w:t>ro</w:t>
            </w:r>
            <w:r w:rsidR="00DD4193" w:rsidRPr="007E7514">
              <w:rPr>
                <w:rFonts w:asciiTheme="minorHAnsi" w:hAnsiTheme="minorHAnsi" w:cstheme="minorHAnsi"/>
                <w:sz w:val="22"/>
                <w:szCs w:val="22"/>
                <w:lang w:val="en-GB"/>
              </w:rPr>
              <w:t>gram</w:t>
            </w:r>
            <w:r w:rsidR="00B5476C" w:rsidRPr="007E7514">
              <w:rPr>
                <w:rFonts w:asciiTheme="minorHAnsi" w:hAnsiTheme="minorHAnsi" w:cstheme="minorHAnsi"/>
                <w:sz w:val="22"/>
                <w:szCs w:val="22"/>
                <w:lang w:val="en-GB"/>
              </w:rPr>
              <w:t xml:space="preserve"> </w:t>
            </w:r>
            <w:r w:rsidR="005F32D3" w:rsidRPr="007E7514">
              <w:rPr>
                <w:rFonts w:asciiTheme="minorHAnsi" w:hAnsiTheme="minorHAnsi" w:cstheme="minorHAnsi"/>
                <w:sz w:val="22"/>
                <w:szCs w:val="22"/>
                <w:lang w:val="en-GB"/>
              </w:rPr>
              <w:t xml:space="preserve">will support the countries </w:t>
            </w:r>
            <w:r w:rsidR="00B97DFF" w:rsidRPr="007E7514">
              <w:rPr>
                <w:rFonts w:asciiTheme="minorHAnsi" w:hAnsiTheme="minorHAnsi" w:cstheme="minorHAnsi"/>
                <w:sz w:val="22"/>
                <w:szCs w:val="22"/>
                <w:lang w:val="en-GB"/>
              </w:rPr>
              <w:t xml:space="preserve">in </w:t>
            </w:r>
            <w:r w:rsidR="005F32D3" w:rsidRPr="007E7514">
              <w:rPr>
                <w:rFonts w:asciiTheme="minorHAnsi" w:hAnsiTheme="minorHAnsi" w:cstheme="minorHAnsi"/>
                <w:sz w:val="22"/>
                <w:szCs w:val="22"/>
                <w:lang w:val="en-GB"/>
              </w:rPr>
              <w:t>meeting the phase</w:t>
            </w:r>
            <w:r w:rsidR="00DD4193" w:rsidRPr="007E7514">
              <w:rPr>
                <w:rFonts w:asciiTheme="minorHAnsi" w:hAnsiTheme="minorHAnsi" w:cstheme="minorHAnsi"/>
                <w:sz w:val="22"/>
                <w:szCs w:val="22"/>
                <w:lang w:val="en-GB"/>
              </w:rPr>
              <w:t>-</w:t>
            </w:r>
            <w:r w:rsidR="005F32D3" w:rsidRPr="007E7514">
              <w:rPr>
                <w:rFonts w:asciiTheme="minorHAnsi" w:hAnsiTheme="minorHAnsi" w:cstheme="minorHAnsi"/>
                <w:sz w:val="22"/>
                <w:szCs w:val="22"/>
                <w:lang w:val="en-GB"/>
              </w:rPr>
              <w:t>out</w:t>
            </w:r>
            <w:r w:rsidR="00CA6C0D" w:rsidRPr="007E7514">
              <w:rPr>
                <w:rFonts w:asciiTheme="minorHAnsi" w:hAnsiTheme="minorHAnsi" w:cstheme="minorHAnsi"/>
                <w:sz w:val="22"/>
                <w:szCs w:val="22"/>
                <w:lang w:val="en-GB"/>
              </w:rPr>
              <w:t xml:space="preserve"> date in Annex A</w:t>
            </w:r>
            <w:r w:rsidR="005F32D3" w:rsidRPr="007E7514">
              <w:rPr>
                <w:rFonts w:asciiTheme="minorHAnsi" w:hAnsiTheme="minorHAnsi" w:cstheme="minorHAnsi"/>
                <w:sz w:val="22"/>
                <w:szCs w:val="22"/>
                <w:lang w:val="en-GB"/>
              </w:rPr>
              <w:t xml:space="preserve"> </w:t>
            </w:r>
            <w:r w:rsidR="00B97DFF" w:rsidRPr="007E7514">
              <w:rPr>
                <w:rFonts w:asciiTheme="minorHAnsi" w:hAnsiTheme="minorHAnsi" w:cstheme="minorHAnsi"/>
                <w:sz w:val="22"/>
                <w:szCs w:val="22"/>
                <w:lang w:val="en-GB"/>
              </w:rPr>
              <w:t xml:space="preserve">for </w:t>
            </w:r>
            <w:r w:rsidR="00DF08AB" w:rsidRPr="007E7514">
              <w:rPr>
                <w:rFonts w:asciiTheme="minorHAnsi" w:hAnsiTheme="minorHAnsi" w:cstheme="minorHAnsi"/>
                <w:sz w:val="22"/>
                <w:szCs w:val="22"/>
                <w:lang w:val="en-GB"/>
              </w:rPr>
              <w:br/>
            </w:r>
            <w:r w:rsidR="005F32D3" w:rsidRPr="007E7514">
              <w:rPr>
                <w:rFonts w:asciiTheme="minorHAnsi" w:hAnsiTheme="minorHAnsi" w:cstheme="minorHAnsi"/>
                <w:sz w:val="22"/>
                <w:szCs w:val="22"/>
                <w:lang w:val="en-GB"/>
              </w:rPr>
              <w:t>mercury</w:t>
            </w:r>
            <w:r w:rsidR="00B97DFF" w:rsidRPr="007E7514">
              <w:rPr>
                <w:rFonts w:asciiTheme="minorHAnsi" w:hAnsiTheme="minorHAnsi" w:cstheme="minorHAnsi"/>
                <w:sz w:val="22"/>
                <w:szCs w:val="22"/>
                <w:lang w:val="en-GB"/>
              </w:rPr>
              <w:t>-</w:t>
            </w:r>
            <w:r w:rsidR="005F32D3" w:rsidRPr="007E7514">
              <w:rPr>
                <w:rFonts w:asciiTheme="minorHAnsi" w:hAnsiTheme="minorHAnsi" w:cstheme="minorHAnsi"/>
                <w:sz w:val="22"/>
                <w:szCs w:val="22"/>
                <w:lang w:val="en-GB"/>
              </w:rPr>
              <w:t>containing products and devices.</w:t>
            </w:r>
          </w:p>
          <w:p w14:paraId="2B1EDA48" w14:textId="77777777" w:rsidR="002E478B" w:rsidRPr="007E7514" w:rsidRDefault="002E478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p>
          <w:p w14:paraId="7F5E5FD9" w14:textId="375AD3F8" w:rsidR="002E478B" w:rsidRPr="007E7514" w:rsidRDefault="002E478B">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Update for COP </w:t>
            </w:r>
            <w:r w:rsidR="00E16D2A" w:rsidRPr="007E7514">
              <w:rPr>
                <w:rFonts w:asciiTheme="minorHAnsi" w:hAnsiTheme="minorHAnsi" w:cstheme="minorHAnsi"/>
                <w:sz w:val="22"/>
                <w:szCs w:val="22"/>
                <w:lang w:val="en-GB"/>
              </w:rPr>
              <w:t>4</w:t>
            </w:r>
            <w:r w:rsidRPr="007E7514">
              <w:rPr>
                <w:rFonts w:asciiTheme="minorHAnsi" w:hAnsiTheme="minorHAnsi" w:cstheme="minorHAnsi"/>
                <w:sz w:val="22"/>
                <w:szCs w:val="22"/>
                <w:lang w:val="en-GB"/>
              </w:rPr>
              <w:t>:</w:t>
            </w:r>
          </w:p>
          <w:p w14:paraId="25D7CBD5" w14:textId="64D4687E" w:rsidR="002E478B" w:rsidRPr="007E7514" w:rsidRDefault="00D65B1F">
            <w:p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GEF</w:t>
            </w:r>
            <w:r w:rsidR="00B97DFF"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funded projects </w:t>
            </w:r>
            <w:r w:rsidR="00DF08AB" w:rsidRPr="007E7514">
              <w:rPr>
                <w:rFonts w:asciiTheme="minorHAnsi" w:hAnsiTheme="minorHAnsi" w:cstheme="minorHAnsi"/>
                <w:sz w:val="22"/>
                <w:szCs w:val="22"/>
                <w:lang w:val="en-GB"/>
              </w:rPr>
              <w:t>in the</w:t>
            </w:r>
            <w:r w:rsidR="0088722B" w:rsidRPr="007E7514">
              <w:rPr>
                <w:rFonts w:asciiTheme="minorHAnsi" w:hAnsiTheme="minorHAnsi" w:cstheme="minorHAnsi"/>
                <w:sz w:val="22"/>
                <w:szCs w:val="22"/>
                <w:lang w:val="en-GB"/>
              </w:rPr>
              <w:t xml:space="preserve"> reporting period </w:t>
            </w:r>
            <w:r w:rsidRPr="007E7514">
              <w:rPr>
                <w:rFonts w:asciiTheme="minorHAnsi" w:hAnsiTheme="minorHAnsi" w:cstheme="minorHAnsi"/>
                <w:sz w:val="22"/>
                <w:szCs w:val="22"/>
                <w:lang w:val="en-GB"/>
              </w:rPr>
              <w:t xml:space="preserve">primarily focus on implementing obligations of the </w:t>
            </w:r>
            <w:r w:rsidR="00B97DFF" w:rsidRPr="007E7514">
              <w:rPr>
                <w:rFonts w:asciiTheme="minorHAnsi" w:hAnsiTheme="minorHAnsi" w:cstheme="minorHAnsi"/>
                <w:sz w:val="22"/>
                <w:szCs w:val="22"/>
                <w:lang w:val="en-GB"/>
              </w:rPr>
              <w:t>C</w:t>
            </w:r>
            <w:r w:rsidRPr="007E7514">
              <w:rPr>
                <w:rFonts w:asciiTheme="minorHAnsi" w:hAnsiTheme="minorHAnsi" w:cstheme="minorHAnsi"/>
                <w:sz w:val="22"/>
                <w:szCs w:val="22"/>
                <w:lang w:val="en-GB"/>
              </w:rPr>
              <w:t>onvention that reduce mercury. Others are considered on a case</w:t>
            </w:r>
            <w:r w:rsidR="00AF5772"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by</w:t>
            </w:r>
            <w:r w:rsidR="00AF5772"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case basis. Projects typically include technical assistance and capacity building that address a legally binding obligation.</w:t>
            </w:r>
            <w:r w:rsidR="00BE2B53" w:rsidRPr="007E7514">
              <w:rPr>
                <w:rFonts w:asciiTheme="minorHAnsi" w:hAnsiTheme="minorHAnsi" w:cstheme="minorHAnsi"/>
                <w:sz w:val="22"/>
                <w:szCs w:val="22"/>
                <w:lang w:val="en-GB"/>
              </w:rPr>
              <w:t xml:space="preserve"> For example</w:t>
            </w:r>
            <w:r w:rsidR="007A6FF9" w:rsidRPr="007E7514">
              <w:rPr>
                <w:rFonts w:asciiTheme="minorHAnsi" w:hAnsiTheme="minorHAnsi" w:cstheme="minorHAnsi"/>
                <w:sz w:val="22"/>
                <w:szCs w:val="22"/>
                <w:lang w:val="en-GB"/>
              </w:rPr>
              <w:t>, the knowledge</w:t>
            </w:r>
            <w:r w:rsidR="00DF08AB" w:rsidRPr="007E7514">
              <w:rPr>
                <w:rFonts w:asciiTheme="minorHAnsi" w:hAnsiTheme="minorHAnsi" w:cstheme="minorHAnsi"/>
                <w:sz w:val="22"/>
                <w:szCs w:val="22"/>
                <w:lang w:val="en-GB"/>
              </w:rPr>
              <w:t>-</w:t>
            </w:r>
            <w:r w:rsidR="007A6FF9" w:rsidRPr="007E7514">
              <w:rPr>
                <w:rFonts w:asciiTheme="minorHAnsi" w:hAnsiTheme="minorHAnsi" w:cstheme="minorHAnsi"/>
                <w:sz w:val="22"/>
                <w:szCs w:val="22"/>
                <w:lang w:val="en-GB"/>
              </w:rPr>
              <w:t xml:space="preserve">sharing and communication component of the </w:t>
            </w:r>
            <w:r w:rsidR="007A6FF9" w:rsidRPr="007E7514">
              <w:rPr>
                <w:rFonts w:asciiTheme="minorHAnsi" w:hAnsiTheme="minorHAnsi" w:cstheme="minorHAnsi"/>
                <w:i/>
                <w:iCs/>
                <w:sz w:val="22"/>
                <w:szCs w:val="22"/>
                <w:lang w:val="en-GB"/>
              </w:rPr>
              <w:t>GOLD+</w:t>
            </w:r>
            <w:r w:rsidR="007A6FF9" w:rsidRPr="007E7514">
              <w:rPr>
                <w:rFonts w:asciiTheme="minorHAnsi" w:hAnsiTheme="minorHAnsi" w:cstheme="minorHAnsi"/>
                <w:sz w:val="22"/>
                <w:szCs w:val="22"/>
                <w:lang w:val="en-GB"/>
              </w:rPr>
              <w:t xml:space="preserve"> </w:t>
            </w:r>
            <w:r w:rsidR="00AF5772" w:rsidRPr="007E7514">
              <w:rPr>
                <w:rFonts w:asciiTheme="minorHAnsi" w:hAnsiTheme="minorHAnsi" w:cstheme="minorHAnsi"/>
                <w:sz w:val="22"/>
                <w:szCs w:val="22"/>
                <w:lang w:val="en-GB"/>
              </w:rPr>
              <w:t>P</w:t>
            </w:r>
            <w:r w:rsidR="007A6FF9" w:rsidRPr="007E7514">
              <w:rPr>
                <w:rFonts w:asciiTheme="minorHAnsi" w:hAnsiTheme="minorHAnsi" w:cstheme="minorHAnsi"/>
                <w:sz w:val="22"/>
                <w:szCs w:val="22"/>
                <w:lang w:val="en-GB"/>
              </w:rPr>
              <w:t xml:space="preserve">rogram will </w:t>
            </w:r>
            <w:r w:rsidR="006E160B" w:rsidRPr="007E7514">
              <w:rPr>
                <w:rFonts w:asciiTheme="minorHAnsi" w:hAnsiTheme="minorHAnsi" w:cstheme="minorHAnsi"/>
                <w:sz w:val="22"/>
                <w:szCs w:val="22"/>
                <w:lang w:val="en-GB"/>
              </w:rPr>
              <w:t>support</w:t>
            </w:r>
            <w:r w:rsidR="00866FA2" w:rsidRPr="007E7514">
              <w:rPr>
                <w:rFonts w:asciiTheme="minorHAnsi" w:hAnsiTheme="minorHAnsi" w:cstheme="minorHAnsi"/>
                <w:sz w:val="22"/>
                <w:szCs w:val="22"/>
                <w:lang w:val="en-GB"/>
              </w:rPr>
              <w:t xml:space="preserve"> formalization, access to financing, and technology transfer within the sector leading to mercury reductions. </w:t>
            </w:r>
          </w:p>
        </w:tc>
      </w:tr>
      <w:tr w:rsidR="00DF5C07" w:rsidRPr="007E7514" w14:paraId="52A594FD"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17AB5AA5"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lastRenderedPageBreak/>
              <w:t>11</w:t>
            </w:r>
          </w:p>
        </w:tc>
        <w:tc>
          <w:tcPr>
            <w:tcW w:w="0" w:type="auto"/>
            <w:shd w:val="clear" w:color="auto" w:fill="FFFFFF" w:themeFill="background1"/>
          </w:tcPr>
          <w:p w14:paraId="23C12DF5"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Within the context of the GEF mandate, such activities could include, inter alia, support for:</w:t>
            </w:r>
          </w:p>
          <w:p w14:paraId="450CC474"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(a) With regard to emissions, the development by Parties with relevant sources of emissions of national plans setting out the measures to be taken to control emissions and their expected targets, goals and outcomes;</w:t>
            </w:r>
          </w:p>
          <w:p w14:paraId="15D975AD"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(b) With regard to releases, the development by Parties with relevant sources of releases of national plans setting out the measures to be taken to control releases and their expected targets, goals and outcomes;</w:t>
            </w:r>
          </w:p>
          <w:p w14:paraId="52843807" w14:textId="77777777" w:rsidR="00DF5C07" w:rsidRPr="007E7514" w:rsidRDefault="00DF5C07" w:rsidP="00D05424">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(c) With regard to contaminated sites, capacity-building for the development of strategies for identifying and assessing sites contaminated by mercury or mercury compounds and, as appropriate, the remediation of those sites;</w:t>
            </w:r>
          </w:p>
          <w:p w14:paraId="356637A4" w14:textId="77777777"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(d) Information exchange; </w:t>
            </w:r>
          </w:p>
          <w:p w14:paraId="2D7152EA" w14:textId="77777777"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(e) Public information, awareness and education; </w:t>
            </w:r>
          </w:p>
          <w:p w14:paraId="6F86A7A8" w14:textId="77777777"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(f) Cooperation in the development and improvement of research, development and monitoring;</w:t>
            </w:r>
          </w:p>
          <w:p w14:paraId="1BDAD145" w14:textId="77777777"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(g) Development of implementation plans following initial assessments.</w:t>
            </w:r>
          </w:p>
        </w:tc>
        <w:tc>
          <w:tcPr>
            <w:tcW w:w="0" w:type="auto"/>
            <w:shd w:val="clear" w:color="auto" w:fill="FFFFFF" w:themeFill="background1"/>
          </w:tcPr>
          <w:p w14:paraId="349AF3A6" w14:textId="3E17F906" w:rsidR="00DF5C07" w:rsidRPr="007E7514" w:rsidRDefault="00DF5C0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This w</w:t>
            </w:r>
            <w:r w:rsidR="00582C05" w:rsidRPr="007E7514">
              <w:rPr>
                <w:rFonts w:asciiTheme="minorHAnsi" w:hAnsiTheme="minorHAnsi" w:cstheme="minorHAnsi"/>
                <w:sz w:val="22"/>
                <w:szCs w:val="22"/>
                <w:lang w:val="en-GB"/>
              </w:rPr>
              <w:t>as</w:t>
            </w:r>
            <w:r w:rsidRPr="007E7514">
              <w:rPr>
                <w:rFonts w:asciiTheme="minorHAnsi" w:hAnsiTheme="minorHAnsi" w:cstheme="minorHAnsi"/>
                <w:sz w:val="22"/>
                <w:szCs w:val="22"/>
                <w:lang w:val="en-GB"/>
              </w:rPr>
              <w:t xml:space="preserve"> addressed during </w:t>
            </w:r>
            <w:r w:rsidR="00582C05" w:rsidRPr="007E7514">
              <w:rPr>
                <w:rFonts w:asciiTheme="minorHAnsi" w:hAnsiTheme="minorHAnsi" w:cstheme="minorHAnsi"/>
                <w:sz w:val="22"/>
                <w:szCs w:val="22"/>
                <w:lang w:val="en-GB"/>
              </w:rPr>
              <w:t xml:space="preserve">the </w:t>
            </w:r>
            <w:r w:rsidR="00DF08AB" w:rsidRPr="007E7514">
              <w:rPr>
                <w:rFonts w:asciiTheme="minorHAnsi" w:hAnsiTheme="minorHAnsi" w:cstheme="minorHAnsi"/>
                <w:sz w:val="22"/>
                <w:szCs w:val="22"/>
                <w:lang w:val="en-GB"/>
              </w:rPr>
              <w:t xml:space="preserve">GEF-7 </w:t>
            </w:r>
            <w:r w:rsidRPr="007E7514">
              <w:rPr>
                <w:rFonts w:asciiTheme="minorHAnsi" w:hAnsiTheme="minorHAnsi" w:cstheme="minorHAnsi"/>
                <w:sz w:val="22"/>
                <w:szCs w:val="22"/>
                <w:lang w:val="en-GB"/>
              </w:rPr>
              <w:t>programming</w:t>
            </w:r>
            <w:r w:rsidR="00582C05" w:rsidRPr="007E7514">
              <w:rPr>
                <w:rFonts w:asciiTheme="minorHAnsi" w:hAnsiTheme="minorHAnsi" w:cstheme="minorHAnsi"/>
                <w:sz w:val="22"/>
                <w:szCs w:val="22"/>
                <w:lang w:val="en-GB"/>
              </w:rPr>
              <w:t>,</w:t>
            </w:r>
            <w:r w:rsidR="00CF2554" w:rsidRPr="007E7514">
              <w:rPr>
                <w:rFonts w:asciiTheme="minorHAnsi" w:hAnsiTheme="minorHAnsi" w:cstheme="minorHAnsi"/>
                <w:sz w:val="22"/>
                <w:szCs w:val="22"/>
                <w:lang w:val="en-GB"/>
              </w:rPr>
              <w:t xml:space="preserve"> </w:t>
            </w:r>
            <w:r w:rsidR="00582C05" w:rsidRPr="007E7514">
              <w:rPr>
                <w:rFonts w:asciiTheme="minorHAnsi" w:hAnsiTheme="minorHAnsi" w:cstheme="minorHAnsi"/>
                <w:sz w:val="22"/>
                <w:szCs w:val="22"/>
                <w:lang w:val="en-GB"/>
              </w:rPr>
              <w:t>to</w:t>
            </w:r>
            <w:r w:rsidRPr="007E7514">
              <w:rPr>
                <w:rFonts w:asciiTheme="minorHAnsi" w:hAnsiTheme="minorHAnsi" w:cstheme="minorHAnsi"/>
                <w:sz w:val="22"/>
                <w:szCs w:val="22"/>
                <w:lang w:val="en-GB"/>
              </w:rPr>
              <w:t xml:space="preserve"> be reported on at subsequent COPs.</w:t>
            </w:r>
          </w:p>
          <w:p w14:paraId="3781E7E5" w14:textId="77777777" w:rsidR="008F76A3" w:rsidRPr="007E7514" w:rsidRDefault="008F76A3">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0DAA05B3" w14:textId="77777777" w:rsidR="008F76A3" w:rsidRPr="007E7514" w:rsidRDefault="008F76A3">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3:</w:t>
            </w:r>
          </w:p>
          <w:p w14:paraId="563E2E87" w14:textId="38B927AF" w:rsidR="004A3F67" w:rsidRPr="007E7514" w:rsidRDefault="00CA63AD">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GEF projects primarily focus on implementing</w:t>
            </w:r>
            <w:r w:rsidR="00C81300" w:rsidRPr="007E7514">
              <w:rPr>
                <w:rFonts w:asciiTheme="minorHAnsi" w:hAnsiTheme="minorHAnsi" w:cstheme="minorHAnsi"/>
                <w:sz w:val="22"/>
                <w:szCs w:val="22"/>
                <w:lang w:val="en-GB"/>
              </w:rPr>
              <w:t xml:space="preserve"> legal</w:t>
            </w:r>
            <w:r w:rsidRPr="007E7514">
              <w:rPr>
                <w:rFonts w:asciiTheme="minorHAnsi" w:hAnsiTheme="minorHAnsi" w:cstheme="minorHAnsi"/>
                <w:sz w:val="22"/>
                <w:szCs w:val="22"/>
                <w:lang w:val="en-GB"/>
              </w:rPr>
              <w:t xml:space="preserve"> obligations of the </w:t>
            </w:r>
            <w:r w:rsidR="00DD4193" w:rsidRPr="007E7514">
              <w:rPr>
                <w:rFonts w:asciiTheme="minorHAnsi" w:hAnsiTheme="minorHAnsi" w:cstheme="minorHAnsi"/>
                <w:sz w:val="22"/>
                <w:szCs w:val="22"/>
                <w:lang w:val="en-GB"/>
              </w:rPr>
              <w:t>C</w:t>
            </w:r>
            <w:r w:rsidRPr="007E7514">
              <w:rPr>
                <w:rFonts w:asciiTheme="minorHAnsi" w:hAnsiTheme="minorHAnsi" w:cstheme="minorHAnsi"/>
                <w:sz w:val="22"/>
                <w:szCs w:val="22"/>
                <w:lang w:val="en-GB"/>
              </w:rPr>
              <w:t xml:space="preserve">onvention </w:t>
            </w:r>
            <w:r w:rsidR="00C81300" w:rsidRPr="007E7514">
              <w:rPr>
                <w:rFonts w:asciiTheme="minorHAnsi" w:hAnsiTheme="minorHAnsi" w:cstheme="minorHAnsi"/>
                <w:sz w:val="22"/>
                <w:szCs w:val="22"/>
                <w:lang w:val="en-GB"/>
              </w:rPr>
              <w:t>and</w:t>
            </w:r>
            <w:r w:rsidRPr="007E7514">
              <w:rPr>
                <w:rFonts w:asciiTheme="minorHAnsi" w:hAnsiTheme="minorHAnsi" w:cstheme="minorHAnsi"/>
                <w:sz w:val="22"/>
                <w:szCs w:val="22"/>
                <w:lang w:val="en-GB"/>
              </w:rPr>
              <w:t xml:space="preserve"> reduc</w:t>
            </w:r>
            <w:r w:rsidR="00C81300" w:rsidRPr="007E7514">
              <w:rPr>
                <w:rFonts w:asciiTheme="minorHAnsi" w:hAnsiTheme="minorHAnsi" w:cstheme="minorHAnsi"/>
                <w:sz w:val="22"/>
                <w:szCs w:val="22"/>
                <w:lang w:val="en-GB"/>
              </w:rPr>
              <w:t>ing</w:t>
            </w:r>
            <w:r w:rsidRPr="007E7514">
              <w:rPr>
                <w:rFonts w:asciiTheme="minorHAnsi" w:hAnsiTheme="minorHAnsi" w:cstheme="minorHAnsi"/>
                <w:sz w:val="22"/>
                <w:szCs w:val="22"/>
                <w:lang w:val="en-GB"/>
              </w:rPr>
              <w:t xml:space="preserve"> mercury</w:t>
            </w:r>
            <w:r w:rsidR="00CA0B81"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Other</w:t>
            </w:r>
            <w:r w:rsidR="00DD4193" w:rsidRPr="007E7514">
              <w:rPr>
                <w:rFonts w:asciiTheme="minorHAnsi" w:hAnsiTheme="minorHAnsi" w:cstheme="minorHAnsi"/>
                <w:sz w:val="22"/>
                <w:szCs w:val="22"/>
                <w:lang w:val="en-GB"/>
              </w:rPr>
              <w:t xml:space="preserve"> activities</w:t>
            </w:r>
            <w:r w:rsidRPr="007E7514">
              <w:rPr>
                <w:rFonts w:asciiTheme="minorHAnsi" w:hAnsiTheme="minorHAnsi" w:cstheme="minorHAnsi"/>
                <w:sz w:val="22"/>
                <w:szCs w:val="22"/>
                <w:lang w:val="en-GB"/>
              </w:rPr>
              <w:t xml:space="preserve"> are considered on a case</w:t>
            </w:r>
            <w:r w:rsidR="00582C05"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by</w:t>
            </w:r>
            <w:r w:rsidR="00582C05"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case basis. Activities that are not subject to legal obligation</w:t>
            </w:r>
            <w:r w:rsidR="00582C05" w:rsidRPr="007E7514">
              <w:rPr>
                <w:rFonts w:asciiTheme="minorHAnsi" w:hAnsiTheme="minorHAnsi" w:cstheme="minorHAnsi"/>
                <w:sz w:val="22"/>
                <w:szCs w:val="22"/>
                <w:lang w:val="en-GB"/>
              </w:rPr>
              <w:t>s</w:t>
            </w:r>
            <w:r w:rsidRPr="007E7514">
              <w:rPr>
                <w:rFonts w:asciiTheme="minorHAnsi" w:hAnsiTheme="minorHAnsi" w:cstheme="minorHAnsi"/>
                <w:sz w:val="22"/>
                <w:szCs w:val="22"/>
                <w:lang w:val="en-GB"/>
              </w:rPr>
              <w:t xml:space="preserve"> under the </w:t>
            </w:r>
            <w:r w:rsidR="00DD4193" w:rsidRPr="007E7514">
              <w:rPr>
                <w:rFonts w:asciiTheme="minorHAnsi" w:hAnsiTheme="minorHAnsi" w:cstheme="minorHAnsi"/>
                <w:sz w:val="22"/>
                <w:szCs w:val="22"/>
                <w:lang w:val="en-GB"/>
              </w:rPr>
              <w:t>C</w:t>
            </w:r>
            <w:r w:rsidRPr="007E7514">
              <w:rPr>
                <w:rFonts w:asciiTheme="minorHAnsi" w:hAnsiTheme="minorHAnsi" w:cstheme="minorHAnsi"/>
                <w:sz w:val="22"/>
                <w:szCs w:val="22"/>
                <w:lang w:val="en-GB"/>
              </w:rPr>
              <w:t>onvention</w:t>
            </w:r>
            <w:r w:rsidR="002C542F" w:rsidRPr="007E7514">
              <w:rPr>
                <w:rFonts w:asciiTheme="minorHAnsi" w:hAnsiTheme="minorHAnsi" w:cstheme="minorHAnsi"/>
                <w:sz w:val="22"/>
                <w:szCs w:val="22"/>
                <w:lang w:val="en-GB"/>
              </w:rPr>
              <w:t xml:space="preserve"> were considered in projects funded </w:t>
            </w:r>
            <w:r w:rsidR="00582C05" w:rsidRPr="007E7514">
              <w:rPr>
                <w:rFonts w:asciiTheme="minorHAnsi" w:hAnsiTheme="minorHAnsi" w:cstheme="minorHAnsi"/>
                <w:sz w:val="22"/>
                <w:szCs w:val="22"/>
                <w:lang w:val="en-GB"/>
              </w:rPr>
              <w:t>in</w:t>
            </w:r>
            <w:r w:rsidR="002C542F" w:rsidRPr="007E7514">
              <w:rPr>
                <w:rFonts w:asciiTheme="minorHAnsi" w:hAnsiTheme="minorHAnsi" w:cstheme="minorHAnsi"/>
                <w:sz w:val="22"/>
                <w:szCs w:val="22"/>
                <w:lang w:val="en-GB"/>
              </w:rPr>
              <w:t xml:space="preserve"> th</w:t>
            </w:r>
            <w:r w:rsidR="00DF08AB" w:rsidRPr="007E7514">
              <w:rPr>
                <w:rFonts w:asciiTheme="minorHAnsi" w:hAnsiTheme="minorHAnsi" w:cstheme="minorHAnsi"/>
                <w:sz w:val="22"/>
                <w:szCs w:val="22"/>
                <w:lang w:val="en-GB"/>
              </w:rPr>
              <w:t>e</w:t>
            </w:r>
            <w:r w:rsidR="002C542F" w:rsidRPr="007E7514">
              <w:rPr>
                <w:rFonts w:asciiTheme="minorHAnsi" w:hAnsiTheme="minorHAnsi" w:cstheme="minorHAnsi"/>
                <w:sz w:val="22"/>
                <w:szCs w:val="22"/>
                <w:lang w:val="en-GB"/>
              </w:rPr>
              <w:t xml:space="preserve"> reporting period, such as information exchange, public awareness, and development of implementation plans</w:t>
            </w:r>
            <w:r w:rsidR="00CA0B81" w:rsidRPr="007E7514">
              <w:rPr>
                <w:rFonts w:asciiTheme="minorHAnsi" w:hAnsiTheme="minorHAnsi" w:cstheme="minorHAnsi"/>
                <w:sz w:val="22"/>
                <w:szCs w:val="22"/>
                <w:lang w:val="en-GB"/>
              </w:rPr>
              <w:t xml:space="preserve">. </w:t>
            </w:r>
            <w:r w:rsidR="002C542F" w:rsidRPr="007E7514">
              <w:rPr>
                <w:rFonts w:asciiTheme="minorHAnsi" w:hAnsiTheme="minorHAnsi" w:cstheme="minorHAnsi"/>
                <w:sz w:val="22"/>
                <w:szCs w:val="22"/>
                <w:lang w:val="en-GB"/>
              </w:rPr>
              <w:t xml:space="preserve"> </w:t>
            </w:r>
          </w:p>
          <w:p w14:paraId="4F60785E" w14:textId="77777777" w:rsidR="00E16D2A" w:rsidRPr="007E7514" w:rsidRDefault="00E16D2A">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02468B3F" w14:textId="77777777" w:rsidR="00E16D2A" w:rsidRPr="007E7514" w:rsidRDefault="00E16D2A">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Update for COP 4: </w:t>
            </w:r>
          </w:p>
          <w:p w14:paraId="4EA95EC5" w14:textId="16293E44" w:rsidR="00F11F45" w:rsidRPr="007E7514" w:rsidRDefault="00F11F45">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GEF projects primarily focus on implementing legal obligations of the Convention and reducing mercury. Other activities are considered on a case</w:t>
            </w:r>
            <w:r w:rsidR="00582C05"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by</w:t>
            </w:r>
            <w:r w:rsidR="00582C05" w:rsidRPr="007E7514">
              <w:rPr>
                <w:rFonts w:asciiTheme="minorHAnsi" w:hAnsiTheme="minorHAnsi" w:cstheme="minorHAnsi"/>
                <w:sz w:val="22"/>
                <w:szCs w:val="22"/>
                <w:lang w:val="en-GB"/>
              </w:rPr>
              <w:t>-</w:t>
            </w:r>
            <w:r w:rsidRPr="007E7514">
              <w:rPr>
                <w:rFonts w:asciiTheme="minorHAnsi" w:hAnsiTheme="minorHAnsi" w:cstheme="minorHAnsi"/>
                <w:sz w:val="22"/>
                <w:szCs w:val="22"/>
                <w:lang w:val="en-GB"/>
              </w:rPr>
              <w:t xml:space="preserve">case basis. Activities that are not subject to legal obligation under the Convention were considered in projects funded </w:t>
            </w:r>
            <w:r w:rsidR="00582C05" w:rsidRPr="007E7514">
              <w:rPr>
                <w:rFonts w:asciiTheme="minorHAnsi" w:hAnsiTheme="minorHAnsi" w:cstheme="minorHAnsi"/>
                <w:sz w:val="22"/>
                <w:szCs w:val="22"/>
                <w:lang w:val="en-GB"/>
              </w:rPr>
              <w:t>in</w:t>
            </w:r>
            <w:r w:rsidRPr="007E7514">
              <w:rPr>
                <w:rFonts w:asciiTheme="minorHAnsi" w:hAnsiTheme="minorHAnsi" w:cstheme="minorHAnsi"/>
                <w:sz w:val="22"/>
                <w:szCs w:val="22"/>
                <w:lang w:val="en-GB"/>
              </w:rPr>
              <w:t xml:space="preserve"> th</w:t>
            </w:r>
            <w:r w:rsidR="00DF08AB" w:rsidRPr="007E7514">
              <w:rPr>
                <w:rFonts w:asciiTheme="minorHAnsi" w:hAnsiTheme="minorHAnsi" w:cstheme="minorHAnsi"/>
                <w:sz w:val="22"/>
                <w:szCs w:val="22"/>
                <w:lang w:val="en-GB"/>
              </w:rPr>
              <w:t>e</w:t>
            </w:r>
            <w:r w:rsidRPr="007E7514">
              <w:rPr>
                <w:rFonts w:asciiTheme="minorHAnsi" w:hAnsiTheme="minorHAnsi" w:cstheme="minorHAnsi"/>
                <w:sz w:val="22"/>
                <w:szCs w:val="22"/>
                <w:lang w:val="en-GB"/>
              </w:rPr>
              <w:t xml:space="preserve"> reporting period, such as information exchange, public awareness, and </w:t>
            </w:r>
            <w:r w:rsidR="000A0D86" w:rsidRPr="007E7514">
              <w:rPr>
                <w:rFonts w:asciiTheme="minorHAnsi" w:hAnsiTheme="minorHAnsi" w:cstheme="minorHAnsi"/>
                <w:sz w:val="22"/>
                <w:szCs w:val="22"/>
                <w:lang w:val="en-GB"/>
              </w:rPr>
              <w:t>capacity</w:t>
            </w:r>
            <w:r w:rsidR="00582C05" w:rsidRPr="007E7514">
              <w:rPr>
                <w:rFonts w:asciiTheme="minorHAnsi" w:hAnsiTheme="minorHAnsi" w:cstheme="minorHAnsi"/>
                <w:sz w:val="22"/>
                <w:szCs w:val="22"/>
                <w:lang w:val="en-GB"/>
              </w:rPr>
              <w:t xml:space="preserve"> </w:t>
            </w:r>
            <w:r w:rsidR="000A0D86" w:rsidRPr="007E7514">
              <w:rPr>
                <w:rFonts w:asciiTheme="minorHAnsi" w:hAnsiTheme="minorHAnsi" w:cstheme="minorHAnsi"/>
                <w:sz w:val="22"/>
                <w:szCs w:val="22"/>
                <w:lang w:val="en-GB"/>
              </w:rPr>
              <w:lastRenderedPageBreak/>
              <w:t>building for the development of strategies for identifying and assessing sites contaminated by mercury and, as appropriate, the</w:t>
            </w:r>
            <w:r w:rsidR="00DF08AB" w:rsidRPr="007E7514">
              <w:rPr>
                <w:rFonts w:asciiTheme="minorHAnsi" w:hAnsiTheme="minorHAnsi" w:cstheme="minorHAnsi"/>
                <w:sz w:val="22"/>
                <w:szCs w:val="22"/>
                <w:lang w:val="en-GB"/>
              </w:rPr>
              <w:t>ir</w:t>
            </w:r>
            <w:r w:rsidR="000A0D86" w:rsidRPr="007E7514">
              <w:rPr>
                <w:rFonts w:asciiTheme="minorHAnsi" w:hAnsiTheme="minorHAnsi" w:cstheme="minorHAnsi"/>
                <w:sz w:val="22"/>
                <w:szCs w:val="22"/>
                <w:lang w:val="en-GB"/>
              </w:rPr>
              <w:t xml:space="preserve"> remediation</w:t>
            </w:r>
            <w:r w:rsidR="000720F8" w:rsidRPr="007E7514">
              <w:rPr>
                <w:rFonts w:asciiTheme="minorHAnsi" w:hAnsiTheme="minorHAnsi" w:cstheme="minorHAnsi"/>
                <w:sz w:val="22"/>
                <w:szCs w:val="22"/>
                <w:lang w:val="en-GB"/>
              </w:rPr>
              <w:t>.</w:t>
            </w:r>
            <w:r w:rsidR="009E314B" w:rsidRPr="007E7514">
              <w:rPr>
                <w:rFonts w:asciiTheme="minorHAnsi" w:hAnsiTheme="minorHAnsi" w:cstheme="minorHAnsi"/>
                <w:sz w:val="22"/>
                <w:szCs w:val="22"/>
                <w:lang w:val="en-GB"/>
              </w:rPr>
              <w:t xml:space="preserve"> For example</w:t>
            </w:r>
            <w:r w:rsidR="001E1C8C" w:rsidRPr="007E7514">
              <w:rPr>
                <w:rFonts w:asciiTheme="minorHAnsi" w:hAnsiTheme="minorHAnsi" w:cstheme="minorHAnsi"/>
                <w:sz w:val="22"/>
                <w:szCs w:val="22"/>
                <w:lang w:val="en-GB"/>
              </w:rPr>
              <w:t>,</w:t>
            </w:r>
            <w:r w:rsidR="009E314B" w:rsidRPr="007E7514">
              <w:rPr>
                <w:rFonts w:asciiTheme="minorHAnsi" w:hAnsiTheme="minorHAnsi" w:cstheme="minorHAnsi"/>
                <w:sz w:val="22"/>
                <w:szCs w:val="22"/>
                <w:lang w:val="en-GB"/>
              </w:rPr>
              <w:t xml:space="preserve"> the chlor alkali project in Mexico include</w:t>
            </w:r>
            <w:r w:rsidR="00582C05" w:rsidRPr="007E7514">
              <w:rPr>
                <w:rFonts w:asciiTheme="minorHAnsi" w:hAnsiTheme="minorHAnsi" w:cstheme="minorHAnsi"/>
                <w:sz w:val="22"/>
                <w:szCs w:val="22"/>
                <w:lang w:val="en-GB"/>
              </w:rPr>
              <w:t>s</w:t>
            </w:r>
            <w:r w:rsidR="009E314B" w:rsidRPr="007E7514">
              <w:rPr>
                <w:rFonts w:asciiTheme="minorHAnsi" w:hAnsiTheme="minorHAnsi" w:cstheme="minorHAnsi"/>
                <w:sz w:val="22"/>
                <w:szCs w:val="22"/>
                <w:lang w:val="en-GB"/>
              </w:rPr>
              <w:t xml:space="preserve"> </w:t>
            </w:r>
            <w:r w:rsidR="00A07CE7" w:rsidRPr="007E7514">
              <w:rPr>
                <w:rFonts w:asciiTheme="minorHAnsi" w:hAnsiTheme="minorHAnsi" w:cstheme="minorHAnsi"/>
                <w:sz w:val="22"/>
                <w:szCs w:val="22"/>
                <w:lang w:val="en-GB"/>
              </w:rPr>
              <w:t xml:space="preserve">an assessment of the site contaminated with mercury and a plan for remediation. </w:t>
            </w:r>
            <w:r w:rsidR="009E314B" w:rsidRPr="007E7514">
              <w:rPr>
                <w:rFonts w:asciiTheme="minorHAnsi" w:hAnsiTheme="minorHAnsi" w:cstheme="minorHAnsi"/>
                <w:sz w:val="22"/>
                <w:szCs w:val="22"/>
                <w:lang w:val="en-GB"/>
              </w:rPr>
              <w:t xml:space="preserve"> </w:t>
            </w:r>
          </w:p>
        </w:tc>
      </w:tr>
      <w:tr w:rsidR="00DF5C07" w:rsidRPr="007E7514" w14:paraId="17161CCA"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left w:val="none" w:sz="0" w:space="0" w:color="auto"/>
            </w:tcBorders>
            <w:shd w:val="clear" w:color="auto" w:fill="FFFFFF" w:themeFill="background1"/>
          </w:tcPr>
          <w:p w14:paraId="35519D8E"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lastRenderedPageBreak/>
              <w:t>3. Activities to implement the provisions of the Convention that allow for the reduction of mercury emissions and releases and address both the health and environmental impacts of mercury</w:t>
            </w:r>
          </w:p>
        </w:tc>
      </w:tr>
      <w:tr w:rsidR="00DF5C07" w:rsidRPr="007E7514" w14:paraId="64345B57"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FFFFFF" w:themeFill="background1"/>
          </w:tcPr>
          <w:p w14:paraId="465B40CF"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12</w:t>
            </w:r>
          </w:p>
        </w:tc>
        <w:tc>
          <w:tcPr>
            <w:tcW w:w="0" w:type="auto"/>
            <w:shd w:val="clear" w:color="auto" w:fill="FFFFFF" w:themeFill="background1"/>
          </w:tcPr>
          <w:p w14:paraId="35D20D5B" w14:textId="77777777"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Activities to implement the provisions of the Convention that allow for the reduction of mercury emissions and releases and address both the health and environmental impacts of mercury may encompass activities relating to both binding and non-binding provisions, with priority to the legally binding provisions discussed above, that accord with the GEF mandate to deliver global environmental benefits and reflect the GEF chemicals and wastes focal area strategy.</w:t>
            </w:r>
          </w:p>
        </w:tc>
        <w:tc>
          <w:tcPr>
            <w:tcW w:w="0" w:type="auto"/>
            <w:shd w:val="clear" w:color="auto" w:fill="FFFFFF" w:themeFill="background1"/>
          </w:tcPr>
          <w:p w14:paraId="565732D3" w14:textId="5B0D3149" w:rsidR="00DF5C07" w:rsidRPr="007E7514" w:rsidRDefault="00D37192"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This was addressed during the </w:t>
            </w:r>
            <w:r w:rsidR="00DF08AB" w:rsidRPr="007E7514">
              <w:rPr>
                <w:rFonts w:asciiTheme="minorHAnsi" w:hAnsiTheme="minorHAnsi" w:cstheme="minorHAnsi"/>
                <w:sz w:val="22"/>
                <w:szCs w:val="22"/>
                <w:lang w:val="en-GB"/>
              </w:rPr>
              <w:t xml:space="preserve">GEF-7 </w:t>
            </w:r>
            <w:r w:rsidRPr="007E7514">
              <w:rPr>
                <w:rFonts w:asciiTheme="minorHAnsi" w:hAnsiTheme="minorHAnsi" w:cstheme="minorHAnsi"/>
                <w:sz w:val="22"/>
                <w:szCs w:val="22"/>
                <w:lang w:val="en-GB"/>
              </w:rPr>
              <w:t>programming, to be reported on at subsequent COPs.</w:t>
            </w:r>
          </w:p>
          <w:p w14:paraId="6A45AF87" w14:textId="77777777" w:rsidR="005D2FB4" w:rsidRPr="007E7514" w:rsidRDefault="005D2FB4"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0E6BB6F2" w14:textId="77777777" w:rsidR="005D2FB4" w:rsidRPr="007E7514" w:rsidRDefault="005D2FB4" w:rsidP="00D05424">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Update for COP 3:</w:t>
            </w:r>
          </w:p>
          <w:p w14:paraId="4B241E44" w14:textId="579BCB99" w:rsidR="000720F8" w:rsidRPr="007E7514" w:rsidRDefault="00564987">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The projects approved </w:t>
            </w:r>
            <w:r w:rsidR="00582C05" w:rsidRPr="007E7514">
              <w:rPr>
                <w:rFonts w:asciiTheme="minorHAnsi" w:hAnsiTheme="minorHAnsi" w:cstheme="minorHAnsi"/>
                <w:sz w:val="22"/>
                <w:szCs w:val="22"/>
                <w:lang w:val="en-GB"/>
              </w:rPr>
              <w:t>in</w:t>
            </w:r>
            <w:r w:rsidRPr="007E7514">
              <w:rPr>
                <w:rFonts w:asciiTheme="minorHAnsi" w:hAnsiTheme="minorHAnsi" w:cstheme="minorHAnsi"/>
                <w:sz w:val="22"/>
                <w:szCs w:val="22"/>
                <w:lang w:val="en-GB"/>
              </w:rPr>
              <w:t xml:space="preserve"> the reporting period</w:t>
            </w:r>
            <w:r w:rsidR="00582C05" w:rsidRPr="007E7514">
              <w:rPr>
                <w:rFonts w:asciiTheme="minorHAnsi" w:hAnsiTheme="minorHAnsi" w:cstheme="minorHAnsi"/>
                <w:sz w:val="22"/>
                <w:szCs w:val="22"/>
                <w:lang w:val="en-GB"/>
              </w:rPr>
              <w:t xml:space="preserve"> </w:t>
            </w:r>
            <w:r w:rsidRPr="007E7514">
              <w:rPr>
                <w:rFonts w:asciiTheme="minorHAnsi" w:hAnsiTheme="minorHAnsi" w:cstheme="minorHAnsi"/>
                <w:sz w:val="22"/>
                <w:szCs w:val="22"/>
                <w:lang w:val="en-GB"/>
              </w:rPr>
              <w:t>contribute</w:t>
            </w:r>
            <w:r w:rsidR="00DF08AB" w:rsidRPr="007E7514">
              <w:rPr>
                <w:rFonts w:asciiTheme="minorHAnsi" w:hAnsiTheme="minorHAnsi" w:cstheme="minorHAnsi"/>
                <w:sz w:val="22"/>
                <w:szCs w:val="22"/>
                <w:lang w:val="en-GB"/>
              </w:rPr>
              <w:t>d</w:t>
            </w:r>
            <w:r w:rsidRPr="007E7514">
              <w:rPr>
                <w:rFonts w:asciiTheme="minorHAnsi" w:hAnsiTheme="minorHAnsi" w:cstheme="minorHAnsi"/>
                <w:sz w:val="22"/>
                <w:szCs w:val="22"/>
                <w:lang w:val="en-GB"/>
              </w:rPr>
              <w:t xml:space="preserve"> to the reduction of 1,163 metric tons of mercury.</w:t>
            </w:r>
          </w:p>
          <w:p w14:paraId="6830652B" w14:textId="77777777" w:rsidR="000720F8" w:rsidRPr="007E7514" w:rsidRDefault="000720F8">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p>
          <w:p w14:paraId="06157683" w14:textId="77777777" w:rsidR="005D2FB4" w:rsidRPr="007E7514" w:rsidRDefault="000720F8">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Update for COP 4: </w:t>
            </w:r>
            <w:r w:rsidR="00564987" w:rsidRPr="007E7514">
              <w:rPr>
                <w:rFonts w:asciiTheme="minorHAnsi" w:hAnsiTheme="minorHAnsi" w:cstheme="minorHAnsi"/>
                <w:sz w:val="22"/>
                <w:szCs w:val="22"/>
                <w:lang w:val="en-GB"/>
              </w:rPr>
              <w:t xml:space="preserve"> </w:t>
            </w:r>
          </w:p>
          <w:p w14:paraId="555620C7" w14:textId="2969608D" w:rsidR="000720F8" w:rsidRPr="007E7514" w:rsidRDefault="000720F8">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The projects approved </w:t>
            </w:r>
            <w:r w:rsidR="00582C05" w:rsidRPr="007E7514">
              <w:rPr>
                <w:rFonts w:asciiTheme="minorHAnsi" w:hAnsiTheme="minorHAnsi" w:cstheme="minorHAnsi"/>
                <w:sz w:val="22"/>
                <w:szCs w:val="22"/>
                <w:lang w:val="en-GB"/>
              </w:rPr>
              <w:t>in</w:t>
            </w:r>
            <w:r w:rsidRPr="007E7514">
              <w:rPr>
                <w:rFonts w:asciiTheme="minorHAnsi" w:hAnsiTheme="minorHAnsi" w:cstheme="minorHAnsi"/>
                <w:sz w:val="22"/>
                <w:szCs w:val="22"/>
                <w:lang w:val="en-GB"/>
              </w:rPr>
              <w:t xml:space="preserve"> the reporting period will contribute to the reduction of </w:t>
            </w:r>
            <w:r w:rsidR="00D65B1F" w:rsidRPr="007E7514">
              <w:rPr>
                <w:rFonts w:asciiTheme="minorHAnsi" w:hAnsiTheme="minorHAnsi" w:cstheme="minorHAnsi"/>
                <w:sz w:val="22"/>
                <w:szCs w:val="22"/>
                <w:lang w:val="en-GB"/>
              </w:rPr>
              <w:t>793</w:t>
            </w:r>
            <w:r w:rsidRPr="007E7514">
              <w:rPr>
                <w:rFonts w:asciiTheme="minorHAnsi" w:hAnsiTheme="minorHAnsi" w:cstheme="minorHAnsi"/>
                <w:sz w:val="22"/>
                <w:szCs w:val="22"/>
                <w:lang w:val="en-GB"/>
              </w:rPr>
              <w:t xml:space="preserve"> metric tons of mercury.</w:t>
            </w:r>
          </w:p>
        </w:tc>
      </w:tr>
      <w:tr w:rsidR="00DF5C07" w:rsidRPr="007E7514" w14:paraId="084D6561" w14:textId="77777777" w:rsidTr="00766E96">
        <w:trPr>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left w:val="none" w:sz="0" w:space="0" w:color="auto"/>
            </w:tcBorders>
            <w:shd w:val="clear" w:color="auto" w:fill="FFFFFF" w:themeFill="background1"/>
          </w:tcPr>
          <w:p w14:paraId="47A10BC5" w14:textId="77777777" w:rsidR="00DF5C07" w:rsidRPr="007E7514" w:rsidRDefault="00DF5C07" w:rsidP="004E221B">
            <w:pPr>
              <w:spacing w:before="60"/>
              <w:rPr>
                <w:rFonts w:asciiTheme="minorHAnsi" w:hAnsiTheme="minorHAnsi" w:cstheme="minorHAnsi"/>
                <w:color w:val="auto"/>
                <w:sz w:val="22"/>
                <w:szCs w:val="22"/>
                <w:lang w:val="en-GB"/>
              </w:rPr>
            </w:pPr>
            <w:r w:rsidRPr="007E7514">
              <w:rPr>
                <w:rFonts w:asciiTheme="minorHAnsi" w:hAnsiTheme="minorHAnsi" w:cstheme="minorHAnsi"/>
                <w:color w:val="auto"/>
                <w:sz w:val="22"/>
                <w:szCs w:val="22"/>
                <w:lang w:val="en-GB"/>
              </w:rPr>
              <w:t>V. Review by the Conference of the Parties</w:t>
            </w:r>
          </w:p>
        </w:tc>
      </w:tr>
      <w:tr w:rsidR="00DF5C07" w:rsidRPr="007E7514" w14:paraId="31E876EC" w14:textId="77777777" w:rsidTr="00766E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shd w:val="clear" w:color="auto" w:fill="FFFFFF" w:themeFill="background1"/>
          </w:tcPr>
          <w:p w14:paraId="1C36E16E" w14:textId="77777777" w:rsidR="00DF5C07" w:rsidRPr="007E7514" w:rsidRDefault="00DF5C07" w:rsidP="008E1E26">
            <w:pPr>
              <w:spacing w:before="60"/>
              <w:rPr>
                <w:rFonts w:asciiTheme="minorHAnsi" w:hAnsiTheme="minorHAnsi" w:cstheme="minorHAnsi"/>
                <w:b w:val="0"/>
                <w:bCs w:val="0"/>
                <w:color w:val="auto"/>
                <w:sz w:val="22"/>
                <w:szCs w:val="22"/>
                <w:lang w:val="en-GB"/>
              </w:rPr>
            </w:pPr>
            <w:r w:rsidRPr="007E7514">
              <w:rPr>
                <w:rFonts w:asciiTheme="minorHAnsi" w:hAnsiTheme="minorHAnsi" w:cstheme="minorHAnsi"/>
                <w:b w:val="0"/>
                <w:bCs w:val="0"/>
                <w:color w:val="auto"/>
                <w:sz w:val="22"/>
                <w:szCs w:val="22"/>
                <w:lang w:val="en-GB"/>
              </w:rPr>
              <w:t>13</w:t>
            </w:r>
          </w:p>
        </w:tc>
        <w:tc>
          <w:tcPr>
            <w:tcW w:w="0" w:type="auto"/>
            <w:shd w:val="clear" w:color="auto" w:fill="FFFFFF" w:themeFill="background1"/>
          </w:tcPr>
          <w:p w14:paraId="0072EC5E" w14:textId="4F8C324A"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In accordance with paragraph 11 of </w:t>
            </w:r>
            <w:r w:rsidR="003550E0"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 xml:space="preserve">rticle 13, the Conference of the Parties will review, no later than at its third meeting, and thereafter on a regular basis, the level of funding, the guidance provided by the Conference of the Parties to GEF as one of the entities entrusted with operationalizing the mechanism established under this </w:t>
            </w:r>
            <w:r w:rsidR="003550E0"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rticle and the mechanism’s effectiveness and ability to address the changing needs of developing-country Parties and Parties with economies in transition. On the basis of such review, the Conference of the Parties will take appropriate action to improve the effectiveness of the financial mechanism, including by updating and prioritizing as necessary its guidance to GEF.</w:t>
            </w:r>
          </w:p>
        </w:tc>
        <w:tc>
          <w:tcPr>
            <w:tcW w:w="0" w:type="auto"/>
            <w:shd w:val="clear" w:color="auto" w:fill="FFFFFF" w:themeFill="background1"/>
          </w:tcPr>
          <w:p w14:paraId="53E2767D" w14:textId="2428AA3E" w:rsidR="00DF5C07" w:rsidRPr="007E7514" w:rsidRDefault="00DF5C07" w:rsidP="004E221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7E7514">
              <w:rPr>
                <w:rFonts w:asciiTheme="minorHAnsi" w:hAnsiTheme="minorHAnsi" w:cstheme="minorHAnsi"/>
                <w:sz w:val="22"/>
                <w:szCs w:val="22"/>
                <w:lang w:val="en-GB"/>
              </w:rPr>
              <w:t xml:space="preserve">At the request of the COP, the GEF </w:t>
            </w:r>
            <w:r w:rsidR="006455D5" w:rsidRPr="007E7514">
              <w:rPr>
                <w:rFonts w:asciiTheme="minorHAnsi" w:hAnsiTheme="minorHAnsi" w:cstheme="minorHAnsi"/>
                <w:sz w:val="22"/>
                <w:szCs w:val="22"/>
                <w:lang w:val="en-GB"/>
              </w:rPr>
              <w:t>has provided</w:t>
            </w:r>
            <w:r w:rsidRPr="007E7514">
              <w:rPr>
                <w:rFonts w:asciiTheme="minorHAnsi" w:hAnsiTheme="minorHAnsi" w:cstheme="minorHAnsi"/>
                <w:sz w:val="22"/>
                <w:szCs w:val="22"/>
                <w:lang w:val="en-GB"/>
              </w:rPr>
              <w:t xml:space="preserve"> information </w:t>
            </w:r>
            <w:r w:rsidR="00E05311" w:rsidRPr="007E7514">
              <w:rPr>
                <w:rFonts w:asciiTheme="minorHAnsi" w:hAnsiTheme="minorHAnsi" w:cstheme="minorHAnsi"/>
                <w:sz w:val="22"/>
                <w:szCs w:val="22"/>
                <w:lang w:val="en-GB"/>
              </w:rPr>
              <w:t>that</w:t>
            </w:r>
            <w:r w:rsidRPr="007E7514">
              <w:rPr>
                <w:rFonts w:asciiTheme="minorHAnsi" w:hAnsiTheme="minorHAnsi" w:cstheme="minorHAnsi"/>
                <w:sz w:val="22"/>
                <w:szCs w:val="22"/>
                <w:lang w:val="en-GB"/>
              </w:rPr>
              <w:t xml:space="preserve"> relates to the review described in paragraph 11 of </w:t>
            </w:r>
            <w:r w:rsidR="003550E0" w:rsidRPr="007E7514">
              <w:rPr>
                <w:rFonts w:asciiTheme="minorHAnsi" w:hAnsiTheme="minorHAnsi" w:cstheme="minorHAnsi"/>
                <w:sz w:val="22"/>
                <w:szCs w:val="22"/>
                <w:lang w:val="en-GB"/>
              </w:rPr>
              <w:t>A</w:t>
            </w:r>
            <w:r w:rsidRPr="007E7514">
              <w:rPr>
                <w:rFonts w:asciiTheme="minorHAnsi" w:hAnsiTheme="minorHAnsi" w:cstheme="minorHAnsi"/>
                <w:sz w:val="22"/>
                <w:szCs w:val="22"/>
                <w:lang w:val="en-GB"/>
              </w:rPr>
              <w:t>rticle 13 of the Minamata Convention.</w:t>
            </w:r>
          </w:p>
        </w:tc>
      </w:tr>
    </w:tbl>
    <w:p w14:paraId="3E27150D" w14:textId="102EA471" w:rsidR="00B44224" w:rsidRPr="007E7514" w:rsidRDefault="00B44224" w:rsidP="002D4A77">
      <w:pPr>
        <w:pStyle w:val="Heading2"/>
        <w:numPr>
          <w:ilvl w:val="0"/>
          <w:numId w:val="0"/>
        </w:numPr>
        <w:ind w:left="360"/>
        <w:rPr>
          <w:lang w:val="en-GB"/>
        </w:rPr>
      </w:pPr>
      <w:bookmarkStart w:id="25" w:name="_bookmark8"/>
      <w:bookmarkEnd w:id="25"/>
    </w:p>
    <w:p w14:paraId="68672EF5" w14:textId="598157C7" w:rsidR="00ED0A05" w:rsidRPr="007E7514" w:rsidRDefault="00ED0A05" w:rsidP="002D4A77">
      <w:pPr>
        <w:pStyle w:val="Heading2"/>
        <w:numPr>
          <w:ilvl w:val="0"/>
          <w:numId w:val="0"/>
        </w:numPr>
        <w:ind w:left="360"/>
        <w:rPr>
          <w:lang w:val="en-GB"/>
        </w:rPr>
      </w:pPr>
    </w:p>
    <w:p w14:paraId="521140EA" w14:textId="175E2E96" w:rsidR="00ED0A05" w:rsidRPr="007E7514" w:rsidRDefault="00ED0A05" w:rsidP="002D4A77">
      <w:pPr>
        <w:pStyle w:val="Heading2"/>
        <w:numPr>
          <w:ilvl w:val="0"/>
          <w:numId w:val="0"/>
        </w:numPr>
        <w:ind w:left="360"/>
        <w:rPr>
          <w:lang w:val="en-GB"/>
        </w:rPr>
      </w:pPr>
    </w:p>
    <w:p w14:paraId="132DFB93" w14:textId="77777777" w:rsidR="00ED0A05" w:rsidRPr="007E7514" w:rsidRDefault="00ED0A05" w:rsidP="002D4A77">
      <w:pPr>
        <w:pStyle w:val="Heading2"/>
        <w:numPr>
          <w:ilvl w:val="0"/>
          <w:numId w:val="0"/>
        </w:numPr>
        <w:ind w:left="360"/>
        <w:rPr>
          <w:lang w:val="en-GB"/>
        </w:rPr>
      </w:pPr>
    </w:p>
    <w:p w14:paraId="7C5F5AFA" w14:textId="769AFDE5" w:rsidR="00896734" w:rsidRPr="007E7514" w:rsidRDefault="004B085C" w:rsidP="002D4A77">
      <w:pPr>
        <w:pStyle w:val="Heading2"/>
        <w:rPr>
          <w:lang w:val="en-GB"/>
        </w:rPr>
      </w:pPr>
      <w:bookmarkStart w:id="26" w:name="_Toc76405370"/>
      <w:r w:rsidRPr="007E7514">
        <w:rPr>
          <w:lang w:val="en-GB"/>
        </w:rPr>
        <w:t xml:space="preserve">Synthesis of </w:t>
      </w:r>
      <w:r w:rsidR="00102E0A" w:rsidRPr="007E7514">
        <w:rPr>
          <w:lang w:val="en-GB"/>
        </w:rPr>
        <w:t xml:space="preserve">the </w:t>
      </w:r>
      <w:r w:rsidR="0008000D" w:rsidRPr="007E7514">
        <w:rPr>
          <w:lang w:val="en-GB"/>
        </w:rPr>
        <w:t xml:space="preserve">Projects </w:t>
      </w:r>
      <w:r w:rsidR="003A5DB8" w:rsidRPr="007E7514">
        <w:rPr>
          <w:lang w:val="en-GB"/>
        </w:rPr>
        <w:t>Approved by the GEF Council</w:t>
      </w:r>
      <w:r w:rsidR="00896734" w:rsidRPr="007E7514">
        <w:rPr>
          <w:lang w:val="en-GB"/>
        </w:rPr>
        <w:t xml:space="preserve"> </w:t>
      </w:r>
      <w:r w:rsidR="00D26529" w:rsidRPr="007E7514">
        <w:rPr>
          <w:lang w:val="en-GB"/>
        </w:rPr>
        <w:t>in</w:t>
      </w:r>
      <w:r w:rsidR="00896734" w:rsidRPr="007E7514">
        <w:rPr>
          <w:lang w:val="en-GB"/>
        </w:rPr>
        <w:t xml:space="preserve"> the Reporting Period</w:t>
      </w:r>
      <w:r w:rsidR="001E50E7" w:rsidRPr="007E7514">
        <w:rPr>
          <w:lang w:val="en-GB"/>
        </w:rPr>
        <w:t xml:space="preserve"> </w:t>
      </w:r>
      <w:bookmarkStart w:id="27" w:name="_Hlk73534800"/>
      <w:r w:rsidR="00E05311" w:rsidRPr="007E7514">
        <w:rPr>
          <w:lang w:val="en-GB"/>
        </w:rPr>
        <w:br/>
      </w:r>
      <w:r w:rsidR="001E50E7" w:rsidRPr="007E7514">
        <w:rPr>
          <w:lang w:val="en-GB"/>
        </w:rPr>
        <w:t xml:space="preserve">(MOU Paragraph </w:t>
      </w:r>
      <w:r w:rsidR="00DA7AA8" w:rsidRPr="007E7514">
        <w:rPr>
          <w:lang w:val="en-GB"/>
        </w:rPr>
        <w:t>9</w:t>
      </w:r>
      <w:r w:rsidR="00016F6B" w:rsidRPr="007E7514">
        <w:rPr>
          <w:lang w:val="en-GB"/>
        </w:rPr>
        <w:t>(</w:t>
      </w:r>
      <w:r w:rsidR="00DA7AA8" w:rsidRPr="007E7514">
        <w:rPr>
          <w:lang w:val="en-GB"/>
        </w:rPr>
        <w:t>b)</w:t>
      </w:r>
      <w:bookmarkEnd w:id="27"/>
      <w:r w:rsidR="00016F6B" w:rsidRPr="007E7514">
        <w:rPr>
          <w:lang w:val="en-GB"/>
        </w:rPr>
        <w:t>)</w:t>
      </w:r>
      <w:bookmarkEnd w:id="26"/>
    </w:p>
    <w:p w14:paraId="71321F0E" w14:textId="14BD278D" w:rsidR="00497E4F" w:rsidRPr="007E7514" w:rsidRDefault="00102E0A" w:rsidP="00B7581D">
      <w:pPr>
        <w:pStyle w:val="MainParagraphwith"/>
        <w:rPr>
          <w:lang w:val="en-GB"/>
        </w:rPr>
      </w:pPr>
      <w:r w:rsidRPr="007E7514">
        <w:rPr>
          <w:lang w:val="en-GB"/>
        </w:rPr>
        <w:t>In</w:t>
      </w:r>
      <w:r w:rsidR="00136B91" w:rsidRPr="007E7514">
        <w:rPr>
          <w:lang w:val="en-GB"/>
        </w:rPr>
        <w:t xml:space="preserve"> the reporting period, $</w:t>
      </w:r>
      <w:r w:rsidR="00376DF4" w:rsidRPr="007E7514">
        <w:rPr>
          <w:lang w:val="en-GB"/>
        </w:rPr>
        <w:t>13</w:t>
      </w:r>
      <w:r w:rsidR="00043ED9" w:rsidRPr="007E7514">
        <w:rPr>
          <w:lang w:val="en-GB"/>
        </w:rPr>
        <w:t>6</w:t>
      </w:r>
      <w:r w:rsidR="004562C2" w:rsidRPr="007E7514">
        <w:rPr>
          <w:lang w:val="en-GB"/>
        </w:rPr>
        <w:t>.</w:t>
      </w:r>
      <w:r w:rsidR="00043ED9" w:rsidRPr="007E7514">
        <w:rPr>
          <w:lang w:val="en-GB"/>
        </w:rPr>
        <w:t>3</w:t>
      </w:r>
      <w:r w:rsidR="00136B91" w:rsidRPr="007E7514">
        <w:rPr>
          <w:lang w:val="en-GB"/>
        </w:rPr>
        <w:t xml:space="preserve"> million of GEF </w:t>
      </w:r>
      <w:r w:rsidR="009660AB" w:rsidRPr="007E7514">
        <w:rPr>
          <w:lang w:val="en-GB"/>
        </w:rPr>
        <w:t>project financing</w:t>
      </w:r>
      <w:r w:rsidR="009E739D" w:rsidRPr="007E7514">
        <w:rPr>
          <w:rStyle w:val="FootnoteReference"/>
          <w:lang w:val="en-GB"/>
        </w:rPr>
        <w:footnoteReference w:id="17"/>
      </w:r>
      <w:r w:rsidR="00136B91" w:rsidRPr="007E7514">
        <w:rPr>
          <w:lang w:val="en-GB"/>
        </w:rPr>
        <w:t xml:space="preserve"> w</w:t>
      </w:r>
      <w:r w:rsidR="002C444F" w:rsidRPr="007E7514">
        <w:rPr>
          <w:lang w:val="en-GB"/>
        </w:rPr>
        <w:t>as</w:t>
      </w:r>
      <w:r w:rsidR="00136B91" w:rsidRPr="007E7514">
        <w:rPr>
          <w:lang w:val="en-GB"/>
        </w:rPr>
        <w:t xml:space="preserve"> utilized for programming to support the implementation of</w:t>
      </w:r>
      <w:r w:rsidR="00CA63AD" w:rsidRPr="007E7514">
        <w:rPr>
          <w:lang w:val="en-GB"/>
        </w:rPr>
        <w:t xml:space="preserve"> </w:t>
      </w:r>
      <w:r w:rsidRPr="007E7514">
        <w:rPr>
          <w:lang w:val="en-GB"/>
        </w:rPr>
        <w:t xml:space="preserve">the </w:t>
      </w:r>
      <w:r w:rsidR="00CA63AD" w:rsidRPr="007E7514">
        <w:rPr>
          <w:lang w:val="en-GB"/>
        </w:rPr>
        <w:t>Minamata</w:t>
      </w:r>
      <w:r w:rsidR="00136B91" w:rsidRPr="007E7514">
        <w:rPr>
          <w:lang w:val="en-GB"/>
        </w:rPr>
        <w:t xml:space="preserve"> Convention in </w:t>
      </w:r>
      <w:r w:rsidR="00376DF4" w:rsidRPr="007E7514">
        <w:rPr>
          <w:lang w:val="en-GB"/>
        </w:rPr>
        <w:t>5</w:t>
      </w:r>
      <w:r w:rsidR="00240E32" w:rsidRPr="007E7514">
        <w:rPr>
          <w:lang w:val="en-GB"/>
        </w:rPr>
        <w:t>8</w:t>
      </w:r>
      <w:r w:rsidR="00497E4F" w:rsidRPr="007E7514">
        <w:rPr>
          <w:lang w:val="en-GB"/>
        </w:rPr>
        <w:t xml:space="preserve"> </w:t>
      </w:r>
      <w:r w:rsidRPr="007E7514">
        <w:rPr>
          <w:lang w:val="en-GB"/>
        </w:rPr>
        <w:t>c</w:t>
      </w:r>
      <w:r w:rsidR="00497E4F" w:rsidRPr="007E7514">
        <w:rPr>
          <w:lang w:val="en-GB"/>
        </w:rPr>
        <w:t>ountries</w:t>
      </w:r>
      <w:r w:rsidR="00136B91" w:rsidRPr="007E7514">
        <w:rPr>
          <w:lang w:val="en-GB"/>
        </w:rPr>
        <w:t xml:space="preserve">. </w:t>
      </w:r>
      <w:r w:rsidR="00B5705C" w:rsidRPr="007E7514">
        <w:rPr>
          <w:lang w:val="en-GB"/>
        </w:rPr>
        <w:t>In addition, $</w:t>
      </w:r>
      <w:r w:rsidR="00C912F6" w:rsidRPr="007E7514">
        <w:rPr>
          <w:lang w:val="en-GB"/>
        </w:rPr>
        <w:t>1.1</w:t>
      </w:r>
      <w:r w:rsidR="00B5705C" w:rsidRPr="007E7514">
        <w:rPr>
          <w:lang w:val="en-GB"/>
        </w:rPr>
        <w:t xml:space="preserve"> million w</w:t>
      </w:r>
      <w:r w:rsidR="002C444F" w:rsidRPr="007E7514">
        <w:rPr>
          <w:lang w:val="en-GB"/>
        </w:rPr>
        <w:t>as</w:t>
      </w:r>
      <w:r w:rsidR="00B5705C" w:rsidRPr="007E7514">
        <w:rPr>
          <w:lang w:val="en-GB"/>
        </w:rPr>
        <w:t xml:space="preserve"> programmed for project preparation</w:t>
      </w:r>
      <w:r w:rsidR="00F16455" w:rsidRPr="007E7514">
        <w:rPr>
          <w:lang w:val="en-GB"/>
        </w:rPr>
        <w:t xml:space="preserve"> </w:t>
      </w:r>
      <w:r w:rsidR="009E739D" w:rsidRPr="007E7514">
        <w:rPr>
          <w:lang w:val="en-GB"/>
        </w:rPr>
        <w:t>grants</w:t>
      </w:r>
      <w:r w:rsidR="00F16455" w:rsidRPr="007E7514">
        <w:rPr>
          <w:lang w:val="en-GB"/>
        </w:rPr>
        <w:t xml:space="preserve"> (PPG</w:t>
      </w:r>
      <w:r w:rsidR="002C444F" w:rsidRPr="007E7514">
        <w:rPr>
          <w:lang w:val="en-GB"/>
        </w:rPr>
        <w:t>s</w:t>
      </w:r>
      <w:r w:rsidR="00F16455" w:rsidRPr="007E7514">
        <w:rPr>
          <w:lang w:val="en-GB"/>
        </w:rPr>
        <w:t>)</w:t>
      </w:r>
      <w:r w:rsidR="00B5705C" w:rsidRPr="007E7514">
        <w:rPr>
          <w:lang w:val="en-GB"/>
        </w:rPr>
        <w:t>, and $</w:t>
      </w:r>
      <w:r w:rsidR="006852AE" w:rsidRPr="007E7514">
        <w:rPr>
          <w:lang w:val="en-GB"/>
        </w:rPr>
        <w:t>1</w:t>
      </w:r>
      <w:r w:rsidR="00DD3525" w:rsidRPr="007E7514">
        <w:rPr>
          <w:lang w:val="en-GB"/>
        </w:rPr>
        <w:t>2</w:t>
      </w:r>
      <w:r w:rsidR="006852AE" w:rsidRPr="007E7514">
        <w:rPr>
          <w:lang w:val="en-GB"/>
        </w:rPr>
        <w:t>.</w:t>
      </w:r>
      <w:r w:rsidR="00DD3525" w:rsidRPr="007E7514">
        <w:rPr>
          <w:lang w:val="en-GB"/>
        </w:rPr>
        <w:t>2</w:t>
      </w:r>
      <w:r w:rsidR="00B5705C" w:rsidRPr="007E7514">
        <w:rPr>
          <w:lang w:val="en-GB"/>
        </w:rPr>
        <w:t xml:space="preserve"> million in </w:t>
      </w:r>
      <w:r w:rsidR="002C444F" w:rsidRPr="007E7514">
        <w:rPr>
          <w:lang w:val="en-GB"/>
        </w:rPr>
        <w:t>A</w:t>
      </w:r>
      <w:r w:rsidR="00B5705C" w:rsidRPr="007E7514">
        <w:rPr>
          <w:lang w:val="en-GB"/>
        </w:rPr>
        <w:t xml:space="preserve">gency fees. </w:t>
      </w:r>
      <w:r w:rsidR="00B5705C" w:rsidRPr="007E7514" w:rsidDel="00B5705C">
        <w:rPr>
          <w:lang w:val="en-GB"/>
        </w:rPr>
        <w:t xml:space="preserve"> </w:t>
      </w:r>
    </w:p>
    <w:p w14:paraId="2ADE4E34" w14:textId="70D3C6E0" w:rsidR="00C46FFF" w:rsidRPr="007E7514" w:rsidRDefault="00497E4F" w:rsidP="00B7581D">
      <w:pPr>
        <w:pStyle w:val="MainParagraphwith"/>
        <w:rPr>
          <w:lang w:val="en-GB"/>
        </w:rPr>
      </w:pPr>
      <w:r w:rsidRPr="007E7514">
        <w:rPr>
          <w:lang w:val="en-GB"/>
        </w:rPr>
        <w:t xml:space="preserve">Of the mercury funding, </w:t>
      </w:r>
      <w:r w:rsidR="00896734" w:rsidRPr="007E7514">
        <w:rPr>
          <w:lang w:val="en-GB"/>
        </w:rPr>
        <w:t>$</w:t>
      </w:r>
      <w:r w:rsidR="005844AD" w:rsidRPr="007E7514">
        <w:rPr>
          <w:lang w:val="en-GB"/>
        </w:rPr>
        <w:t>5.6</w:t>
      </w:r>
      <w:r w:rsidR="00896734" w:rsidRPr="007E7514">
        <w:rPr>
          <w:lang w:val="en-GB"/>
        </w:rPr>
        <w:t xml:space="preserve"> </w:t>
      </w:r>
      <w:r w:rsidR="00DD4193" w:rsidRPr="007E7514">
        <w:rPr>
          <w:lang w:val="en-GB"/>
        </w:rPr>
        <w:t xml:space="preserve">million </w:t>
      </w:r>
      <w:r w:rsidR="00896734" w:rsidRPr="007E7514">
        <w:rPr>
          <w:lang w:val="en-GB"/>
        </w:rPr>
        <w:t xml:space="preserve">was allocated to </w:t>
      </w:r>
      <w:r w:rsidR="00E63603" w:rsidRPr="007E7514">
        <w:rPr>
          <w:lang w:val="en-GB"/>
        </w:rPr>
        <w:t>13 single</w:t>
      </w:r>
      <w:r w:rsidR="002C444F" w:rsidRPr="007E7514">
        <w:rPr>
          <w:lang w:val="en-GB"/>
        </w:rPr>
        <w:t>-</w:t>
      </w:r>
      <w:r w:rsidR="00E63603" w:rsidRPr="007E7514">
        <w:rPr>
          <w:lang w:val="en-GB"/>
        </w:rPr>
        <w:t>country</w:t>
      </w:r>
      <w:r w:rsidR="00C46FFF" w:rsidRPr="007E7514">
        <w:rPr>
          <w:lang w:val="en-GB"/>
        </w:rPr>
        <w:t xml:space="preserve"> </w:t>
      </w:r>
      <w:r w:rsidR="00937A76" w:rsidRPr="007E7514">
        <w:rPr>
          <w:lang w:val="en-GB"/>
        </w:rPr>
        <w:t>EAs</w:t>
      </w:r>
      <w:r w:rsidR="00C46FFF" w:rsidRPr="007E7514">
        <w:rPr>
          <w:lang w:val="en-GB"/>
        </w:rPr>
        <w:t xml:space="preserve"> (</w:t>
      </w:r>
      <w:r w:rsidR="00896734" w:rsidRPr="007E7514">
        <w:rPr>
          <w:lang w:val="en-GB"/>
        </w:rPr>
        <w:t xml:space="preserve">MIAs and </w:t>
      </w:r>
      <w:r w:rsidR="007141F4" w:rsidRPr="007E7514">
        <w:rPr>
          <w:lang w:val="en-GB"/>
        </w:rPr>
        <w:t xml:space="preserve">ASGM </w:t>
      </w:r>
      <w:r w:rsidR="00896734" w:rsidRPr="007E7514">
        <w:rPr>
          <w:lang w:val="en-GB"/>
        </w:rPr>
        <w:t>NAPs)</w:t>
      </w:r>
      <w:r w:rsidR="00572B3F" w:rsidRPr="007E7514">
        <w:rPr>
          <w:lang w:val="en-GB"/>
        </w:rPr>
        <w:t>.</w:t>
      </w:r>
      <w:r w:rsidRPr="007E7514">
        <w:rPr>
          <w:lang w:val="en-GB"/>
        </w:rPr>
        <w:t xml:space="preserve"> </w:t>
      </w:r>
      <w:r w:rsidR="002C444F" w:rsidRPr="007E7514">
        <w:rPr>
          <w:lang w:val="en-GB"/>
        </w:rPr>
        <w:t xml:space="preserve">Furthermore, </w:t>
      </w:r>
      <w:r w:rsidRPr="007E7514">
        <w:rPr>
          <w:lang w:val="en-GB"/>
        </w:rPr>
        <w:t>$</w:t>
      </w:r>
      <w:r w:rsidR="005F1A3B" w:rsidRPr="007E7514">
        <w:rPr>
          <w:lang w:val="en-GB"/>
        </w:rPr>
        <w:t>3.5 million</w:t>
      </w:r>
      <w:r w:rsidRPr="007E7514">
        <w:rPr>
          <w:lang w:val="en-GB"/>
        </w:rPr>
        <w:t xml:space="preserve"> was allocated to </w:t>
      </w:r>
      <w:r w:rsidR="005F1A3B" w:rsidRPr="007E7514">
        <w:rPr>
          <w:lang w:val="en-GB"/>
        </w:rPr>
        <w:t>three global</w:t>
      </w:r>
      <w:r w:rsidR="006A770B" w:rsidRPr="007E7514">
        <w:rPr>
          <w:lang w:val="en-GB"/>
        </w:rPr>
        <w:t xml:space="preserve"> </w:t>
      </w:r>
      <w:r w:rsidRPr="007E7514">
        <w:rPr>
          <w:lang w:val="en-GB"/>
        </w:rPr>
        <w:t>MSP</w:t>
      </w:r>
      <w:r w:rsidR="005F1A3B" w:rsidRPr="007E7514">
        <w:rPr>
          <w:lang w:val="en-GB"/>
        </w:rPr>
        <w:t>s</w:t>
      </w:r>
      <w:r w:rsidR="002C444F" w:rsidRPr="007E7514">
        <w:rPr>
          <w:lang w:val="en-GB"/>
        </w:rPr>
        <w:t>,</w:t>
      </w:r>
      <w:r w:rsidR="00896734" w:rsidRPr="007E7514">
        <w:rPr>
          <w:lang w:val="en-GB"/>
        </w:rPr>
        <w:t xml:space="preserve"> $</w:t>
      </w:r>
      <w:r w:rsidR="005F1A3B" w:rsidRPr="007E7514">
        <w:rPr>
          <w:lang w:val="en-GB"/>
        </w:rPr>
        <w:t>49.9</w:t>
      </w:r>
      <w:r w:rsidR="00896734" w:rsidRPr="007E7514">
        <w:rPr>
          <w:lang w:val="en-GB"/>
        </w:rPr>
        <w:t xml:space="preserve"> </w:t>
      </w:r>
      <w:r w:rsidR="00DD4193" w:rsidRPr="007E7514">
        <w:rPr>
          <w:lang w:val="en-GB"/>
        </w:rPr>
        <w:t xml:space="preserve">million </w:t>
      </w:r>
      <w:r w:rsidR="00896734" w:rsidRPr="007E7514">
        <w:rPr>
          <w:lang w:val="en-GB"/>
        </w:rPr>
        <w:t>was allocated to</w:t>
      </w:r>
      <w:r w:rsidR="00C906AB" w:rsidRPr="007E7514">
        <w:rPr>
          <w:lang w:val="en-GB"/>
        </w:rPr>
        <w:t xml:space="preserve"> </w:t>
      </w:r>
      <w:r w:rsidR="002C444F" w:rsidRPr="007E7514">
        <w:rPr>
          <w:lang w:val="en-GB"/>
        </w:rPr>
        <w:t>eleven</w:t>
      </w:r>
      <w:r w:rsidR="00896734" w:rsidRPr="007E7514">
        <w:rPr>
          <w:lang w:val="en-GB"/>
        </w:rPr>
        <w:t xml:space="preserve"> FSPs that provided resources to</w:t>
      </w:r>
      <w:r w:rsidR="001B7F2B" w:rsidRPr="007E7514">
        <w:rPr>
          <w:lang w:val="en-GB"/>
        </w:rPr>
        <w:t xml:space="preserve"> </w:t>
      </w:r>
      <w:r w:rsidR="005F1A3B" w:rsidRPr="007E7514">
        <w:rPr>
          <w:lang w:val="en-GB"/>
        </w:rPr>
        <w:t>23</w:t>
      </w:r>
      <w:r w:rsidR="001B7F2B" w:rsidRPr="007E7514">
        <w:rPr>
          <w:lang w:val="en-GB"/>
        </w:rPr>
        <w:t xml:space="preserve"> </w:t>
      </w:r>
      <w:r w:rsidR="00896734" w:rsidRPr="007E7514">
        <w:rPr>
          <w:lang w:val="en-GB"/>
        </w:rPr>
        <w:t>countries</w:t>
      </w:r>
      <w:r w:rsidR="002C444F" w:rsidRPr="007E7514">
        <w:rPr>
          <w:lang w:val="en-GB"/>
        </w:rPr>
        <w:t xml:space="preserve"> and</w:t>
      </w:r>
      <w:r w:rsidRPr="007E7514">
        <w:rPr>
          <w:lang w:val="en-GB"/>
        </w:rPr>
        <w:t xml:space="preserve"> </w:t>
      </w:r>
      <w:r w:rsidR="001B7F2B" w:rsidRPr="007E7514">
        <w:rPr>
          <w:lang w:val="en-GB"/>
        </w:rPr>
        <w:t>$</w:t>
      </w:r>
      <w:r w:rsidR="005F1A3B" w:rsidRPr="007E7514">
        <w:rPr>
          <w:lang w:val="en-GB"/>
        </w:rPr>
        <w:t>77.3</w:t>
      </w:r>
      <w:r w:rsidR="00DD4193" w:rsidRPr="007E7514">
        <w:rPr>
          <w:lang w:val="en-GB"/>
        </w:rPr>
        <w:t xml:space="preserve"> million</w:t>
      </w:r>
      <w:r w:rsidRPr="007E7514">
        <w:rPr>
          <w:lang w:val="en-GB"/>
        </w:rPr>
        <w:t xml:space="preserve"> was allocated to</w:t>
      </w:r>
      <w:r w:rsidR="005F1A3B" w:rsidRPr="007E7514">
        <w:rPr>
          <w:lang w:val="en-GB"/>
        </w:rPr>
        <w:t xml:space="preserve"> three</w:t>
      </w:r>
      <w:r w:rsidRPr="007E7514">
        <w:rPr>
          <w:lang w:val="en-GB"/>
        </w:rPr>
        <w:t xml:space="preserve"> </w:t>
      </w:r>
      <w:r w:rsidR="002C444F" w:rsidRPr="007E7514">
        <w:rPr>
          <w:lang w:val="en-GB"/>
        </w:rPr>
        <w:t>p</w:t>
      </w:r>
      <w:r w:rsidRPr="007E7514">
        <w:rPr>
          <w:lang w:val="en-GB"/>
        </w:rPr>
        <w:t>rogram</w:t>
      </w:r>
      <w:r w:rsidR="00F43BC0" w:rsidRPr="007E7514">
        <w:rPr>
          <w:lang w:val="en-GB"/>
        </w:rPr>
        <w:t>s</w:t>
      </w:r>
      <w:r w:rsidRPr="007E7514">
        <w:rPr>
          <w:lang w:val="en-GB"/>
        </w:rPr>
        <w:t xml:space="preserve"> (</w:t>
      </w:r>
      <w:r w:rsidR="002C444F" w:rsidRPr="007E7514">
        <w:rPr>
          <w:lang w:val="en-GB"/>
        </w:rPr>
        <w:t xml:space="preserve">program framework documents - </w:t>
      </w:r>
      <w:r w:rsidRPr="007E7514">
        <w:rPr>
          <w:lang w:val="en-GB"/>
        </w:rPr>
        <w:t>PFD</w:t>
      </w:r>
      <w:r w:rsidR="002C444F" w:rsidRPr="007E7514">
        <w:rPr>
          <w:lang w:val="en-GB"/>
        </w:rPr>
        <w:t>s</w:t>
      </w:r>
      <w:r w:rsidRPr="007E7514">
        <w:rPr>
          <w:lang w:val="en-GB"/>
        </w:rPr>
        <w:t>) in</w:t>
      </w:r>
      <w:r w:rsidR="00163633" w:rsidRPr="007E7514">
        <w:rPr>
          <w:lang w:val="en-GB"/>
        </w:rPr>
        <w:t xml:space="preserve"> </w:t>
      </w:r>
      <w:r w:rsidR="003E0D29" w:rsidRPr="007E7514">
        <w:rPr>
          <w:lang w:val="en-GB"/>
        </w:rPr>
        <w:t>19</w:t>
      </w:r>
      <w:r w:rsidR="00163633" w:rsidRPr="007E7514">
        <w:rPr>
          <w:lang w:val="en-GB"/>
        </w:rPr>
        <w:t xml:space="preserve"> </w:t>
      </w:r>
      <w:r w:rsidRPr="007E7514">
        <w:rPr>
          <w:lang w:val="en-GB"/>
        </w:rPr>
        <w:t xml:space="preserve">countries. </w:t>
      </w:r>
      <w:r w:rsidR="00B637D5" w:rsidRPr="007E7514">
        <w:rPr>
          <w:lang w:val="en-GB"/>
        </w:rPr>
        <w:t>This is presented in Table 2.</w:t>
      </w:r>
      <w:r w:rsidR="00B7581D" w:rsidRPr="007E7514">
        <w:rPr>
          <w:lang w:val="en-GB"/>
        </w:rPr>
        <w:t xml:space="preserve"> </w:t>
      </w:r>
    </w:p>
    <w:p w14:paraId="2D6AECF2" w14:textId="3E117AB7" w:rsidR="00C46FFF" w:rsidRPr="007E7514" w:rsidRDefault="00B7581D" w:rsidP="00B7581D">
      <w:pPr>
        <w:pStyle w:val="MainParagraphwith"/>
        <w:rPr>
          <w:lang w:val="en-GB"/>
        </w:rPr>
      </w:pPr>
      <w:r w:rsidRPr="007E7514">
        <w:rPr>
          <w:rFonts w:cstheme="minorHAnsi"/>
          <w:lang w:val="en-GB"/>
        </w:rPr>
        <w:t xml:space="preserve">Table 3 presents the number of countries that received support from the resources mentioned above. </w:t>
      </w:r>
      <w:r w:rsidRPr="007E7514">
        <w:rPr>
          <w:lang w:val="en-GB"/>
        </w:rPr>
        <w:t xml:space="preserve">Out of the 58 </w:t>
      </w:r>
      <w:r w:rsidR="00C46FFF" w:rsidRPr="007E7514">
        <w:rPr>
          <w:lang w:val="en-GB"/>
        </w:rPr>
        <w:t>support</w:t>
      </w:r>
      <w:r w:rsidRPr="007E7514">
        <w:rPr>
          <w:lang w:val="en-GB"/>
        </w:rPr>
        <w:t>ed countries,</w:t>
      </w:r>
      <w:r w:rsidR="00C46FFF" w:rsidRPr="007E7514">
        <w:rPr>
          <w:lang w:val="en-GB"/>
        </w:rPr>
        <w:t xml:space="preserve"> </w:t>
      </w:r>
      <w:r w:rsidR="00F6737E" w:rsidRPr="007E7514">
        <w:rPr>
          <w:lang w:val="en-GB"/>
        </w:rPr>
        <w:t xml:space="preserve">14 </w:t>
      </w:r>
      <w:r w:rsidRPr="007E7514">
        <w:rPr>
          <w:lang w:val="en-GB"/>
        </w:rPr>
        <w:t xml:space="preserve">were </w:t>
      </w:r>
      <w:r w:rsidR="006E3300" w:rsidRPr="007E7514">
        <w:rPr>
          <w:lang w:val="en-GB"/>
        </w:rPr>
        <w:t>l</w:t>
      </w:r>
      <w:r w:rsidR="00C46FFF" w:rsidRPr="007E7514">
        <w:rPr>
          <w:lang w:val="en-GB"/>
        </w:rPr>
        <w:t xml:space="preserve">east </w:t>
      </w:r>
      <w:r w:rsidR="006E3300" w:rsidRPr="007E7514">
        <w:rPr>
          <w:lang w:val="en-GB"/>
        </w:rPr>
        <w:t>d</w:t>
      </w:r>
      <w:r w:rsidR="00C46FFF" w:rsidRPr="007E7514">
        <w:rPr>
          <w:lang w:val="en-GB"/>
        </w:rPr>
        <w:t>evelop</w:t>
      </w:r>
      <w:r w:rsidR="006E3300" w:rsidRPr="007E7514">
        <w:rPr>
          <w:lang w:val="en-GB"/>
        </w:rPr>
        <w:t>ed</w:t>
      </w:r>
      <w:r w:rsidR="00C46FFF" w:rsidRPr="007E7514">
        <w:rPr>
          <w:lang w:val="en-GB"/>
        </w:rPr>
        <w:t xml:space="preserve"> </w:t>
      </w:r>
      <w:r w:rsidR="006E3300" w:rsidRPr="007E7514">
        <w:rPr>
          <w:lang w:val="en-GB"/>
        </w:rPr>
        <w:t>c</w:t>
      </w:r>
      <w:r w:rsidR="00C46FFF" w:rsidRPr="007E7514">
        <w:rPr>
          <w:lang w:val="en-GB"/>
        </w:rPr>
        <w:t xml:space="preserve">ountries (LDCs) and </w:t>
      </w:r>
      <w:r w:rsidR="007B465B" w:rsidRPr="007E7514">
        <w:rPr>
          <w:lang w:val="en-GB"/>
        </w:rPr>
        <w:t>seven</w:t>
      </w:r>
      <w:r w:rsidR="00C46FFF" w:rsidRPr="007E7514">
        <w:rPr>
          <w:lang w:val="en-GB"/>
        </w:rPr>
        <w:t xml:space="preserve"> </w:t>
      </w:r>
      <w:r w:rsidRPr="007E7514">
        <w:rPr>
          <w:lang w:val="en-GB"/>
        </w:rPr>
        <w:t xml:space="preserve">were </w:t>
      </w:r>
      <w:r w:rsidR="00AE5601" w:rsidRPr="007E7514">
        <w:rPr>
          <w:lang w:val="en-GB"/>
        </w:rPr>
        <w:t>s</w:t>
      </w:r>
      <w:r w:rsidR="00C46FFF" w:rsidRPr="007E7514">
        <w:rPr>
          <w:lang w:val="en-GB"/>
        </w:rPr>
        <w:t xml:space="preserve">mall </w:t>
      </w:r>
      <w:r w:rsidR="00AE5601" w:rsidRPr="007E7514">
        <w:rPr>
          <w:lang w:val="en-GB"/>
        </w:rPr>
        <w:t>i</w:t>
      </w:r>
      <w:r w:rsidR="00C46FFF" w:rsidRPr="007E7514">
        <w:rPr>
          <w:lang w:val="en-GB"/>
        </w:rPr>
        <w:t xml:space="preserve">sland </w:t>
      </w:r>
      <w:r w:rsidR="00AE5601" w:rsidRPr="007E7514">
        <w:rPr>
          <w:lang w:val="en-GB"/>
        </w:rPr>
        <w:t>d</w:t>
      </w:r>
      <w:r w:rsidR="00C46FFF" w:rsidRPr="007E7514">
        <w:rPr>
          <w:lang w:val="en-GB"/>
        </w:rPr>
        <w:t>eveloping States (SIDS)</w:t>
      </w:r>
      <w:r w:rsidR="001338DA" w:rsidRPr="007E7514">
        <w:rPr>
          <w:rStyle w:val="FootnoteReference"/>
          <w:lang w:val="en-GB"/>
        </w:rPr>
        <w:footnoteReference w:id="18"/>
      </w:r>
      <w:r w:rsidR="00C46FFF" w:rsidRPr="007E7514">
        <w:rPr>
          <w:lang w:val="en-GB"/>
        </w:rPr>
        <w:t xml:space="preserve">. </w:t>
      </w:r>
    </w:p>
    <w:p w14:paraId="7FE38DE6" w14:textId="294E2176" w:rsidR="004D206F" w:rsidRPr="007E7514" w:rsidRDefault="002B6561" w:rsidP="00B7581D">
      <w:pPr>
        <w:pStyle w:val="MainParagraphwith"/>
        <w:rPr>
          <w:lang w:val="en-GB"/>
        </w:rPr>
      </w:pPr>
      <w:r w:rsidRPr="007E7514">
        <w:rPr>
          <w:lang w:val="en-GB"/>
        </w:rPr>
        <w:t xml:space="preserve">The </w:t>
      </w:r>
      <w:r w:rsidR="000B7C2C" w:rsidRPr="007E7514">
        <w:rPr>
          <w:lang w:val="en-GB"/>
        </w:rPr>
        <w:t>1</w:t>
      </w:r>
      <w:r w:rsidR="008A0FEE" w:rsidRPr="007E7514">
        <w:rPr>
          <w:lang w:val="en-GB"/>
        </w:rPr>
        <w:t>3</w:t>
      </w:r>
      <w:r w:rsidRPr="007E7514">
        <w:rPr>
          <w:lang w:val="en-GB"/>
        </w:rPr>
        <w:t xml:space="preserve"> </w:t>
      </w:r>
      <w:r w:rsidR="00937A76" w:rsidRPr="007E7514">
        <w:rPr>
          <w:lang w:val="en-GB"/>
        </w:rPr>
        <w:t>EA</w:t>
      </w:r>
      <w:r w:rsidRPr="007E7514">
        <w:rPr>
          <w:lang w:val="en-GB"/>
        </w:rPr>
        <w:t xml:space="preserve"> projects supported </w:t>
      </w:r>
      <w:r w:rsidR="00B409BF" w:rsidRPr="007E7514">
        <w:rPr>
          <w:lang w:val="en-GB"/>
        </w:rPr>
        <w:t>six</w:t>
      </w:r>
      <w:r w:rsidRPr="007E7514">
        <w:rPr>
          <w:lang w:val="en-GB"/>
        </w:rPr>
        <w:t xml:space="preserve"> MIA</w:t>
      </w:r>
      <w:r w:rsidR="000B7C2C" w:rsidRPr="007E7514">
        <w:rPr>
          <w:lang w:val="en-GB"/>
        </w:rPr>
        <w:t>s</w:t>
      </w:r>
      <w:r w:rsidRPr="007E7514">
        <w:rPr>
          <w:lang w:val="en-GB"/>
        </w:rPr>
        <w:t xml:space="preserve"> and </w:t>
      </w:r>
      <w:r w:rsidR="00B409BF" w:rsidRPr="007E7514">
        <w:rPr>
          <w:lang w:val="en-GB"/>
        </w:rPr>
        <w:t>eight</w:t>
      </w:r>
      <w:r w:rsidR="00DD4193" w:rsidRPr="007E7514">
        <w:rPr>
          <w:lang w:val="en-GB"/>
        </w:rPr>
        <w:t xml:space="preserve"> </w:t>
      </w:r>
      <w:r w:rsidRPr="007E7514">
        <w:rPr>
          <w:lang w:val="en-GB"/>
        </w:rPr>
        <w:t>ASGM NAPs</w:t>
      </w:r>
      <w:r w:rsidR="009063D5" w:rsidRPr="007E7514">
        <w:rPr>
          <w:lang w:val="en-GB"/>
        </w:rPr>
        <w:t>,</w:t>
      </w:r>
      <w:r w:rsidR="00DC49B8" w:rsidRPr="007E7514">
        <w:rPr>
          <w:rStyle w:val="FootnoteReference"/>
          <w:lang w:val="en-GB"/>
        </w:rPr>
        <w:footnoteReference w:id="19"/>
      </w:r>
      <w:r w:rsidRPr="007E7514">
        <w:rPr>
          <w:lang w:val="en-GB"/>
        </w:rPr>
        <w:t xml:space="preserve"> bringing the total number of countries receiving GEF support for MIAs </w:t>
      </w:r>
      <w:r w:rsidR="006E3300" w:rsidRPr="007E7514">
        <w:rPr>
          <w:lang w:val="en-GB"/>
        </w:rPr>
        <w:t>as at June 30, 2021</w:t>
      </w:r>
      <w:r w:rsidRPr="007E7514">
        <w:rPr>
          <w:lang w:val="en-GB"/>
        </w:rPr>
        <w:t xml:space="preserve"> to 11</w:t>
      </w:r>
      <w:r w:rsidR="00B409BF" w:rsidRPr="007E7514">
        <w:rPr>
          <w:lang w:val="en-GB"/>
        </w:rPr>
        <w:t>7</w:t>
      </w:r>
      <w:r w:rsidRPr="007E7514">
        <w:rPr>
          <w:lang w:val="en-GB"/>
        </w:rPr>
        <w:t xml:space="preserve"> and ASGM NAPs to </w:t>
      </w:r>
      <w:r w:rsidR="000B7C2C" w:rsidRPr="007E7514">
        <w:rPr>
          <w:lang w:val="en-GB"/>
        </w:rPr>
        <w:t>4</w:t>
      </w:r>
      <w:r w:rsidR="00B409BF" w:rsidRPr="007E7514">
        <w:rPr>
          <w:lang w:val="en-GB"/>
        </w:rPr>
        <w:t>3</w:t>
      </w:r>
      <w:r w:rsidR="00CA0B81" w:rsidRPr="007E7514">
        <w:rPr>
          <w:lang w:val="en-GB"/>
        </w:rPr>
        <w:t xml:space="preserve">. </w:t>
      </w:r>
      <w:r w:rsidR="006E3300" w:rsidRPr="007E7514">
        <w:rPr>
          <w:lang w:val="en-GB"/>
        </w:rPr>
        <w:t>The</w:t>
      </w:r>
      <w:r w:rsidR="00A009EB" w:rsidRPr="007E7514">
        <w:rPr>
          <w:lang w:val="en-GB"/>
        </w:rPr>
        <w:t xml:space="preserve"> full list of </w:t>
      </w:r>
      <w:r w:rsidR="004D206F" w:rsidRPr="007E7514">
        <w:rPr>
          <w:lang w:val="en-GB"/>
        </w:rPr>
        <w:t xml:space="preserve">supported </w:t>
      </w:r>
      <w:r w:rsidR="00A009EB" w:rsidRPr="007E7514">
        <w:rPr>
          <w:lang w:val="en-GB"/>
        </w:rPr>
        <w:t>MIA</w:t>
      </w:r>
      <w:r w:rsidR="00F833B3" w:rsidRPr="007E7514">
        <w:rPr>
          <w:lang w:val="en-GB"/>
        </w:rPr>
        <w:t>s</w:t>
      </w:r>
      <w:r w:rsidR="00A009EB" w:rsidRPr="007E7514">
        <w:rPr>
          <w:lang w:val="en-GB"/>
        </w:rPr>
        <w:t xml:space="preserve"> and NAPs </w:t>
      </w:r>
      <w:r w:rsidR="006E3300" w:rsidRPr="007E7514">
        <w:rPr>
          <w:lang w:val="en-GB"/>
        </w:rPr>
        <w:t xml:space="preserve">is presented </w:t>
      </w:r>
      <w:r w:rsidR="00A009EB" w:rsidRPr="007E7514">
        <w:rPr>
          <w:lang w:val="en-GB"/>
        </w:rPr>
        <w:t>in Annex 3</w:t>
      </w:r>
      <w:r w:rsidR="00CA0B81" w:rsidRPr="007E7514">
        <w:rPr>
          <w:lang w:val="en-GB"/>
        </w:rPr>
        <w:t xml:space="preserve">. </w:t>
      </w:r>
    </w:p>
    <w:p w14:paraId="6FD85CD0" w14:textId="3B43CE34" w:rsidR="00C46FFF" w:rsidRPr="007E7514" w:rsidRDefault="004D206F" w:rsidP="00B7581D">
      <w:pPr>
        <w:pStyle w:val="MainParagraphwith"/>
        <w:rPr>
          <w:lang w:val="en-GB"/>
        </w:rPr>
      </w:pPr>
      <w:r w:rsidRPr="007E7514">
        <w:rPr>
          <w:lang w:val="en-GB"/>
        </w:rPr>
        <w:t xml:space="preserve">The full list of projects and programs approved in the reporting period is presented in Annex 1. </w:t>
      </w:r>
    </w:p>
    <w:p w14:paraId="5A6D9404" w14:textId="62A2C23D" w:rsidR="00896734" w:rsidRPr="007E7514" w:rsidRDefault="00500E43" w:rsidP="00D0304F">
      <w:pPr>
        <w:pStyle w:val="Caption"/>
        <w:jc w:val="center"/>
      </w:pPr>
      <w:bookmarkStart w:id="28" w:name="_Toc76405543"/>
      <w:r w:rsidRPr="007E7514">
        <w:t xml:space="preserve">Table </w:t>
      </w:r>
      <w:r w:rsidRPr="007E7514">
        <w:fldChar w:fldCharType="begin"/>
      </w:r>
      <w:r w:rsidRPr="007E7514">
        <w:instrText xml:space="preserve"> SEQ Table \* ARABIC </w:instrText>
      </w:r>
      <w:r w:rsidRPr="007E7514">
        <w:fldChar w:fldCharType="separate"/>
      </w:r>
      <w:r w:rsidR="00C604A6">
        <w:rPr>
          <w:noProof/>
        </w:rPr>
        <w:t>2</w:t>
      </w:r>
      <w:r w:rsidRPr="007E7514">
        <w:fldChar w:fldCharType="end"/>
      </w:r>
      <w:r w:rsidR="00896734" w:rsidRPr="007E7514">
        <w:t xml:space="preserve">: Resources Programmed for </w:t>
      </w:r>
      <w:r w:rsidR="00D0304F" w:rsidRPr="007E7514">
        <w:t xml:space="preserve">the </w:t>
      </w:r>
      <w:r w:rsidR="00896734" w:rsidRPr="007E7514">
        <w:t xml:space="preserve">Implementation of the Minamata Convention </w:t>
      </w:r>
      <w:bookmarkStart w:id="29" w:name="_Hlk10031363"/>
      <w:r w:rsidR="00D0304F" w:rsidRPr="007E7514">
        <w:t>in</w:t>
      </w:r>
      <w:r w:rsidR="00896734" w:rsidRPr="007E7514">
        <w:t xml:space="preserve"> the </w:t>
      </w:r>
      <w:r w:rsidR="00CF0526" w:rsidRPr="007E7514">
        <w:t>R</w:t>
      </w:r>
      <w:r w:rsidR="00896734" w:rsidRPr="007E7514">
        <w:t xml:space="preserve">eporting </w:t>
      </w:r>
      <w:r w:rsidR="00CF0526" w:rsidRPr="007E7514">
        <w:t>P</w:t>
      </w:r>
      <w:r w:rsidR="00896734" w:rsidRPr="007E7514">
        <w:t xml:space="preserve">eriod </w:t>
      </w:r>
      <w:r w:rsidR="00D0304F" w:rsidRPr="007E7514">
        <w:t>(</w:t>
      </w:r>
      <w:r w:rsidR="00896734" w:rsidRPr="007E7514">
        <w:t>July 1, 201</w:t>
      </w:r>
      <w:r w:rsidR="000D74CC" w:rsidRPr="007E7514">
        <w:t>9</w:t>
      </w:r>
      <w:r w:rsidR="00896734" w:rsidRPr="007E7514">
        <w:t xml:space="preserve"> to June 30, 20</w:t>
      </w:r>
      <w:r w:rsidR="000D74CC" w:rsidRPr="007E7514">
        <w:t>21</w:t>
      </w:r>
      <w:r w:rsidR="00D0304F" w:rsidRPr="007E7514">
        <w:t>)</w:t>
      </w:r>
      <w:bookmarkEnd w:id="28"/>
      <w:bookmarkEnd w:id="29"/>
    </w:p>
    <w:p w14:paraId="38D4526B" w14:textId="77777777" w:rsidR="00896734" w:rsidRPr="007E7514" w:rsidRDefault="00896734" w:rsidP="004E221B">
      <w:pPr>
        <w:rPr>
          <w:lang w:val="en-GB"/>
        </w:rPr>
      </w:pPr>
    </w:p>
    <w:tbl>
      <w:tblPr>
        <w:tblStyle w:val="TableGrid"/>
        <w:tblW w:w="0" w:type="auto"/>
        <w:jc w:val="center"/>
        <w:tblLook w:val="04A0" w:firstRow="1" w:lastRow="0" w:firstColumn="1" w:lastColumn="0" w:noHBand="0" w:noVBand="1"/>
      </w:tblPr>
      <w:tblGrid>
        <w:gridCol w:w="3865"/>
        <w:gridCol w:w="2934"/>
      </w:tblGrid>
      <w:tr w:rsidR="00896734" w:rsidRPr="007E7514" w14:paraId="7E3F5177" w14:textId="77777777" w:rsidTr="00585673">
        <w:trPr>
          <w:jc w:val="center"/>
        </w:trPr>
        <w:tc>
          <w:tcPr>
            <w:tcW w:w="3865" w:type="dxa"/>
          </w:tcPr>
          <w:p w14:paraId="446A9B1A" w14:textId="77777777" w:rsidR="00896734" w:rsidRPr="007E7514" w:rsidRDefault="00896734" w:rsidP="004E221B">
            <w:pPr>
              <w:rPr>
                <w:rFonts w:asciiTheme="minorHAnsi" w:hAnsiTheme="minorHAnsi" w:cstheme="minorHAnsi"/>
                <w:b/>
                <w:sz w:val="22"/>
                <w:szCs w:val="22"/>
                <w:lang w:val="en-GB" w:eastAsia="zh-CN"/>
              </w:rPr>
            </w:pPr>
            <w:r w:rsidRPr="007E7514">
              <w:rPr>
                <w:rFonts w:asciiTheme="minorHAnsi" w:hAnsiTheme="minorHAnsi" w:cstheme="minorHAnsi"/>
                <w:b/>
                <w:sz w:val="22"/>
                <w:szCs w:val="22"/>
                <w:lang w:val="en-GB" w:eastAsia="zh-CN"/>
              </w:rPr>
              <w:t>Project Type</w:t>
            </w:r>
          </w:p>
        </w:tc>
        <w:tc>
          <w:tcPr>
            <w:tcW w:w="2934" w:type="dxa"/>
          </w:tcPr>
          <w:p w14:paraId="48CD122E" w14:textId="0302B870" w:rsidR="00896734" w:rsidRPr="007E7514" w:rsidRDefault="00896734" w:rsidP="004E221B">
            <w:pPr>
              <w:rPr>
                <w:rFonts w:asciiTheme="minorHAnsi" w:hAnsiTheme="minorHAnsi" w:cstheme="minorHAnsi"/>
                <w:b/>
                <w:sz w:val="22"/>
                <w:szCs w:val="22"/>
                <w:lang w:val="en-GB" w:eastAsia="zh-CN"/>
              </w:rPr>
            </w:pPr>
            <w:r w:rsidRPr="007E7514">
              <w:rPr>
                <w:rFonts w:asciiTheme="minorHAnsi" w:hAnsiTheme="minorHAnsi" w:cstheme="minorHAnsi"/>
                <w:b/>
                <w:sz w:val="22"/>
                <w:szCs w:val="22"/>
                <w:lang w:val="en-GB" w:eastAsia="zh-CN"/>
              </w:rPr>
              <w:t>GEF</w:t>
            </w:r>
            <w:r w:rsidR="004D206F" w:rsidRPr="007E7514">
              <w:rPr>
                <w:rFonts w:asciiTheme="minorHAnsi" w:hAnsiTheme="minorHAnsi" w:cstheme="minorHAnsi"/>
                <w:b/>
                <w:sz w:val="22"/>
                <w:szCs w:val="22"/>
                <w:lang w:val="en-GB" w:eastAsia="zh-CN"/>
              </w:rPr>
              <w:t xml:space="preserve"> </w:t>
            </w:r>
            <w:r w:rsidR="00CC62B0" w:rsidRPr="007E7514">
              <w:rPr>
                <w:rFonts w:asciiTheme="minorHAnsi" w:hAnsiTheme="minorHAnsi" w:cstheme="minorHAnsi"/>
                <w:b/>
                <w:sz w:val="22"/>
                <w:szCs w:val="22"/>
                <w:lang w:val="en-GB" w:eastAsia="zh-CN"/>
              </w:rPr>
              <w:t xml:space="preserve">Project </w:t>
            </w:r>
            <w:r w:rsidR="00CD760B" w:rsidRPr="007E7514">
              <w:rPr>
                <w:rFonts w:asciiTheme="minorHAnsi" w:hAnsiTheme="minorHAnsi" w:cstheme="minorHAnsi"/>
                <w:b/>
                <w:sz w:val="22"/>
                <w:szCs w:val="22"/>
                <w:lang w:val="en-GB" w:eastAsia="zh-CN"/>
              </w:rPr>
              <w:t>Financing</w:t>
            </w:r>
            <w:r w:rsidR="00585673" w:rsidRPr="007E7514">
              <w:rPr>
                <w:rFonts w:asciiTheme="minorHAnsi" w:hAnsiTheme="minorHAnsi" w:cstheme="minorHAnsi"/>
                <w:b/>
                <w:sz w:val="22"/>
                <w:szCs w:val="22"/>
                <w:lang w:val="en-GB" w:eastAsia="zh-CN"/>
              </w:rPr>
              <w:t xml:space="preserve"> Amount </w:t>
            </w:r>
            <w:r w:rsidR="00766280" w:rsidRPr="007E7514">
              <w:rPr>
                <w:rFonts w:asciiTheme="minorHAnsi" w:hAnsiTheme="minorHAnsi" w:cstheme="minorHAnsi"/>
                <w:b/>
                <w:sz w:val="22"/>
                <w:szCs w:val="22"/>
                <w:lang w:val="en-GB" w:eastAsia="zh-CN"/>
              </w:rPr>
              <w:t>(</w:t>
            </w:r>
            <w:r w:rsidR="00DD4193" w:rsidRPr="007E7514">
              <w:rPr>
                <w:rFonts w:asciiTheme="minorHAnsi" w:hAnsiTheme="minorHAnsi" w:cstheme="minorHAnsi"/>
                <w:b/>
                <w:sz w:val="22"/>
                <w:szCs w:val="22"/>
                <w:lang w:val="en-GB" w:eastAsia="zh-CN"/>
              </w:rPr>
              <w:t>$</w:t>
            </w:r>
            <w:r w:rsidR="00766280" w:rsidRPr="007E7514">
              <w:rPr>
                <w:rFonts w:asciiTheme="minorHAnsi" w:hAnsiTheme="minorHAnsi" w:cstheme="minorHAnsi"/>
                <w:b/>
                <w:sz w:val="22"/>
                <w:szCs w:val="22"/>
                <w:lang w:val="en-GB" w:eastAsia="zh-CN"/>
              </w:rPr>
              <w:t xml:space="preserve"> </w:t>
            </w:r>
            <w:r w:rsidRPr="007E7514">
              <w:rPr>
                <w:rFonts w:asciiTheme="minorHAnsi" w:hAnsiTheme="minorHAnsi" w:cstheme="minorHAnsi"/>
                <w:b/>
                <w:sz w:val="22"/>
                <w:szCs w:val="22"/>
                <w:lang w:val="en-GB" w:eastAsia="zh-CN"/>
              </w:rPr>
              <w:t>million)</w:t>
            </w:r>
            <w:r w:rsidRPr="007E7514">
              <w:rPr>
                <w:rStyle w:val="FootnoteReference"/>
                <w:rFonts w:asciiTheme="minorHAnsi" w:hAnsiTheme="minorHAnsi" w:cstheme="minorHAnsi"/>
                <w:b/>
                <w:sz w:val="22"/>
                <w:szCs w:val="22"/>
                <w:lang w:val="en-GB" w:eastAsia="zh-CN"/>
              </w:rPr>
              <w:footnoteReference w:id="20"/>
            </w:r>
          </w:p>
        </w:tc>
      </w:tr>
      <w:tr w:rsidR="00896734" w:rsidRPr="007E7514" w14:paraId="2ECAF65B" w14:textId="77777777" w:rsidTr="00585673">
        <w:trPr>
          <w:jc w:val="center"/>
        </w:trPr>
        <w:tc>
          <w:tcPr>
            <w:tcW w:w="3865" w:type="dxa"/>
          </w:tcPr>
          <w:p w14:paraId="5E252B81" w14:textId="77777777" w:rsidR="00896734" w:rsidRPr="007E7514" w:rsidRDefault="00896734"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Enabling Activities (MIAs and NAPs)</w:t>
            </w:r>
          </w:p>
        </w:tc>
        <w:tc>
          <w:tcPr>
            <w:tcW w:w="2934" w:type="dxa"/>
          </w:tcPr>
          <w:p w14:paraId="5302D5A5" w14:textId="7AD2E8E1" w:rsidR="00896734" w:rsidRPr="007E7514" w:rsidRDefault="000A2D44"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5</w:t>
            </w:r>
            <w:r w:rsidR="001B7F2B" w:rsidRPr="007E7514">
              <w:rPr>
                <w:rFonts w:asciiTheme="minorHAnsi" w:hAnsiTheme="minorHAnsi" w:cstheme="minorHAnsi"/>
                <w:sz w:val="22"/>
                <w:szCs w:val="22"/>
                <w:lang w:val="en-GB" w:eastAsia="zh-CN"/>
              </w:rPr>
              <w:t>.</w:t>
            </w:r>
            <w:r w:rsidRPr="007E7514">
              <w:rPr>
                <w:rFonts w:asciiTheme="minorHAnsi" w:hAnsiTheme="minorHAnsi" w:cstheme="minorHAnsi"/>
                <w:sz w:val="22"/>
                <w:szCs w:val="22"/>
                <w:lang w:val="en-GB" w:eastAsia="zh-CN"/>
              </w:rPr>
              <w:t>6</w:t>
            </w:r>
          </w:p>
        </w:tc>
      </w:tr>
      <w:tr w:rsidR="00896734" w:rsidRPr="007E7514" w14:paraId="357AD7C4" w14:textId="77777777" w:rsidTr="00585673">
        <w:trPr>
          <w:jc w:val="center"/>
        </w:trPr>
        <w:tc>
          <w:tcPr>
            <w:tcW w:w="3865" w:type="dxa"/>
          </w:tcPr>
          <w:p w14:paraId="3B59CB9D" w14:textId="112B037F" w:rsidR="00896734" w:rsidRPr="007E7514" w:rsidRDefault="00896734"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Medium-</w:t>
            </w:r>
            <w:r w:rsidR="004D206F" w:rsidRPr="007E7514">
              <w:rPr>
                <w:rFonts w:asciiTheme="minorHAnsi" w:hAnsiTheme="minorHAnsi" w:cstheme="minorHAnsi"/>
                <w:sz w:val="22"/>
                <w:szCs w:val="22"/>
                <w:lang w:val="en-GB" w:eastAsia="zh-CN"/>
              </w:rPr>
              <w:t>s</w:t>
            </w:r>
            <w:r w:rsidRPr="007E7514">
              <w:rPr>
                <w:rFonts w:asciiTheme="minorHAnsi" w:hAnsiTheme="minorHAnsi" w:cstheme="minorHAnsi"/>
                <w:sz w:val="22"/>
                <w:szCs w:val="22"/>
                <w:lang w:val="en-GB" w:eastAsia="zh-CN"/>
              </w:rPr>
              <w:t>ize</w:t>
            </w:r>
            <w:r w:rsidR="000E404C" w:rsidRPr="007E7514">
              <w:rPr>
                <w:rFonts w:asciiTheme="minorHAnsi" w:hAnsiTheme="minorHAnsi" w:cstheme="minorHAnsi"/>
                <w:sz w:val="22"/>
                <w:szCs w:val="22"/>
                <w:lang w:val="en-GB" w:eastAsia="zh-CN"/>
              </w:rPr>
              <w:t>d</w:t>
            </w:r>
            <w:r w:rsidRPr="007E7514">
              <w:rPr>
                <w:rFonts w:asciiTheme="minorHAnsi" w:hAnsiTheme="minorHAnsi" w:cstheme="minorHAnsi"/>
                <w:sz w:val="22"/>
                <w:szCs w:val="22"/>
                <w:lang w:val="en-GB" w:eastAsia="zh-CN"/>
              </w:rPr>
              <w:t xml:space="preserve"> Projects</w:t>
            </w:r>
          </w:p>
        </w:tc>
        <w:tc>
          <w:tcPr>
            <w:tcW w:w="2934" w:type="dxa"/>
          </w:tcPr>
          <w:p w14:paraId="7EE5159B" w14:textId="64B566D3" w:rsidR="00896734" w:rsidRPr="007E7514" w:rsidRDefault="000B7C2C"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3.5</w:t>
            </w:r>
          </w:p>
        </w:tc>
      </w:tr>
      <w:tr w:rsidR="00896734" w:rsidRPr="007E7514" w14:paraId="37699CE9" w14:textId="77777777" w:rsidTr="00585673">
        <w:trPr>
          <w:jc w:val="center"/>
        </w:trPr>
        <w:tc>
          <w:tcPr>
            <w:tcW w:w="3865" w:type="dxa"/>
          </w:tcPr>
          <w:p w14:paraId="44B448CE" w14:textId="3A31E5CB" w:rsidR="00896734" w:rsidRPr="007E7514" w:rsidRDefault="00896734"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Full-</w:t>
            </w:r>
            <w:r w:rsidR="004D206F" w:rsidRPr="007E7514">
              <w:rPr>
                <w:rFonts w:asciiTheme="minorHAnsi" w:hAnsiTheme="minorHAnsi" w:cstheme="minorHAnsi"/>
                <w:sz w:val="22"/>
                <w:szCs w:val="22"/>
                <w:lang w:val="en-GB" w:eastAsia="zh-CN"/>
              </w:rPr>
              <w:t>s</w:t>
            </w:r>
            <w:r w:rsidRPr="007E7514">
              <w:rPr>
                <w:rFonts w:asciiTheme="minorHAnsi" w:hAnsiTheme="minorHAnsi" w:cstheme="minorHAnsi"/>
                <w:sz w:val="22"/>
                <w:szCs w:val="22"/>
                <w:lang w:val="en-GB" w:eastAsia="zh-CN"/>
              </w:rPr>
              <w:t>ize</w:t>
            </w:r>
            <w:r w:rsidR="000E404C" w:rsidRPr="007E7514">
              <w:rPr>
                <w:rFonts w:asciiTheme="minorHAnsi" w:hAnsiTheme="minorHAnsi" w:cstheme="minorHAnsi"/>
                <w:sz w:val="22"/>
                <w:szCs w:val="22"/>
                <w:lang w:val="en-GB" w:eastAsia="zh-CN"/>
              </w:rPr>
              <w:t>d</w:t>
            </w:r>
            <w:r w:rsidRPr="007E7514">
              <w:rPr>
                <w:rFonts w:asciiTheme="minorHAnsi" w:hAnsiTheme="minorHAnsi" w:cstheme="minorHAnsi"/>
                <w:sz w:val="22"/>
                <w:szCs w:val="22"/>
                <w:lang w:val="en-GB" w:eastAsia="zh-CN"/>
              </w:rPr>
              <w:t xml:space="preserve"> Projects</w:t>
            </w:r>
          </w:p>
        </w:tc>
        <w:tc>
          <w:tcPr>
            <w:tcW w:w="2934" w:type="dxa"/>
          </w:tcPr>
          <w:p w14:paraId="5359CF11" w14:textId="5CB65BAC" w:rsidR="00896734" w:rsidRPr="007E7514" w:rsidRDefault="000B7C2C"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49.9</w:t>
            </w:r>
          </w:p>
        </w:tc>
      </w:tr>
      <w:tr w:rsidR="001B7F2B" w:rsidRPr="007E7514" w14:paraId="6494A338" w14:textId="77777777" w:rsidTr="00585673">
        <w:trPr>
          <w:jc w:val="center"/>
        </w:trPr>
        <w:tc>
          <w:tcPr>
            <w:tcW w:w="3865" w:type="dxa"/>
          </w:tcPr>
          <w:p w14:paraId="69B57966" w14:textId="77777777" w:rsidR="001B7F2B" w:rsidRPr="007E7514" w:rsidRDefault="001B7F2B"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Programs</w:t>
            </w:r>
          </w:p>
        </w:tc>
        <w:tc>
          <w:tcPr>
            <w:tcW w:w="2934" w:type="dxa"/>
          </w:tcPr>
          <w:p w14:paraId="71FF2754" w14:textId="0E662DA2" w:rsidR="001B7F2B" w:rsidRPr="007E7514" w:rsidRDefault="000D74CC"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77.3</w:t>
            </w:r>
          </w:p>
        </w:tc>
      </w:tr>
      <w:tr w:rsidR="00896734" w:rsidRPr="007E7514" w14:paraId="10C141AC" w14:textId="77777777" w:rsidTr="00585673">
        <w:trPr>
          <w:jc w:val="center"/>
        </w:trPr>
        <w:tc>
          <w:tcPr>
            <w:tcW w:w="3865" w:type="dxa"/>
          </w:tcPr>
          <w:p w14:paraId="35469627" w14:textId="77777777" w:rsidR="00896734" w:rsidRPr="007E7514" w:rsidRDefault="00896734" w:rsidP="004E221B">
            <w:pPr>
              <w:rPr>
                <w:rFonts w:asciiTheme="minorHAnsi" w:hAnsiTheme="minorHAnsi" w:cstheme="minorHAnsi"/>
                <w:b/>
                <w:bCs/>
                <w:sz w:val="22"/>
                <w:szCs w:val="22"/>
                <w:lang w:val="en-GB" w:eastAsia="zh-CN"/>
              </w:rPr>
            </w:pPr>
            <w:r w:rsidRPr="007E7514">
              <w:rPr>
                <w:rFonts w:asciiTheme="minorHAnsi" w:hAnsiTheme="minorHAnsi" w:cstheme="minorHAnsi"/>
                <w:b/>
                <w:bCs/>
                <w:sz w:val="22"/>
                <w:szCs w:val="22"/>
                <w:lang w:val="en-GB" w:eastAsia="zh-CN"/>
              </w:rPr>
              <w:t>Total</w:t>
            </w:r>
          </w:p>
        </w:tc>
        <w:tc>
          <w:tcPr>
            <w:tcW w:w="2934" w:type="dxa"/>
          </w:tcPr>
          <w:p w14:paraId="6FFB24D7" w14:textId="3243F486" w:rsidR="00896734" w:rsidRPr="007E7514" w:rsidRDefault="000D74CC" w:rsidP="007B7BED">
            <w:pPr>
              <w:jc w:val="right"/>
              <w:rPr>
                <w:rFonts w:asciiTheme="minorHAnsi" w:hAnsiTheme="minorHAnsi" w:cstheme="minorHAnsi"/>
                <w:b/>
                <w:bCs/>
                <w:sz w:val="22"/>
                <w:szCs w:val="22"/>
                <w:lang w:val="en-GB" w:eastAsia="zh-CN"/>
              </w:rPr>
            </w:pPr>
            <w:r w:rsidRPr="007E7514">
              <w:rPr>
                <w:rFonts w:asciiTheme="minorHAnsi" w:hAnsiTheme="minorHAnsi" w:cstheme="minorHAnsi"/>
                <w:b/>
                <w:bCs/>
                <w:sz w:val="22"/>
                <w:szCs w:val="22"/>
                <w:lang w:val="en-GB" w:eastAsia="zh-CN"/>
              </w:rPr>
              <w:t>13</w:t>
            </w:r>
            <w:r w:rsidR="005B61D0" w:rsidRPr="007E7514">
              <w:rPr>
                <w:rFonts w:asciiTheme="minorHAnsi" w:hAnsiTheme="minorHAnsi" w:cstheme="minorHAnsi"/>
                <w:b/>
                <w:bCs/>
                <w:sz w:val="22"/>
                <w:szCs w:val="22"/>
                <w:lang w:val="en-GB" w:eastAsia="zh-CN"/>
              </w:rPr>
              <w:t>6</w:t>
            </w:r>
            <w:r w:rsidRPr="007E7514">
              <w:rPr>
                <w:rFonts w:asciiTheme="minorHAnsi" w:hAnsiTheme="minorHAnsi" w:cstheme="minorHAnsi"/>
                <w:b/>
                <w:bCs/>
                <w:sz w:val="22"/>
                <w:szCs w:val="22"/>
                <w:lang w:val="en-GB" w:eastAsia="zh-CN"/>
              </w:rPr>
              <w:t>.</w:t>
            </w:r>
            <w:r w:rsidR="005B61D0" w:rsidRPr="007E7514">
              <w:rPr>
                <w:rFonts w:asciiTheme="minorHAnsi" w:hAnsiTheme="minorHAnsi" w:cstheme="minorHAnsi"/>
                <w:b/>
                <w:bCs/>
                <w:sz w:val="22"/>
                <w:szCs w:val="22"/>
                <w:lang w:val="en-GB" w:eastAsia="zh-CN"/>
              </w:rPr>
              <w:t>3</w:t>
            </w:r>
          </w:p>
        </w:tc>
      </w:tr>
    </w:tbl>
    <w:p w14:paraId="01D4ED4D" w14:textId="77777777" w:rsidR="00896734" w:rsidRPr="007E7514" w:rsidRDefault="00896734" w:rsidP="002D4A77">
      <w:pPr>
        <w:pStyle w:val="Heading2"/>
        <w:numPr>
          <w:ilvl w:val="0"/>
          <w:numId w:val="0"/>
        </w:numPr>
        <w:rPr>
          <w:lang w:val="en-GB"/>
        </w:rPr>
      </w:pPr>
    </w:p>
    <w:p w14:paraId="0EBC9267" w14:textId="6C02C9D7" w:rsidR="00500E43" w:rsidRPr="007E7514" w:rsidRDefault="00500E43" w:rsidP="00D0304F">
      <w:pPr>
        <w:pStyle w:val="Caption"/>
        <w:keepNext/>
        <w:jc w:val="center"/>
      </w:pPr>
      <w:bookmarkStart w:id="30" w:name="_Toc76405544"/>
      <w:bookmarkStart w:id="31" w:name="_Toc528774330"/>
      <w:r w:rsidRPr="007E7514">
        <w:t xml:space="preserve">Table </w:t>
      </w:r>
      <w:r w:rsidRPr="007E7514">
        <w:fldChar w:fldCharType="begin"/>
      </w:r>
      <w:r w:rsidRPr="007E7514">
        <w:instrText xml:space="preserve"> SEQ Table \* ARABIC </w:instrText>
      </w:r>
      <w:r w:rsidRPr="007E7514">
        <w:fldChar w:fldCharType="separate"/>
      </w:r>
      <w:r w:rsidR="00C604A6">
        <w:rPr>
          <w:noProof/>
        </w:rPr>
        <w:t>3</w:t>
      </w:r>
      <w:r w:rsidRPr="007E7514">
        <w:fldChar w:fldCharType="end"/>
      </w:r>
      <w:r w:rsidRPr="007E7514">
        <w:t xml:space="preserve">: Number of Countries Receiving Support </w:t>
      </w:r>
      <w:r w:rsidR="00D0304F" w:rsidRPr="007E7514">
        <w:t>in</w:t>
      </w:r>
      <w:r w:rsidRPr="007E7514">
        <w:t xml:space="preserve"> the </w:t>
      </w:r>
      <w:r w:rsidR="00CF0526" w:rsidRPr="007E7514">
        <w:t>R</w:t>
      </w:r>
      <w:r w:rsidRPr="007E7514">
        <w:t xml:space="preserve">eporting </w:t>
      </w:r>
      <w:r w:rsidR="00CF0526" w:rsidRPr="007E7514">
        <w:t>P</w:t>
      </w:r>
      <w:r w:rsidRPr="007E7514">
        <w:t xml:space="preserve">eriod </w:t>
      </w:r>
      <w:r w:rsidR="005968E7" w:rsidRPr="007E7514">
        <w:br/>
      </w:r>
      <w:r w:rsidR="00D0304F" w:rsidRPr="007E7514">
        <w:lastRenderedPageBreak/>
        <w:t>(</w:t>
      </w:r>
      <w:r w:rsidRPr="007E7514">
        <w:t>July 1, 201</w:t>
      </w:r>
      <w:r w:rsidR="00492E07" w:rsidRPr="007E7514">
        <w:t>9</w:t>
      </w:r>
      <w:r w:rsidRPr="007E7514">
        <w:t xml:space="preserve"> to June 30, 20</w:t>
      </w:r>
      <w:r w:rsidR="00492E07" w:rsidRPr="007E7514">
        <w:t>21</w:t>
      </w:r>
      <w:r w:rsidR="00D0304F" w:rsidRPr="007E7514">
        <w:t>)</w:t>
      </w:r>
      <w:bookmarkEnd w:id="30"/>
    </w:p>
    <w:p w14:paraId="3547AE84" w14:textId="77777777" w:rsidR="007068DC" w:rsidRPr="007E7514" w:rsidRDefault="007068DC" w:rsidP="007068DC">
      <w:pPr>
        <w:rPr>
          <w:lang w:val="en-GB"/>
        </w:rPr>
      </w:pPr>
    </w:p>
    <w:tbl>
      <w:tblPr>
        <w:tblStyle w:val="TableGrid"/>
        <w:tblW w:w="0" w:type="auto"/>
        <w:jc w:val="center"/>
        <w:tblLook w:val="04A0" w:firstRow="1" w:lastRow="0" w:firstColumn="1" w:lastColumn="0" w:noHBand="0" w:noVBand="1"/>
      </w:tblPr>
      <w:tblGrid>
        <w:gridCol w:w="3190"/>
        <w:gridCol w:w="3190"/>
      </w:tblGrid>
      <w:tr w:rsidR="00303F5E" w:rsidRPr="007E7514" w14:paraId="213C1C21" w14:textId="77777777" w:rsidTr="00766E96">
        <w:trPr>
          <w:jc w:val="center"/>
        </w:trPr>
        <w:tc>
          <w:tcPr>
            <w:tcW w:w="3190" w:type="dxa"/>
          </w:tcPr>
          <w:bookmarkEnd w:id="31"/>
          <w:p w14:paraId="45ABB966" w14:textId="0763C502" w:rsidR="00303F5E" w:rsidRPr="007E7514" w:rsidRDefault="00303F5E">
            <w:pPr>
              <w:rPr>
                <w:rFonts w:asciiTheme="minorHAnsi" w:hAnsiTheme="minorHAnsi" w:cstheme="minorHAnsi"/>
                <w:b/>
                <w:sz w:val="22"/>
                <w:szCs w:val="22"/>
                <w:lang w:val="en-GB" w:eastAsia="zh-CN"/>
              </w:rPr>
            </w:pPr>
            <w:r w:rsidRPr="007E7514">
              <w:rPr>
                <w:rFonts w:asciiTheme="minorHAnsi" w:hAnsiTheme="minorHAnsi" w:cstheme="minorHAnsi"/>
                <w:b/>
                <w:sz w:val="22"/>
                <w:szCs w:val="22"/>
                <w:lang w:val="en-GB" w:eastAsia="zh-CN"/>
              </w:rPr>
              <w:t>Project</w:t>
            </w:r>
            <w:r w:rsidR="00585673" w:rsidRPr="007E7514">
              <w:rPr>
                <w:rFonts w:asciiTheme="minorHAnsi" w:hAnsiTheme="minorHAnsi" w:cstheme="minorHAnsi"/>
                <w:b/>
                <w:sz w:val="22"/>
                <w:szCs w:val="22"/>
                <w:lang w:val="en-GB" w:eastAsia="zh-CN"/>
              </w:rPr>
              <w:t xml:space="preserve"> Type</w:t>
            </w:r>
          </w:p>
        </w:tc>
        <w:tc>
          <w:tcPr>
            <w:tcW w:w="3190" w:type="dxa"/>
          </w:tcPr>
          <w:p w14:paraId="67F4465C" w14:textId="77777777" w:rsidR="00303F5E" w:rsidRPr="007E7514" w:rsidRDefault="00303F5E">
            <w:pPr>
              <w:rPr>
                <w:rFonts w:asciiTheme="minorHAnsi" w:hAnsiTheme="minorHAnsi" w:cstheme="minorHAnsi"/>
                <w:b/>
                <w:sz w:val="22"/>
                <w:szCs w:val="22"/>
                <w:lang w:val="en-GB" w:eastAsia="zh-CN"/>
              </w:rPr>
            </w:pPr>
            <w:r w:rsidRPr="007E7514">
              <w:rPr>
                <w:rFonts w:asciiTheme="minorHAnsi" w:hAnsiTheme="minorHAnsi" w:cstheme="minorHAnsi"/>
                <w:b/>
                <w:sz w:val="22"/>
                <w:szCs w:val="22"/>
                <w:lang w:val="en-GB" w:eastAsia="zh-CN"/>
              </w:rPr>
              <w:t>Number of Countries</w:t>
            </w:r>
          </w:p>
        </w:tc>
      </w:tr>
      <w:tr w:rsidR="00303F5E" w:rsidRPr="007E7514" w14:paraId="26485750" w14:textId="77777777" w:rsidTr="00766E96">
        <w:trPr>
          <w:jc w:val="center"/>
        </w:trPr>
        <w:tc>
          <w:tcPr>
            <w:tcW w:w="3190" w:type="dxa"/>
          </w:tcPr>
          <w:p w14:paraId="1A0FD643" w14:textId="5052E665" w:rsidR="00303F5E" w:rsidRPr="007E7514" w:rsidRDefault="003D70ED"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 xml:space="preserve">Enabling </w:t>
            </w:r>
            <w:r w:rsidR="00914BA4" w:rsidRPr="007E7514">
              <w:rPr>
                <w:rFonts w:asciiTheme="minorHAnsi" w:hAnsiTheme="minorHAnsi" w:cstheme="minorHAnsi"/>
                <w:sz w:val="22"/>
                <w:szCs w:val="22"/>
                <w:lang w:val="en-GB" w:eastAsia="zh-CN"/>
              </w:rPr>
              <w:t>Activities</w:t>
            </w:r>
          </w:p>
        </w:tc>
        <w:tc>
          <w:tcPr>
            <w:tcW w:w="3190" w:type="dxa"/>
          </w:tcPr>
          <w:p w14:paraId="6C9B8BA0" w14:textId="175D90FA" w:rsidR="00303F5E" w:rsidRPr="007E7514" w:rsidRDefault="003D70ED"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13</w:t>
            </w:r>
          </w:p>
        </w:tc>
      </w:tr>
      <w:tr w:rsidR="00303F5E" w:rsidRPr="007E7514" w14:paraId="33FF0820" w14:textId="77777777" w:rsidTr="00766E96">
        <w:trPr>
          <w:jc w:val="center"/>
        </w:trPr>
        <w:tc>
          <w:tcPr>
            <w:tcW w:w="3190" w:type="dxa"/>
          </w:tcPr>
          <w:p w14:paraId="00DE8709" w14:textId="2749819A" w:rsidR="00303F5E" w:rsidRPr="007E7514" w:rsidRDefault="00303F5E"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Medium</w:t>
            </w:r>
            <w:r w:rsidR="00C06BF9" w:rsidRPr="007E7514">
              <w:rPr>
                <w:rFonts w:asciiTheme="minorHAnsi" w:hAnsiTheme="minorHAnsi" w:cstheme="minorHAnsi"/>
                <w:sz w:val="22"/>
                <w:szCs w:val="22"/>
                <w:lang w:val="en-GB" w:eastAsia="zh-CN"/>
              </w:rPr>
              <w:t>-</w:t>
            </w:r>
            <w:r w:rsidR="004D206F" w:rsidRPr="007E7514">
              <w:rPr>
                <w:rFonts w:asciiTheme="minorHAnsi" w:hAnsiTheme="minorHAnsi" w:cstheme="minorHAnsi"/>
                <w:sz w:val="22"/>
                <w:szCs w:val="22"/>
                <w:lang w:val="en-GB" w:eastAsia="zh-CN"/>
              </w:rPr>
              <w:t>s</w:t>
            </w:r>
            <w:r w:rsidRPr="007E7514">
              <w:rPr>
                <w:rFonts w:asciiTheme="minorHAnsi" w:hAnsiTheme="minorHAnsi" w:cstheme="minorHAnsi"/>
                <w:sz w:val="22"/>
                <w:szCs w:val="22"/>
                <w:lang w:val="en-GB" w:eastAsia="zh-CN"/>
              </w:rPr>
              <w:t>ize</w:t>
            </w:r>
            <w:r w:rsidR="000E404C" w:rsidRPr="007E7514">
              <w:rPr>
                <w:rFonts w:asciiTheme="minorHAnsi" w:hAnsiTheme="minorHAnsi" w:cstheme="minorHAnsi"/>
                <w:sz w:val="22"/>
                <w:szCs w:val="22"/>
                <w:lang w:val="en-GB" w:eastAsia="zh-CN"/>
              </w:rPr>
              <w:t>d</w:t>
            </w:r>
            <w:r w:rsidRPr="007E7514">
              <w:rPr>
                <w:rFonts w:asciiTheme="minorHAnsi" w:hAnsiTheme="minorHAnsi" w:cstheme="minorHAnsi"/>
                <w:sz w:val="22"/>
                <w:szCs w:val="22"/>
                <w:lang w:val="en-GB" w:eastAsia="zh-CN"/>
              </w:rPr>
              <w:t xml:space="preserve"> Projects</w:t>
            </w:r>
          </w:p>
        </w:tc>
        <w:tc>
          <w:tcPr>
            <w:tcW w:w="3190" w:type="dxa"/>
          </w:tcPr>
          <w:p w14:paraId="73EF077C" w14:textId="6C417151" w:rsidR="00303F5E" w:rsidRPr="007E7514" w:rsidRDefault="00313ADB"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3</w:t>
            </w:r>
            <w:r w:rsidR="00E20F6D" w:rsidRPr="007E7514">
              <w:rPr>
                <w:rStyle w:val="FootnoteReference"/>
                <w:rFonts w:asciiTheme="minorHAnsi" w:hAnsiTheme="minorHAnsi" w:cstheme="minorHAnsi"/>
                <w:sz w:val="22"/>
                <w:szCs w:val="22"/>
                <w:lang w:val="en-GB" w:eastAsia="zh-CN"/>
              </w:rPr>
              <w:footnoteReference w:id="21"/>
            </w:r>
          </w:p>
        </w:tc>
      </w:tr>
      <w:tr w:rsidR="00303F5E" w:rsidRPr="007E7514" w14:paraId="5EC0189C" w14:textId="77777777" w:rsidTr="00766E96">
        <w:trPr>
          <w:jc w:val="center"/>
        </w:trPr>
        <w:tc>
          <w:tcPr>
            <w:tcW w:w="3190" w:type="dxa"/>
          </w:tcPr>
          <w:p w14:paraId="59E77E2D" w14:textId="49FDB727" w:rsidR="00303F5E" w:rsidRPr="007E7514" w:rsidRDefault="00303F5E"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Full</w:t>
            </w:r>
            <w:r w:rsidR="00C06BF9" w:rsidRPr="007E7514">
              <w:rPr>
                <w:rFonts w:asciiTheme="minorHAnsi" w:hAnsiTheme="minorHAnsi" w:cstheme="minorHAnsi"/>
                <w:sz w:val="22"/>
                <w:szCs w:val="22"/>
                <w:lang w:val="en-GB" w:eastAsia="zh-CN"/>
              </w:rPr>
              <w:t>-</w:t>
            </w:r>
            <w:r w:rsidR="004D206F" w:rsidRPr="007E7514">
              <w:rPr>
                <w:rFonts w:asciiTheme="minorHAnsi" w:hAnsiTheme="minorHAnsi" w:cstheme="minorHAnsi"/>
                <w:sz w:val="22"/>
                <w:szCs w:val="22"/>
                <w:lang w:val="en-GB" w:eastAsia="zh-CN"/>
              </w:rPr>
              <w:t>s</w:t>
            </w:r>
            <w:r w:rsidRPr="007E7514">
              <w:rPr>
                <w:rFonts w:asciiTheme="minorHAnsi" w:hAnsiTheme="minorHAnsi" w:cstheme="minorHAnsi"/>
                <w:sz w:val="22"/>
                <w:szCs w:val="22"/>
                <w:lang w:val="en-GB" w:eastAsia="zh-CN"/>
              </w:rPr>
              <w:t>ize</w:t>
            </w:r>
            <w:r w:rsidR="000E404C" w:rsidRPr="007E7514">
              <w:rPr>
                <w:rFonts w:asciiTheme="minorHAnsi" w:hAnsiTheme="minorHAnsi" w:cstheme="minorHAnsi"/>
                <w:sz w:val="22"/>
                <w:szCs w:val="22"/>
                <w:lang w:val="en-GB" w:eastAsia="zh-CN"/>
              </w:rPr>
              <w:t>d</w:t>
            </w:r>
            <w:r w:rsidRPr="007E7514">
              <w:rPr>
                <w:rFonts w:asciiTheme="minorHAnsi" w:hAnsiTheme="minorHAnsi" w:cstheme="minorHAnsi"/>
                <w:sz w:val="22"/>
                <w:szCs w:val="22"/>
                <w:lang w:val="en-GB" w:eastAsia="zh-CN"/>
              </w:rPr>
              <w:t xml:space="preserve"> Projects</w:t>
            </w:r>
          </w:p>
        </w:tc>
        <w:tc>
          <w:tcPr>
            <w:tcW w:w="3190" w:type="dxa"/>
          </w:tcPr>
          <w:p w14:paraId="20E07A49" w14:textId="788B8F07" w:rsidR="00303F5E" w:rsidRPr="007E7514" w:rsidRDefault="000B7C2C"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23</w:t>
            </w:r>
          </w:p>
        </w:tc>
      </w:tr>
      <w:tr w:rsidR="003B0C4A" w:rsidRPr="007E7514" w14:paraId="5101FF42" w14:textId="77777777" w:rsidTr="00766E96">
        <w:trPr>
          <w:jc w:val="center"/>
        </w:trPr>
        <w:tc>
          <w:tcPr>
            <w:tcW w:w="3190" w:type="dxa"/>
          </w:tcPr>
          <w:p w14:paraId="0A7D0D90" w14:textId="77777777" w:rsidR="003B0C4A" w:rsidRPr="007E7514" w:rsidRDefault="003B0C4A" w:rsidP="004E221B">
            <w:pPr>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Programs</w:t>
            </w:r>
          </w:p>
        </w:tc>
        <w:tc>
          <w:tcPr>
            <w:tcW w:w="3190" w:type="dxa"/>
          </w:tcPr>
          <w:p w14:paraId="7A7E0E92" w14:textId="54944722" w:rsidR="003B0C4A" w:rsidRPr="007E7514" w:rsidRDefault="000B7C2C" w:rsidP="007B7BED">
            <w:pPr>
              <w:jc w:val="right"/>
              <w:rPr>
                <w:rFonts w:asciiTheme="minorHAnsi" w:hAnsiTheme="minorHAnsi" w:cstheme="minorHAnsi"/>
                <w:sz w:val="22"/>
                <w:szCs w:val="22"/>
                <w:lang w:val="en-GB" w:eastAsia="zh-CN"/>
              </w:rPr>
            </w:pPr>
            <w:r w:rsidRPr="007E7514">
              <w:rPr>
                <w:rFonts w:asciiTheme="minorHAnsi" w:hAnsiTheme="minorHAnsi" w:cstheme="minorHAnsi"/>
                <w:sz w:val="22"/>
                <w:szCs w:val="22"/>
                <w:lang w:val="en-GB" w:eastAsia="zh-CN"/>
              </w:rPr>
              <w:t>19</w:t>
            </w:r>
          </w:p>
        </w:tc>
      </w:tr>
      <w:tr w:rsidR="00B637D5" w:rsidRPr="007E7514" w14:paraId="1C07B64B" w14:textId="77777777" w:rsidTr="00766E96">
        <w:trPr>
          <w:jc w:val="center"/>
        </w:trPr>
        <w:tc>
          <w:tcPr>
            <w:tcW w:w="3190" w:type="dxa"/>
          </w:tcPr>
          <w:p w14:paraId="32D8254B" w14:textId="030905F6" w:rsidR="00B637D5" w:rsidRPr="007E7514" w:rsidRDefault="00B637D5" w:rsidP="004E221B">
            <w:pPr>
              <w:rPr>
                <w:rFonts w:asciiTheme="minorHAnsi" w:hAnsiTheme="minorHAnsi" w:cstheme="minorHAnsi"/>
                <w:b/>
                <w:bCs/>
                <w:sz w:val="22"/>
                <w:szCs w:val="22"/>
                <w:lang w:val="en-GB" w:eastAsia="zh-CN"/>
              </w:rPr>
            </w:pPr>
            <w:r w:rsidRPr="007E7514">
              <w:rPr>
                <w:rFonts w:asciiTheme="minorHAnsi" w:hAnsiTheme="minorHAnsi" w:cstheme="minorHAnsi"/>
                <w:b/>
                <w:bCs/>
                <w:sz w:val="22"/>
                <w:szCs w:val="22"/>
                <w:lang w:val="en-GB" w:eastAsia="zh-CN"/>
              </w:rPr>
              <w:t>Total</w:t>
            </w:r>
          </w:p>
        </w:tc>
        <w:tc>
          <w:tcPr>
            <w:tcW w:w="3190" w:type="dxa"/>
          </w:tcPr>
          <w:p w14:paraId="291B6BEA" w14:textId="1A71AE62" w:rsidR="00B637D5" w:rsidRPr="007E7514" w:rsidRDefault="00B637D5" w:rsidP="007B7BED">
            <w:pPr>
              <w:jc w:val="right"/>
              <w:rPr>
                <w:rFonts w:asciiTheme="minorHAnsi" w:hAnsiTheme="minorHAnsi" w:cstheme="minorHAnsi"/>
                <w:b/>
                <w:bCs/>
                <w:sz w:val="22"/>
                <w:szCs w:val="22"/>
                <w:lang w:val="en-GB" w:eastAsia="zh-CN"/>
              </w:rPr>
            </w:pPr>
            <w:r w:rsidRPr="007E7514">
              <w:rPr>
                <w:rFonts w:asciiTheme="minorHAnsi" w:hAnsiTheme="minorHAnsi" w:cstheme="minorHAnsi"/>
                <w:b/>
                <w:bCs/>
                <w:sz w:val="22"/>
                <w:szCs w:val="22"/>
                <w:lang w:val="en-GB" w:eastAsia="zh-CN"/>
              </w:rPr>
              <w:t>58</w:t>
            </w:r>
          </w:p>
        </w:tc>
      </w:tr>
    </w:tbl>
    <w:p w14:paraId="1741718C" w14:textId="198982D2" w:rsidR="003B3045" w:rsidRPr="007E7514" w:rsidRDefault="008D51F6" w:rsidP="00B7581D">
      <w:pPr>
        <w:pStyle w:val="MainParagraphwith"/>
        <w:rPr>
          <w:lang w:val="en-GB"/>
        </w:rPr>
      </w:pPr>
      <w:r w:rsidRPr="007E7514">
        <w:rPr>
          <w:lang w:val="en-GB"/>
        </w:rPr>
        <w:t xml:space="preserve">The projects approved </w:t>
      </w:r>
      <w:r w:rsidR="0037435C" w:rsidRPr="007E7514">
        <w:rPr>
          <w:lang w:val="en-GB"/>
        </w:rPr>
        <w:t>in</w:t>
      </w:r>
      <w:r w:rsidRPr="007E7514">
        <w:rPr>
          <w:lang w:val="en-GB"/>
        </w:rPr>
        <w:t xml:space="preserve"> the reporting period </w:t>
      </w:r>
      <w:r w:rsidR="00536D51" w:rsidRPr="007E7514">
        <w:rPr>
          <w:lang w:val="en-GB"/>
        </w:rPr>
        <w:t>support</w:t>
      </w:r>
      <w:r w:rsidR="0037435C" w:rsidRPr="007E7514">
        <w:rPr>
          <w:lang w:val="en-GB"/>
        </w:rPr>
        <w:t>ing</w:t>
      </w:r>
      <w:r w:rsidR="00536D51" w:rsidRPr="007E7514">
        <w:rPr>
          <w:lang w:val="en-GB"/>
        </w:rPr>
        <w:t xml:space="preserve"> </w:t>
      </w:r>
      <w:r w:rsidR="0037435C" w:rsidRPr="007E7514">
        <w:rPr>
          <w:lang w:val="en-GB"/>
        </w:rPr>
        <w:t xml:space="preserve">the </w:t>
      </w:r>
      <w:r w:rsidR="00536D51" w:rsidRPr="007E7514">
        <w:rPr>
          <w:lang w:val="en-GB"/>
        </w:rPr>
        <w:t xml:space="preserve">Minamata Convention implementation </w:t>
      </w:r>
      <w:r w:rsidRPr="007E7514">
        <w:rPr>
          <w:lang w:val="en-GB"/>
        </w:rPr>
        <w:t>are estimated to reduce</w:t>
      </w:r>
      <w:r w:rsidR="009F3247" w:rsidRPr="007E7514">
        <w:rPr>
          <w:lang w:val="en-GB"/>
        </w:rPr>
        <w:t xml:space="preserve"> </w:t>
      </w:r>
      <w:r w:rsidR="000B7C2C" w:rsidRPr="007E7514">
        <w:rPr>
          <w:lang w:val="en-GB"/>
        </w:rPr>
        <w:t>793.1</w:t>
      </w:r>
      <w:r w:rsidR="009F3247" w:rsidRPr="007E7514">
        <w:rPr>
          <w:lang w:val="en-GB"/>
        </w:rPr>
        <w:t xml:space="preserve"> metric</w:t>
      </w:r>
      <w:r w:rsidRPr="007E7514">
        <w:rPr>
          <w:lang w:val="en-GB"/>
        </w:rPr>
        <w:t xml:space="preserve"> tons of mercury. </w:t>
      </w:r>
    </w:p>
    <w:p w14:paraId="1D23EC86" w14:textId="53E3010C" w:rsidR="009C4BDE" w:rsidRPr="007E7514" w:rsidRDefault="009C4BDE" w:rsidP="00B7581D">
      <w:pPr>
        <w:pStyle w:val="MainParagraphwith"/>
        <w:rPr>
          <w:lang w:val="en-GB"/>
        </w:rPr>
      </w:pPr>
      <w:r w:rsidRPr="007E7514">
        <w:rPr>
          <w:lang w:val="en-GB"/>
        </w:rPr>
        <w:t xml:space="preserve">The GEF-7 results framework includes a core indicator to measure </w:t>
      </w:r>
      <w:r w:rsidR="0037435C" w:rsidRPr="007E7514">
        <w:rPr>
          <w:lang w:val="en-GB"/>
        </w:rPr>
        <w:t xml:space="preserve">the </w:t>
      </w:r>
      <w:r w:rsidRPr="007E7514">
        <w:rPr>
          <w:lang w:val="en-GB"/>
        </w:rPr>
        <w:t xml:space="preserve">results in the chemicals and waste focal area. This core indicator has a target of </w:t>
      </w:r>
      <w:r w:rsidR="0037435C" w:rsidRPr="007E7514">
        <w:rPr>
          <w:lang w:val="en-GB"/>
        </w:rPr>
        <w:t xml:space="preserve">addressing </w:t>
      </w:r>
      <w:r w:rsidRPr="007E7514">
        <w:rPr>
          <w:lang w:val="en-GB"/>
        </w:rPr>
        <w:t>100,000 metric tons of chemicals and waste</w:t>
      </w:r>
      <w:r w:rsidR="0037435C" w:rsidRPr="007E7514">
        <w:rPr>
          <w:lang w:val="en-GB"/>
        </w:rPr>
        <w:t>,</w:t>
      </w:r>
      <w:r w:rsidRPr="007E7514">
        <w:rPr>
          <w:lang w:val="en-GB"/>
        </w:rPr>
        <w:t xml:space="preserve"> including mercury. There is no stand-alone target for mercury in GEF-7. The cumulative GEF-7 </w:t>
      </w:r>
      <w:r w:rsidR="0037435C" w:rsidRPr="007E7514">
        <w:rPr>
          <w:lang w:val="en-GB"/>
        </w:rPr>
        <w:t xml:space="preserve">amount of </w:t>
      </w:r>
      <w:r w:rsidR="00747260" w:rsidRPr="007E7514">
        <w:rPr>
          <w:lang w:val="en-GB"/>
        </w:rPr>
        <w:t>mercury addressed is</w:t>
      </w:r>
      <w:r w:rsidRPr="007E7514">
        <w:rPr>
          <w:lang w:val="en-GB"/>
        </w:rPr>
        <w:t xml:space="preserve"> 1,956.1 metric ton</w:t>
      </w:r>
      <w:r w:rsidR="00747260" w:rsidRPr="007E7514">
        <w:rPr>
          <w:lang w:val="en-GB"/>
        </w:rPr>
        <w:t>s</w:t>
      </w:r>
      <w:r w:rsidRPr="007E7514">
        <w:rPr>
          <w:lang w:val="en-GB"/>
        </w:rPr>
        <w:t>.</w:t>
      </w:r>
    </w:p>
    <w:p w14:paraId="0D0FB738" w14:textId="25683494" w:rsidR="003B3045" w:rsidRPr="007E7514" w:rsidRDefault="0037435C" w:rsidP="00B7581D">
      <w:pPr>
        <w:pStyle w:val="MainParagraphwith"/>
        <w:rPr>
          <w:lang w:val="en-GB"/>
        </w:rPr>
      </w:pPr>
      <w:r w:rsidRPr="007E7514">
        <w:rPr>
          <w:lang w:val="en-GB"/>
        </w:rPr>
        <w:t>The i</w:t>
      </w:r>
      <w:r w:rsidR="003B3045" w:rsidRPr="007E7514">
        <w:rPr>
          <w:lang w:val="en-GB"/>
        </w:rPr>
        <w:t xml:space="preserve">mplementation of the Minamata Convention is funded under the </w:t>
      </w:r>
      <w:r w:rsidR="004D206F" w:rsidRPr="007E7514">
        <w:rPr>
          <w:lang w:val="en-GB"/>
        </w:rPr>
        <w:t xml:space="preserve">GEF’s </w:t>
      </w:r>
      <w:r w:rsidR="003B3045" w:rsidRPr="007E7514">
        <w:rPr>
          <w:lang w:val="en-GB"/>
        </w:rPr>
        <w:t>chemicals and waste focal area</w:t>
      </w:r>
      <w:r w:rsidR="005141DF" w:rsidRPr="007E7514">
        <w:rPr>
          <w:lang w:val="en-GB"/>
        </w:rPr>
        <w:t>,</w:t>
      </w:r>
      <w:r w:rsidR="003B3045" w:rsidRPr="007E7514">
        <w:rPr>
          <w:lang w:val="en-GB"/>
        </w:rPr>
        <w:t xml:space="preserve"> and there are </w:t>
      </w:r>
      <w:r w:rsidR="00F02F00" w:rsidRPr="007E7514">
        <w:rPr>
          <w:lang w:val="en-GB"/>
        </w:rPr>
        <w:t>several</w:t>
      </w:r>
      <w:r w:rsidR="003B3045" w:rsidRPr="007E7514">
        <w:rPr>
          <w:lang w:val="en-GB"/>
        </w:rPr>
        <w:t xml:space="preserve"> projects that combine resources for the implementation of the Stockholm Convention </w:t>
      </w:r>
      <w:r w:rsidR="002E6DF0" w:rsidRPr="007E7514">
        <w:rPr>
          <w:lang w:val="en-GB"/>
        </w:rPr>
        <w:t xml:space="preserve">on Persistent Organic Pollutants (POPs) </w:t>
      </w:r>
      <w:r w:rsidR="003B3045" w:rsidRPr="007E7514">
        <w:rPr>
          <w:lang w:val="en-GB"/>
        </w:rPr>
        <w:t>and other focal areas with mercury resources. In this regard, the co-financing ratio</w:t>
      </w:r>
      <w:r w:rsidRPr="007E7514">
        <w:rPr>
          <w:lang w:val="en-GB"/>
        </w:rPr>
        <w:t xml:space="preserve"> in combined projects</w:t>
      </w:r>
      <w:r w:rsidR="003B3045" w:rsidRPr="007E7514">
        <w:rPr>
          <w:lang w:val="en-GB"/>
        </w:rPr>
        <w:t xml:space="preserve"> is not calculated for mercury alone. In the reporting period, the overall average co-financing ratio for projects that included resources for the </w:t>
      </w:r>
      <w:r w:rsidR="002E6DF0" w:rsidRPr="007E7514">
        <w:rPr>
          <w:lang w:val="en-GB"/>
        </w:rPr>
        <w:t xml:space="preserve">implementation of the </w:t>
      </w:r>
      <w:r w:rsidR="003B3045" w:rsidRPr="007E7514">
        <w:rPr>
          <w:lang w:val="en-GB"/>
        </w:rPr>
        <w:t xml:space="preserve">Minamata Convention was </w:t>
      </w:r>
      <w:r w:rsidR="002E6DF0" w:rsidRPr="007E7514">
        <w:rPr>
          <w:lang w:val="en-GB"/>
        </w:rPr>
        <w:br/>
      </w:r>
      <w:r w:rsidR="003B3045" w:rsidRPr="007E7514">
        <w:rPr>
          <w:lang w:val="en-GB"/>
        </w:rPr>
        <w:t xml:space="preserve">1 to </w:t>
      </w:r>
      <w:r w:rsidR="006F79EE" w:rsidRPr="007E7514">
        <w:rPr>
          <w:lang w:val="en-GB"/>
        </w:rPr>
        <w:t>6</w:t>
      </w:r>
      <w:r w:rsidR="009A727F" w:rsidRPr="007E7514">
        <w:rPr>
          <w:lang w:val="en-GB"/>
        </w:rPr>
        <w:t>.</w:t>
      </w:r>
      <w:r w:rsidR="006F79EE" w:rsidRPr="007E7514">
        <w:rPr>
          <w:rStyle w:val="FootnoteReference"/>
          <w:lang w:val="en-GB"/>
        </w:rPr>
        <w:footnoteReference w:id="22"/>
      </w:r>
      <w:r w:rsidR="00CA0B81" w:rsidRPr="007E7514">
        <w:rPr>
          <w:lang w:val="en-GB"/>
        </w:rPr>
        <w:t xml:space="preserve"> </w:t>
      </w:r>
    </w:p>
    <w:p w14:paraId="7D8E11C4" w14:textId="33B1D8DB" w:rsidR="00F006CA" w:rsidRPr="007E7514" w:rsidRDefault="00787147" w:rsidP="00B7581D">
      <w:pPr>
        <w:pStyle w:val="MainParagraphwith"/>
        <w:rPr>
          <w:lang w:val="en-GB"/>
        </w:rPr>
      </w:pPr>
      <w:bookmarkStart w:id="32" w:name="_Hlk72785124"/>
      <w:r w:rsidRPr="007E7514">
        <w:rPr>
          <w:lang w:val="en-GB"/>
        </w:rPr>
        <w:t>In accordance with the guidance received from the Minamata Convention COP and the Stockholm Convention COP, the GEF</w:t>
      </w:r>
      <w:r w:rsidR="00633693" w:rsidRPr="007E7514">
        <w:rPr>
          <w:lang w:val="en-GB"/>
        </w:rPr>
        <w:t>-7</w:t>
      </w:r>
      <w:r w:rsidRPr="007E7514">
        <w:rPr>
          <w:lang w:val="en-GB"/>
        </w:rPr>
        <w:t xml:space="preserve"> chemicals and waste focal area Programming Directions were developed along sectoral lines, permitting integrated programming across this and other focal areas. </w:t>
      </w:r>
      <w:r w:rsidR="0037435C" w:rsidRPr="007E7514">
        <w:rPr>
          <w:lang w:val="en-GB"/>
        </w:rPr>
        <w:t>Fifty-four</w:t>
      </w:r>
      <w:r w:rsidR="00874E8B" w:rsidRPr="007E7514">
        <w:rPr>
          <w:lang w:val="en-GB"/>
        </w:rPr>
        <w:t xml:space="preserve"> percent</w:t>
      </w:r>
      <w:r w:rsidR="000E6577" w:rsidRPr="007E7514">
        <w:rPr>
          <w:lang w:val="en-GB"/>
        </w:rPr>
        <w:t xml:space="preserve"> of the </w:t>
      </w:r>
      <w:r w:rsidR="00AC7039" w:rsidRPr="007E7514">
        <w:rPr>
          <w:lang w:val="en-GB"/>
        </w:rPr>
        <w:t>FSPs</w:t>
      </w:r>
      <w:r w:rsidR="000E6577" w:rsidRPr="007E7514">
        <w:rPr>
          <w:lang w:val="en-GB"/>
        </w:rPr>
        <w:t xml:space="preserve"> and programs </w:t>
      </w:r>
      <w:r w:rsidR="00532150" w:rsidRPr="007E7514">
        <w:rPr>
          <w:lang w:val="en-GB"/>
        </w:rPr>
        <w:t xml:space="preserve">funded </w:t>
      </w:r>
      <w:r w:rsidR="0037435C" w:rsidRPr="007E7514">
        <w:rPr>
          <w:lang w:val="en-GB"/>
        </w:rPr>
        <w:t>in</w:t>
      </w:r>
      <w:r w:rsidR="00532150" w:rsidRPr="007E7514">
        <w:rPr>
          <w:lang w:val="en-GB"/>
        </w:rPr>
        <w:t xml:space="preserve"> the reporting period </w:t>
      </w:r>
      <w:r w:rsidR="002E6DF0" w:rsidRPr="007E7514">
        <w:rPr>
          <w:lang w:val="en-GB"/>
        </w:rPr>
        <w:t xml:space="preserve">have </w:t>
      </w:r>
      <w:r w:rsidR="00532150" w:rsidRPr="007E7514">
        <w:rPr>
          <w:lang w:val="en-GB"/>
        </w:rPr>
        <w:t>tackle</w:t>
      </w:r>
      <w:r w:rsidR="002E6DF0" w:rsidRPr="007E7514">
        <w:rPr>
          <w:lang w:val="en-GB"/>
        </w:rPr>
        <w:t>d</w:t>
      </w:r>
      <w:r w:rsidR="00532150" w:rsidRPr="007E7514">
        <w:rPr>
          <w:lang w:val="en-GB"/>
        </w:rPr>
        <w:t xml:space="preserve"> </w:t>
      </w:r>
      <w:r w:rsidR="0037435C" w:rsidRPr="007E7514">
        <w:rPr>
          <w:lang w:val="en-GB"/>
        </w:rPr>
        <w:t>matters</w:t>
      </w:r>
      <w:r w:rsidR="00532150" w:rsidRPr="007E7514">
        <w:rPr>
          <w:lang w:val="en-GB"/>
        </w:rPr>
        <w:t xml:space="preserve"> related to both Convention</w:t>
      </w:r>
      <w:r w:rsidRPr="007E7514">
        <w:rPr>
          <w:lang w:val="en-GB"/>
        </w:rPr>
        <w:t>s</w:t>
      </w:r>
      <w:r w:rsidR="00D13265" w:rsidRPr="007E7514">
        <w:rPr>
          <w:lang w:val="en-GB"/>
        </w:rPr>
        <w:t>,</w:t>
      </w:r>
      <w:r w:rsidR="00532150" w:rsidRPr="007E7514">
        <w:rPr>
          <w:lang w:val="en-GB"/>
        </w:rPr>
        <w:t xml:space="preserve"> </w:t>
      </w:r>
      <w:r w:rsidRPr="007E7514">
        <w:rPr>
          <w:lang w:val="en-GB"/>
        </w:rPr>
        <w:t>which facilitates synergies between them and allows the achievement of multiple Global Environmental Benefits (GEBs)</w:t>
      </w:r>
      <w:r w:rsidR="00532150" w:rsidRPr="007E7514">
        <w:rPr>
          <w:lang w:val="en-GB"/>
        </w:rPr>
        <w:t>.</w:t>
      </w:r>
      <w:r w:rsidR="000F4744" w:rsidRPr="007E7514">
        <w:rPr>
          <w:lang w:val="en-GB"/>
        </w:rPr>
        <w:t xml:space="preserve"> One of the FSPs is a multi-focal area project</w:t>
      </w:r>
      <w:r w:rsidRPr="007E7514">
        <w:rPr>
          <w:lang w:val="en-GB"/>
        </w:rPr>
        <w:t>,</w:t>
      </w:r>
      <w:r w:rsidR="000F4744" w:rsidRPr="007E7514">
        <w:rPr>
          <w:lang w:val="en-GB"/>
        </w:rPr>
        <w:t xml:space="preserve"> </w:t>
      </w:r>
      <w:r w:rsidR="001F4A76" w:rsidRPr="007E7514">
        <w:rPr>
          <w:lang w:val="en-GB"/>
        </w:rPr>
        <w:t>addressing</w:t>
      </w:r>
      <w:r w:rsidR="000F4744" w:rsidRPr="007E7514">
        <w:rPr>
          <w:lang w:val="en-GB"/>
        </w:rPr>
        <w:t xml:space="preserve"> mercury and international waters. The </w:t>
      </w:r>
      <w:r w:rsidR="000F4744" w:rsidRPr="007E7514">
        <w:rPr>
          <w:i/>
          <w:iCs/>
          <w:lang w:val="en-GB"/>
        </w:rPr>
        <w:t>ISLANDS</w:t>
      </w:r>
      <w:r w:rsidR="0037435C" w:rsidRPr="007E7514">
        <w:rPr>
          <w:lang w:val="en-GB"/>
        </w:rPr>
        <w:t xml:space="preserve"> Program</w:t>
      </w:r>
      <w:r w:rsidR="00FF1271" w:rsidRPr="007E7514">
        <w:rPr>
          <w:rStyle w:val="FootnoteReference"/>
          <w:lang w:val="en-GB"/>
        </w:rPr>
        <w:footnoteReference w:id="23"/>
      </w:r>
      <w:r w:rsidR="000F4744" w:rsidRPr="007E7514">
        <w:rPr>
          <w:lang w:val="en-GB"/>
        </w:rPr>
        <w:t xml:space="preserve"> also addresses multiple</w:t>
      </w:r>
      <w:r w:rsidR="007779B4" w:rsidRPr="007E7514">
        <w:rPr>
          <w:lang w:val="en-GB"/>
        </w:rPr>
        <w:t xml:space="preserve"> </w:t>
      </w:r>
      <w:r w:rsidR="000F4744" w:rsidRPr="007E7514">
        <w:rPr>
          <w:lang w:val="en-GB"/>
        </w:rPr>
        <w:t>GEBs.</w:t>
      </w:r>
      <w:r w:rsidR="00532150" w:rsidRPr="007E7514">
        <w:rPr>
          <w:lang w:val="en-GB"/>
        </w:rPr>
        <w:t xml:space="preserve"> </w:t>
      </w:r>
    </w:p>
    <w:p w14:paraId="4A69E937" w14:textId="6B9B93D3" w:rsidR="001459C1" w:rsidRPr="007E7514" w:rsidRDefault="00787147" w:rsidP="00B7581D">
      <w:pPr>
        <w:pStyle w:val="MainParagraphwith"/>
        <w:rPr>
          <w:lang w:val="en-GB"/>
        </w:rPr>
      </w:pPr>
      <w:r w:rsidRPr="007E7514">
        <w:rPr>
          <w:lang w:val="en-GB"/>
        </w:rPr>
        <w:t>T</w:t>
      </w:r>
      <w:r w:rsidR="009F3778" w:rsidRPr="007E7514">
        <w:rPr>
          <w:lang w:val="en-GB"/>
        </w:rPr>
        <w:t xml:space="preserve">he GEF </w:t>
      </w:r>
      <w:r w:rsidR="001F239D" w:rsidRPr="007E7514">
        <w:rPr>
          <w:lang w:val="en-GB"/>
        </w:rPr>
        <w:t>P</w:t>
      </w:r>
      <w:r w:rsidR="009F3778" w:rsidRPr="007E7514">
        <w:rPr>
          <w:lang w:val="en-GB"/>
        </w:rPr>
        <w:t>ortal facilitates reporting on all relevant GEBs across the GEF</w:t>
      </w:r>
      <w:r w:rsidR="001F239D" w:rsidRPr="007E7514">
        <w:rPr>
          <w:lang w:val="en-GB"/>
        </w:rPr>
        <w:t xml:space="preserve">. </w:t>
      </w:r>
      <w:r w:rsidR="009F3778" w:rsidRPr="007E7514">
        <w:rPr>
          <w:lang w:val="en-GB"/>
        </w:rPr>
        <w:t xml:space="preserve"> I</w:t>
      </w:r>
      <w:r w:rsidR="004B30B7" w:rsidRPr="007E7514">
        <w:rPr>
          <w:lang w:val="en-GB"/>
        </w:rPr>
        <w:t>n addition to mercury reductions</w:t>
      </w:r>
      <w:r w:rsidR="00537990" w:rsidRPr="007E7514">
        <w:rPr>
          <w:lang w:val="en-GB"/>
        </w:rPr>
        <w:t>,</w:t>
      </w:r>
      <w:r w:rsidR="004B30B7" w:rsidRPr="007E7514">
        <w:rPr>
          <w:lang w:val="en-GB"/>
        </w:rPr>
        <w:t xml:space="preserve"> the </w:t>
      </w:r>
      <w:r w:rsidR="001F239D" w:rsidRPr="007E7514">
        <w:rPr>
          <w:lang w:val="en-GB"/>
        </w:rPr>
        <w:t xml:space="preserve">approved </w:t>
      </w:r>
      <w:r w:rsidR="004B30B7" w:rsidRPr="007E7514">
        <w:rPr>
          <w:lang w:val="en-GB"/>
        </w:rPr>
        <w:t>project</w:t>
      </w:r>
      <w:r w:rsidR="00537990" w:rsidRPr="007E7514">
        <w:rPr>
          <w:lang w:val="en-GB"/>
        </w:rPr>
        <w:t>s</w:t>
      </w:r>
      <w:r w:rsidR="004B30B7" w:rsidRPr="007E7514">
        <w:rPr>
          <w:lang w:val="en-GB"/>
        </w:rPr>
        <w:t xml:space="preserve"> are estimated to achieve other</w:t>
      </w:r>
      <w:r w:rsidR="007C715C" w:rsidRPr="007E7514">
        <w:rPr>
          <w:lang w:val="en-GB"/>
        </w:rPr>
        <w:t xml:space="preserve"> GEBs</w:t>
      </w:r>
      <w:r w:rsidR="004B30B7" w:rsidRPr="007E7514">
        <w:rPr>
          <w:lang w:val="en-GB"/>
        </w:rPr>
        <w:t xml:space="preserve">, including reducing </w:t>
      </w:r>
      <w:r w:rsidR="0025062B" w:rsidRPr="007E7514">
        <w:rPr>
          <w:lang w:val="en-GB"/>
        </w:rPr>
        <w:t>1,920.9</w:t>
      </w:r>
      <w:r w:rsidR="004B30B7" w:rsidRPr="007E7514">
        <w:rPr>
          <w:lang w:val="en-GB"/>
        </w:rPr>
        <w:t xml:space="preserve"> metric tons of</w:t>
      </w:r>
      <w:r w:rsidR="007C715C" w:rsidRPr="007E7514">
        <w:rPr>
          <w:lang w:val="en-GB"/>
        </w:rPr>
        <w:t xml:space="preserve"> </w:t>
      </w:r>
      <w:r w:rsidR="004B30B7" w:rsidRPr="007E7514">
        <w:rPr>
          <w:lang w:val="en-GB"/>
        </w:rPr>
        <w:t xml:space="preserve">POPs, </w:t>
      </w:r>
      <w:r w:rsidR="00D017AF" w:rsidRPr="007E7514">
        <w:rPr>
          <w:lang w:val="en-GB"/>
        </w:rPr>
        <w:t>dispos</w:t>
      </w:r>
      <w:r w:rsidR="001F239D" w:rsidRPr="007E7514">
        <w:rPr>
          <w:lang w:val="en-GB"/>
        </w:rPr>
        <w:t>ing</w:t>
      </w:r>
      <w:r w:rsidR="00D017AF" w:rsidRPr="007E7514">
        <w:rPr>
          <w:lang w:val="en-GB"/>
        </w:rPr>
        <w:t xml:space="preserve"> </w:t>
      </w:r>
      <w:r w:rsidR="0025062B" w:rsidRPr="007E7514">
        <w:rPr>
          <w:lang w:val="en-GB"/>
        </w:rPr>
        <w:t>2,457,316.</w:t>
      </w:r>
      <w:r w:rsidR="00F56E9E" w:rsidRPr="007E7514">
        <w:rPr>
          <w:lang w:val="en-GB"/>
        </w:rPr>
        <w:t>4</w:t>
      </w:r>
      <w:r w:rsidR="004B30B7" w:rsidRPr="007E7514">
        <w:rPr>
          <w:lang w:val="en-GB"/>
        </w:rPr>
        <w:t xml:space="preserve"> metric tons</w:t>
      </w:r>
      <w:r w:rsidR="00DD48BE" w:rsidRPr="007E7514">
        <w:rPr>
          <w:lang w:val="en-GB"/>
        </w:rPr>
        <w:t xml:space="preserve"> of</w:t>
      </w:r>
      <w:r w:rsidR="004B30B7" w:rsidRPr="007E7514">
        <w:rPr>
          <w:lang w:val="en-GB"/>
        </w:rPr>
        <w:t xml:space="preserve"> POPs</w:t>
      </w:r>
      <w:r w:rsidR="0025062B" w:rsidRPr="007E7514">
        <w:rPr>
          <w:lang w:val="en-GB"/>
        </w:rPr>
        <w:t xml:space="preserve"> and mercury</w:t>
      </w:r>
      <w:r w:rsidR="001F239D" w:rsidRPr="007E7514">
        <w:rPr>
          <w:lang w:val="en-GB"/>
        </w:rPr>
        <w:t>-</w:t>
      </w:r>
      <w:r w:rsidR="004B30B7" w:rsidRPr="007E7514">
        <w:rPr>
          <w:lang w:val="en-GB"/>
        </w:rPr>
        <w:t>containing material,</w:t>
      </w:r>
      <w:r w:rsidR="00D017AF" w:rsidRPr="007E7514">
        <w:rPr>
          <w:lang w:val="en-GB"/>
        </w:rPr>
        <w:t xml:space="preserve"> reducing</w:t>
      </w:r>
      <w:r w:rsidR="004B30B7" w:rsidRPr="007E7514">
        <w:rPr>
          <w:lang w:val="en-GB"/>
        </w:rPr>
        <w:t xml:space="preserve"> </w:t>
      </w:r>
      <w:r w:rsidR="0025062B" w:rsidRPr="007E7514">
        <w:rPr>
          <w:lang w:val="en-GB"/>
        </w:rPr>
        <w:t>560.5</w:t>
      </w:r>
      <w:r w:rsidR="004B30B7" w:rsidRPr="007E7514">
        <w:rPr>
          <w:lang w:val="en-GB"/>
        </w:rPr>
        <w:t xml:space="preserve"> </w:t>
      </w:r>
      <w:r w:rsidR="002430CC" w:rsidRPr="007E7514">
        <w:rPr>
          <w:lang w:val="en-GB"/>
        </w:rPr>
        <w:t>g</w:t>
      </w:r>
      <w:r w:rsidR="004B30B7" w:rsidRPr="007E7514">
        <w:rPr>
          <w:lang w:val="en-GB"/>
        </w:rPr>
        <w:t>T</w:t>
      </w:r>
      <w:r w:rsidR="00ED1C9F" w:rsidRPr="007E7514">
        <w:rPr>
          <w:lang w:val="en-GB"/>
        </w:rPr>
        <w:t>EQ</w:t>
      </w:r>
      <w:r w:rsidR="004B30B7" w:rsidRPr="007E7514">
        <w:rPr>
          <w:lang w:val="en-GB"/>
        </w:rPr>
        <w:t xml:space="preserve"> </w:t>
      </w:r>
      <w:r w:rsidR="001F239D" w:rsidRPr="007E7514">
        <w:rPr>
          <w:lang w:val="en-GB"/>
        </w:rPr>
        <w:t xml:space="preserve">unintentional </w:t>
      </w:r>
      <w:r w:rsidR="005968E7" w:rsidRPr="007E7514">
        <w:rPr>
          <w:lang w:val="en-GB"/>
        </w:rPr>
        <w:t xml:space="preserve">POP </w:t>
      </w:r>
      <w:r w:rsidR="001F239D" w:rsidRPr="007E7514">
        <w:rPr>
          <w:lang w:val="en-GB"/>
        </w:rPr>
        <w:t>(</w:t>
      </w:r>
      <w:r w:rsidR="0025062B" w:rsidRPr="007E7514">
        <w:rPr>
          <w:lang w:val="en-GB"/>
        </w:rPr>
        <w:t>U</w:t>
      </w:r>
      <w:r w:rsidR="004B30B7" w:rsidRPr="007E7514">
        <w:rPr>
          <w:lang w:val="en-GB"/>
        </w:rPr>
        <w:t>POP</w:t>
      </w:r>
      <w:r w:rsidR="001F239D" w:rsidRPr="007E7514">
        <w:rPr>
          <w:lang w:val="en-GB"/>
        </w:rPr>
        <w:t>)</w:t>
      </w:r>
      <w:r w:rsidR="004B30B7" w:rsidRPr="007E7514">
        <w:rPr>
          <w:lang w:val="en-GB"/>
        </w:rPr>
        <w:t xml:space="preserve"> emissions, </w:t>
      </w:r>
      <w:r w:rsidR="001F239D" w:rsidRPr="007E7514">
        <w:rPr>
          <w:lang w:val="en-GB"/>
        </w:rPr>
        <w:t xml:space="preserve">improving </w:t>
      </w:r>
      <w:r w:rsidR="00A46744" w:rsidRPr="007E7514">
        <w:rPr>
          <w:lang w:val="en-GB"/>
        </w:rPr>
        <w:t>300,000</w:t>
      </w:r>
      <w:r w:rsidR="004B30B7" w:rsidRPr="007E7514">
        <w:rPr>
          <w:lang w:val="en-GB"/>
        </w:rPr>
        <w:t xml:space="preserve"> hectares of landscapes, </w:t>
      </w:r>
      <w:r w:rsidR="00D017AF" w:rsidRPr="007E7514">
        <w:rPr>
          <w:lang w:val="en-GB"/>
        </w:rPr>
        <w:t xml:space="preserve">reducing </w:t>
      </w:r>
      <w:r w:rsidR="00A46744" w:rsidRPr="007E7514">
        <w:rPr>
          <w:lang w:val="en-GB"/>
        </w:rPr>
        <w:t xml:space="preserve">549,951.9 metric tons </w:t>
      </w:r>
      <w:r w:rsidR="00C271D8" w:rsidRPr="007E7514">
        <w:rPr>
          <w:lang w:val="en-GB"/>
        </w:rPr>
        <w:t>of</w:t>
      </w:r>
      <w:r w:rsidR="00A46744" w:rsidRPr="007E7514">
        <w:rPr>
          <w:lang w:val="en-GB"/>
        </w:rPr>
        <w:t xml:space="preserve"> CO</w:t>
      </w:r>
      <w:r w:rsidR="00A46744" w:rsidRPr="007E7514">
        <w:rPr>
          <w:vertAlign w:val="subscript"/>
          <w:lang w:val="en-GB"/>
        </w:rPr>
        <w:t>2</w:t>
      </w:r>
      <w:r w:rsidR="001F239D" w:rsidRPr="007E7514">
        <w:rPr>
          <w:vertAlign w:val="subscript"/>
          <w:lang w:val="en-GB"/>
        </w:rPr>
        <w:t xml:space="preserve"> </w:t>
      </w:r>
      <w:r w:rsidR="00F833B3" w:rsidRPr="007E7514">
        <w:rPr>
          <w:lang w:val="en-GB"/>
        </w:rPr>
        <w:t>eq</w:t>
      </w:r>
      <w:r w:rsidR="00A46744" w:rsidRPr="007E7514">
        <w:rPr>
          <w:lang w:val="en-GB"/>
        </w:rPr>
        <w:t xml:space="preserve">, </w:t>
      </w:r>
      <w:r w:rsidR="004B30B7" w:rsidRPr="007E7514">
        <w:rPr>
          <w:lang w:val="en-GB"/>
        </w:rPr>
        <w:t xml:space="preserve">and </w:t>
      </w:r>
      <w:r w:rsidR="001F239D" w:rsidRPr="007E7514">
        <w:rPr>
          <w:lang w:val="en-GB"/>
        </w:rPr>
        <w:t xml:space="preserve">avoiding </w:t>
      </w:r>
      <w:r w:rsidR="00A46744" w:rsidRPr="007E7514">
        <w:rPr>
          <w:lang w:val="en-GB"/>
        </w:rPr>
        <w:t>4,200</w:t>
      </w:r>
      <w:r w:rsidR="004B30B7" w:rsidRPr="007E7514">
        <w:rPr>
          <w:lang w:val="en-GB"/>
        </w:rPr>
        <w:t xml:space="preserve"> </w:t>
      </w:r>
      <w:r w:rsidR="004B30B7" w:rsidRPr="007E7514">
        <w:rPr>
          <w:lang w:val="en-GB"/>
        </w:rPr>
        <w:lastRenderedPageBreak/>
        <w:t xml:space="preserve">metric tons of marine litter. </w:t>
      </w:r>
      <w:r w:rsidR="00745C5A" w:rsidRPr="007E7514">
        <w:rPr>
          <w:lang w:val="en-GB"/>
        </w:rPr>
        <w:t xml:space="preserve">The full list of projects can be found in Annex 1.  Of these projects the following are synergies projects: GEF ID  10353, 10373, 10419, 10519, 10682, 10721, 10531, 10798, 10526, 10658, </w:t>
      </w:r>
      <w:r w:rsidR="001435E9" w:rsidRPr="007E7514">
        <w:rPr>
          <w:lang w:val="en-GB"/>
        </w:rPr>
        <w:t xml:space="preserve">and </w:t>
      </w:r>
      <w:r w:rsidR="00745C5A" w:rsidRPr="007E7514">
        <w:rPr>
          <w:lang w:val="en-GB"/>
        </w:rPr>
        <w:t>10786.</w:t>
      </w:r>
    </w:p>
    <w:bookmarkEnd w:id="32"/>
    <w:p w14:paraId="04C759D7" w14:textId="425BC81E" w:rsidR="0002364A" w:rsidRPr="007E7514" w:rsidRDefault="0056388A" w:rsidP="00B7581D">
      <w:pPr>
        <w:pStyle w:val="MainParagraphwith"/>
        <w:rPr>
          <w:lang w:val="en-GB"/>
        </w:rPr>
      </w:pPr>
      <w:r w:rsidRPr="007E7514">
        <w:rPr>
          <w:lang w:val="en-GB"/>
        </w:rPr>
        <w:t>The project</w:t>
      </w:r>
      <w:r w:rsidR="00537990" w:rsidRPr="007E7514">
        <w:rPr>
          <w:lang w:val="en-GB"/>
        </w:rPr>
        <w:t>s</w:t>
      </w:r>
      <w:r w:rsidRPr="007E7514">
        <w:rPr>
          <w:lang w:val="en-GB"/>
        </w:rPr>
        <w:t xml:space="preserve"> approved </w:t>
      </w:r>
      <w:r w:rsidR="00906DD4" w:rsidRPr="007E7514">
        <w:rPr>
          <w:lang w:val="en-GB"/>
        </w:rPr>
        <w:t>in</w:t>
      </w:r>
      <w:r w:rsidRPr="007E7514">
        <w:rPr>
          <w:lang w:val="en-GB"/>
        </w:rPr>
        <w:t xml:space="preserve"> the reporting period </w:t>
      </w:r>
      <w:r w:rsidR="0057355E" w:rsidRPr="007E7514">
        <w:rPr>
          <w:lang w:val="en-GB"/>
        </w:rPr>
        <w:t xml:space="preserve">respond to the guidance from the COP </w:t>
      </w:r>
      <w:r w:rsidR="00906DD4" w:rsidRPr="007E7514">
        <w:rPr>
          <w:lang w:val="en-GB"/>
        </w:rPr>
        <w:t>by</w:t>
      </w:r>
      <w:r w:rsidR="0057355E" w:rsidRPr="007E7514">
        <w:rPr>
          <w:lang w:val="en-GB"/>
        </w:rPr>
        <w:t xml:space="preserve"> prioritiz</w:t>
      </w:r>
      <w:r w:rsidR="00906DD4" w:rsidRPr="007E7514">
        <w:rPr>
          <w:lang w:val="en-GB"/>
        </w:rPr>
        <w:t>ing</w:t>
      </w:r>
      <w:r w:rsidR="0057355E" w:rsidRPr="007E7514">
        <w:rPr>
          <w:lang w:val="en-GB"/>
        </w:rPr>
        <w:t xml:space="preserve"> legal obligation</w:t>
      </w:r>
      <w:r w:rsidR="00F02F00" w:rsidRPr="007E7514">
        <w:rPr>
          <w:lang w:val="en-GB"/>
        </w:rPr>
        <w:t>s</w:t>
      </w:r>
      <w:r w:rsidR="0057355E" w:rsidRPr="007E7514">
        <w:rPr>
          <w:lang w:val="en-GB"/>
        </w:rPr>
        <w:t xml:space="preserve"> and mercury reductions, while also supporting capacity building and activities that support </w:t>
      </w:r>
      <w:r w:rsidR="00906DD4" w:rsidRPr="007E7514">
        <w:rPr>
          <w:lang w:val="en-GB"/>
        </w:rPr>
        <w:t xml:space="preserve">the </w:t>
      </w:r>
      <w:r w:rsidR="0057355E" w:rsidRPr="007E7514">
        <w:rPr>
          <w:lang w:val="en-GB"/>
        </w:rPr>
        <w:t xml:space="preserve">implementation of the </w:t>
      </w:r>
      <w:r w:rsidR="00906DD4" w:rsidRPr="007E7514">
        <w:rPr>
          <w:lang w:val="en-GB"/>
        </w:rPr>
        <w:t>C</w:t>
      </w:r>
      <w:r w:rsidR="0057355E" w:rsidRPr="007E7514">
        <w:rPr>
          <w:lang w:val="en-GB"/>
        </w:rPr>
        <w:t>onvention. For example, the portfolio deals with mercury in products, mercury waste,</w:t>
      </w:r>
      <w:r w:rsidR="006A2D04" w:rsidRPr="007E7514">
        <w:rPr>
          <w:lang w:val="en-GB"/>
        </w:rPr>
        <w:t xml:space="preserve"> ASGM</w:t>
      </w:r>
      <w:r w:rsidR="0057355E" w:rsidRPr="007E7514">
        <w:rPr>
          <w:lang w:val="en-GB"/>
        </w:rPr>
        <w:t xml:space="preserve"> and mercury </w:t>
      </w:r>
      <w:r w:rsidR="006A2D04" w:rsidRPr="007E7514">
        <w:rPr>
          <w:lang w:val="en-GB"/>
        </w:rPr>
        <w:t>in industrial practices</w:t>
      </w:r>
      <w:r w:rsidR="0057355E" w:rsidRPr="007E7514">
        <w:rPr>
          <w:lang w:val="en-GB"/>
        </w:rPr>
        <w:t>, in addition to updating regulations and policies to properly manage mercury</w:t>
      </w:r>
      <w:r w:rsidR="00CA0B81" w:rsidRPr="007E7514">
        <w:rPr>
          <w:lang w:val="en-GB"/>
        </w:rPr>
        <w:t>.</w:t>
      </w:r>
      <w:r w:rsidR="006A2D04" w:rsidRPr="007E7514">
        <w:rPr>
          <w:lang w:val="en-GB"/>
        </w:rPr>
        <w:t xml:space="preserve"> </w:t>
      </w:r>
      <w:r w:rsidR="005968E7" w:rsidRPr="007E7514">
        <w:rPr>
          <w:lang w:val="en-GB"/>
        </w:rPr>
        <w:t>It</w:t>
      </w:r>
      <w:r w:rsidR="006A2D04" w:rsidRPr="007E7514">
        <w:rPr>
          <w:lang w:val="en-GB"/>
        </w:rPr>
        <w:t xml:space="preserve"> also includes innovative approaches</w:t>
      </w:r>
      <w:r w:rsidR="00906DD4" w:rsidRPr="007E7514">
        <w:rPr>
          <w:lang w:val="en-GB"/>
        </w:rPr>
        <w:t>,</w:t>
      </w:r>
      <w:r w:rsidR="006A2D04" w:rsidRPr="007E7514">
        <w:rPr>
          <w:lang w:val="en-GB"/>
        </w:rPr>
        <w:t xml:space="preserve"> such as green chemistry</w:t>
      </w:r>
      <w:r w:rsidR="00CE4491" w:rsidRPr="007E7514">
        <w:rPr>
          <w:lang w:val="en-GB"/>
        </w:rPr>
        <w:t xml:space="preserve"> in the</w:t>
      </w:r>
      <w:r w:rsidR="003E7E8F" w:rsidRPr="007E7514">
        <w:rPr>
          <w:lang w:val="en-GB"/>
        </w:rPr>
        <w:t xml:space="preserve"> </w:t>
      </w:r>
      <w:r w:rsidR="00CE4491" w:rsidRPr="007E7514">
        <w:rPr>
          <w:i/>
          <w:iCs/>
          <w:lang w:val="en-GB"/>
        </w:rPr>
        <w:t>Global Greenchem Innovation and Network Program</w:t>
      </w:r>
      <w:r w:rsidR="006A2D04" w:rsidRPr="007E7514">
        <w:rPr>
          <w:lang w:val="en-GB"/>
        </w:rPr>
        <w:t>.</w:t>
      </w:r>
      <w:r w:rsidR="007F0525" w:rsidRPr="007E7514">
        <w:rPr>
          <w:lang w:val="en-GB"/>
        </w:rPr>
        <w:t xml:space="preserve"> The </w:t>
      </w:r>
      <w:r w:rsidR="00B13116" w:rsidRPr="007E7514">
        <w:rPr>
          <w:i/>
          <w:iCs/>
          <w:lang w:val="en-GB"/>
        </w:rPr>
        <w:t>GOLD+</w:t>
      </w:r>
      <w:r w:rsidR="00B13116" w:rsidRPr="007E7514">
        <w:rPr>
          <w:lang w:val="en-GB"/>
        </w:rPr>
        <w:t xml:space="preserve"> </w:t>
      </w:r>
      <w:r w:rsidR="00582C05" w:rsidRPr="007E7514">
        <w:rPr>
          <w:lang w:val="en-GB"/>
        </w:rPr>
        <w:t>P</w:t>
      </w:r>
      <w:r w:rsidR="00B13116" w:rsidRPr="007E7514">
        <w:rPr>
          <w:lang w:val="en-GB"/>
        </w:rPr>
        <w:t xml:space="preserve">rogram and </w:t>
      </w:r>
      <w:r w:rsidR="00906DD4" w:rsidRPr="007E7514">
        <w:rPr>
          <w:lang w:val="en-GB"/>
        </w:rPr>
        <w:t>its</w:t>
      </w:r>
      <w:r w:rsidR="00B13116" w:rsidRPr="007E7514">
        <w:rPr>
          <w:lang w:val="en-GB"/>
        </w:rPr>
        <w:t xml:space="preserve"> addendum </w:t>
      </w:r>
      <w:r w:rsidR="00906DD4" w:rsidRPr="007E7514">
        <w:rPr>
          <w:lang w:val="en-GB"/>
        </w:rPr>
        <w:t>comprise</w:t>
      </w:r>
      <w:r w:rsidR="00B13116" w:rsidRPr="007E7514">
        <w:rPr>
          <w:lang w:val="en-GB"/>
        </w:rPr>
        <w:t xml:space="preserve"> 15 countries</w:t>
      </w:r>
      <w:r w:rsidR="00D0687A" w:rsidRPr="007E7514">
        <w:rPr>
          <w:lang w:val="en-GB"/>
        </w:rPr>
        <w:t>,</w:t>
      </w:r>
      <w:r w:rsidR="00B13116" w:rsidRPr="007E7514">
        <w:rPr>
          <w:lang w:val="en-GB"/>
        </w:rPr>
        <w:t xml:space="preserve"> </w:t>
      </w:r>
      <w:r w:rsidR="00D03F70" w:rsidRPr="007E7514">
        <w:rPr>
          <w:lang w:val="en-GB"/>
        </w:rPr>
        <w:t xml:space="preserve">addressing </w:t>
      </w:r>
      <w:r w:rsidR="00906DD4" w:rsidRPr="007E7514">
        <w:rPr>
          <w:lang w:val="en-GB"/>
        </w:rPr>
        <w:t xml:space="preserve">the </w:t>
      </w:r>
      <w:r w:rsidR="00DB137A" w:rsidRPr="007E7514">
        <w:rPr>
          <w:lang w:val="en-GB"/>
        </w:rPr>
        <w:t xml:space="preserve">ASGM sector as </w:t>
      </w:r>
      <w:r w:rsidR="00D03F70" w:rsidRPr="007E7514">
        <w:rPr>
          <w:lang w:val="en-GB"/>
        </w:rPr>
        <w:t xml:space="preserve">the largest </w:t>
      </w:r>
      <w:r w:rsidR="00906DD4" w:rsidRPr="007E7514">
        <w:rPr>
          <w:lang w:val="en-GB"/>
        </w:rPr>
        <w:t xml:space="preserve">global </w:t>
      </w:r>
      <w:r w:rsidR="00D03F70" w:rsidRPr="007E7514">
        <w:rPr>
          <w:lang w:val="en-GB"/>
        </w:rPr>
        <w:t xml:space="preserve">source of </w:t>
      </w:r>
      <w:r w:rsidR="009849DE" w:rsidRPr="007E7514">
        <w:rPr>
          <w:lang w:val="en-GB"/>
        </w:rPr>
        <w:t xml:space="preserve">anthropogenic </w:t>
      </w:r>
      <w:r w:rsidR="00486F8E" w:rsidRPr="007E7514">
        <w:rPr>
          <w:lang w:val="en-GB"/>
        </w:rPr>
        <w:t>mercury.</w:t>
      </w:r>
      <w:r w:rsidR="00CF2D86" w:rsidRPr="007E7514">
        <w:rPr>
          <w:rStyle w:val="FootnoteReference"/>
          <w:lang w:val="en-GB"/>
        </w:rPr>
        <w:footnoteReference w:id="24"/>
      </w:r>
      <w:r w:rsidR="00486F8E" w:rsidRPr="007E7514">
        <w:rPr>
          <w:lang w:val="en-GB"/>
        </w:rPr>
        <w:t xml:space="preserve"> </w:t>
      </w:r>
      <w:r w:rsidR="00D03F70" w:rsidRPr="007E7514">
        <w:rPr>
          <w:lang w:val="en-GB"/>
        </w:rPr>
        <w:t xml:space="preserve"> </w:t>
      </w:r>
      <w:r w:rsidR="003E7E8F" w:rsidRPr="007E7514">
        <w:rPr>
          <w:lang w:val="en-GB"/>
        </w:rPr>
        <w:t xml:space="preserve">  </w:t>
      </w:r>
      <w:r w:rsidR="006A2D04" w:rsidRPr="007E7514">
        <w:rPr>
          <w:lang w:val="en-GB"/>
        </w:rPr>
        <w:t xml:space="preserve"> </w:t>
      </w:r>
      <w:r w:rsidR="00CA0B81" w:rsidRPr="007E7514">
        <w:rPr>
          <w:lang w:val="en-GB"/>
        </w:rPr>
        <w:t xml:space="preserve"> </w:t>
      </w:r>
    </w:p>
    <w:p w14:paraId="73CEC3FC" w14:textId="76CA5972" w:rsidR="004274F6" w:rsidRPr="007E7514" w:rsidRDefault="00906DD4" w:rsidP="00B7581D">
      <w:pPr>
        <w:pStyle w:val="MainParagraphwith"/>
        <w:rPr>
          <w:lang w:val="en-GB"/>
        </w:rPr>
      </w:pPr>
      <w:r w:rsidRPr="007E7514">
        <w:rPr>
          <w:lang w:val="en-GB"/>
        </w:rPr>
        <w:t>P</w:t>
      </w:r>
      <w:r w:rsidR="0002364A" w:rsidRPr="007E7514">
        <w:rPr>
          <w:lang w:val="en-GB"/>
        </w:rPr>
        <w:t xml:space="preserve">rojects </w:t>
      </w:r>
      <w:r w:rsidRPr="007E7514">
        <w:rPr>
          <w:lang w:val="en-GB"/>
        </w:rPr>
        <w:t>approved in</w:t>
      </w:r>
      <w:r w:rsidR="0002364A" w:rsidRPr="007E7514">
        <w:rPr>
          <w:lang w:val="en-GB"/>
        </w:rPr>
        <w:t xml:space="preserve"> the reporting </w:t>
      </w:r>
      <w:r w:rsidR="001A63CF" w:rsidRPr="007E7514">
        <w:rPr>
          <w:lang w:val="en-GB"/>
        </w:rPr>
        <w:t>period</w:t>
      </w:r>
      <w:r w:rsidR="0002364A" w:rsidRPr="007E7514">
        <w:rPr>
          <w:lang w:val="en-GB"/>
        </w:rPr>
        <w:t xml:space="preserve"> included MIAs and ASGM NAPs to help countries identify </w:t>
      </w:r>
      <w:r w:rsidRPr="007E7514">
        <w:rPr>
          <w:lang w:val="en-GB"/>
        </w:rPr>
        <w:t xml:space="preserve">their </w:t>
      </w:r>
      <w:r w:rsidR="0002364A" w:rsidRPr="007E7514">
        <w:rPr>
          <w:lang w:val="en-GB"/>
        </w:rPr>
        <w:t>needs and priorit</w:t>
      </w:r>
      <w:r w:rsidRPr="007E7514">
        <w:rPr>
          <w:lang w:val="en-GB"/>
        </w:rPr>
        <w:t>ies</w:t>
      </w:r>
      <w:r w:rsidR="0002364A" w:rsidRPr="007E7514">
        <w:rPr>
          <w:lang w:val="en-GB"/>
        </w:rPr>
        <w:t xml:space="preserve">, and </w:t>
      </w:r>
      <w:r w:rsidRPr="007E7514">
        <w:rPr>
          <w:lang w:val="en-GB"/>
        </w:rPr>
        <w:t xml:space="preserve">conduct </w:t>
      </w:r>
      <w:r w:rsidR="0002364A" w:rsidRPr="007E7514">
        <w:rPr>
          <w:lang w:val="en-GB"/>
        </w:rPr>
        <w:t xml:space="preserve">implementation work on priority sectors for the Convention, as illustrated in Figure 1. </w:t>
      </w:r>
    </w:p>
    <w:p w14:paraId="1398C392" w14:textId="0F170243" w:rsidR="004274F6" w:rsidRPr="007E7514" w:rsidRDefault="004274F6" w:rsidP="00FE38FE">
      <w:pPr>
        <w:pStyle w:val="Caption"/>
        <w:widowControl/>
        <w:jc w:val="center"/>
        <w:rPr>
          <w:lang w:eastAsia="zh-CN"/>
        </w:rPr>
      </w:pPr>
      <w:bookmarkStart w:id="33" w:name="_Toc76405616"/>
      <w:r w:rsidRPr="007E7514">
        <w:t xml:space="preserve">Figure </w:t>
      </w:r>
      <w:r w:rsidRPr="007E7514">
        <w:fldChar w:fldCharType="begin"/>
      </w:r>
      <w:r w:rsidRPr="007E7514">
        <w:instrText xml:space="preserve"> SEQ Figure \* ARABIC </w:instrText>
      </w:r>
      <w:r w:rsidRPr="007E7514">
        <w:fldChar w:fldCharType="separate"/>
      </w:r>
      <w:r w:rsidR="00C604A6">
        <w:rPr>
          <w:noProof/>
        </w:rPr>
        <w:t>1</w:t>
      </w:r>
      <w:r w:rsidRPr="007E7514">
        <w:fldChar w:fldCharType="end"/>
      </w:r>
      <w:r w:rsidRPr="007E7514">
        <w:t xml:space="preserve">: </w:t>
      </w:r>
      <w:r w:rsidRPr="007E7514">
        <w:rPr>
          <w:lang w:eastAsia="zh-CN"/>
        </w:rPr>
        <w:t>Thematic Distribution of Allocated GEF-7 Mercury Project Financing in the Reporting Period (July 1, 2019 to June 30, 2021)</w:t>
      </w:r>
      <w:bookmarkEnd w:id="33"/>
    </w:p>
    <w:p w14:paraId="268D1287" w14:textId="6C7B5559" w:rsidR="004274F6" w:rsidRPr="007E7514" w:rsidRDefault="004274F6" w:rsidP="00FE38FE">
      <w:pPr>
        <w:widowControl/>
        <w:jc w:val="center"/>
        <w:rPr>
          <w:rFonts w:asciiTheme="minorHAnsi" w:hAnsiTheme="minorHAnsi" w:cstheme="minorHAnsi"/>
          <w:lang w:val="en-GB" w:eastAsia="zh-CN"/>
        </w:rPr>
      </w:pPr>
      <w:r w:rsidRPr="007E7514">
        <w:rPr>
          <w:rFonts w:asciiTheme="minorHAnsi" w:hAnsiTheme="minorHAnsi" w:cstheme="minorHAnsi"/>
          <w:lang w:val="en-GB" w:eastAsia="zh-CN"/>
        </w:rPr>
        <w:t>($ million, excluding PPGs and Agency fees)</w:t>
      </w:r>
    </w:p>
    <w:p w14:paraId="27B66029" w14:textId="77777777" w:rsidR="00F73919" w:rsidRPr="007E7514" w:rsidRDefault="00F73919" w:rsidP="00FE38FE">
      <w:pPr>
        <w:widowControl/>
        <w:jc w:val="center"/>
        <w:rPr>
          <w:b/>
          <w:bCs/>
          <w:lang w:val="en-GB" w:eastAsia="zh-CN"/>
        </w:rPr>
      </w:pPr>
    </w:p>
    <w:p w14:paraId="1BB81E11" w14:textId="5A923891" w:rsidR="002F3214" w:rsidRPr="007E7514" w:rsidRDefault="005A14AE" w:rsidP="00FE38FE">
      <w:pPr>
        <w:widowControl/>
        <w:jc w:val="center"/>
        <w:rPr>
          <w:b/>
          <w:bCs/>
          <w:lang w:val="en-GB" w:eastAsia="zh-CN"/>
        </w:rPr>
      </w:pPr>
      <w:r w:rsidRPr="007E7514">
        <w:rPr>
          <w:noProof/>
          <w:lang w:val="en-GB"/>
        </w:rPr>
        <w:drawing>
          <wp:inline distT="0" distB="0" distL="0" distR="0" wp14:anchorId="20869535" wp14:editId="6A7C346F">
            <wp:extent cx="4625340" cy="2864581"/>
            <wp:effectExtent l="0" t="0" r="10160" b="18415"/>
            <wp:docPr id="7" name="Chart 7">
              <a:extLst xmlns:a="http://schemas.openxmlformats.org/drawingml/2006/main">
                <a:ext uri="{FF2B5EF4-FFF2-40B4-BE49-F238E27FC236}">
                  <a16:creationId xmlns:a16="http://schemas.microsoft.com/office/drawing/2014/main" id="{F24DEFEA-F758-44D4-8AFD-A719B9329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AADA90A" w14:textId="00DC98F1" w:rsidR="0002364A" w:rsidRPr="007E7514" w:rsidRDefault="0002364A" w:rsidP="00B7581D">
      <w:pPr>
        <w:pStyle w:val="MainParagraphwith"/>
        <w:rPr>
          <w:lang w:val="en-GB"/>
        </w:rPr>
      </w:pPr>
      <w:r w:rsidRPr="007E7514">
        <w:rPr>
          <w:lang w:val="en-GB"/>
        </w:rPr>
        <w:t xml:space="preserve">As </w:t>
      </w:r>
      <w:r w:rsidR="00906DD4" w:rsidRPr="007E7514">
        <w:rPr>
          <w:lang w:val="en-GB"/>
        </w:rPr>
        <w:t>F</w:t>
      </w:r>
      <w:r w:rsidRPr="007E7514">
        <w:rPr>
          <w:lang w:val="en-GB"/>
        </w:rPr>
        <w:t xml:space="preserve">igure 1 shows, </w:t>
      </w:r>
      <w:r w:rsidR="002F3214" w:rsidRPr="007E7514">
        <w:rPr>
          <w:lang w:val="en-GB"/>
        </w:rPr>
        <w:t>58</w:t>
      </w:r>
      <w:r w:rsidRPr="007E7514">
        <w:rPr>
          <w:lang w:val="en-GB"/>
        </w:rPr>
        <w:t xml:space="preserve"> percent of the resources </w:t>
      </w:r>
      <w:r w:rsidR="00906DD4" w:rsidRPr="007E7514">
        <w:rPr>
          <w:lang w:val="en-GB"/>
        </w:rPr>
        <w:t>for mercury in</w:t>
      </w:r>
      <w:r w:rsidRPr="007E7514">
        <w:rPr>
          <w:lang w:val="en-GB"/>
        </w:rPr>
        <w:t xml:space="preserve"> the reporting period was allocated t</w:t>
      </w:r>
      <w:r w:rsidR="002F3214" w:rsidRPr="007E7514">
        <w:rPr>
          <w:lang w:val="en-GB"/>
        </w:rPr>
        <w:t xml:space="preserve">o ASGM. </w:t>
      </w:r>
      <w:r w:rsidR="007A194C" w:rsidRPr="007E7514">
        <w:rPr>
          <w:lang w:val="en-GB"/>
        </w:rPr>
        <w:t>It</w:t>
      </w:r>
      <w:r w:rsidR="002F3214" w:rsidRPr="007E7514">
        <w:rPr>
          <w:lang w:val="en-GB"/>
        </w:rPr>
        <w:t xml:space="preserve"> is the largest source of mercury globally</w:t>
      </w:r>
      <w:r w:rsidR="00D017AF" w:rsidRPr="007E7514">
        <w:rPr>
          <w:lang w:val="en-GB"/>
        </w:rPr>
        <w:t>, therefore,</w:t>
      </w:r>
      <w:r w:rsidR="002F3214" w:rsidRPr="007E7514">
        <w:rPr>
          <w:lang w:val="en-GB"/>
        </w:rPr>
        <w:t xml:space="preserve"> this allocation directly responds to the Minamata Convention. Projects addressing mercury products, including medical devices</w:t>
      </w:r>
      <w:r w:rsidR="007A194C" w:rsidRPr="007E7514">
        <w:rPr>
          <w:lang w:val="en-GB"/>
        </w:rPr>
        <w:t>,</w:t>
      </w:r>
      <w:r w:rsidR="002F3214" w:rsidRPr="007E7514">
        <w:rPr>
          <w:lang w:val="en-GB"/>
        </w:rPr>
        <w:t xml:space="preserve"> received 20</w:t>
      </w:r>
      <w:r w:rsidR="00075BDA" w:rsidRPr="007E7514">
        <w:rPr>
          <w:lang w:val="en-GB"/>
        </w:rPr>
        <w:t xml:space="preserve"> percent</w:t>
      </w:r>
      <w:r w:rsidR="002F3214" w:rsidRPr="007E7514">
        <w:rPr>
          <w:lang w:val="en-GB"/>
        </w:rPr>
        <w:t xml:space="preserve"> of resources</w:t>
      </w:r>
      <w:r w:rsidR="007A194C" w:rsidRPr="007E7514">
        <w:rPr>
          <w:lang w:val="en-GB"/>
        </w:rPr>
        <w:t>,</w:t>
      </w:r>
      <w:r w:rsidR="00D017AF" w:rsidRPr="007E7514">
        <w:rPr>
          <w:lang w:val="en-GB"/>
        </w:rPr>
        <w:t xml:space="preserve"> while the other areas utilize less than ten </w:t>
      </w:r>
      <w:r w:rsidR="00D017AF" w:rsidRPr="007E7514">
        <w:rPr>
          <w:lang w:val="en-GB"/>
        </w:rPr>
        <w:lastRenderedPageBreak/>
        <w:t xml:space="preserve">percent </w:t>
      </w:r>
      <w:r w:rsidR="001F002C" w:rsidRPr="007E7514">
        <w:rPr>
          <w:lang w:val="en-GB"/>
        </w:rPr>
        <w:t xml:space="preserve">of the total resources. </w:t>
      </w:r>
      <w:r w:rsidR="002F3214" w:rsidRPr="007E7514">
        <w:rPr>
          <w:lang w:val="en-GB"/>
        </w:rPr>
        <w:t xml:space="preserve">  </w:t>
      </w:r>
    </w:p>
    <w:p w14:paraId="02C2EF27" w14:textId="7792E10F" w:rsidR="001251B4" w:rsidRPr="007E7514" w:rsidRDefault="003D35C8" w:rsidP="00B7581D">
      <w:pPr>
        <w:pStyle w:val="MainParagraphwith"/>
        <w:rPr>
          <w:lang w:val="en-GB"/>
        </w:rPr>
      </w:pPr>
      <w:r w:rsidRPr="007E7514">
        <w:rPr>
          <w:lang w:val="en-GB"/>
        </w:rPr>
        <w:t>Figure 2 shows</w:t>
      </w:r>
      <w:r w:rsidR="009F2CB6" w:rsidRPr="007E7514">
        <w:rPr>
          <w:lang w:val="en-GB"/>
        </w:rPr>
        <w:t xml:space="preserve"> </w:t>
      </w:r>
      <w:r w:rsidR="00BB1BA1" w:rsidRPr="007E7514">
        <w:rPr>
          <w:lang w:val="en-GB"/>
        </w:rPr>
        <w:t>the r</w:t>
      </w:r>
      <w:r w:rsidR="009F2CB6" w:rsidRPr="007E7514">
        <w:rPr>
          <w:lang w:val="en-GB"/>
        </w:rPr>
        <w:t xml:space="preserve">egional </w:t>
      </w:r>
      <w:r w:rsidR="00BB1BA1" w:rsidRPr="007E7514">
        <w:rPr>
          <w:lang w:val="en-GB"/>
        </w:rPr>
        <w:t>d</w:t>
      </w:r>
      <w:r w:rsidR="009F2CB6" w:rsidRPr="007E7514">
        <w:rPr>
          <w:lang w:val="en-GB"/>
        </w:rPr>
        <w:t xml:space="preserve">istribution of GEF-7 </w:t>
      </w:r>
      <w:r w:rsidR="00BB1BA1" w:rsidRPr="007E7514">
        <w:rPr>
          <w:lang w:val="en-GB"/>
        </w:rPr>
        <w:t>p</w:t>
      </w:r>
      <w:r w:rsidR="009F2CB6" w:rsidRPr="007E7514">
        <w:rPr>
          <w:lang w:val="en-GB"/>
        </w:rPr>
        <w:t xml:space="preserve">roject </w:t>
      </w:r>
      <w:r w:rsidR="00BB1BA1" w:rsidRPr="007E7514">
        <w:rPr>
          <w:lang w:val="en-GB"/>
        </w:rPr>
        <w:t>f</w:t>
      </w:r>
      <w:r w:rsidR="009F2CB6" w:rsidRPr="007E7514">
        <w:rPr>
          <w:lang w:val="en-GB"/>
        </w:rPr>
        <w:t xml:space="preserve">inancing by </w:t>
      </w:r>
      <w:r w:rsidR="00BB1BA1" w:rsidRPr="007E7514">
        <w:rPr>
          <w:lang w:val="en-GB"/>
        </w:rPr>
        <w:t>t</w:t>
      </w:r>
      <w:r w:rsidR="009F2CB6" w:rsidRPr="007E7514">
        <w:rPr>
          <w:lang w:val="en-GB"/>
        </w:rPr>
        <w:t xml:space="preserve">hematic </w:t>
      </w:r>
      <w:r w:rsidR="00BB1BA1" w:rsidRPr="007E7514">
        <w:rPr>
          <w:lang w:val="en-GB"/>
        </w:rPr>
        <w:t>a</w:t>
      </w:r>
      <w:r w:rsidR="009F2CB6" w:rsidRPr="007E7514">
        <w:rPr>
          <w:lang w:val="en-GB"/>
        </w:rPr>
        <w:t>reas</w:t>
      </w:r>
      <w:r w:rsidRPr="007E7514">
        <w:rPr>
          <w:lang w:val="en-GB"/>
        </w:rPr>
        <w:t xml:space="preserve">. </w:t>
      </w:r>
      <w:r w:rsidR="00724AB8" w:rsidRPr="007E7514">
        <w:rPr>
          <w:lang w:val="en-GB"/>
        </w:rPr>
        <w:t xml:space="preserve">Global </w:t>
      </w:r>
      <w:r w:rsidR="004B2C13" w:rsidRPr="007E7514">
        <w:rPr>
          <w:lang w:val="en-GB"/>
        </w:rPr>
        <w:t xml:space="preserve">projects and </w:t>
      </w:r>
      <w:r w:rsidR="00724AB8" w:rsidRPr="007E7514">
        <w:rPr>
          <w:lang w:val="en-GB"/>
        </w:rPr>
        <w:t xml:space="preserve">programs received the highest </w:t>
      </w:r>
      <w:r w:rsidR="001447D9" w:rsidRPr="007E7514">
        <w:rPr>
          <w:lang w:val="en-GB"/>
        </w:rPr>
        <w:t>amount</w:t>
      </w:r>
      <w:r w:rsidR="00724AB8" w:rsidRPr="007E7514">
        <w:rPr>
          <w:lang w:val="en-GB"/>
        </w:rPr>
        <w:t xml:space="preserve"> of GEF financing </w:t>
      </w:r>
      <w:r w:rsidR="007A194C" w:rsidRPr="007E7514">
        <w:rPr>
          <w:lang w:val="en-GB"/>
        </w:rPr>
        <w:t>in</w:t>
      </w:r>
      <w:r w:rsidR="00724AB8" w:rsidRPr="007E7514">
        <w:rPr>
          <w:lang w:val="en-GB"/>
        </w:rPr>
        <w:t xml:space="preserve"> the reporting period</w:t>
      </w:r>
      <w:r w:rsidR="000D56FB" w:rsidRPr="007E7514">
        <w:rPr>
          <w:lang w:val="en-GB"/>
        </w:rPr>
        <w:t xml:space="preserve"> </w:t>
      </w:r>
      <w:r w:rsidR="0037780A" w:rsidRPr="007E7514">
        <w:rPr>
          <w:lang w:val="en-GB"/>
        </w:rPr>
        <w:t>with $87.8 million</w:t>
      </w:r>
      <w:r w:rsidR="00724AB8" w:rsidRPr="007E7514">
        <w:rPr>
          <w:lang w:val="en-GB"/>
        </w:rPr>
        <w:t xml:space="preserve">, </w:t>
      </w:r>
      <w:r w:rsidR="00044566" w:rsidRPr="007E7514">
        <w:rPr>
          <w:lang w:val="en-GB"/>
        </w:rPr>
        <w:t xml:space="preserve">of which </w:t>
      </w:r>
      <w:r w:rsidR="00743AFD" w:rsidRPr="007E7514">
        <w:rPr>
          <w:lang w:val="en-GB"/>
        </w:rPr>
        <w:t>$</w:t>
      </w:r>
      <w:r w:rsidR="00937E73" w:rsidRPr="007E7514">
        <w:rPr>
          <w:lang w:val="en-GB"/>
        </w:rPr>
        <w:t>74.3</w:t>
      </w:r>
      <w:r w:rsidR="00743AFD" w:rsidRPr="007E7514">
        <w:rPr>
          <w:lang w:val="en-GB"/>
        </w:rPr>
        <w:t xml:space="preserve"> </w:t>
      </w:r>
      <w:r w:rsidR="00AC3874" w:rsidRPr="007E7514">
        <w:rPr>
          <w:lang w:val="en-GB"/>
        </w:rPr>
        <w:t>million</w:t>
      </w:r>
      <w:r w:rsidR="00743AFD" w:rsidRPr="007E7514">
        <w:rPr>
          <w:lang w:val="en-GB"/>
        </w:rPr>
        <w:t xml:space="preserve"> supported</w:t>
      </w:r>
      <w:r w:rsidR="00724AB8" w:rsidRPr="007E7514">
        <w:rPr>
          <w:lang w:val="en-GB"/>
        </w:rPr>
        <w:t xml:space="preserve"> ASGM through the </w:t>
      </w:r>
      <w:r w:rsidR="00724AB8" w:rsidRPr="007E7514">
        <w:rPr>
          <w:i/>
          <w:iCs/>
          <w:lang w:val="en-GB"/>
        </w:rPr>
        <w:t>GOLD+</w:t>
      </w:r>
      <w:r w:rsidR="00724AB8" w:rsidRPr="007E7514">
        <w:rPr>
          <w:lang w:val="en-GB"/>
        </w:rPr>
        <w:t xml:space="preserve"> Program. In Africa</w:t>
      </w:r>
      <w:r w:rsidR="007A194C" w:rsidRPr="007E7514">
        <w:rPr>
          <w:lang w:val="en-GB"/>
        </w:rPr>
        <w:t>,</w:t>
      </w:r>
      <w:r w:rsidR="00724AB8" w:rsidRPr="007E7514">
        <w:rPr>
          <w:lang w:val="en-GB"/>
        </w:rPr>
        <w:t xml:space="preserve"> resources were allocated to </w:t>
      </w:r>
      <w:r w:rsidR="00937A76" w:rsidRPr="007E7514">
        <w:rPr>
          <w:lang w:val="en-GB"/>
        </w:rPr>
        <w:t>EAs</w:t>
      </w:r>
      <w:r w:rsidR="002A70E2" w:rsidRPr="007E7514">
        <w:rPr>
          <w:lang w:val="en-GB"/>
        </w:rPr>
        <w:t>, medical devices,</w:t>
      </w:r>
      <w:r w:rsidR="000F54D6" w:rsidRPr="007E7514">
        <w:rPr>
          <w:lang w:val="en-GB"/>
        </w:rPr>
        <w:t xml:space="preserve"> and mercury waste</w:t>
      </w:r>
      <w:r w:rsidR="00724AB8" w:rsidRPr="007E7514">
        <w:rPr>
          <w:lang w:val="en-GB"/>
        </w:rPr>
        <w:t>. Asia projects focused on mercury products, including medical devices. Latin America received support for the Chlor Alkali project.</w:t>
      </w:r>
      <w:r w:rsidR="00CC74F3" w:rsidRPr="007E7514">
        <w:rPr>
          <w:lang w:val="en-GB"/>
        </w:rPr>
        <w:t xml:space="preserve"> </w:t>
      </w:r>
      <w:r w:rsidR="00724AB8" w:rsidRPr="007E7514">
        <w:rPr>
          <w:lang w:val="en-GB"/>
        </w:rPr>
        <w:t xml:space="preserve"> </w:t>
      </w:r>
    </w:p>
    <w:p w14:paraId="1876B3D5" w14:textId="0647E51C" w:rsidR="004B25A3" w:rsidRPr="007E7514" w:rsidRDefault="004B25A3" w:rsidP="004B25A3">
      <w:pPr>
        <w:jc w:val="center"/>
        <w:rPr>
          <w:rFonts w:asciiTheme="minorHAnsi" w:hAnsiTheme="minorHAnsi" w:cstheme="minorHAnsi"/>
          <w:b/>
          <w:bCs/>
          <w:lang w:val="en-GB" w:eastAsia="zh-CN"/>
        </w:rPr>
      </w:pPr>
      <w:bookmarkStart w:id="34" w:name="_Toc76405617"/>
      <w:r w:rsidRPr="007E7514">
        <w:rPr>
          <w:rFonts w:asciiTheme="minorHAnsi" w:hAnsiTheme="minorHAnsi" w:cstheme="minorHAnsi"/>
          <w:b/>
          <w:bCs/>
          <w:lang w:val="en-GB"/>
        </w:rPr>
        <w:t xml:space="preserve">Figure </w:t>
      </w:r>
      <w:r w:rsidRPr="007E7514">
        <w:rPr>
          <w:rFonts w:asciiTheme="minorHAnsi" w:hAnsiTheme="minorHAnsi" w:cstheme="minorHAnsi"/>
          <w:b/>
          <w:bCs/>
          <w:lang w:val="en-GB"/>
        </w:rPr>
        <w:fldChar w:fldCharType="begin"/>
      </w:r>
      <w:r w:rsidRPr="007E7514">
        <w:rPr>
          <w:rFonts w:asciiTheme="minorHAnsi" w:hAnsiTheme="minorHAnsi" w:cstheme="minorHAnsi"/>
          <w:b/>
          <w:bCs/>
          <w:lang w:val="en-GB"/>
        </w:rPr>
        <w:instrText xml:space="preserve"> SEQ Figure \* ARABIC </w:instrText>
      </w:r>
      <w:r w:rsidRPr="007E7514">
        <w:rPr>
          <w:rFonts w:asciiTheme="minorHAnsi" w:hAnsiTheme="minorHAnsi" w:cstheme="minorHAnsi"/>
          <w:b/>
          <w:bCs/>
          <w:lang w:val="en-GB"/>
        </w:rPr>
        <w:fldChar w:fldCharType="separate"/>
      </w:r>
      <w:r w:rsidR="00C604A6">
        <w:rPr>
          <w:rFonts w:asciiTheme="minorHAnsi" w:hAnsiTheme="minorHAnsi" w:cstheme="minorHAnsi"/>
          <w:b/>
          <w:bCs/>
          <w:noProof/>
          <w:lang w:val="en-GB"/>
        </w:rPr>
        <w:t>2</w:t>
      </w:r>
      <w:r w:rsidRPr="007E7514">
        <w:rPr>
          <w:rFonts w:asciiTheme="minorHAnsi" w:hAnsiTheme="minorHAnsi" w:cstheme="minorHAnsi"/>
          <w:b/>
          <w:bCs/>
          <w:lang w:val="en-GB"/>
        </w:rPr>
        <w:fldChar w:fldCharType="end"/>
      </w:r>
      <w:r w:rsidRPr="007E7514">
        <w:rPr>
          <w:rFonts w:asciiTheme="minorHAnsi" w:hAnsiTheme="minorHAnsi" w:cstheme="minorHAnsi"/>
          <w:b/>
          <w:bCs/>
          <w:lang w:val="en-GB"/>
        </w:rPr>
        <w:t xml:space="preserve">: </w:t>
      </w:r>
      <w:r w:rsidRPr="007E7514">
        <w:rPr>
          <w:rFonts w:asciiTheme="minorHAnsi" w:hAnsiTheme="minorHAnsi" w:cstheme="minorHAnsi"/>
          <w:b/>
          <w:bCs/>
          <w:lang w:val="en-GB" w:eastAsia="zh-CN"/>
        </w:rPr>
        <w:t>Regional Distribution of GEF-7 Mercury Project Financing by Thematic Areas in the Reporting Period (July 1, 2019 to June 30, 2021)</w:t>
      </w:r>
      <w:bookmarkEnd w:id="34"/>
    </w:p>
    <w:p w14:paraId="4E447E70" w14:textId="61690500" w:rsidR="004B25A3" w:rsidRPr="007E7514" w:rsidRDefault="004B25A3" w:rsidP="004B25A3">
      <w:pPr>
        <w:jc w:val="center"/>
        <w:rPr>
          <w:lang w:val="en-GB" w:eastAsia="zh-CN"/>
        </w:rPr>
      </w:pPr>
      <w:r w:rsidRPr="007E7514">
        <w:rPr>
          <w:rFonts w:asciiTheme="minorHAnsi" w:hAnsiTheme="minorHAnsi" w:cstheme="minorHAnsi"/>
          <w:lang w:val="en-GB" w:eastAsia="zh-CN"/>
        </w:rPr>
        <w:t>($ million</w:t>
      </w:r>
      <w:r w:rsidR="00B51248" w:rsidRPr="007E7514">
        <w:rPr>
          <w:rFonts w:asciiTheme="minorHAnsi" w:hAnsiTheme="minorHAnsi" w:cstheme="minorHAnsi"/>
          <w:lang w:val="en-GB" w:eastAsia="zh-CN"/>
        </w:rPr>
        <w:t>, excluding PPGs and Agency fees</w:t>
      </w:r>
      <w:r w:rsidRPr="007E7514">
        <w:rPr>
          <w:rFonts w:asciiTheme="minorHAnsi" w:hAnsiTheme="minorHAnsi" w:cstheme="minorHAnsi"/>
          <w:lang w:val="en-GB" w:eastAsia="zh-CN"/>
        </w:rPr>
        <w:t>)</w:t>
      </w:r>
    </w:p>
    <w:p w14:paraId="4D9F7FC4" w14:textId="7710FAFF" w:rsidR="00724AB8" w:rsidRPr="007E7514" w:rsidRDefault="00724AB8" w:rsidP="00AC5A04">
      <w:pPr>
        <w:rPr>
          <w:lang w:val="en-GB" w:eastAsia="zh-CN"/>
        </w:rPr>
      </w:pPr>
    </w:p>
    <w:p w14:paraId="38BDFEDE" w14:textId="47873FEA" w:rsidR="00AC5A04" w:rsidRPr="007E7514" w:rsidRDefault="00AC5A04" w:rsidP="00724AB8">
      <w:pPr>
        <w:jc w:val="center"/>
        <w:rPr>
          <w:lang w:val="en-GB" w:eastAsia="zh-CN"/>
        </w:rPr>
      </w:pPr>
      <w:r w:rsidRPr="007E7514">
        <w:rPr>
          <w:noProof/>
          <w:lang w:val="en-GB"/>
        </w:rPr>
        <w:drawing>
          <wp:inline distT="0" distB="0" distL="0" distR="0" wp14:anchorId="2AABC143" wp14:editId="1A21F39F">
            <wp:extent cx="4956175" cy="2895600"/>
            <wp:effectExtent l="0" t="0" r="9525" b="12700"/>
            <wp:docPr id="1" name="Chart 1">
              <a:extLst xmlns:a="http://schemas.openxmlformats.org/drawingml/2006/main">
                <a:ext uri="{FF2B5EF4-FFF2-40B4-BE49-F238E27FC236}">
                  <a16:creationId xmlns:a16="http://schemas.microsoft.com/office/drawing/2014/main" id="{8541AEE4-46BE-4936-B28A-D824F0425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98517B2" w14:textId="33061178" w:rsidR="001978AA" w:rsidRPr="007E7514" w:rsidRDefault="007A194C" w:rsidP="00B7581D">
      <w:pPr>
        <w:pStyle w:val="MainParagraphwith"/>
        <w:rPr>
          <w:lang w:val="en-GB"/>
        </w:rPr>
      </w:pPr>
      <w:r w:rsidRPr="007E7514">
        <w:rPr>
          <w:lang w:val="en-GB"/>
        </w:rPr>
        <w:t>F</w:t>
      </w:r>
      <w:r w:rsidR="001A63CF" w:rsidRPr="007E7514">
        <w:rPr>
          <w:lang w:val="en-GB"/>
        </w:rPr>
        <w:t xml:space="preserve">ive GEF agencies </w:t>
      </w:r>
      <w:r w:rsidR="00235475" w:rsidRPr="007E7514">
        <w:rPr>
          <w:lang w:val="en-GB"/>
        </w:rPr>
        <w:t>were engaged in projects</w:t>
      </w:r>
      <w:r w:rsidRPr="007E7514">
        <w:rPr>
          <w:lang w:val="en-GB"/>
        </w:rPr>
        <w:t xml:space="preserve"> for the implementation of the Minamata Convention</w:t>
      </w:r>
      <w:r w:rsidR="00235475" w:rsidRPr="007E7514">
        <w:rPr>
          <w:rStyle w:val="FootnoteReference"/>
          <w:lang w:val="en-GB"/>
        </w:rPr>
        <w:footnoteReference w:id="25"/>
      </w:r>
      <w:r w:rsidR="00235475" w:rsidRPr="007E7514">
        <w:rPr>
          <w:lang w:val="en-GB"/>
        </w:rPr>
        <w:t xml:space="preserve"> </w:t>
      </w:r>
      <w:r w:rsidRPr="007E7514">
        <w:rPr>
          <w:lang w:val="en-GB"/>
        </w:rPr>
        <w:t>in</w:t>
      </w:r>
      <w:r w:rsidR="00235475" w:rsidRPr="007E7514">
        <w:rPr>
          <w:lang w:val="en-GB"/>
        </w:rPr>
        <w:t xml:space="preserve"> the reporting period</w:t>
      </w:r>
      <w:r w:rsidR="001A63CF" w:rsidRPr="007E7514">
        <w:rPr>
          <w:lang w:val="en-GB"/>
        </w:rPr>
        <w:t xml:space="preserve">, </w:t>
      </w:r>
      <w:r w:rsidRPr="007E7514">
        <w:rPr>
          <w:lang w:val="en-GB"/>
        </w:rPr>
        <w:t>namely</w:t>
      </w:r>
      <w:r w:rsidR="00D03043" w:rsidRPr="007E7514">
        <w:rPr>
          <w:lang w:val="en-GB"/>
        </w:rPr>
        <w:t xml:space="preserve"> </w:t>
      </w:r>
      <w:r w:rsidRPr="007E7514">
        <w:rPr>
          <w:lang w:val="en-GB"/>
        </w:rPr>
        <w:t>the United Nations Development Programme (</w:t>
      </w:r>
      <w:r w:rsidR="001A63CF" w:rsidRPr="007E7514">
        <w:rPr>
          <w:lang w:val="en-GB"/>
        </w:rPr>
        <w:t>UNDP</w:t>
      </w:r>
      <w:r w:rsidRPr="007E7514">
        <w:rPr>
          <w:lang w:val="en-GB"/>
        </w:rPr>
        <w:t>)</w:t>
      </w:r>
      <w:r w:rsidR="001A63CF" w:rsidRPr="007E7514">
        <w:rPr>
          <w:lang w:val="en-GB"/>
        </w:rPr>
        <w:t xml:space="preserve">, </w:t>
      </w:r>
      <w:r w:rsidRPr="007E7514">
        <w:rPr>
          <w:lang w:val="en-GB"/>
        </w:rPr>
        <w:t>the United Nations Environment Programme (</w:t>
      </w:r>
      <w:r w:rsidR="001A63CF" w:rsidRPr="007E7514">
        <w:rPr>
          <w:lang w:val="en-GB"/>
        </w:rPr>
        <w:t>UNEP</w:t>
      </w:r>
      <w:r w:rsidRPr="007E7514">
        <w:rPr>
          <w:lang w:val="en-GB"/>
        </w:rPr>
        <w:t>)</w:t>
      </w:r>
      <w:r w:rsidR="001A63CF" w:rsidRPr="007E7514">
        <w:rPr>
          <w:lang w:val="en-GB"/>
        </w:rPr>
        <w:t xml:space="preserve">, </w:t>
      </w:r>
      <w:r w:rsidRPr="007E7514">
        <w:rPr>
          <w:lang w:val="en-GB"/>
        </w:rPr>
        <w:t>the United Nations Industrial Development Organization (</w:t>
      </w:r>
      <w:r w:rsidR="001A63CF" w:rsidRPr="007E7514">
        <w:rPr>
          <w:lang w:val="en-GB"/>
        </w:rPr>
        <w:t>UNIDO</w:t>
      </w:r>
      <w:r w:rsidRPr="007E7514">
        <w:rPr>
          <w:lang w:val="en-GB"/>
        </w:rPr>
        <w:t>)</w:t>
      </w:r>
      <w:r w:rsidR="001A63CF" w:rsidRPr="007E7514">
        <w:rPr>
          <w:lang w:val="en-GB"/>
        </w:rPr>
        <w:t xml:space="preserve">, </w:t>
      </w:r>
      <w:r w:rsidRPr="007E7514">
        <w:rPr>
          <w:lang w:val="en-GB"/>
        </w:rPr>
        <w:t>Conservation International (</w:t>
      </w:r>
      <w:r w:rsidR="001A63CF" w:rsidRPr="007E7514">
        <w:rPr>
          <w:lang w:val="en-GB"/>
        </w:rPr>
        <w:t>CI</w:t>
      </w:r>
      <w:r w:rsidRPr="007E7514">
        <w:rPr>
          <w:lang w:val="en-GB"/>
        </w:rPr>
        <w:t>)</w:t>
      </w:r>
      <w:r w:rsidR="001A63CF" w:rsidRPr="007E7514">
        <w:rPr>
          <w:lang w:val="en-GB"/>
        </w:rPr>
        <w:t xml:space="preserve">, and the World Bank. </w:t>
      </w:r>
      <w:r w:rsidR="00E57DE4" w:rsidRPr="007E7514">
        <w:rPr>
          <w:lang w:val="en-GB"/>
        </w:rPr>
        <w:t>As shown in Figure 3</w:t>
      </w:r>
      <w:r w:rsidR="001A63CF" w:rsidRPr="007E7514">
        <w:rPr>
          <w:lang w:val="en-GB"/>
        </w:rPr>
        <w:t>, UNEP accounts for the largest project financing share ($2</w:t>
      </w:r>
      <w:r w:rsidR="00DA7B1F" w:rsidRPr="007E7514">
        <w:rPr>
          <w:lang w:val="en-GB"/>
        </w:rPr>
        <w:t>5</w:t>
      </w:r>
      <w:r w:rsidR="004B3125" w:rsidRPr="007E7514">
        <w:rPr>
          <w:lang w:val="en-GB"/>
        </w:rPr>
        <w:t>.6</w:t>
      </w:r>
      <w:r w:rsidR="001A63CF" w:rsidRPr="007E7514">
        <w:rPr>
          <w:lang w:val="en-GB"/>
        </w:rPr>
        <w:t xml:space="preserve"> million</w:t>
      </w:r>
      <w:r w:rsidR="00B36D27" w:rsidRPr="007E7514">
        <w:rPr>
          <w:lang w:val="en-GB"/>
        </w:rPr>
        <w:t xml:space="preserve"> or 4</w:t>
      </w:r>
      <w:r w:rsidR="0038795D" w:rsidRPr="007E7514">
        <w:rPr>
          <w:lang w:val="en-GB"/>
        </w:rPr>
        <w:t>3</w:t>
      </w:r>
      <w:r w:rsidR="00B36D27" w:rsidRPr="007E7514">
        <w:rPr>
          <w:lang w:val="en-GB"/>
        </w:rPr>
        <w:t xml:space="preserve"> percent</w:t>
      </w:r>
      <w:r w:rsidR="001A63CF" w:rsidRPr="007E7514">
        <w:rPr>
          <w:lang w:val="en-GB"/>
        </w:rPr>
        <w:t>), followed by UNDP ($21</w:t>
      </w:r>
      <w:r w:rsidR="00E1006E" w:rsidRPr="007E7514">
        <w:rPr>
          <w:lang w:val="en-GB"/>
        </w:rPr>
        <w:t>.0</w:t>
      </w:r>
      <w:r w:rsidR="001A63CF" w:rsidRPr="007E7514">
        <w:rPr>
          <w:lang w:val="en-GB"/>
        </w:rPr>
        <w:t xml:space="preserve"> million</w:t>
      </w:r>
      <w:r w:rsidR="00B36D27" w:rsidRPr="007E7514">
        <w:rPr>
          <w:lang w:val="en-GB"/>
        </w:rPr>
        <w:t xml:space="preserve"> or 36 percent</w:t>
      </w:r>
      <w:r w:rsidR="001A63CF" w:rsidRPr="007E7514">
        <w:rPr>
          <w:lang w:val="en-GB"/>
        </w:rPr>
        <w:t>), UNIDO (</w:t>
      </w:r>
      <w:r w:rsidR="00235475" w:rsidRPr="007E7514">
        <w:rPr>
          <w:lang w:val="en-GB"/>
        </w:rPr>
        <w:t>$</w:t>
      </w:r>
      <w:r w:rsidR="0038795D" w:rsidRPr="007E7514">
        <w:rPr>
          <w:lang w:val="en-GB"/>
        </w:rPr>
        <w:t>7</w:t>
      </w:r>
      <w:r w:rsidR="00235475" w:rsidRPr="007E7514">
        <w:rPr>
          <w:lang w:val="en-GB"/>
        </w:rPr>
        <w:t>.</w:t>
      </w:r>
      <w:r w:rsidR="0038795D" w:rsidRPr="007E7514">
        <w:rPr>
          <w:lang w:val="en-GB"/>
        </w:rPr>
        <w:t>6</w:t>
      </w:r>
      <w:r w:rsidR="00235475" w:rsidRPr="007E7514">
        <w:rPr>
          <w:lang w:val="en-GB"/>
        </w:rPr>
        <w:t xml:space="preserve"> million</w:t>
      </w:r>
      <w:r w:rsidR="006B3282" w:rsidRPr="007E7514">
        <w:rPr>
          <w:lang w:val="en-GB"/>
        </w:rPr>
        <w:t xml:space="preserve"> or 1</w:t>
      </w:r>
      <w:r w:rsidR="0038795D" w:rsidRPr="007E7514">
        <w:rPr>
          <w:lang w:val="en-GB"/>
        </w:rPr>
        <w:t>3</w:t>
      </w:r>
      <w:r w:rsidR="006B3282" w:rsidRPr="007E7514">
        <w:rPr>
          <w:lang w:val="en-GB"/>
        </w:rPr>
        <w:t xml:space="preserve"> percent</w:t>
      </w:r>
      <w:r w:rsidR="001A63CF" w:rsidRPr="007E7514">
        <w:rPr>
          <w:lang w:val="en-GB"/>
        </w:rPr>
        <w:t>), the World Bank (</w:t>
      </w:r>
      <w:r w:rsidR="00235475" w:rsidRPr="007E7514">
        <w:rPr>
          <w:lang w:val="en-GB"/>
        </w:rPr>
        <w:t>$3.</w:t>
      </w:r>
      <w:r w:rsidR="00DA7B1F" w:rsidRPr="007E7514">
        <w:rPr>
          <w:lang w:val="en-GB"/>
        </w:rPr>
        <w:t>7</w:t>
      </w:r>
      <w:r w:rsidR="00235475" w:rsidRPr="007E7514">
        <w:rPr>
          <w:lang w:val="en-GB"/>
        </w:rPr>
        <w:t xml:space="preserve"> million</w:t>
      </w:r>
      <w:r w:rsidR="00DA7B1F" w:rsidRPr="007E7514">
        <w:rPr>
          <w:lang w:val="en-GB"/>
        </w:rPr>
        <w:t xml:space="preserve"> or 6 percent</w:t>
      </w:r>
      <w:r w:rsidR="001A63CF" w:rsidRPr="007E7514">
        <w:rPr>
          <w:lang w:val="en-GB"/>
        </w:rPr>
        <w:t xml:space="preserve">), and </w:t>
      </w:r>
      <w:r w:rsidR="00235475" w:rsidRPr="007E7514">
        <w:rPr>
          <w:lang w:val="en-GB"/>
        </w:rPr>
        <w:t>CI</w:t>
      </w:r>
      <w:r w:rsidR="001A63CF" w:rsidRPr="007E7514">
        <w:rPr>
          <w:lang w:val="en-GB"/>
        </w:rPr>
        <w:t xml:space="preserve"> (</w:t>
      </w:r>
      <w:r w:rsidR="00235475" w:rsidRPr="007E7514">
        <w:rPr>
          <w:lang w:val="en-GB"/>
        </w:rPr>
        <w:t>$1</w:t>
      </w:r>
      <w:r w:rsidR="00FA321C" w:rsidRPr="007E7514">
        <w:rPr>
          <w:lang w:val="en-GB"/>
        </w:rPr>
        <w:t>.0</w:t>
      </w:r>
      <w:r w:rsidR="00547DA9" w:rsidRPr="007E7514">
        <w:rPr>
          <w:lang w:val="en-GB"/>
        </w:rPr>
        <w:t xml:space="preserve"> </w:t>
      </w:r>
      <w:r w:rsidR="00235475" w:rsidRPr="007E7514">
        <w:rPr>
          <w:lang w:val="en-GB"/>
        </w:rPr>
        <w:t>million</w:t>
      </w:r>
      <w:r w:rsidR="00F35D74" w:rsidRPr="007E7514">
        <w:rPr>
          <w:lang w:val="en-GB"/>
        </w:rPr>
        <w:t xml:space="preserve"> or 2 percent</w:t>
      </w:r>
      <w:r w:rsidR="001A63CF" w:rsidRPr="007E7514">
        <w:rPr>
          <w:lang w:val="en-GB"/>
        </w:rPr>
        <w:t>).</w:t>
      </w:r>
      <w:r w:rsidR="000C5A90" w:rsidRPr="007E7514">
        <w:rPr>
          <w:lang w:val="en-GB"/>
        </w:rPr>
        <w:t xml:space="preserve"> UNEP</w:t>
      </w:r>
      <w:r w:rsidR="006C4E36" w:rsidRPr="007E7514">
        <w:rPr>
          <w:lang w:val="en-GB"/>
        </w:rPr>
        <w:t xml:space="preserve"> and UNIDO</w:t>
      </w:r>
      <w:r w:rsidR="000C5A90" w:rsidRPr="007E7514">
        <w:rPr>
          <w:lang w:val="en-GB"/>
        </w:rPr>
        <w:t xml:space="preserve"> </w:t>
      </w:r>
      <w:r w:rsidR="000E0B24" w:rsidRPr="007E7514">
        <w:rPr>
          <w:lang w:val="en-GB"/>
        </w:rPr>
        <w:t>also</w:t>
      </w:r>
      <w:r w:rsidR="000C5A90" w:rsidRPr="007E7514">
        <w:rPr>
          <w:lang w:val="en-GB"/>
        </w:rPr>
        <w:t xml:space="preserve"> supported </w:t>
      </w:r>
      <w:r w:rsidR="00DC6233" w:rsidRPr="007E7514">
        <w:rPr>
          <w:lang w:val="en-GB"/>
        </w:rPr>
        <w:t>EAs</w:t>
      </w:r>
      <w:r w:rsidR="000C5A90" w:rsidRPr="007E7514">
        <w:rPr>
          <w:lang w:val="en-GB"/>
        </w:rPr>
        <w:t xml:space="preserve">. </w:t>
      </w:r>
      <w:r w:rsidR="001A63CF" w:rsidRPr="007E7514">
        <w:rPr>
          <w:lang w:val="en-GB"/>
        </w:rPr>
        <w:t xml:space="preserve"> </w:t>
      </w:r>
    </w:p>
    <w:p w14:paraId="577B6226" w14:textId="25FD66F8" w:rsidR="001A63CF" w:rsidRPr="007E7514" w:rsidRDefault="004B25A3" w:rsidP="004B25A3">
      <w:pPr>
        <w:pStyle w:val="Caption"/>
        <w:jc w:val="center"/>
        <w:rPr>
          <w:szCs w:val="24"/>
        </w:rPr>
      </w:pPr>
      <w:bookmarkStart w:id="35" w:name="_Toc76405618"/>
      <w:r w:rsidRPr="007E7514">
        <w:t xml:space="preserve">Figure </w:t>
      </w:r>
      <w:r w:rsidRPr="007E7514">
        <w:fldChar w:fldCharType="begin"/>
      </w:r>
      <w:r w:rsidRPr="007E7514">
        <w:instrText xml:space="preserve"> SEQ Figure \* ARABIC </w:instrText>
      </w:r>
      <w:r w:rsidRPr="007E7514">
        <w:fldChar w:fldCharType="separate"/>
      </w:r>
      <w:r w:rsidR="00C604A6">
        <w:rPr>
          <w:noProof/>
        </w:rPr>
        <w:t>3</w:t>
      </w:r>
      <w:r w:rsidRPr="007E7514">
        <w:fldChar w:fldCharType="end"/>
      </w:r>
      <w:r w:rsidRPr="007E7514">
        <w:t xml:space="preserve">: </w:t>
      </w:r>
      <w:r w:rsidRPr="007E7514">
        <w:rPr>
          <w:szCs w:val="24"/>
        </w:rPr>
        <w:t xml:space="preserve">Agency Distribution of Allocated GEF-7 </w:t>
      </w:r>
      <w:r w:rsidR="00B51248" w:rsidRPr="007E7514">
        <w:rPr>
          <w:szCs w:val="24"/>
        </w:rPr>
        <w:t xml:space="preserve">Mercury </w:t>
      </w:r>
      <w:r w:rsidRPr="007E7514">
        <w:rPr>
          <w:szCs w:val="24"/>
        </w:rPr>
        <w:t>Project Financing</w:t>
      </w:r>
      <w:r w:rsidRPr="007E7514">
        <w:rPr>
          <w:szCs w:val="24"/>
        </w:rPr>
        <w:br/>
        <w:t>in the Reporting Period (July 1, 2019 to June 30, 2021)</w:t>
      </w:r>
      <w:bookmarkEnd w:id="35"/>
    </w:p>
    <w:p w14:paraId="22433195" w14:textId="7433D705" w:rsidR="004B25A3" w:rsidRPr="007E7514" w:rsidRDefault="004B25A3" w:rsidP="004B25A3">
      <w:pPr>
        <w:jc w:val="center"/>
        <w:rPr>
          <w:rFonts w:asciiTheme="minorHAnsi" w:hAnsiTheme="minorHAnsi" w:cstheme="minorHAnsi"/>
          <w:lang w:val="en-GB"/>
        </w:rPr>
      </w:pPr>
      <w:r w:rsidRPr="007E7514">
        <w:rPr>
          <w:rFonts w:asciiTheme="minorHAnsi" w:hAnsiTheme="minorHAnsi" w:cstheme="minorHAnsi"/>
          <w:lang w:val="en-GB"/>
        </w:rPr>
        <w:t>($ million</w:t>
      </w:r>
      <w:r w:rsidR="00B51248" w:rsidRPr="007E7514">
        <w:rPr>
          <w:rFonts w:asciiTheme="minorHAnsi" w:hAnsiTheme="minorHAnsi" w:cstheme="minorHAnsi"/>
          <w:lang w:val="en-GB"/>
        </w:rPr>
        <w:t>, excluding PPGs and Agency fees</w:t>
      </w:r>
      <w:r w:rsidRPr="007E7514">
        <w:rPr>
          <w:rFonts w:asciiTheme="minorHAnsi" w:hAnsiTheme="minorHAnsi" w:cstheme="minorHAnsi"/>
          <w:lang w:val="en-GB"/>
        </w:rPr>
        <w:t>)</w:t>
      </w:r>
    </w:p>
    <w:p w14:paraId="10566203" w14:textId="77777777" w:rsidR="00E57DE4" w:rsidRPr="007E7514" w:rsidRDefault="00E57DE4" w:rsidP="004B25A3">
      <w:pPr>
        <w:jc w:val="center"/>
        <w:rPr>
          <w:rFonts w:asciiTheme="minorHAnsi" w:hAnsiTheme="minorHAnsi" w:cstheme="minorHAnsi"/>
          <w:lang w:val="en-GB"/>
        </w:rPr>
      </w:pPr>
    </w:p>
    <w:p w14:paraId="2235AECD" w14:textId="1991E5F6" w:rsidR="003C2832" w:rsidRPr="007E7514" w:rsidRDefault="003C2832" w:rsidP="003C2832">
      <w:pPr>
        <w:jc w:val="center"/>
        <w:rPr>
          <w:lang w:val="en-GB" w:eastAsia="zh-CN"/>
        </w:rPr>
      </w:pPr>
      <w:r w:rsidRPr="007E7514">
        <w:rPr>
          <w:noProof/>
          <w:lang w:val="en-GB"/>
        </w:rPr>
        <w:t xml:space="preserve"> </w:t>
      </w:r>
      <w:r w:rsidR="00E839F1" w:rsidRPr="007E7514">
        <w:rPr>
          <w:noProof/>
          <w:lang w:val="en-GB"/>
        </w:rPr>
        <w:drawing>
          <wp:inline distT="0" distB="0" distL="0" distR="0" wp14:anchorId="153897F1" wp14:editId="263F605E">
            <wp:extent cx="5265737" cy="2892425"/>
            <wp:effectExtent l="0" t="0" r="17780" b="15875"/>
            <wp:docPr id="100" name="Chart 100">
              <a:extLst xmlns:a="http://schemas.openxmlformats.org/drawingml/2006/main">
                <a:ext uri="{FF2B5EF4-FFF2-40B4-BE49-F238E27FC236}">
                  <a16:creationId xmlns:a16="http://schemas.microsoft.com/office/drawing/2014/main" id="{BA3C258B-6C50-4A27-8CDA-C790DEDF9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4A755F3" w14:textId="0AD8F0C1" w:rsidR="001978AA" w:rsidRPr="007E7514" w:rsidRDefault="00DB1FE2" w:rsidP="00B7581D">
      <w:pPr>
        <w:pStyle w:val="MainParagraphwith"/>
        <w:rPr>
          <w:lang w:val="en-GB"/>
        </w:rPr>
      </w:pPr>
      <w:r w:rsidRPr="007E7514">
        <w:rPr>
          <w:lang w:val="en-GB"/>
        </w:rPr>
        <w:t>In terms of the number of projects that were approved in each region</w:t>
      </w:r>
      <w:r w:rsidR="009E5E53" w:rsidRPr="007E7514">
        <w:rPr>
          <w:lang w:val="en-GB"/>
        </w:rPr>
        <w:t>,</w:t>
      </w:r>
      <w:r w:rsidRPr="007E7514">
        <w:rPr>
          <w:lang w:val="en-GB"/>
        </w:rPr>
        <w:t xml:space="preserve"> </w:t>
      </w:r>
      <w:r w:rsidR="00AC5A04" w:rsidRPr="007E7514">
        <w:rPr>
          <w:lang w:val="en-GB"/>
        </w:rPr>
        <w:t xml:space="preserve">as shown in Figure 4, </w:t>
      </w:r>
      <w:r w:rsidRPr="007E7514">
        <w:rPr>
          <w:lang w:val="en-GB"/>
        </w:rPr>
        <w:t>2</w:t>
      </w:r>
      <w:r w:rsidR="003C2832" w:rsidRPr="007E7514">
        <w:rPr>
          <w:lang w:val="en-GB"/>
        </w:rPr>
        <w:t>7</w:t>
      </w:r>
      <w:r w:rsidR="00075BDA" w:rsidRPr="007E7514">
        <w:rPr>
          <w:lang w:val="en-GB"/>
        </w:rPr>
        <w:t xml:space="preserve"> percent</w:t>
      </w:r>
      <w:r w:rsidRPr="007E7514">
        <w:rPr>
          <w:lang w:val="en-GB"/>
        </w:rPr>
        <w:t xml:space="preserve"> of projects were approved for Latin America</w:t>
      </w:r>
      <w:r w:rsidR="00937105" w:rsidRPr="007E7514">
        <w:rPr>
          <w:lang w:val="en-GB"/>
        </w:rPr>
        <w:t xml:space="preserve"> (</w:t>
      </w:r>
      <w:r w:rsidR="00402291" w:rsidRPr="007E7514">
        <w:rPr>
          <w:lang w:val="en-GB"/>
        </w:rPr>
        <w:t>eight</w:t>
      </w:r>
      <w:r w:rsidR="00937105" w:rsidRPr="007E7514">
        <w:rPr>
          <w:lang w:val="en-GB"/>
        </w:rPr>
        <w:t xml:space="preserve"> projects)</w:t>
      </w:r>
      <w:r w:rsidRPr="007E7514">
        <w:rPr>
          <w:lang w:val="en-GB"/>
        </w:rPr>
        <w:t xml:space="preserve">. </w:t>
      </w:r>
      <w:r w:rsidR="003206AE" w:rsidRPr="007E7514">
        <w:rPr>
          <w:lang w:val="en-GB"/>
        </w:rPr>
        <w:t>Seventeen</w:t>
      </w:r>
      <w:r w:rsidR="00075BDA" w:rsidRPr="007E7514">
        <w:rPr>
          <w:lang w:val="en-GB"/>
        </w:rPr>
        <w:t xml:space="preserve"> percent</w:t>
      </w:r>
      <w:r w:rsidRPr="007E7514">
        <w:rPr>
          <w:lang w:val="en-GB"/>
        </w:rPr>
        <w:t xml:space="preserve"> we</w:t>
      </w:r>
      <w:r w:rsidR="003206AE" w:rsidRPr="007E7514">
        <w:rPr>
          <w:lang w:val="en-GB"/>
        </w:rPr>
        <w:t>re allocated</w:t>
      </w:r>
      <w:r w:rsidRPr="007E7514">
        <w:rPr>
          <w:lang w:val="en-GB"/>
        </w:rPr>
        <w:t xml:space="preserve"> </w:t>
      </w:r>
      <w:r w:rsidR="003206AE" w:rsidRPr="007E7514">
        <w:rPr>
          <w:lang w:val="en-GB"/>
        </w:rPr>
        <w:t>for</w:t>
      </w:r>
      <w:r w:rsidRPr="007E7514">
        <w:rPr>
          <w:lang w:val="en-GB"/>
        </w:rPr>
        <w:t xml:space="preserve"> </w:t>
      </w:r>
      <w:r w:rsidR="003206AE" w:rsidRPr="007E7514">
        <w:rPr>
          <w:lang w:val="en-GB"/>
        </w:rPr>
        <w:t xml:space="preserve">each </w:t>
      </w:r>
      <w:r w:rsidRPr="007E7514">
        <w:rPr>
          <w:lang w:val="en-GB"/>
        </w:rPr>
        <w:t>Asia</w:t>
      </w:r>
      <w:r w:rsidR="00EF08AC" w:rsidRPr="007E7514">
        <w:rPr>
          <w:lang w:val="en-GB"/>
        </w:rPr>
        <w:t xml:space="preserve"> </w:t>
      </w:r>
      <w:r w:rsidR="003206AE" w:rsidRPr="007E7514">
        <w:rPr>
          <w:lang w:val="en-GB"/>
        </w:rPr>
        <w:t xml:space="preserve">and Africa </w:t>
      </w:r>
      <w:r w:rsidR="00EF08AC" w:rsidRPr="007E7514">
        <w:rPr>
          <w:lang w:val="en-GB"/>
        </w:rPr>
        <w:t>(five project</w:t>
      </w:r>
      <w:r w:rsidR="003206AE" w:rsidRPr="007E7514">
        <w:rPr>
          <w:lang w:val="en-GB"/>
        </w:rPr>
        <w:t>s</w:t>
      </w:r>
      <w:r w:rsidR="00EF08AC" w:rsidRPr="007E7514">
        <w:rPr>
          <w:lang w:val="en-GB"/>
        </w:rPr>
        <w:t>)</w:t>
      </w:r>
      <w:r w:rsidRPr="007E7514">
        <w:rPr>
          <w:lang w:val="en-GB"/>
        </w:rPr>
        <w:t>. The rest w</w:t>
      </w:r>
      <w:r w:rsidR="003206AE" w:rsidRPr="007E7514">
        <w:rPr>
          <w:lang w:val="en-GB"/>
        </w:rPr>
        <w:t>as allocated</w:t>
      </w:r>
      <w:r w:rsidRPr="007E7514">
        <w:rPr>
          <w:lang w:val="en-GB"/>
        </w:rPr>
        <w:t xml:space="preserve"> to regional</w:t>
      </w:r>
      <w:r w:rsidR="00BD694F" w:rsidRPr="007E7514">
        <w:rPr>
          <w:lang w:val="en-GB"/>
        </w:rPr>
        <w:t xml:space="preserve"> (</w:t>
      </w:r>
      <w:r w:rsidR="00810E71" w:rsidRPr="007E7514">
        <w:rPr>
          <w:lang w:val="en-GB"/>
        </w:rPr>
        <w:t>6</w:t>
      </w:r>
      <w:r w:rsidR="00BD694F" w:rsidRPr="007E7514">
        <w:rPr>
          <w:lang w:val="en-GB"/>
        </w:rPr>
        <w:t xml:space="preserve"> percent or </w:t>
      </w:r>
      <w:r w:rsidR="00810E71" w:rsidRPr="007E7514">
        <w:rPr>
          <w:lang w:val="en-GB"/>
        </w:rPr>
        <w:t>two</w:t>
      </w:r>
      <w:r w:rsidR="00BD694F" w:rsidRPr="007E7514">
        <w:rPr>
          <w:lang w:val="en-GB"/>
        </w:rPr>
        <w:t xml:space="preserve"> projects)</w:t>
      </w:r>
      <w:r w:rsidRPr="007E7514">
        <w:rPr>
          <w:lang w:val="en-GB"/>
        </w:rPr>
        <w:t xml:space="preserve"> and global projects and programs</w:t>
      </w:r>
      <w:r w:rsidR="00BD694F" w:rsidRPr="007E7514">
        <w:rPr>
          <w:lang w:val="en-GB"/>
        </w:rPr>
        <w:t xml:space="preserve"> (</w:t>
      </w:r>
      <w:r w:rsidR="00B97897" w:rsidRPr="007E7514">
        <w:rPr>
          <w:lang w:val="en-GB"/>
        </w:rPr>
        <w:t>2</w:t>
      </w:r>
      <w:r w:rsidR="00F169F6" w:rsidRPr="007E7514">
        <w:rPr>
          <w:lang w:val="en-GB"/>
        </w:rPr>
        <w:t>3</w:t>
      </w:r>
      <w:r w:rsidR="00B97897" w:rsidRPr="007E7514">
        <w:rPr>
          <w:lang w:val="en-GB"/>
        </w:rPr>
        <w:t xml:space="preserve"> percent or s</w:t>
      </w:r>
      <w:r w:rsidR="00F169F6" w:rsidRPr="007E7514">
        <w:rPr>
          <w:lang w:val="en-GB"/>
        </w:rPr>
        <w:t>even</w:t>
      </w:r>
      <w:r w:rsidR="00B97897" w:rsidRPr="007E7514">
        <w:rPr>
          <w:lang w:val="en-GB"/>
        </w:rPr>
        <w:t xml:space="preserve"> projects)</w:t>
      </w:r>
      <w:r w:rsidRPr="007E7514">
        <w:rPr>
          <w:lang w:val="en-GB"/>
        </w:rPr>
        <w:t xml:space="preserve"> and SIDS</w:t>
      </w:r>
      <w:r w:rsidR="00B97897" w:rsidRPr="007E7514">
        <w:rPr>
          <w:lang w:val="en-GB"/>
        </w:rPr>
        <w:t xml:space="preserve"> (1</w:t>
      </w:r>
      <w:r w:rsidR="00F169F6" w:rsidRPr="007E7514">
        <w:rPr>
          <w:lang w:val="en-GB"/>
        </w:rPr>
        <w:t>0</w:t>
      </w:r>
      <w:r w:rsidR="00B97897" w:rsidRPr="007E7514">
        <w:rPr>
          <w:lang w:val="en-GB"/>
        </w:rPr>
        <w:t xml:space="preserve"> percent or </w:t>
      </w:r>
      <w:r w:rsidR="008B4CD8" w:rsidRPr="007E7514">
        <w:rPr>
          <w:lang w:val="en-GB"/>
        </w:rPr>
        <w:t>three projects)</w:t>
      </w:r>
      <w:r w:rsidRPr="007E7514">
        <w:rPr>
          <w:lang w:val="en-GB"/>
        </w:rPr>
        <w:t xml:space="preserve">. While global projects and programs received </w:t>
      </w:r>
      <w:r w:rsidR="008B4CD8" w:rsidRPr="007E7514">
        <w:rPr>
          <w:lang w:val="en-GB"/>
        </w:rPr>
        <w:t>2</w:t>
      </w:r>
      <w:r w:rsidR="00EB2540" w:rsidRPr="007E7514">
        <w:rPr>
          <w:lang w:val="en-GB"/>
        </w:rPr>
        <w:t>3</w:t>
      </w:r>
      <w:r w:rsidR="00075BDA" w:rsidRPr="007E7514">
        <w:rPr>
          <w:lang w:val="en-GB"/>
        </w:rPr>
        <w:t xml:space="preserve"> percent</w:t>
      </w:r>
      <w:r w:rsidRPr="007E7514">
        <w:rPr>
          <w:lang w:val="en-GB"/>
        </w:rPr>
        <w:t xml:space="preserve"> in terms of total number of </w:t>
      </w:r>
      <w:r w:rsidR="001C4782" w:rsidRPr="007E7514">
        <w:rPr>
          <w:lang w:val="en-GB"/>
        </w:rPr>
        <w:t>projects,</w:t>
      </w:r>
      <w:r w:rsidRPr="007E7514">
        <w:rPr>
          <w:lang w:val="en-GB"/>
        </w:rPr>
        <w:t xml:space="preserve"> they received the largest </w:t>
      </w:r>
      <w:r w:rsidR="008B4CD8" w:rsidRPr="007E7514">
        <w:rPr>
          <w:lang w:val="en-GB"/>
        </w:rPr>
        <w:t>amount</w:t>
      </w:r>
      <w:r w:rsidRPr="007E7514">
        <w:rPr>
          <w:lang w:val="en-GB"/>
        </w:rPr>
        <w:t xml:space="preserve"> of total </w:t>
      </w:r>
      <w:r w:rsidR="005D251A" w:rsidRPr="007E7514">
        <w:rPr>
          <w:lang w:val="en-GB"/>
        </w:rPr>
        <w:t xml:space="preserve">programmed </w:t>
      </w:r>
      <w:r w:rsidRPr="007E7514">
        <w:rPr>
          <w:lang w:val="en-GB"/>
        </w:rPr>
        <w:t>resources</w:t>
      </w:r>
      <w:r w:rsidR="003C2832" w:rsidRPr="007E7514">
        <w:rPr>
          <w:lang w:val="en-GB"/>
        </w:rPr>
        <w:t xml:space="preserve"> ($87.8 million out of $136.3 million, or 64 percent),</w:t>
      </w:r>
      <w:r w:rsidR="009E5E53" w:rsidRPr="007E7514">
        <w:rPr>
          <w:lang w:val="en-GB"/>
        </w:rPr>
        <w:t xml:space="preserve"> as shown in </w:t>
      </w:r>
      <w:r w:rsidR="005D251A" w:rsidRPr="007E7514">
        <w:rPr>
          <w:lang w:val="en-GB"/>
        </w:rPr>
        <w:t>F</w:t>
      </w:r>
      <w:r w:rsidR="009E5E53" w:rsidRPr="007E7514">
        <w:rPr>
          <w:lang w:val="en-GB"/>
        </w:rPr>
        <w:t xml:space="preserve">igure </w:t>
      </w:r>
      <w:r w:rsidR="005D251A" w:rsidRPr="007E7514">
        <w:rPr>
          <w:lang w:val="en-GB"/>
        </w:rPr>
        <w:t>2</w:t>
      </w:r>
      <w:r w:rsidRPr="007E7514">
        <w:rPr>
          <w:lang w:val="en-GB"/>
        </w:rPr>
        <w:t xml:space="preserve">. </w:t>
      </w:r>
    </w:p>
    <w:p w14:paraId="5EBCB155" w14:textId="6512D7A6" w:rsidR="00E57DE4" w:rsidRPr="007E7514" w:rsidRDefault="00E57DE4" w:rsidP="00E57DE4">
      <w:pPr>
        <w:jc w:val="center"/>
        <w:rPr>
          <w:rFonts w:asciiTheme="minorHAnsi" w:hAnsiTheme="minorHAnsi" w:cstheme="minorHAnsi"/>
          <w:b/>
          <w:bCs/>
          <w:lang w:val="en-GB" w:eastAsia="zh-CN"/>
        </w:rPr>
      </w:pPr>
      <w:bookmarkStart w:id="36" w:name="_Toc76405619"/>
      <w:r w:rsidRPr="007E7514">
        <w:rPr>
          <w:rFonts w:asciiTheme="minorHAnsi" w:hAnsiTheme="minorHAnsi" w:cstheme="minorHAnsi"/>
          <w:b/>
          <w:bCs/>
          <w:lang w:val="en-GB"/>
        </w:rPr>
        <w:t xml:space="preserve">Figure </w:t>
      </w:r>
      <w:r w:rsidRPr="007E7514">
        <w:rPr>
          <w:rFonts w:asciiTheme="minorHAnsi" w:hAnsiTheme="minorHAnsi" w:cstheme="minorHAnsi"/>
          <w:b/>
          <w:bCs/>
          <w:lang w:val="en-GB"/>
        </w:rPr>
        <w:fldChar w:fldCharType="begin"/>
      </w:r>
      <w:r w:rsidRPr="007E7514">
        <w:rPr>
          <w:rFonts w:asciiTheme="minorHAnsi" w:hAnsiTheme="minorHAnsi" w:cstheme="minorHAnsi"/>
          <w:b/>
          <w:bCs/>
          <w:lang w:val="en-GB"/>
        </w:rPr>
        <w:instrText xml:space="preserve"> SEQ Figure \* ARABIC </w:instrText>
      </w:r>
      <w:r w:rsidRPr="007E7514">
        <w:rPr>
          <w:rFonts w:asciiTheme="minorHAnsi" w:hAnsiTheme="minorHAnsi" w:cstheme="minorHAnsi"/>
          <w:b/>
          <w:bCs/>
          <w:lang w:val="en-GB"/>
        </w:rPr>
        <w:fldChar w:fldCharType="separate"/>
      </w:r>
      <w:r w:rsidR="00C604A6">
        <w:rPr>
          <w:rFonts w:asciiTheme="minorHAnsi" w:hAnsiTheme="minorHAnsi" w:cstheme="minorHAnsi"/>
          <w:b/>
          <w:bCs/>
          <w:noProof/>
          <w:lang w:val="en-GB"/>
        </w:rPr>
        <w:t>4</w:t>
      </w:r>
      <w:r w:rsidRPr="007E7514">
        <w:rPr>
          <w:rFonts w:asciiTheme="minorHAnsi" w:hAnsiTheme="minorHAnsi" w:cstheme="minorHAnsi"/>
          <w:b/>
          <w:bCs/>
          <w:lang w:val="en-GB"/>
        </w:rPr>
        <w:fldChar w:fldCharType="end"/>
      </w:r>
      <w:r w:rsidRPr="007E7514">
        <w:rPr>
          <w:rFonts w:asciiTheme="minorHAnsi" w:hAnsiTheme="minorHAnsi" w:cstheme="minorHAnsi"/>
          <w:b/>
          <w:bCs/>
          <w:lang w:val="en-GB"/>
        </w:rPr>
        <w:t xml:space="preserve">: </w:t>
      </w:r>
      <w:r w:rsidRPr="007E7514">
        <w:rPr>
          <w:rFonts w:asciiTheme="minorHAnsi" w:hAnsiTheme="minorHAnsi" w:cstheme="minorHAnsi"/>
          <w:b/>
          <w:bCs/>
          <w:lang w:val="en-GB" w:eastAsia="zh-CN"/>
        </w:rPr>
        <w:t>Number of GEF-7 Mercury Projects and Programs in the Reporting Period (July 1, 2019 to June 30, 2021) by Regions</w:t>
      </w:r>
      <w:bookmarkEnd w:id="36"/>
    </w:p>
    <w:p w14:paraId="13D61053" w14:textId="00ADF4FD" w:rsidR="00DB1FE2" w:rsidRPr="007E7514" w:rsidRDefault="00E57DE4" w:rsidP="00E57DE4">
      <w:pPr>
        <w:jc w:val="center"/>
        <w:rPr>
          <w:rFonts w:asciiTheme="minorHAnsi" w:hAnsiTheme="minorHAnsi" w:cstheme="minorHAnsi"/>
          <w:b/>
          <w:bCs/>
          <w:lang w:val="en-GB" w:eastAsia="zh-CN"/>
        </w:rPr>
      </w:pPr>
      <w:r w:rsidRPr="007E7514">
        <w:rPr>
          <w:rFonts w:asciiTheme="minorHAnsi" w:hAnsiTheme="minorHAnsi" w:cstheme="minorHAnsi"/>
          <w:b/>
          <w:bCs/>
          <w:lang w:val="en-GB" w:eastAsia="zh-CN"/>
        </w:rPr>
        <w:t xml:space="preserve"> </w:t>
      </w:r>
    </w:p>
    <w:p w14:paraId="3790398B" w14:textId="7FA6EDB2" w:rsidR="00DB1FE2" w:rsidRPr="007E7514" w:rsidRDefault="00402291" w:rsidP="00F569D0">
      <w:pPr>
        <w:jc w:val="center"/>
        <w:rPr>
          <w:b/>
          <w:bCs/>
          <w:lang w:val="en-GB" w:eastAsia="zh-CN"/>
        </w:rPr>
      </w:pPr>
      <w:r w:rsidRPr="007E7514">
        <w:rPr>
          <w:b/>
          <w:bCs/>
          <w:noProof/>
          <w:lang w:val="en-GB" w:eastAsia="zh-CN"/>
        </w:rPr>
        <w:drawing>
          <wp:inline distT="0" distB="0" distL="0" distR="0" wp14:anchorId="6D6F8D67" wp14:editId="1CE321D0">
            <wp:extent cx="4578350" cy="27616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8350" cy="2761615"/>
                    </a:xfrm>
                    <a:prstGeom prst="rect">
                      <a:avLst/>
                    </a:prstGeom>
                    <a:noFill/>
                  </pic:spPr>
                </pic:pic>
              </a:graphicData>
            </a:graphic>
          </wp:inline>
        </w:drawing>
      </w:r>
    </w:p>
    <w:p w14:paraId="1E51FA83" w14:textId="31EA5EC2" w:rsidR="0045356A" w:rsidRPr="007E7514" w:rsidRDefault="00F852BB" w:rsidP="00B7581D">
      <w:pPr>
        <w:pStyle w:val="MainParagraphwith"/>
        <w:rPr>
          <w:lang w:val="en-GB"/>
        </w:rPr>
      </w:pPr>
      <w:r w:rsidRPr="007E7514">
        <w:rPr>
          <w:lang w:val="en-GB"/>
        </w:rPr>
        <w:lastRenderedPageBreak/>
        <w:t xml:space="preserve">The GEF Council </w:t>
      </w:r>
      <w:r w:rsidR="003F0161" w:rsidRPr="007E7514">
        <w:rPr>
          <w:lang w:val="en-GB"/>
        </w:rPr>
        <w:t xml:space="preserve">has </w:t>
      </w:r>
      <w:r w:rsidRPr="007E7514">
        <w:rPr>
          <w:lang w:val="en-GB"/>
        </w:rPr>
        <w:t>approved all</w:t>
      </w:r>
      <w:r w:rsidR="00A77DC9" w:rsidRPr="007E7514">
        <w:rPr>
          <w:lang w:val="en-GB"/>
        </w:rPr>
        <w:t xml:space="preserve"> project proposals</w:t>
      </w:r>
      <w:r w:rsidR="00DB37BD" w:rsidRPr="007E7514">
        <w:rPr>
          <w:lang w:val="en-GB"/>
        </w:rPr>
        <w:t xml:space="preserve"> to support the implementation of the Minamata Convention </w:t>
      </w:r>
      <w:r w:rsidR="00A77DC9" w:rsidRPr="007E7514">
        <w:rPr>
          <w:lang w:val="en-GB"/>
        </w:rPr>
        <w:t xml:space="preserve">included in </w:t>
      </w:r>
      <w:r w:rsidR="00FF236B" w:rsidRPr="007E7514">
        <w:rPr>
          <w:lang w:val="en-GB"/>
        </w:rPr>
        <w:t xml:space="preserve">the </w:t>
      </w:r>
      <w:r w:rsidR="006D3513" w:rsidRPr="007E7514">
        <w:rPr>
          <w:lang w:val="en-GB"/>
        </w:rPr>
        <w:t>four</w:t>
      </w:r>
      <w:r w:rsidR="00A77DC9" w:rsidRPr="007E7514">
        <w:rPr>
          <w:lang w:val="en-GB"/>
        </w:rPr>
        <w:t xml:space="preserve"> </w:t>
      </w:r>
      <w:r w:rsidR="00FF236B" w:rsidRPr="007E7514">
        <w:rPr>
          <w:lang w:val="en-GB"/>
        </w:rPr>
        <w:t>W</w:t>
      </w:r>
      <w:r w:rsidR="00A77DC9" w:rsidRPr="007E7514">
        <w:rPr>
          <w:lang w:val="en-GB"/>
        </w:rPr>
        <w:t xml:space="preserve">ork </w:t>
      </w:r>
      <w:r w:rsidR="00FF236B" w:rsidRPr="007E7514">
        <w:rPr>
          <w:lang w:val="en-GB"/>
        </w:rPr>
        <w:t>P</w:t>
      </w:r>
      <w:r w:rsidR="00A77DC9" w:rsidRPr="007E7514">
        <w:rPr>
          <w:lang w:val="en-GB"/>
        </w:rPr>
        <w:t>rogram</w:t>
      </w:r>
      <w:r w:rsidRPr="007E7514">
        <w:rPr>
          <w:lang w:val="en-GB"/>
        </w:rPr>
        <w:t xml:space="preserve">s </w:t>
      </w:r>
      <w:r w:rsidR="00B42BF3" w:rsidRPr="007E7514">
        <w:rPr>
          <w:lang w:val="en-GB"/>
        </w:rPr>
        <w:t>in</w:t>
      </w:r>
      <w:r w:rsidRPr="007E7514">
        <w:rPr>
          <w:lang w:val="en-GB"/>
        </w:rPr>
        <w:t xml:space="preserve"> the</w:t>
      </w:r>
      <w:r w:rsidR="00A77DC9" w:rsidRPr="007E7514">
        <w:rPr>
          <w:lang w:val="en-GB"/>
        </w:rPr>
        <w:t xml:space="preserve"> </w:t>
      </w:r>
      <w:r w:rsidRPr="007E7514">
        <w:rPr>
          <w:lang w:val="en-GB"/>
        </w:rPr>
        <w:t>reporting period</w:t>
      </w:r>
      <w:r w:rsidR="00FF236B" w:rsidRPr="007E7514">
        <w:rPr>
          <w:lang w:val="en-GB"/>
        </w:rPr>
        <w:t xml:space="preserve">, </w:t>
      </w:r>
      <w:r w:rsidR="00B42BF3" w:rsidRPr="007E7514">
        <w:rPr>
          <w:lang w:val="en-GB"/>
        </w:rPr>
        <w:t>at its 57</w:t>
      </w:r>
      <w:r w:rsidR="00B42BF3" w:rsidRPr="007E7514">
        <w:rPr>
          <w:vertAlign w:val="superscript"/>
          <w:lang w:val="en-GB"/>
        </w:rPr>
        <w:t>th</w:t>
      </w:r>
      <w:r w:rsidR="00B42BF3" w:rsidRPr="007E7514">
        <w:rPr>
          <w:lang w:val="en-GB"/>
        </w:rPr>
        <w:t xml:space="preserve"> meeting </w:t>
      </w:r>
      <w:r w:rsidR="00FF236B" w:rsidRPr="007E7514">
        <w:rPr>
          <w:lang w:val="en-GB"/>
        </w:rPr>
        <w:t>in December 201</w:t>
      </w:r>
      <w:r w:rsidR="006D3513" w:rsidRPr="007E7514">
        <w:rPr>
          <w:lang w:val="en-GB"/>
        </w:rPr>
        <w:t>9,</w:t>
      </w:r>
      <w:r w:rsidR="00FF236B" w:rsidRPr="007E7514">
        <w:rPr>
          <w:lang w:val="en-GB"/>
        </w:rPr>
        <w:t xml:space="preserve"> </w:t>
      </w:r>
      <w:r w:rsidR="00B42BF3" w:rsidRPr="007E7514">
        <w:rPr>
          <w:lang w:val="en-GB"/>
        </w:rPr>
        <w:t>the 58</w:t>
      </w:r>
      <w:r w:rsidR="00B42BF3" w:rsidRPr="007E7514">
        <w:rPr>
          <w:vertAlign w:val="superscript"/>
          <w:lang w:val="en-GB"/>
        </w:rPr>
        <w:t>th</w:t>
      </w:r>
      <w:r w:rsidR="00B42BF3" w:rsidRPr="007E7514">
        <w:rPr>
          <w:lang w:val="en-GB"/>
        </w:rPr>
        <w:t xml:space="preserve"> meeting in </w:t>
      </w:r>
      <w:r w:rsidR="00FF236B" w:rsidRPr="007E7514">
        <w:rPr>
          <w:lang w:val="en-GB"/>
        </w:rPr>
        <w:t>June 20</w:t>
      </w:r>
      <w:r w:rsidR="006D3513" w:rsidRPr="007E7514">
        <w:rPr>
          <w:lang w:val="en-GB"/>
        </w:rPr>
        <w:t>20</w:t>
      </w:r>
      <w:r w:rsidR="00B42BF3" w:rsidRPr="007E7514">
        <w:rPr>
          <w:lang w:val="en-GB"/>
        </w:rPr>
        <w:t>,</w:t>
      </w:r>
      <w:r w:rsidR="00FF236B" w:rsidRPr="007E7514">
        <w:rPr>
          <w:lang w:val="en-GB"/>
        </w:rPr>
        <w:t xml:space="preserve"> the 5</w:t>
      </w:r>
      <w:r w:rsidR="00B42BF3" w:rsidRPr="007E7514">
        <w:rPr>
          <w:lang w:val="en-GB"/>
        </w:rPr>
        <w:t>9</w:t>
      </w:r>
      <w:r w:rsidR="00FF236B" w:rsidRPr="007E7514">
        <w:rPr>
          <w:vertAlign w:val="superscript"/>
          <w:lang w:val="en-GB"/>
        </w:rPr>
        <w:t>th</w:t>
      </w:r>
      <w:r w:rsidR="00FF236B" w:rsidRPr="007E7514">
        <w:rPr>
          <w:lang w:val="en-GB"/>
        </w:rPr>
        <w:t xml:space="preserve"> </w:t>
      </w:r>
      <w:r w:rsidR="00B42BF3" w:rsidRPr="007E7514">
        <w:rPr>
          <w:lang w:val="en-GB"/>
        </w:rPr>
        <w:t>meeting in</w:t>
      </w:r>
      <w:r w:rsidR="00891A48" w:rsidRPr="007E7514">
        <w:rPr>
          <w:lang w:val="en-GB"/>
        </w:rPr>
        <w:t xml:space="preserve"> December</w:t>
      </w:r>
      <w:r w:rsidR="006D3513" w:rsidRPr="007E7514">
        <w:rPr>
          <w:lang w:val="en-GB"/>
        </w:rPr>
        <w:t xml:space="preserve"> 2020, and </w:t>
      </w:r>
      <w:r w:rsidR="00B42BF3" w:rsidRPr="007E7514">
        <w:rPr>
          <w:lang w:val="en-GB"/>
        </w:rPr>
        <w:t>the 60</w:t>
      </w:r>
      <w:r w:rsidR="00B42BF3" w:rsidRPr="007E7514">
        <w:rPr>
          <w:vertAlign w:val="superscript"/>
          <w:lang w:val="en-GB"/>
        </w:rPr>
        <w:t>th</w:t>
      </w:r>
      <w:r w:rsidR="00B42BF3" w:rsidRPr="007E7514">
        <w:rPr>
          <w:lang w:val="en-GB"/>
        </w:rPr>
        <w:t xml:space="preserve"> meeting </w:t>
      </w:r>
      <w:r w:rsidR="006D3513" w:rsidRPr="007E7514">
        <w:rPr>
          <w:lang w:val="en-GB"/>
        </w:rPr>
        <w:t xml:space="preserve">in June 2021. </w:t>
      </w:r>
    </w:p>
    <w:p w14:paraId="4464F8A1" w14:textId="3F98CC84" w:rsidR="00967DC0" w:rsidRPr="007E7514" w:rsidRDefault="00F852BB" w:rsidP="00B7581D">
      <w:pPr>
        <w:pStyle w:val="MainParagraphwith"/>
        <w:rPr>
          <w:lang w:val="en-GB"/>
        </w:rPr>
      </w:pPr>
      <w:r w:rsidRPr="007E7514">
        <w:rPr>
          <w:lang w:val="en-GB"/>
        </w:rPr>
        <w:t>In accordance with paragraph 9(b) of the MOU, the GEF report</w:t>
      </w:r>
      <w:r w:rsidR="009176AB" w:rsidRPr="007E7514">
        <w:rPr>
          <w:lang w:val="en-GB"/>
        </w:rPr>
        <w:t>s</w:t>
      </w:r>
      <w:r w:rsidRPr="007E7514">
        <w:rPr>
          <w:lang w:val="en-GB"/>
        </w:rPr>
        <w:t xml:space="preserve"> that</w:t>
      </w:r>
      <w:r w:rsidR="0086757B" w:rsidRPr="007E7514">
        <w:rPr>
          <w:lang w:val="en-GB"/>
        </w:rPr>
        <w:t xml:space="preserve"> </w:t>
      </w:r>
      <w:r w:rsidRPr="007E7514">
        <w:rPr>
          <w:lang w:val="en-GB"/>
        </w:rPr>
        <w:t xml:space="preserve">there are </w:t>
      </w:r>
      <w:r w:rsidR="0063601B" w:rsidRPr="007E7514">
        <w:rPr>
          <w:lang w:val="en-GB"/>
        </w:rPr>
        <w:t>94</w:t>
      </w:r>
      <w:r w:rsidR="0086757B" w:rsidRPr="007E7514">
        <w:rPr>
          <w:lang w:val="en-GB"/>
        </w:rPr>
        <w:t xml:space="preserve"> projects implemented </w:t>
      </w:r>
      <w:r w:rsidR="00B42BF3" w:rsidRPr="007E7514">
        <w:rPr>
          <w:lang w:val="en-GB"/>
        </w:rPr>
        <w:t>in</w:t>
      </w:r>
      <w:r w:rsidR="0086757B" w:rsidRPr="007E7514">
        <w:rPr>
          <w:lang w:val="en-GB"/>
        </w:rPr>
        <w:t xml:space="preserve"> the reporting period in relation to mercury</w:t>
      </w:r>
      <w:r w:rsidR="00C5362B" w:rsidRPr="007E7514">
        <w:rPr>
          <w:lang w:val="en-GB"/>
        </w:rPr>
        <w:t xml:space="preserve"> with a total of $</w:t>
      </w:r>
      <w:r w:rsidR="007639E8" w:rsidRPr="007E7514">
        <w:rPr>
          <w:lang w:val="en-GB"/>
        </w:rPr>
        <w:t>1</w:t>
      </w:r>
      <w:r w:rsidR="00AB4731" w:rsidRPr="007E7514">
        <w:rPr>
          <w:lang w:val="en-GB"/>
        </w:rPr>
        <w:t>47</w:t>
      </w:r>
      <w:r w:rsidR="007639E8" w:rsidRPr="007E7514">
        <w:rPr>
          <w:lang w:val="en-GB"/>
        </w:rPr>
        <w:t>.</w:t>
      </w:r>
      <w:r w:rsidR="001C0A80" w:rsidRPr="007E7514">
        <w:rPr>
          <w:lang w:val="en-GB"/>
        </w:rPr>
        <w:t>4</w:t>
      </w:r>
      <w:r w:rsidR="007639E8" w:rsidRPr="007E7514">
        <w:rPr>
          <w:lang w:val="en-GB"/>
        </w:rPr>
        <w:t xml:space="preserve"> million</w:t>
      </w:r>
      <w:r w:rsidR="00C5362B" w:rsidRPr="007E7514">
        <w:rPr>
          <w:lang w:val="en-GB"/>
        </w:rPr>
        <w:t xml:space="preserve"> </w:t>
      </w:r>
      <w:r w:rsidR="00B42BF3" w:rsidRPr="007E7514">
        <w:rPr>
          <w:lang w:val="en-GB"/>
        </w:rPr>
        <w:t xml:space="preserve">of </w:t>
      </w:r>
      <w:r w:rsidR="00C5362B" w:rsidRPr="007E7514">
        <w:rPr>
          <w:lang w:val="en-GB"/>
        </w:rPr>
        <w:t>GEF resources and $</w:t>
      </w:r>
      <w:r w:rsidR="00A50705" w:rsidRPr="007E7514">
        <w:rPr>
          <w:lang w:val="en-GB"/>
        </w:rPr>
        <w:t>1,673</w:t>
      </w:r>
      <w:r w:rsidR="007639E8" w:rsidRPr="007E7514">
        <w:rPr>
          <w:lang w:val="en-GB"/>
        </w:rPr>
        <w:t>.9 million</w:t>
      </w:r>
      <w:r w:rsidR="00C5362B" w:rsidRPr="007E7514">
        <w:rPr>
          <w:lang w:val="en-GB"/>
        </w:rPr>
        <w:t xml:space="preserve"> of co-financing</w:t>
      </w:r>
      <w:r w:rsidR="00770B46" w:rsidRPr="007E7514">
        <w:rPr>
          <w:lang w:val="en-GB"/>
        </w:rPr>
        <w:t xml:space="preserve">, in addition to the projects newly approved </w:t>
      </w:r>
      <w:r w:rsidR="0048640A" w:rsidRPr="007E7514">
        <w:rPr>
          <w:lang w:val="en-GB"/>
        </w:rPr>
        <w:t>in</w:t>
      </w:r>
      <w:r w:rsidR="00770B46" w:rsidRPr="007E7514">
        <w:rPr>
          <w:lang w:val="en-GB"/>
        </w:rPr>
        <w:t xml:space="preserve"> the reporting period</w:t>
      </w:r>
      <w:r w:rsidR="00CA0B81" w:rsidRPr="007E7514">
        <w:rPr>
          <w:lang w:val="en-GB"/>
        </w:rPr>
        <w:t xml:space="preserve">. </w:t>
      </w:r>
      <w:r w:rsidR="00C5362B" w:rsidRPr="007E7514">
        <w:rPr>
          <w:lang w:val="en-GB"/>
        </w:rPr>
        <w:t xml:space="preserve">Annex 4 shows the complete list of projects, including </w:t>
      </w:r>
      <w:r w:rsidR="0086757B" w:rsidRPr="007E7514">
        <w:rPr>
          <w:lang w:val="en-GB"/>
        </w:rPr>
        <w:t>the</w:t>
      </w:r>
      <w:r w:rsidR="00B42BF3" w:rsidRPr="007E7514">
        <w:rPr>
          <w:lang w:val="en-GB"/>
        </w:rPr>
        <w:t>ir</w:t>
      </w:r>
      <w:r w:rsidR="0086757B" w:rsidRPr="007E7514">
        <w:rPr>
          <w:lang w:val="en-GB"/>
        </w:rPr>
        <w:t xml:space="preserve"> implementation status</w:t>
      </w:r>
      <w:r w:rsidR="00C5362B" w:rsidRPr="007E7514">
        <w:rPr>
          <w:lang w:val="en-GB"/>
        </w:rPr>
        <w:t xml:space="preserve">. </w:t>
      </w:r>
    </w:p>
    <w:p w14:paraId="05FCEAF2" w14:textId="4949C188" w:rsidR="00C43494" w:rsidRPr="007E7514" w:rsidRDefault="00C43494" w:rsidP="002D4A77">
      <w:pPr>
        <w:pStyle w:val="Heading2"/>
        <w:rPr>
          <w:lang w:val="en-GB"/>
        </w:rPr>
      </w:pPr>
      <w:bookmarkStart w:id="37" w:name="_Toc4179194"/>
      <w:bookmarkStart w:id="38" w:name="_Toc63168136"/>
      <w:bookmarkStart w:id="39" w:name="_Toc76405371"/>
      <w:r w:rsidRPr="007E7514">
        <w:rPr>
          <w:lang w:val="en-GB"/>
        </w:rPr>
        <w:t>Project Proposal</w:t>
      </w:r>
      <w:r w:rsidR="00D26529" w:rsidRPr="007E7514">
        <w:rPr>
          <w:lang w:val="en-GB"/>
        </w:rPr>
        <w:t>s</w:t>
      </w:r>
      <w:r w:rsidRPr="007E7514">
        <w:rPr>
          <w:lang w:val="en-GB"/>
        </w:rPr>
        <w:t xml:space="preserve"> Not Approved </w:t>
      </w:r>
      <w:r w:rsidR="00D26529" w:rsidRPr="007E7514">
        <w:rPr>
          <w:lang w:val="en-GB"/>
        </w:rPr>
        <w:t xml:space="preserve">by the GEF Council </w:t>
      </w:r>
      <w:r w:rsidRPr="007E7514">
        <w:rPr>
          <w:lang w:val="en-GB"/>
        </w:rPr>
        <w:t xml:space="preserve">in a Work Program </w:t>
      </w:r>
      <w:bookmarkStart w:id="40" w:name="_Hlk73645102"/>
      <w:r w:rsidR="00691260" w:rsidRPr="007E7514">
        <w:rPr>
          <w:lang w:val="en-GB"/>
        </w:rPr>
        <w:br/>
      </w:r>
      <w:r w:rsidR="00016F6B" w:rsidRPr="007E7514">
        <w:rPr>
          <w:lang w:val="en-GB"/>
        </w:rPr>
        <w:t>(</w:t>
      </w:r>
      <w:r w:rsidRPr="007E7514">
        <w:rPr>
          <w:lang w:val="en-GB"/>
        </w:rPr>
        <w:t>MOU Paragraph 9</w:t>
      </w:r>
      <w:r w:rsidR="00016F6B" w:rsidRPr="007E7514">
        <w:rPr>
          <w:lang w:val="en-GB"/>
        </w:rPr>
        <w:t>(</w:t>
      </w:r>
      <w:r w:rsidR="00184848" w:rsidRPr="007E7514">
        <w:rPr>
          <w:lang w:val="en-GB"/>
        </w:rPr>
        <w:t>c</w:t>
      </w:r>
      <w:bookmarkEnd w:id="37"/>
      <w:bookmarkEnd w:id="38"/>
      <w:bookmarkEnd w:id="40"/>
      <w:r w:rsidR="00016F6B" w:rsidRPr="007E7514">
        <w:rPr>
          <w:lang w:val="en-GB"/>
        </w:rPr>
        <w:t>))</w:t>
      </w:r>
      <w:bookmarkEnd w:id="39"/>
    </w:p>
    <w:p w14:paraId="18491908" w14:textId="5E390BD8" w:rsidR="00481969" w:rsidRPr="007E7514" w:rsidRDefault="00C43494" w:rsidP="00B7581D">
      <w:pPr>
        <w:pStyle w:val="MainParagraphwith"/>
        <w:rPr>
          <w:lang w:val="en-GB"/>
        </w:rPr>
      </w:pPr>
      <w:bookmarkStart w:id="41" w:name="_Hlk528682250"/>
      <w:r w:rsidRPr="007E7514">
        <w:rPr>
          <w:lang w:val="en-GB"/>
        </w:rPr>
        <w:t>All FSPs</w:t>
      </w:r>
      <w:r w:rsidR="00F72FC0" w:rsidRPr="007E7514">
        <w:rPr>
          <w:lang w:val="en-GB"/>
        </w:rPr>
        <w:t xml:space="preserve"> and</w:t>
      </w:r>
      <w:r w:rsidR="007B12DD" w:rsidRPr="007E7514">
        <w:rPr>
          <w:lang w:val="en-GB"/>
        </w:rPr>
        <w:t xml:space="preserve"> </w:t>
      </w:r>
      <w:r w:rsidRPr="007E7514">
        <w:rPr>
          <w:lang w:val="en-GB"/>
        </w:rPr>
        <w:t>program</w:t>
      </w:r>
      <w:r w:rsidR="00B42BF3" w:rsidRPr="007E7514">
        <w:rPr>
          <w:lang w:val="en-GB"/>
        </w:rPr>
        <w:t>s</w:t>
      </w:r>
      <w:r w:rsidRPr="007E7514">
        <w:rPr>
          <w:lang w:val="en-GB"/>
        </w:rPr>
        <w:t xml:space="preserve"> submitted to the GEF Council and MSPs and EAs submitted to the GEF </w:t>
      </w:r>
      <w:r w:rsidR="00B42BF3" w:rsidRPr="007E7514">
        <w:rPr>
          <w:lang w:val="en-GB"/>
        </w:rPr>
        <w:t>Chief Executive Officer (</w:t>
      </w:r>
      <w:r w:rsidRPr="007E7514">
        <w:rPr>
          <w:lang w:val="en-GB"/>
        </w:rPr>
        <w:t>CEO</w:t>
      </w:r>
      <w:r w:rsidR="00B42BF3" w:rsidRPr="007E7514">
        <w:rPr>
          <w:lang w:val="en-GB"/>
        </w:rPr>
        <w:t>)</w:t>
      </w:r>
      <w:r w:rsidRPr="007E7514">
        <w:rPr>
          <w:lang w:val="en-GB"/>
        </w:rPr>
        <w:t xml:space="preserve"> to support the implementation of the </w:t>
      </w:r>
      <w:r w:rsidR="00B55632" w:rsidRPr="007E7514">
        <w:rPr>
          <w:lang w:val="en-GB"/>
        </w:rPr>
        <w:t xml:space="preserve">Minamata </w:t>
      </w:r>
      <w:r w:rsidRPr="007E7514">
        <w:rPr>
          <w:lang w:val="en-GB"/>
        </w:rPr>
        <w:t xml:space="preserve">Convention were approved </w:t>
      </w:r>
      <w:r w:rsidR="0048640A" w:rsidRPr="007E7514">
        <w:rPr>
          <w:lang w:val="en-GB"/>
        </w:rPr>
        <w:t>in</w:t>
      </w:r>
      <w:r w:rsidRPr="007E7514">
        <w:rPr>
          <w:lang w:val="en-GB"/>
        </w:rPr>
        <w:t xml:space="preserve"> the reporting period.</w:t>
      </w:r>
      <w:bookmarkEnd w:id="41"/>
    </w:p>
    <w:p w14:paraId="7EAF2278" w14:textId="19924735" w:rsidR="000F34B5" w:rsidRPr="007E7514" w:rsidRDefault="000F34B5" w:rsidP="002D4A77">
      <w:pPr>
        <w:pStyle w:val="Heading2"/>
        <w:rPr>
          <w:lang w:val="en-GB"/>
        </w:rPr>
      </w:pPr>
      <w:bookmarkStart w:id="42" w:name="_Toc4179196"/>
      <w:bookmarkStart w:id="43" w:name="_Toc63168141"/>
      <w:bookmarkStart w:id="44" w:name="_Toc76405372"/>
      <w:r w:rsidRPr="007E7514">
        <w:rPr>
          <w:lang w:val="en-GB"/>
        </w:rPr>
        <w:t xml:space="preserve">Information on Other Matters Concerning the Discharge of Functions under Article 13, Paragraph </w:t>
      </w:r>
      <w:r w:rsidR="00DD4950" w:rsidRPr="007E7514">
        <w:rPr>
          <w:lang w:val="en-GB"/>
        </w:rPr>
        <w:t>5</w:t>
      </w:r>
      <w:r w:rsidRPr="007E7514">
        <w:rPr>
          <w:lang w:val="en-GB"/>
        </w:rPr>
        <w:t xml:space="preserve"> </w:t>
      </w:r>
      <w:r w:rsidR="00016F6B" w:rsidRPr="007E7514">
        <w:rPr>
          <w:lang w:val="en-GB"/>
        </w:rPr>
        <w:t>(</w:t>
      </w:r>
      <w:r w:rsidRPr="007E7514">
        <w:rPr>
          <w:lang w:val="en-GB"/>
        </w:rPr>
        <w:t>MOU Paragraph 11</w:t>
      </w:r>
      <w:bookmarkEnd w:id="42"/>
      <w:bookmarkEnd w:id="43"/>
      <w:r w:rsidR="00016F6B" w:rsidRPr="007E7514">
        <w:rPr>
          <w:lang w:val="en-GB"/>
        </w:rPr>
        <w:t>)</w:t>
      </w:r>
      <w:bookmarkEnd w:id="44"/>
    </w:p>
    <w:p w14:paraId="4D536678" w14:textId="5247DBED" w:rsidR="001978AA" w:rsidRPr="007E7514" w:rsidRDefault="000F34B5" w:rsidP="00B7581D">
      <w:pPr>
        <w:pStyle w:val="MainParagraphwith"/>
        <w:rPr>
          <w:lang w:val="en-GB"/>
        </w:rPr>
      </w:pPr>
      <w:r w:rsidRPr="007E7514">
        <w:rPr>
          <w:lang w:val="en-GB"/>
        </w:rPr>
        <w:t xml:space="preserve">No concerns regarding this MOU paragraph arose </w:t>
      </w:r>
      <w:r w:rsidR="005F2649" w:rsidRPr="007E7514">
        <w:rPr>
          <w:lang w:val="en-GB"/>
        </w:rPr>
        <w:t>in</w:t>
      </w:r>
      <w:r w:rsidRPr="007E7514">
        <w:rPr>
          <w:lang w:val="en-GB"/>
        </w:rPr>
        <w:t xml:space="preserve"> the reporting period.</w:t>
      </w:r>
      <w:bookmarkStart w:id="45" w:name="_Toc4179197"/>
      <w:bookmarkStart w:id="46" w:name="_Toc63168142"/>
    </w:p>
    <w:p w14:paraId="327DAB82" w14:textId="35B60458" w:rsidR="000F34B5" w:rsidRPr="007E7514" w:rsidRDefault="000F34B5" w:rsidP="002D4A77">
      <w:pPr>
        <w:pStyle w:val="Heading2"/>
        <w:rPr>
          <w:lang w:val="en-GB"/>
        </w:rPr>
      </w:pPr>
      <w:bookmarkStart w:id="47" w:name="_Toc76405373"/>
      <w:r w:rsidRPr="007E7514">
        <w:rPr>
          <w:lang w:val="en-GB"/>
        </w:rPr>
        <w:t xml:space="preserve">Views of the GEF Council on </w:t>
      </w:r>
      <w:r w:rsidR="005F2649" w:rsidRPr="007E7514">
        <w:rPr>
          <w:lang w:val="en-GB"/>
        </w:rPr>
        <w:t xml:space="preserve">the </w:t>
      </w:r>
      <w:r w:rsidR="00D37192" w:rsidRPr="007E7514">
        <w:rPr>
          <w:lang w:val="en-GB"/>
        </w:rPr>
        <w:t>Guidance Provided</w:t>
      </w:r>
      <w:r w:rsidRPr="007E7514">
        <w:rPr>
          <w:lang w:val="en-GB"/>
        </w:rPr>
        <w:t xml:space="preserve"> by the </w:t>
      </w:r>
      <w:r w:rsidR="00D26529" w:rsidRPr="007E7514">
        <w:rPr>
          <w:lang w:val="en-GB"/>
        </w:rPr>
        <w:t>COP</w:t>
      </w:r>
      <w:r w:rsidRPr="007E7514">
        <w:rPr>
          <w:lang w:val="en-GB"/>
        </w:rPr>
        <w:t xml:space="preserve"> </w:t>
      </w:r>
      <w:bookmarkStart w:id="48" w:name="_Hlk73645676"/>
      <w:r w:rsidR="00016F6B" w:rsidRPr="007E7514">
        <w:rPr>
          <w:lang w:val="en-GB"/>
        </w:rPr>
        <w:t>(</w:t>
      </w:r>
      <w:r w:rsidRPr="007E7514">
        <w:rPr>
          <w:lang w:val="en-GB"/>
        </w:rPr>
        <w:t>MOU Paragraph 12</w:t>
      </w:r>
      <w:bookmarkEnd w:id="45"/>
      <w:bookmarkEnd w:id="46"/>
      <w:r w:rsidR="00016F6B" w:rsidRPr="007E7514">
        <w:rPr>
          <w:lang w:val="en-GB"/>
        </w:rPr>
        <w:t>)</w:t>
      </w:r>
      <w:bookmarkEnd w:id="47"/>
      <w:r w:rsidRPr="007E7514">
        <w:rPr>
          <w:lang w:val="en-GB"/>
        </w:rPr>
        <w:t xml:space="preserve"> </w:t>
      </w:r>
    </w:p>
    <w:bookmarkEnd w:id="48"/>
    <w:p w14:paraId="1A29787D" w14:textId="2A8E2BF5" w:rsidR="000F34B5" w:rsidRPr="007E7514" w:rsidRDefault="000F34B5" w:rsidP="00B7581D">
      <w:pPr>
        <w:pStyle w:val="MainParagraphwith"/>
        <w:rPr>
          <w:lang w:val="en-GB"/>
        </w:rPr>
      </w:pPr>
      <w:r w:rsidRPr="007E7514">
        <w:rPr>
          <w:lang w:val="en-GB"/>
        </w:rPr>
        <w:t xml:space="preserve">The GEF Council approves GEF reports to the COP prior to their submission. </w:t>
      </w:r>
      <w:r w:rsidR="005F2649" w:rsidRPr="007E7514">
        <w:rPr>
          <w:lang w:val="en-GB"/>
        </w:rPr>
        <w:t>It</w:t>
      </w:r>
      <w:r w:rsidRPr="007E7514">
        <w:rPr>
          <w:lang w:val="en-GB"/>
        </w:rPr>
        <w:t xml:space="preserve"> also considers </w:t>
      </w:r>
      <w:r w:rsidR="005F2649" w:rsidRPr="007E7514">
        <w:rPr>
          <w:lang w:val="en-GB"/>
        </w:rPr>
        <w:t>the GEF’s</w:t>
      </w:r>
      <w:r w:rsidRPr="007E7514">
        <w:rPr>
          <w:lang w:val="en-GB"/>
        </w:rPr>
        <w:t xml:space="preserve"> response to </w:t>
      </w:r>
      <w:r w:rsidR="005F2649" w:rsidRPr="007E7514">
        <w:rPr>
          <w:lang w:val="en-GB"/>
        </w:rPr>
        <w:t xml:space="preserve">the </w:t>
      </w:r>
      <w:r w:rsidRPr="007E7514">
        <w:rPr>
          <w:lang w:val="en-GB"/>
        </w:rPr>
        <w:t>guidance provided by the COP</w:t>
      </w:r>
      <w:r w:rsidR="005F2649" w:rsidRPr="007E7514">
        <w:rPr>
          <w:lang w:val="en-GB"/>
        </w:rPr>
        <w:t>,</w:t>
      </w:r>
      <w:r w:rsidRPr="007E7514">
        <w:rPr>
          <w:lang w:val="en-GB"/>
        </w:rPr>
        <w:t xml:space="preserve"> summarized in the Council </w:t>
      </w:r>
      <w:r w:rsidR="005F2649" w:rsidRPr="007E7514">
        <w:rPr>
          <w:lang w:val="en-GB"/>
        </w:rPr>
        <w:t>d</w:t>
      </w:r>
      <w:r w:rsidRPr="007E7514">
        <w:rPr>
          <w:lang w:val="en-GB"/>
        </w:rPr>
        <w:t xml:space="preserve">ocument on </w:t>
      </w:r>
      <w:r w:rsidR="005F2649" w:rsidRPr="007E7514">
        <w:rPr>
          <w:lang w:val="en-GB"/>
        </w:rPr>
        <w:t>r</w:t>
      </w:r>
      <w:r w:rsidRPr="007E7514">
        <w:rPr>
          <w:lang w:val="en-GB"/>
        </w:rPr>
        <w:t xml:space="preserve">elations with the </w:t>
      </w:r>
      <w:r w:rsidR="005F2649" w:rsidRPr="007E7514">
        <w:rPr>
          <w:lang w:val="en-GB"/>
        </w:rPr>
        <w:t>c</w:t>
      </w:r>
      <w:r w:rsidRPr="007E7514">
        <w:rPr>
          <w:lang w:val="en-GB"/>
        </w:rPr>
        <w:t xml:space="preserve">onventions, which is a document </w:t>
      </w:r>
      <w:r w:rsidR="005F2649" w:rsidRPr="007E7514">
        <w:rPr>
          <w:lang w:val="en-GB"/>
        </w:rPr>
        <w:t xml:space="preserve">for decision </w:t>
      </w:r>
      <w:r w:rsidRPr="007E7514">
        <w:rPr>
          <w:lang w:val="en-GB"/>
        </w:rPr>
        <w:t xml:space="preserve">at every Council meeting. Any views expressed by the Council are reflected in the Council highlights document. The Council’s views on the guidance </w:t>
      </w:r>
      <w:r w:rsidR="005F2649" w:rsidRPr="007E7514">
        <w:rPr>
          <w:lang w:val="en-GB"/>
        </w:rPr>
        <w:t>provided by</w:t>
      </w:r>
      <w:r w:rsidRPr="007E7514">
        <w:rPr>
          <w:lang w:val="en-GB"/>
        </w:rPr>
        <w:t xml:space="preserve"> the COP are reflected in </w:t>
      </w:r>
      <w:r w:rsidR="005F2649" w:rsidRPr="007E7514">
        <w:rPr>
          <w:lang w:val="en-GB"/>
        </w:rPr>
        <w:t xml:space="preserve">the GEF’s </w:t>
      </w:r>
      <w:r w:rsidRPr="007E7514">
        <w:rPr>
          <w:lang w:val="en-GB"/>
        </w:rPr>
        <w:t xml:space="preserve">response to the guidance </w:t>
      </w:r>
      <w:r w:rsidR="005F2649" w:rsidRPr="007E7514">
        <w:rPr>
          <w:lang w:val="en-GB"/>
        </w:rPr>
        <w:t>provided by the</w:t>
      </w:r>
      <w:r w:rsidRPr="007E7514">
        <w:rPr>
          <w:lang w:val="en-GB"/>
        </w:rPr>
        <w:t xml:space="preserve"> COP </w:t>
      </w:r>
      <w:r w:rsidR="005F2649" w:rsidRPr="007E7514">
        <w:rPr>
          <w:lang w:val="en-GB"/>
        </w:rPr>
        <w:t xml:space="preserve">presented </w:t>
      </w:r>
      <w:r w:rsidRPr="007E7514">
        <w:rPr>
          <w:lang w:val="en-GB"/>
        </w:rPr>
        <w:t>in Table 1.</w:t>
      </w:r>
    </w:p>
    <w:p w14:paraId="44001A38" w14:textId="2B391E3D" w:rsidR="000F34B5" w:rsidRPr="007E7514" w:rsidRDefault="000F34B5" w:rsidP="002D4A77">
      <w:pPr>
        <w:pStyle w:val="Heading2"/>
        <w:rPr>
          <w:lang w:val="en-GB"/>
        </w:rPr>
      </w:pPr>
      <w:bookmarkStart w:id="49" w:name="_Toc4179198"/>
      <w:bookmarkStart w:id="50" w:name="_Toc63168143"/>
      <w:bookmarkStart w:id="51" w:name="_Toc76405374"/>
      <w:r w:rsidRPr="007E7514">
        <w:rPr>
          <w:lang w:val="en-GB"/>
        </w:rPr>
        <w:t xml:space="preserve">Matters Arising from </w:t>
      </w:r>
      <w:r w:rsidR="00ED44A3" w:rsidRPr="007E7514">
        <w:rPr>
          <w:lang w:val="en-GB"/>
        </w:rPr>
        <w:t xml:space="preserve">the </w:t>
      </w:r>
      <w:r w:rsidRPr="007E7514">
        <w:rPr>
          <w:lang w:val="en-GB"/>
        </w:rPr>
        <w:t xml:space="preserve">Reports Received by </w:t>
      </w:r>
      <w:r w:rsidR="00D26529" w:rsidRPr="007E7514">
        <w:rPr>
          <w:lang w:val="en-GB"/>
        </w:rPr>
        <w:t xml:space="preserve">the </w:t>
      </w:r>
      <w:r w:rsidRPr="007E7514">
        <w:rPr>
          <w:lang w:val="en-GB"/>
        </w:rPr>
        <w:t>COP</w:t>
      </w:r>
      <w:r w:rsidR="00ED44A3" w:rsidRPr="007E7514">
        <w:rPr>
          <w:lang w:val="en-GB"/>
        </w:rPr>
        <w:t xml:space="preserve"> from the GEF Council</w:t>
      </w:r>
      <w:r w:rsidRPr="007E7514">
        <w:rPr>
          <w:lang w:val="en-GB"/>
        </w:rPr>
        <w:t xml:space="preserve"> </w:t>
      </w:r>
      <w:r w:rsidR="00691260" w:rsidRPr="007E7514">
        <w:rPr>
          <w:lang w:val="en-GB"/>
        </w:rPr>
        <w:br/>
      </w:r>
      <w:r w:rsidR="00016F6B" w:rsidRPr="007E7514">
        <w:rPr>
          <w:lang w:val="en-GB"/>
        </w:rPr>
        <w:t>(</w:t>
      </w:r>
      <w:r w:rsidRPr="007E7514">
        <w:rPr>
          <w:lang w:val="en-GB"/>
        </w:rPr>
        <w:t>MOU Paragraph 13</w:t>
      </w:r>
      <w:bookmarkEnd w:id="49"/>
      <w:bookmarkEnd w:id="50"/>
      <w:r w:rsidR="00016F6B" w:rsidRPr="007E7514">
        <w:rPr>
          <w:lang w:val="en-GB"/>
        </w:rPr>
        <w:t>)</w:t>
      </w:r>
      <w:bookmarkStart w:id="52" w:name="_Hlk519503887"/>
      <w:bookmarkEnd w:id="51"/>
      <w:r w:rsidRPr="007E7514">
        <w:rPr>
          <w:lang w:val="en-GB"/>
        </w:rPr>
        <w:t xml:space="preserve"> </w:t>
      </w:r>
    </w:p>
    <w:p w14:paraId="553FAD73" w14:textId="518A16E2" w:rsidR="00481969" w:rsidRPr="007E7514" w:rsidRDefault="00ED44A3" w:rsidP="00B7581D">
      <w:pPr>
        <w:pStyle w:val="MainParagraphwith"/>
        <w:rPr>
          <w:lang w:val="en-GB"/>
        </w:rPr>
      </w:pPr>
      <w:r w:rsidRPr="007E7514">
        <w:rPr>
          <w:lang w:val="en-GB"/>
        </w:rPr>
        <w:t>In</w:t>
      </w:r>
      <w:r w:rsidR="000F34B5" w:rsidRPr="007E7514">
        <w:rPr>
          <w:lang w:val="en-GB"/>
        </w:rPr>
        <w:t xml:space="preserve"> the reporting period</w:t>
      </w:r>
      <w:r w:rsidR="005A5A62" w:rsidRPr="007E7514">
        <w:rPr>
          <w:lang w:val="en-GB"/>
        </w:rPr>
        <w:t>,</w:t>
      </w:r>
      <w:r w:rsidR="0097054F" w:rsidRPr="007E7514">
        <w:rPr>
          <w:lang w:val="en-GB"/>
        </w:rPr>
        <w:t xml:space="preserve"> </w:t>
      </w:r>
      <w:r w:rsidR="000F34B5" w:rsidRPr="007E7514">
        <w:rPr>
          <w:lang w:val="en-GB"/>
        </w:rPr>
        <w:t>the COP</w:t>
      </w:r>
      <w:r w:rsidR="0097054F" w:rsidRPr="007E7514">
        <w:rPr>
          <w:lang w:val="en-GB"/>
        </w:rPr>
        <w:t xml:space="preserve"> did </w:t>
      </w:r>
      <w:r w:rsidR="00431012" w:rsidRPr="007E7514">
        <w:rPr>
          <w:lang w:val="en-GB"/>
        </w:rPr>
        <w:t>not</w:t>
      </w:r>
      <w:r w:rsidR="000F34B5" w:rsidRPr="007E7514">
        <w:rPr>
          <w:lang w:val="en-GB"/>
        </w:rPr>
        <w:t xml:space="preserve"> provide guidance to the GEF. The Council</w:t>
      </w:r>
      <w:r w:rsidRPr="007E7514">
        <w:rPr>
          <w:lang w:val="en-GB"/>
        </w:rPr>
        <w:t>,</w:t>
      </w:r>
      <w:r w:rsidR="000F34B5" w:rsidRPr="007E7514">
        <w:rPr>
          <w:lang w:val="en-GB"/>
        </w:rPr>
        <w:t xml:space="preserve"> through this report</w:t>
      </w:r>
      <w:r w:rsidRPr="007E7514">
        <w:rPr>
          <w:lang w:val="en-GB"/>
        </w:rPr>
        <w:t>,</w:t>
      </w:r>
      <w:r w:rsidR="000F34B5" w:rsidRPr="007E7514">
        <w:rPr>
          <w:lang w:val="en-GB"/>
        </w:rPr>
        <w:t xml:space="preserve"> provides its</w:t>
      </w:r>
      <w:r w:rsidR="00431012" w:rsidRPr="007E7514">
        <w:rPr>
          <w:lang w:val="en-GB"/>
        </w:rPr>
        <w:t xml:space="preserve"> updated</w:t>
      </w:r>
      <w:r w:rsidR="000F34B5" w:rsidRPr="007E7514">
        <w:rPr>
          <w:lang w:val="en-GB"/>
        </w:rPr>
        <w:t xml:space="preserve"> response </w:t>
      </w:r>
      <w:r w:rsidR="005A5A62" w:rsidRPr="007E7514">
        <w:rPr>
          <w:lang w:val="en-GB"/>
        </w:rPr>
        <w:t xml:space="preserve">to </w:t>
      </w:r>
      <w:r w:rsidRPr="007E7514">
        <w:rPr>
          <w:lang w:val="en-GB"/>
        </w:rPr>
        <w:t xml:space="preserve">the </w:t>
      </w:r>
      <w:r w:rsidR="000F34B5" w:rsidRPr="007E7514">
        <w:rPr>
          <w:lang w:val="en-GB"/>
        </w:rPr>
        <w:t>guidance</w:t>
      </w:r>
      <w:r w:rsidR="00431012" w:rsidRPr="007E7514">
        <w:rPr>
          <w:lang w:val="en-GB"/>
        </w:rPr>
        <w:t xml:space="preserve"> provided at COP</w:t>
      </w:r>
      <w:r w:rsidR="003B4B3C" w:rsidRPr="007E7514">
        <w:rPr>
          <w:lang w:val="en-GB"/>
        </w:rPr>
        <w:t xml:space="preserve"> </w:t>
      </w:r>
      <w:r w:rsidR="00431012" w:rsidRPr="007E7514">
        <w:rPr>
          <w:lang w:val="en-GB"/>
        </w:rPr>
        <w:t>1 in 2017</w:t>
      </w:r>
      <w:r w:rsidR="000F34B5" w:rsidRPr="007E7514">
        <w:rPr>
          <w:lang w:val="en-GB"/>
        </w:rPr>
        <w:t xml:space="preserve">. </w:t>
      </w:r>
      <w:bookmarkStart w:id="53" w:name="_bookmark13"/>
      <w:bookmarkEnd w:id="52"/>
      <w:bookmarkEnd w:id="53"/>
    </w:p>
    <w:p w14:paraId="70A32069" w14:textId="0E55F6D3" w:rsidR="003377FF" w:rsidRPr="007E7514" w:rsidRDefault="003377FF" w:rsidP="002D4A77">
      <w:pPr>
        <w:pStyle w:val="Heading2"/>
        <w:rPr>
          <w:lang w:val="en-GB"/>
        </w:rPr>
      </w:pPr>
      <w:bookmarkStart w:id="54" w:name="_Toc76405375"/>
      <w:r w:rsidRPr="007E7514">
        <w:rPr>
          <w:rStyle w:val="Heading2Char"/>
          <w:b/>
          <w:bCs/>
          <w:lang w:val="en-GB"/>
        </w:rPr>
        <w:t xml:space="preserve">Cooperation with </w:t>
      </w:r>
      <w:r w:rsidR="00D26529" w:rsidRPr="007E7514">
        <w:rPr>
          <w:rStyle w:val="Heading2Char"/>
          <w:b/>
          <w:bCs/>
          <w:lang w:val="en-GB"/>
        </w:rPr>
        <w:t xml:space="preserve">the </w:t>
      </w:r>
      <w:r w:rsidRPr="007E7514">
        <w:rPr>
          <w:lang w:val="en-GB"/>
        </w:rPr>
        <w:t>Secretariat</w:t>
      </w:r>
      <w:r w:rsidRPr="007E7514">
        <w:rPr>
          <w:rStyle w:val="Heading2Char"/>
          <w:b/>
          <w:bCs/>
          <w:lang w:val="en-GB"/>
        </w:rPr>
        <w:t xml:space="preserve"> of </w:t>
      </w:r>
      <w:r w:rsidR="00D26529" w:rsidRPr="007E7514">
        <w:rPr>
          <w:rStyle w:val="Heading2Char"/>
          <w:b/>
          <w:bCs/>
          <w:lang w:val="en-GB"/>
        </w:rPr>
        <w:t xml:space="preserve">the </w:t>
      </w:r>
      <w:r w:rsidRPr="007E7514">
        <w:rPr>
          <w:rStyle w:val="Heading2Char"/>
          <w:b/>
          <w:bCs/>
          <w:lang w:val="en-GB"/>
        </w:rPr>
        <w:t>Minamata Convention</w:t>
      </w:r>
      <w:r w:rsidR="00C92445" w:rsidRPr="007E7514">
        <w:rPr>
          <w:rStyle w:val="Heading2Char"/>
          <w:b/>
          <w:bCs/>
          <w:lang w:val="en-GB"/>
        </w:rPr>
        <w:t xml:space="preserve"> and </w:t>
      </w:r>
      <w:r w:rsidR="00596FBC" w:rsidRPr="007E7514">
        <w:rPr>
          <w:rStyle w:val="Heading2Char"/>
          <w:b/>
          <w:bCs/>
          <w:lang w:val="en-GB"/>
        </w:rPr>
        <w:t>Reciprocal Representation</w:t>
      </w:r>
      <w:r w:rsidR="007D4214" w:rsidRPr="007E7514">
        <w:rPr>
          <w:lang w:val="en-GB"/>
        </w:rPr>
        <w:t xml:space="preserve"> </w:t>
      </w:r>
      <w:r w:rsidR="00016F6B" w:rsidRPr="007E7514">
        <w:rPr>
          <w:lang w:val="en-GB"/>
        </w:rPr>
        <w:t>(</w:t>
      </w:r>
      <w:r w:rsidR="00AF2AD1" w:rsidRPr="007E7514">
        <w:rPr>
          <w:lang w:val="en-GB"/>
        </w:rPr>
        <w:t>MOU Paragraph</w:t>
      </w:r>
      <w:r w:rsidR="00401F50" w:rsidRPr="007E7514">
        <w:rPr>
          <w:lang w:val="en-GB"/>
        </w:rPr>
        <w:t>s</w:t>
      </w:r>
      <w:r w:rsidR="00AF2AD1" w:rsidRPr="007E7514">
        <w:rPr>
          <w:lang w:val="en-GB"/>
        </w:rPr>
        <w:t xml:space="preserve"> </w:t>
      </w:r>
      <w:r w:rsidR="00A310E7" w:rsidRPr="007E7514">
        <w:rPr>
          <w:lang w:val="en-GB"/>
        </w:rPr>
        <w:t>17-2</w:t>
      </w:r>
      <w:r w:rsidR="00C92445" w:rsidRPr="007E7514">
        <w:rPr>
          <w:lang w:val="en-GB"/>
        </w:rPr>
        <w:t>1</w:t>
      </w:r>
      <w:r w:rsidR="00016F6B" w:rsidRPr="007E7514">
        <w:rPr>
          <w:lang w:val="en-GB"/>
        </w:rPr>
        <w:t>)</w:t>
      </w:r>
      <w:bookmarkEnd w:id="54"/>
      <w:r w:rsidR="00AF2AD1" w:rsidRPr="007E7514">
        <w:rPr>
          <w:lang w:val="en-GB"/>
        </w:rPr>
        <w:t xml:space="preserve"> </w:t>
      </w:r>
    </w:p>
    <w:p w14:paraId="54EE35BD" w14:textId="5C04E64D" w:rsidR="007553DC" w:rsidRPr="007E7514" w:rsidRDefault="008C6B9A" w:rsidP="00B7581D">
      <w:pPr>
        <w:pStyle w:val="MainParagraphwith"/>
        <w:rPr>
          <w:lang w:val="en-GB"/>
        </w:rPr>
      </w:pPr>
      <w:r w:rsidRPr="007E7514">
        <w:rPr>
          <w:lang w:val="en-GB"/>
        </w:rPr>
        <w:t>Following</w:t>
      </w:r>
      <w:r w:rsidR="003377FF" w:rsidRPr="007E7514">
        <w:rPr>
          <w:lang w:val="en-GB"/>
        </w:rPr>
        <w:t xml:space="preserve"> the adoption of the </w:t>
      </w:r>
      <w:r w:rsidR="00401F50" w:rsidRPr="007E7514">
        <w:rPr>
          <w:lang w:val="en-GB"/>
        </w:rPr>
        <w:t xml:space="preserve">Minamata </w:t>
      </w:r>
      <w:r w:rsidR="003377FF" w:rsidRPr="007E7514">
        <w:rPr>
          <w:lang w:val="en-GB"/>
        </w:rPr>
        <w:t xml:space="preserve">Convention in October 2013, the </w:t>
      </w:r>
      <w:r w:rsidR="00401F50" w:rsidRPr="007E7514">
        <w:rPr>
          <w:lang w:val="en-GB"/>
        </w:rPr>
        <w:t xml:space="preserve">GEF </w:t>
      </w:r>
      <w:r w:rsidR="003377FF" w:rsidRPr="007E7514">
        <w:rPr>
          <w:lang w:val="en-GB"/>
        </w:rPr>
        <w:t>Secretariat initiated formal cooperation and communication with the Interim Secretariat of the Minamata Convention to enhance coordination, share information</w:t>
      </w:r>
      <w:r w:rsidR="003A2B81" w:rsidRPr="007E7514">
        <w:rPr>
          <w:lang w:val="en-GB"/>
        </w:rPr>
        <w:t>,</w:t>
      </w:r>
      <w:r w:rsidR="003377FF" w:rsidRPr="007E7514">
        <w:rPr>
          <w:lang w:val="en-GB"/>
        </w:rPr>
        <w:t xml:space="preserve"> and collaborate on </w:t>
      </w:r>
      <w:r w:rsidR="00401F50" w:rsidRPr="007E7514">
        <w:rPr>
          <w:lang w:val="en-GB"/>
        </w:rPr>
        <w:t>matters</w:t>
      </w:r>
      <w:r w:rsidR="003377FF" w:rsidRPr="007E7514">
        <w:rPr>
          <w:lang w:val="en-GB"/>
        </w:rPr>
        <w:t xml:space="preserve"> related to the implementation of the Convention. Since COP </w:t>
      </w:r>
      <w:r w:rsidR="00E66CF2" w:rsidRPr="007E7514">
        <w:rPr>
          <w:lang w:val="en-GB"/>
        </w:rPr>
        <w:t>2</w:t>
      </w:r>
      <w:r w:rsidR="003377FF" w:rsidRPr="007E7514">
        <w:rPr>
          <w:lang w:val="en-GB"/>
        </w:rPr>
        <w:t xml:space="preserve">, cooperation has continued with </w:t>
      </w:r>
      <w:r w:rsidR="003377FF" w:rsidRPr="007E7514">
        <w:rPr>
          <w:lang w:val="en-GB"/>
        </w:rPr>
        <w:lastRenderedPageBreak/>
        <w:t>the Secretariat of the Minamata Convention.</w:t>
      </w:r>
    </w:p>
    <w:p w14:paraId="44E7CB95" w14:textId="4303F389" w:rsidR="007553DC" w:rsidRPr="007E7514" w:rsidRDefault="007553DC" w:rsidP="00B7581D">
      <w:pPr>
        <w:pStyle w:val="MainParagraphwith"/>
        <w:rPr>
          <w:lang w:val="en-GB"/>
        </w:rPr>
      </w:pPr>
      <w:r w:rsidRPr="007E7514">
        <w:rPr>
          <w:lang w:val="en-GB"/>
        </w:rPr>
        <w:t>A delegation from the GEF Secretariat delegation participated in COP 3 that was held from November 25 to 29, 2019 in Geneva, Switzerland. This COP was not expected to provide guidance to the GEF, and none was provided.</w:t>
      </w:r>
    </w:p>
    <w:p w14:paraId="631ED7F7" w14:textId="6AED55E6" w:rsidR="007553DC" w:rsidRPr="007E7514" w:rsidRDefault="007553DC" w:rsidP="00B7581D">
      <w:pPr>
        <w:pStyle w:val="MainParagraphwith"/>
        <w:rPr>
          <w:lang w:val="en-GB"/>
        </w:rPr>
      </w:pPr>
      <w:r w:rsidRPr="007E7514">
        <w:rPr>
          <w:lang w:val="en-GB"/>
        </w:rPr>
        <w:t xml:space="preserve">COP </w:t>
      </w:r>
      <w:r w:rsidR="008B209C" w:rsidRPr="007E7514">
        <w:rPr>
          <w:lang w:val="en-GB"/>
        </w:rPr>
        <w:t xml:space="preserve">3 </w:t>
      </w:r>
      <w:r w:rsidRPr="007E7514">
        <w:rPr>
          <w:lang w:val="en-GB"/>
        </w:rPr>
        <w:t>conducted the first review of the financial mechanism of the Convention which comprises the GEF and the Specific International Program</w:t>
      </w:r>
      <w:r w:rsidR="00BD1E7C" w:rsidRPr="007E7514">
        <w:rPr>
          <w:lang w:val="en-GB"/>
        </w:rPr>
        <w:t xml:space="preserve"> (SIP)</w:t>
      </w:r>
      <w:r w:rsidRPr="007E7514">
        <w:rPr>
          <w:lang w:val="en-GB"/>
        </w:rPr>
        <w:t xml:space="preserve">. The review was conducted in plenary and Parties noted the report of the review </w:t>
      </w:r>
      <w:r w:rsidR="008B209C" w:rsidRPr="007E7514">
        <w:rPr>
          <w:lang w:val="en-GB"/>
        </w:rPr>
        <w:t>prepared by</w:t>
      </w:r>
      <w:r w:rsidRPr="007E7514">
        <w:rPr>
          <w:lang w:val="en-GB"/>
        </w:rPr>
        <w:t xml:space="preserve"> the Minamata Convention Secretariat</w:t>
      </w:r>
      <w:r w:rsidR="00BD2429" w:rsidRPr="007E7514">
        <w:rPr>
          <w:lang w:val="en-GB"/>
        </w:rPr>
        <w:t>.</w:t>
      </w:r>
      <w:r w:rsidR="008C61B9" w:rsidRPr="007E7514">
        <w:rPr>
          <w:lang w:val="en-GB"/>
        </w:rPr>
        <w:t xml:space="preserve"> The first </w:t>
      </w:r>
      <w:r w:rsidR="00A45BC7" w:rsidRPr="007E7514">
        <w:rPr>
          <w:lang w:val="en-GB"/>
        </w:rPr>
        <w:t xml:space="preserve">review included </w:t>
      </w:r>
      <w:r w:rsidR="008B209C" w:rsidRPr="007E7514">
        <w:rPr>
          <w:lang w:val="en-GB"/>
        </w:rPr>
        <w:t xml:space="preserve">the </w:t>
      </w:r>
      <w:r w:rsidR="00A45BC7" w:rsidRPr="007E7514">
        <w:rPr>
          <w:lang w:val="en-GB"/>
        </w:rPr>
        <w:t xml:space="preserve">information on the GEF’s response to </w:t>
      </w:r>
      <w:r w:rsidR="008B209C" w:rsidRPr="007E7514">
        <w:rPr>
          <w:lang w:val="en-GB"/>
        </w:rPr>
        <w:t xml:space="preserve">the </w:t>
      </w:r>
      <w:r w:rsidR="00A45BC7" w:rsidRPr="007E7514">
        <w:rPr>
          <w:lang w:val="en-GB"/>
        </w:rPr>
        <w:t xml:space="preserve">COP guidance </w:t>
      </w:r>
      <w:r w:rsidR="003F1EDC" w:rsidRPr="007E7514">
        <w:rPr>
          <w:lang w:val="en-GB"/>
        </w:rPr>
        <w:t xml:space="preserve">and </w:t>
      </w:r>
      <w:r w:rsidR="00C839AD" w:rsidRPr="007E7514">
        <w:rPr>
          <w:lang w:val="en-GB"/>
        </w:rPr>
        <w:t xml:space="preserve">GEF </w:t>
      </w:r>
      <w:r w:rsidR="003F1EDC" w:rsidRPr="007E7514">
        <w:rPr>
          <w:lang w:val="en-GB"/>
        </w:rPr>
        <w:t>resources programmed for the Mina</w:t>
      </w:r>
      <w:r w:rsidR="00764EBD" w:rsidRPr="007E7514">
        <w:rPr>
          <w:lang w:val="en-GB"/>
        </w:rPr>
        <w:t>ma</w:t>
      </w:r>
      <w:r w:rsidR="003F1EDC" w:rsidRPr="007E7514">
        <w:rPr>
          <w:lang w:val="en-GB"/>
        </w:rPr>
        <w:t>ta Convention.</w:t>
      </w:r>
      <w:r w:rsidRPr="007E7514">
        <w:rPr>
          <w:lang w:val="en-GB"/>
        </w:rPr>
        <w:t xml:space="preserve"> </w:t>
      </w:r>
      <w:r w:rsidR="007F5348" w:rsidRPr="007E7514">
        <w:rPr>
          <w:lang w:val="en-GB"/>
        </w:rPr>
        <w:t>Parties also</w:t>
      </w:r>
      <w:r w:rsidRPr="007E7514">
        <w:rPr>
          <w:lang w:val="en-GB"/>
        </w:rPr>
        <w:t xml:space="preserve"> requested the Minamata Convention Secretariat to prepare </w:t>
      </w:r>
      <w:r w:rsidR="008B209C" w:rsidRPr="007E7514">
        <w:rPr>
          <w:lang w:val="en-GB"/>
        </w:rPr>
        <w:t xml:space="preserve">the </w:t>
      </w:r>
      <w:r w:rsidRPr="007E7514">
        <w:rPr>
          <w:lang w:val="en-GB"/>
        </w:rPr>
        <w:t>terms of reference for the second review for consideration at COP</w:t>
      </w:r>
      <w:r w:rsidR="008B209C" w:rsidRPr="007E7514">
        <w:rPr>
          <w:lang w:val="en-GB"/>
        </w:rPr>
        <w:t xml:space="preserve"> 4.</w:t>
      </w:r>
      <w:r w:rsidR="00BD114A" w:rsidRPr="007E7514">
        <w:rPr>
          <w:rStyle w:val="FootnoteReference"/>
          <w:lang w:val="en-GB"/>
        </w:rPr>
        <w:footnoteReference w:id="26"/>
      </w:r>
    </w:p>
    <w:p w14:paraId="472E03C2" w14:textId="46BF4B69" w:rsidR="007553DC" w:rsidRPr="007E7514" w:rsidRDefault="007553DC" w:rsidP="00B7581D">
      <w:pPr>
        <w:pStyle w:val="MainParagraphwith"/>
        <w:rPr>
          <w:lang w:val="en-GB"/>
        </w:rPr>
      </w:pPr>
      <w:r w:rsidRPr="007E7514">
        <w:rPr>
          <w:lang w:val="en-GB"/>
        </w:rPr>
        <w:t>The GEF Secretariat delegation met with the Executive Secretary Designate</w:t>
      </w:r>
      <w:r w:rsidR="008C6B9A" w:rsidRPr="007E7514">
        <w:rPr>
          <w:lang w:val="en-GB"/>
        </w:rPr>
        <w:t xml:space="preserve"> of the Minamata Convention Secretariat</w:t>
      </w:r>
      <w:r w:rsidRPr="007E7514">
        <w:rPr>
          <w:lang w:val="en-GB"/>
        </w:rPr>
        <w:t>, Ms. Monika Stankiewicz</w:t>
      </w:r>
      <w:r w:rsidR="008B209C" w:rsidRPr="007E7514">
        <w:rPr>
          <w:lang w:val="en-GB"/>
        </w:rPr>
        <w:t>,</w:t>
      </w:r>
      <w:r w:rsidRPr="007E7514">
        <w:rPr>
          <w:lang w:val="en-GB"/>
        </w:rPr>
        <w:t xml:space="preserve"> on November </w:t>
      </w:r>
      <w:r w:rsidR="00797527" w:rsidRPr="007E7514">
        <w:rPr>
          <w:lang w:val="en-GB"/>
        </w:rPr>
        <w:t>25</w:t>
      </w:r>
      <w:r w:rsidR="00EF49EB" w:rsidRPr="007E7514">
        <w:rPr>
          <w:lang w:val="en-GB"/>
        </w:rPr>
        <w:t>,</w:t>
      </w:r>
      <w:r w:rsidR="00797527" w:rsidRPr="007E7514">
        <w:rPr>
          <w:lang w:val="en-GB"/>
        </w:rPr>
        <w:t xml:space="preserve"> </w:t>
      </w:r>
      <w:r w:rsidRPr="007E7514">
        <w:rPr>
          <w:lang w:val="en-GB"/>
        </w:rPr>
        <w:t xml:space="preserve">2019 and discussed the relationship </w:t>
      </w:r>
      <w:r w:rsidR="008B209C" w:rsidRPr="007E7514">
        <w:rPr>
          <w:lang w:val="en-GB"/>
        </w:rPr>
        <w:t>between</w:t>
      </w:r>
      <w:r w:rsidRPr="007E7514">
        <w:rPr>
          <w:lang w:val="en-GB"/>
        </w:rPr>
        <w:t xml:space="preserve"> the Minamata </w:t>
      </w:r>
      <w:r w:rsidR="008B209C" w:rsidRPr="007E7514">
        <w:rPr>
          <w:lang w:val="en-GB"/>
        </w:rPr>
        <w:t xml:space="preserve">Convention </w:t>
      </w:r>
      <w:r w:rsidRPr="007E7514">
        <w:rPr>
          <w:lang w:val="en-GB"/>
        </w:rPr>
        <w:t>Secretariat and the GEF, including the Council</w:t>
      </w:r>
      <w:r w:rsidR="006F3F96" w:rsidRPr="007E7514">
        <w:rPr>
          <w:lang w:val="en-GB"/>
        </w:rPr>
        <w:t>,</w:t>
      </w:r>
      <w:r w:rsidRPr="007E7514">
        <w:rPr>
          <w:lang w:val="en-GB"/>
        </w:rPr>
        <w:t xml:space="preserve"> and </w:t>
      </w:r>
      <w:r w:rsidR="006F3F96" w:rsidRPr="007E7514">
        <w:rPr>
          <w:lang w:val="en-GB"/>
        </w:rPr>
        <w:t xml:space="preserve">the forthcoming GEF </w:t>
      </w:r>
      <w:r w:rsidRPr="007E7514">
        <w:rPr>
          <w:lang w:val="en-GB"/>
        </w:rPr>
        <w:t xml:space="preserve">replenishment. The GEF Secretariat also facilitated a meeting of the </w:t>
      </w:r>
      <w:proofErr w:type="spellStart"/>
      <w:r w:rsidRPr="007E7514">
        <w:rPr>
          <w:lang w:val="en-GB"/>
        </w:rPr>
        <w:t>planetGOLD</w:t>
      </w:r>
      <w:proofErr w:type="spellEnd"/>
      <w:r w:rsidRPr="007E7514">
        <w:rPr>
          <w:lang w:val="en-GB"/>
        </w:rPr>
        <w:t xml:space="preserve"> partnership</w:t>
      </w:r>
      <w:r w:rsidR="00C270E6" w:rsidRPr="007E7514">
        <w:rPr>
          <w:rStyle w:val="FootnoteReference"/>
          <w:lang w:val="en-GB"/>
        </w:rPr>
        <w:footnoteReference w:id="27"/>
      </w:r>
      <w:r w:rsidRPr="007E7514">
        <w:rPr>
          <w:lang w:val="en-GB"/>
        </w:rPr>
        <w:t xml:space="preserve"> with the incoming Executive Secretary. </w:t>
      </w:r>
    </w:p>
    <w:p w14:paraId="3D762FF4" w14:textId="3FF77CAC" w:rsidR="007553DC" w:rsidRPr="007E7514" w:rsidRDefault="007553DC" w:rsidP="00B7581D">
      <w:pPr>
        <w:pStyle w:val="MainParagraphwith"/>
        <w:rPr>
          <w:lang w:val="en-GB"/>
        </w:rPr>
      </w:pPr>
      <w:r w:rsidRPr="007E7514">
        <w:rPr>
          <w:lang w:val="en-GB"/>
        </w:rPr>
        <w:t xml:space="preserve">The GEF Secretariat delegation had a meeting with the outgoing Executive Secretary on 26 November 2019 to discuss the main COP </w:t>
      </w:r>
      <w:r w:rsidR="00F35CB4" w:rsidRPr="007E7514">
        <w:rPr>
          <w:lang w:val="en-GB"/>
        </w:rPr>
        <w:t>matters</w:t>
      </w:r>
      <w:r w:rsidRPr="007E7514">
        <w:rPr>
          <w:lang w:val="en-GB"/>
        </w:rPr>
        <w:t xml:space="preserve"> of GEF relevance and to discuss her participation in the </w:t>
      </w:r>
      <w:r w:rsidR="00F35CB4" w:rsidRPr="007E7514">
        <w:rPr>
          <w:lang w:val="en-GB"/>
        </w:rPr>
        <w:t>57</w:t>
      </w:r>
      <w:r w:rsidR="00F35CB4" w:rsidRPr="007E7514">
        <w:rPr>
          <w:vertAlign w:val="superscript"/>
          <w:lang w:val="en-GB"/>
        </w:rPr>
        <w:t>th</w:t>
      </w:r>
      <w:r w:rsidR="00F35CB4" w:rsidRPr="007E7514">
        <w:rPr>
          <w:lang w:val="en-GB"/>
        </w:rPr>
        <w:t xml:space="preserve"> </w:t>
      </w:r>
      <w:r w:rsidRPr="007E7514">
        <w:rPr>
          <w:lang w:val="en-GB"/>
        </w:rPr>
        <w:t>GEF Council</w:t>
      </w:r>
      <w:r w:rsidR="00F35CB4" w:rsidRPr="007E7514">
        <w:rPr>
          <w:lang w:val="en-GB"/>
        </w:rPr>
        <w:t xml:space="preserve"> meeting in December 2019</w:t>
      </w:r>
      <w:r w:rsidRPr="007E7514">
        <w:rPr>
          <w:lang w:val="en-GB"/>
        </w:rPr>
        <w:t>.</w:t>
      </w:r>
    </w:p>
    <w:p w14:paraId="3EE0BE0F" w14:textId="5B9BE91C" w:rsidR="003377FF" w:rsidRPr="007E7514" w:rsidRDefault="003377FF" w:rsidP="00B7581D">
      <w:pPr>
        <w:pStyle w:val="MainParagraphwith"/>
        <w:rPr>
          <w:lang w:val="en-GB"/>
        </w:rPr>
      </w:pPr>
      <w:r w:rsidRPr="007E7514">
        <w:rPr>
          <w:lang w:val="en-GB"/>
        </w:rPr>
        <w:t xml:space="preserve">The </w:t>
      </w:r>
      <w:r w:rsidR="00F35CB4" w:rsidRPr="007E7514">
        <w:rPr>
          <w:lang w:val="en-GB"/>
        </w:rPr>
        <w:t xml:space="preserve">outgoing </w:t>
      </w:r>
      <w:r w:rsidR="00E66CF2" w:rsidRPr="007E7514">
        <w:rPr>
          <w:lang w:val="en-GB"/>
        </w:rPr>
        <w:t xml:space="preserve">Executive Secretary </w:t>
      </w:r>
      <w:r w:rsidRPr="007E7514">
        <w:rPr>
          <w:lang w:val="en-GB"/>
        </w:rPr>
        <w:t xml:space="preserve">attended the </w:t>
      </w:r>
      <w:r w:rsidR="007553DC" w:rsidRPr="007E7514">
        <w:rPr>
          <w:lang w:val="en-GB"/>
        </w:rPr>
        <w:t>57</w:t>
      </w:r>
      <w:r w:rsidR="00E65BA6" w:rsidRPr="007E7514">
        <w:rPr>
          <w:vertAlign w:val="superscript"/>
          <w:lang w:val="en-GB"/>
        </w:rPr>
        <w:t>th</w:t>
      </w:r>
      <w:r w:rsidRPr="007E7514">
        <w:rPr>
          <w:lang w:val="en-GB"/>
        </w:rPr>
        <w:t xml:space="preserve"> meeting of the GEF Council. </w:t>
      </w:r>
      <w:r w:rsidR="00F35CB4" w:rsidRPr="007E7514">
        <w:rPr>
          <w:lang w:val="en-GB"/>
        </w:rPr>
        <w:t xml:space="preserve">She presented the outcomes of COP 3 during the Convention heads panel, part of the meeting dedicated to relations with conventions. </w:t>
      </w:r>
      <w:r w:rsidR="007553DC" w:rsidRPr="007E7514">
        <w:rPr>
          <w:lang w:val="en-GB"/>
        </w:rPr>
        <w:t xml:space="preserve">She also participated in the </w:t>
      </w:r>
      <w:r w:rsidR="00F35CB4" w:rsidRPr="007E7514">
        <w:rPr>
          <w:lang w:val="en-GB"/>
        </w:rPr>
        <w:t>bilateral meetings</w:t>
      </w:r>
      <w:r w:rsidR="007553DC" w:rsidRPr="007E7514">
        <w:rPr>
          <w:lang w:val="en-GB"/>
        </w:rPr>
        <w:t xml:space="preserve"> with </w:t>
      </w:r>
      <w:r w:rsidR="00BD1E7C" w:rsidRPr="007E7514">
        <w:rPr>
          <w:lang w:val="en-GB"/>
        </w:rPr>
        <w:t xml:space="preserve">the </w:t>
      </w:r>
      <w:r w:rsidR="007553DC" w:rsidRPr="007E7514">
        <w:rPr>
          <w:lang w:val="en-GB"/>
        </w:rPr>
        <w:t xml:space="preserve">Secretariats of </w:t>
      </w:r>
      <w:r w:rsidR="00F35CB4" w:rsidRPr="007E7514">
        <w:rPr>
          <w:lang w:val="en-GB"/>
        </w:rPr>
        <w:t>m</w:t>
      </w:r>
      <w:r w:rsidR="007553DC" w:rsidRPr="007E7514">
        <w:rPr>
          <w:lang w:val="en-GB"/>
        </w:rPr>
        <w:t xml:space="preserve">ultilateral </w:t>
      </w:r>
      <w:r w:rsidR="00F35CB4" w:rsidRPr="007E7514">
        <w:rPr>
          <w:lang w:val="en-GB"/>
        </w:rPr>
        <w:t>e</w:t>
      </w:r>
      <w:r w:rsidR="007553DC" w:rsidRPr="007E7514">
        <w:rPr>
          <w:lang w:val="en-GB"/>
        </w:rPr>
        <w:t xml:space="preserve">nvironmental </w:t>
      </w:r>
      <w:r w:rsidR="00F35CB4" w:rsidRPr="007E7514">
        <w:rPr>
          <w:lang w:val="en-GB"/>
        </w:rPr>
        <w:t>a</w:t>
      </w:r>
      <w:r w:rsidR="007553DC" w:rsidRPr="007E7514">
        <w:rPr>
          <w:lang w:val="en-GB"/>
        </w:rPr>
        <w:t xml:space="preserve">greements </w:t>
      </w:r>
      <w:r w:rsidR="00F35CB4" w:rsidRPr="007E7514">
        <w:rPr>
          <w:lang w:val="en-GB"/>
        </w:rPr>
        <w:t xml:space="preserve">(MEAs) </w:t>
      </w:r>
      <w:r w:rsidR="007553DC" w:rsidRPr="007E7514">
        <w:rPr>
          <w:lang w:val="en-GB"/>
        </w:rPr>
        <w:t>organized on the margins of the Council</w:t>
      </w:r>
      <w:r w:rsidR="00F35CB4" w:rsidRPr="007E7514">
        <w:rPr>
          <w:lang w:val="en-GB"/>
        </w:rPr>
        <w:t xml:space="preserve"> meeting</w:t>
      </w:r>
      <w:r w:rsidR="007553DC" w:rsidRPr="007E7514">
        <w:rPr>
          <w:lang w:val="en-GB"/>
        </w:rPr>
        <w:t>.</w:t>
      </w:r>
    </w:p>
    <w:p w14:paraId="1FAFCCC9" w14:textId="074ABCB4" w:rsidR="00E3702A" w:rsidRPr="007E7514" w:rsidRDefault="00E3702A" w:rsidP="00B7581D">
      <w:pPr>
        <w:pStyle w:val="MainParagraphwith"/>
        <w:rPr>
          <w:lang w:val="en-GB"/>
        </w:rPr>
      </w:pPr>
      <w:r w:rsidRPr="007E7514">
        <w:rPr>
          <w:lang w:val="en-GB"/>
        </w:rPr>
        <w:t xml:space="preserve">In October 2020, the </w:t>
      </w:r>
      <w:r w:rsidR="00CB4694" w:rsidRPr="007E7514">
        <w:rPr>
          <w:lang w:val="en-GB"/>
        </w:rPr>
        <w:t xml:space="preserve">new </w:t>
      </w:r>
      <w:r w:rsidR="00942789" w:rsidRPr="007E7514">
        <w:rPr>
          <w:lang w:val="en-GB"/>
        </w:rPr>
        <w:t xml:space="preserve">GEF </w:t>
      </w:r>
      <w:r w:rsidRPr="007E7514">
        <w:rPr>
          <w:lang w:val="en-GB"/>
        </w:rPr>
        <w:t>CEO</w:t>
      </w:r>
      <w:r w:rsidR="00D3322A" w:rsidRPr="007E7514">
        <w:rPr>
          <w:lang w:val="en-GB"/>
        </w:rPr>
        <w:t>,</w:t>
      </w:r>
      <w:r w:rsidR="00942789" w:rsidRPr="007E7514">
        <w:rPr>
          <w:lang w:val="en-GB"/>
        </w:rPr>
        <w:t xml:space="preserve"> Carlos Manuel Rodriguez,</w:t>
      </w:r>
      <w:r w:rsidR="00D3322A" w:rsidRPr="007E7514">
        <w:rPr>
          <w:lang w:val="en-GB"/>
        </w:rPr>
        <w:t xml:space="preserve"> who </w:t>
      </w:r>
      <w:r w:rsidR="00391EF4" w:rsidRPr="007E7514">
        <w:rPr>
          <w:lang w:val="en-GB"/>
        </w:rPr>
        <w:t>was appointed in June 2020</w:t>
      </w:r>
      <w:r w:rsidR="00B920DA" w:rsidRPr="007E7514">
        <w:rPr>
          <w:lang w:val="en-GB"/>
        </w:rPr>
        <w:t xml:space="preserve"> and </w:t>
      </w:r>
      <w:r w:rsidR="00BD1E7C" w:rsidRPr="007E7514">
        <w:rPr>
          <w:lang w:val="en-GB"/>
        </w:rPr>
        <w:t>joined the GEF Secretariat</w:t>
      </w:r>
      <w:r w:rsidR="00640B36" w:rsidRPr="007E7514">
        <w:rPr>
          <w:lang w:val="en-GB"/>
        </w:rPr>
        <w:t xml:space="preserve"> in September 2020, </w:t>
      </w:r>
      <w:r w:rsidRPr="007E7514">
        <w:rPr>
          <w:lang w:val="en-GB"/>
        </w:rPr>
        <w:t xml:space="preserve">met virtually with the Executive Secretary for an introductory call to discuss continued cooperation between the two secretariats. </w:t>
      </w:r>
    </w:p>
    <w:p w14:paraId="7DB04773" w14:textId="5935FD96" w:rsidR="00E3702A" w:rsidRPr="007E7514" w:rsidRDefault="00E3702A" w:rsidP="00B7581D">
      <w:pPr>
        <w:pStyle w:val="MainParagraphwith"/>
        <w:rPr>
          <w:lang w:val="en-GB"/>
        </w:rPr>
      </w:pPr>
      <w:r w:rsidRPr="007E7514">
        <w:rPr>
          <w:lang w:val="en-GB"/>
        </w:rPr>
        <w:t>The Executive Secretary attended the 59</w:t>
      </w:r>
      <w:r w:rsidRPr="007E7514">
        <w:rPr>
          <w:vertAlign w:val="superscript"/>
          <w:lang w:val="en-GB"/>
        </w:rPr>
        <w:t>th</w:t>
      </w:r>
      <w:r w:rsidRPr="007E7514">
        <w:rPr>
          <w:lang w:val="en-GB"/>
        </w:rPr>
        <w:t xml:space="preserve"> GEF Council </w:t>
      </w:r>
      <w:r w:rsidR="00BD1E7C" w:rsidRPr="007E7514">
        <w:rPr>
          <w:lang w:val="en-GB"/>
        </w:rPr>
        <w:t xml:space="preserve">meeting </w:t>
      </w:r>
      <w:r w:rsidRPr="007E7514">
        <w:rPr>
          <w:lang w:val="en-GB"/>
        </w:rPr>
        <w:t xml:space="preserve">in December 2020 and participated in the </w:t>
      </w:r>
      <w:r w:rsidR="00BD1E7C" w:rsidRPr="007E7514">
        <w:rPr>
          <w:lang w:val="en-GB"/>
        </w:rPr>
        <w:t>discussion</w:t>
      </w:r>
      <w:r w:rsidR="00E65693" w:rsidRPr="007E7514">
        <w:rPr>
          <w:lang w:val="en-GB"/>
        </w:rPr>
        <w:t>s</w:t>
      </w:r>
      <w:r w:rsidR="00BD1E7C" w:rsidRPr="007E7514">
        <w:rPr>
          <w:lang w:val="en-GB"/>
        </w:rPr>
        <w:t xml:space="preserve"> on the agenda item on r</w:t>
      </w:r>
      <w:r w:rsidRPr="007E7514">
        <w:rPr>
          <w:lang w:val="en-GB"/>
        </w:rPr>
        <w:t xml:space="preserve">elations with </w:t>
      </w:r>
      <w:r w:rsidR="00BD1E7C" w:rsidRPr="007E7514">
        <w:rPr>
          <w:lang w:val="en-GB"/>
        </w:rPr>
        <w:t>c</w:t>
      </w:r>
      <w:r w:rsidRPr="007E7514">
        <w:rPr>
          <w:lang w:val="en-GB"/>
        </w:rPr>
        <w:t>onventions.</w:t>
      </w:r>
    </w:p>
    <w:p w14:paraId="3B85F9D1" w14:textId="40399EF2" w:rsidR="00504B61" w:rsidRPr="007E7514" w:rsidRDefault="00504B61" w:rsidP="00B7581D">
      <w:pPr>
        <w:pStyle w:val="MainParagraphwith"/>
        <w:rPr>
          <w:lang w:val="en-GB"/>
        </w:rPr>
      </w:pPr>
      <w:r w:rsidRPr="007E7514">
        <w:rPr>
          <w:lang w:val="en-GB"/>
        </w:rPr>
        <w:t xml:space="preserve">The Executive Secretary and the Minamata </w:t>
      </w:r>
      <w:r w:rsidR="00BD1E7C" w:rsidRPr="007E7514">
        <w:rPr>
          <w:lang w:val="en-GB"/>
        </w:rPr>
        <w:t xml:space="preserve">Convention </w:t>
      </w:r>
      <w:r w:rsidRPr="007E7514">
        <w:rPr>
          <w:lang w:val="en-GB"/>
        </w:rPr>
        <w:t xml:space="preserve">Secretariat </w:t>
      </w:r>
      <w:r w:rsidR="00631F31" w:rsidRPr="007E7514">
        <w:rPr>
          <w:lang w:val="en-GB"/>
        </w:rPr>
        <w:t xml:space="preserve">staff </w:t>
      </w:r>
      <w:r w:rsidRPr="007E7514">
        <w:rPr>
          <w:lang w:val="en-GB"/>
        </w:rPr>
        <w:t>visited the GEF Secretariat for technical meetings from February 10 to 14, 2020. During that visit</w:t>
      </w:r>
      <w:r w:rsidR="00BD1E7C" w:rsidRPr="007E7514">
        <w:rPr>
          <w:lang w:val="en-GB"/>
        </w:rPr>
        <w:t>,</w:t>
      </w:r>
      <w:r w:rsidRPr="007E7514">
        <w:rPr>
          <w:lang w:val="en-GB"/>
        </w:rPr>
        <w:t xml:space="preserve"> the Executive Secretary had a meeting with the GEF CEO.</w:t>
      </w:r>
    </w:p>
    <w:p w14:paraId="1974F424" w14:textId="156A44B7" w:rsidR="00E3702A" w:rsidRPr="007E7514" w:rsidRDefault="008C6B9A" w:rsidP="00B7581D">
      <w:pPr>
        <w:pStyle w:val="MainParagraphwith"/>
        <w:rPr>
          <w:lang w:val="en-GB"/>
        </w:rPr>
      </w:pPr>
      <w:r w:rsidRPr="007E7514">
        <w:rPr>
          <w:lang w:val="en-GB"/>
        </w:rPr>
        <w:lastRenderedPageBreak/>
        <w:t>The Executive Secretary and t</w:t>
      </w:r>
      <w:r w:rsidR="00E3702A" w:rsidRPr="007E7514">
        <w:rPr>
          <w:lang w:val="en-GB"/>
        </w:rPr>
        <w:t xml:space="preserve">he Minamata Convention Secretariat </w:t>
      </w:r>
      <w:r w:rsidR="00BD1E7C" w:rsidRPr="007E7514">
        <w:rPr>
          <w:lang w:val="en-GB"/>
        </w:rPr>
        <w:t>staff</w:t>
      </w:r>
      <w:r w:rsidR="00E3702A" w:rsidRPr="007E7514">
        <w:rPr>
          <w:lang w:val="en-GB"/>
        </w:rPr>
        <w:t xml:space="preserve"> participated in the</w:t>
      </w:r>
      <w:r w:rsidR="0033074D" w:rsidRPr="007E7514">
        <w:rPr>
          <w:lang w:val="en-GB"/>
        </w:rPr>
        <w:t xml:space="preserve"> Technical Advisory </w:t>
      </w:r>
      <w:r w:rsidR="00F44C2C" w:rsidRPr="007E7514">
        <w:rPr>
          <w:lang w:val="en-GB"/>
        </w:rPr>
        <w:t>Committee</w:t>
      </w:r>
      <w:r w:rsidR="00E3702A" w:rsidRPr="007E7514">
        <w:rPr>
          <w:lang w:val="en-GB"/>
        </w:rPr>
        <w:t xml:space="preserve"> </w:t>
      </w:r>
      <w:r w:rsidR="00F44C2C" w:rsidRPr="007E7514">
        <w:rPr>
          <w:lang w:val="en-GB"/>
        </w:rPr>
        <w:t>(</w:t>
      </w:r>
      <w:r w:rsidR="00E3702A" w:rsidRPr="007E7514">
        <w:rPr>
          <w:lang w:val="en-GB"/>
        </w:rPr>
        <w:t>TAG</w:t>
      </w:r>
      <w:r w:rsidR="00F44C2C" w:rsidRPr="007E7514">
        <w:rPr>
          <w:lang w:val="en-GB"/>
        </w:rPr>
        <w:t>)</w:t>
      </w:r>
      <w:r w:rsidR="00E3702A" w:rsidRPr="007E7514">
        <w:rPr>
          <w:lang w:val="en-GB"/>
        </w:rPr>
        <w:t xml:space="preserve"> consultations held in February 2021 to </w:t>
      </w:r>
      <w:r w:rsidR="00BD1E7C" w:rsidRPr="007E7514">
        <w:rPr>
          <w:lang w:val="en-GB"/>
        </w:rPr>
        <w:t>initiate</w:t>
      </w:r>
      <w:r w:rsidR="00E3702A" w:rsidRPr="007E7514">
        <w:rPr>
          <w:lang w:val="en-GB"/>
        </w:rPr>
        <w:t xml:space="preserve"> the GEF-8 replenishment process. The Executive Secretary delivered </w:t>
      </w:r>
      <w:r w:rsidR="00BD1E7C" w:rsidRPr="007E7514">
        <w:rPr>
          <w:lang w:val="en-GB"/>
        </w:rPr>
        <w:t xml:space="preserve">her </w:t>
      </w:r>
      <w:r w:rsidR="00E3702A" w:rsidRPr="007E7514">
        <w:rPr>
          <w:lang w:val="en-GB"/>
        </w:rPr>
        <w:t xml:space="preserve">remarks at the opening plenary. The Secretariat </w:t>
      </w:r>
      <w:r w:rsidR="00BD1E7C" w:rsidRPr="007E7514">
        <w:rPr>
          <w:lang w:val="en-GB"/>
        </w:rPr>
        <w:t>staff</w:t>
      </w:r>
      <w:r w:rsidR="00E3702A" w:rsidRPr="007E7514">
        <w:rPr>
          <w:lang w:val="en-GB"/>
        </w:rPr>
        <w:t xml:space="preserve"> participated in several TAG working groups.</w:t>
      </w:r>
    </w:p>
    <w:p w14:paraId="5F8C575A" w14:textId="0FA74FB8" w:rsidR="00DF7240" w:rsidRPr="007E7514" w:rsidRDefault="00E3702A" w:rsidP="00B7581D">
      <w:pPr>
        <w:pStyle w:val="MainParagraphwith"/>
        <w:rPr>
          <w:lang w:val="en-GB"/>
        </w:rPr>
      </w:pPr>
      <w:r w:rsidRPr="007E7514">
        <w:rPr>
          <w:lang w:val="en-GB"/>
        </w:rPr>
        <w:t>The Minamata Convention Secretariat</w:t>
      </w:r>
      <w:r w:rsidR="00BD1E7C" w:rsidRPr="007E7514">
        <w:rPr>
          <w:lang w:val="en-GB"/>
        </w:rPr>
        <w:t xml:space="preserve"> representatives</w:t>
      </w:r>
      <w:r w:rsidRPr="007E7514">
        <w:rPr>
          <w:lang w:val="en-GB"/>
        </w:rPr>
        <w:t>, including the Executive Secretary</w:t>
      </w:r>
      <w:r w:rsidR="00BD1E7C" w:rsidRPr="007E7514">
        <w:rPr>
          <w:lang w:val="en-GB"/>
        </w:rPr>
        <w:t>,</w:t>
      </w:r>
      <w:r w:rsidRPr="007E7514">
        <w:rPr>
          <w:lang w:val="en-GB"/>
        </w:rPr>
        <w:t xml:space="preserve"> participated in a joint coordination meeting of the </w:t>
      </w:r>
      <w:r w:rsidR="00E65693" w:rsidRPr="007E7514">
        <w:rPr>
          <w:lang w:val="en-GB"/>
        </w:rPr>
        <w:t>Basel, Rotterdam and Stockholm (BRS) Conventions</w:t>
      </w:r>
      <w:r w:rsidRPr="007E7514">
        <w:rPr>
          <w:lang w:val="en-GB"/>
        </w:rPr>
        <w:t xml:space="preserve"> Secretariat,</w:t>
      </w:r>
      <w:r w:rsidR="00A456FE" w:rsidRPr="007E7514">
        <w:rPr>
          <w:lang w:val="en-GB"/>
        </w:rPr>
        <w:t xml:space="preserve"> Strategic Approach to International Chemicals Management</w:t>
      </w:r>
      <w:r w:rsidRPr="007E7514">
        <w:rPr>
          <w:lang w:val="en-GB"/>
        </w:rPr>
        <w:t xml:space="preserve"> </w:t>
      </w:r>
      <w:r w:rsidR="00A456FE" w:rsidRPr="007E7514">
        <w:rPr>
          <w:lang w:val="en-GB"/>
        </w:rPr>
        <w:t>(</w:t>
      </w:r>
      <w:r w:rsidRPr="007E7514">
        <w:rPr>
          <w:lang w:val="en-GB"/>
        </w:rPr>
        <w:t>SAICM</w:t>
      </w:r>
      <w:r w:rsidR="00A456FE" w:rsidRPr="007E7514">
        <w:rPr>
          <w:lang w:val="en-GB"/>
        </w:rPr>
        <w:t>)</w:t>
      </w:r>
      <w:r w:rsidRPr="007E7514">
        <w:rPr>
          <w:lang w:val="en-GB"/>
        </w:rPr>
        <w:t xml:space="preserve"> Secretariat and GEF Secretariat</w:t>
      </w:r>
      <w:r w:rsidR="00BD1E7C" w:rsidRPr="007E7514">
        <w:rPr>
          <w:lang w:val="en-GB"/>
        </w:rPr>
        <w:t>,</w:t>
      </w:r>
      <w:r w:rsidRPr="007E7514">
        <w:rPr>
          <w:lang w:val="en-GB"/>
        </w:rPr>
        <w:t xml:space="preserve"> </w:t>
      </w:r>
      <w:r w:rsidR="00BD1E7C" w:rsidRPr="007E7514">
        <w:rPr>
          <w:lang w:val="en-GB"/>
        </w:rPr>
        <w:t>which</w:t>
      </w:r>
      <w:r w:rsidRPr="007E7514">
        <w:rPr>
          <w:lang w:val="en-GB"/>
        </w:rPr>
        <w:t xml:space="preserve"> was held </w:t>
      </w:r>
      <w:r w:rsidR="00BD1E7C" w:rsidRPr="007E7514">
        <w:rPr>
          <w:lang w:val="en-GB"/>
        </w:rPr>
        <w:t>virtually</w:t>
      </w:r>
      <w:r w:rsidRPr="007E7514">
        <w:rPr>
          <w:lang w:val="en-GB"/>
        </w:rPr>
        <w:t xml:space="preserve"> from March 8 to 10, 2021. This meeting included a conversation among the heads of the Secretariats and the GEF CEO on the GEF-8 replenishment</w:t>
      </w:r>
      <w:r w:rsidR="00E57D32" w:rsidRPr="007E7514">
        <w:rPr>
          <w:lang w:val="en-GB"/>
        </w:rPr>
        <w:t>,</w:t>
      </w:r>
      <w:r w:rsidRPr="007E7514">
        <w:rPr>
          <w:lang w:val="en-GB"/>
        </w:rPr>
        <w:t xml:space="preserve"> and chemicals and health.</w:t>
      </w:r>
    </w:p>
    <w:p w14:paraId="1116CE37" w14:textId="31DA66F7" w:rsidR="00DF7240" w:rsidRPr="007E7514" w:rsidRDefault="00714DA3" w:rsidP="00B7581D">
      <w:pPr>
        <w:pStyle w:val="MainParagraphwith"/>
        <w:rPr>
          <w:lang w:val="en-GB"/>
        </w:rPr>
      </w:pPr>
      <w:r w:rsidRPr="007E7514">
        <w:rPr>
          <w:lang w:val="en-GB"/>
        </w:rPr>
        <w:t xml:space="preserve">The Minamata Convention Secretariat </w:t>
      </w:r>
      <w:r w:rsidR="00BD1E7C" w:rsidRPr="007E7514">
        <w:rPr>
          <w:lang w:val="en-GB"/>
        </w:rPr>
        <w:t xml:space="preserve">representatives </w:t>
      </w:r>
      <w:r w:rsidR="00BF0ACE" w:rsidRPr="007E7514">
        <w:rPr>
          <w:lang w:val="en-GB"/>
        </w:rPr>
        <w:t xml:space="preserve">attended the </w:t>
      </w:r>
      <w:r w:rsidR="000E36D7" w:rsidRPr="007E7514">
        <w:rPr>
          <w:lang w:val="en-GB"/>
        </w:rPr>
        <w:t>first meeting of the</w:t>
      </w:r>
      <w:r w:rsidRPr="007E7514">
        <w:rPr>
          <w:lang w:val="en-GB"/>
        </w:rPr>
        <w:t xml:space="preserve"> </w:t>
      </w:r>
      <w:r w:rsidR="002B5D5C" w:rsidRPr="007E7514">
        <w:rPr>
          <w:lang w:val="en-GB"/>
        </w:rPr>
        <w:t>GEF-8</w:t>
      </w:r>
      <w:r w:rsidR="00BD1E7C" w:rsidRPr="007E7514">
        <w:rPr>
          <w:lang w:val="en-GB"/>
        </w:rPr>
        <w:t xml:space="preserve"> replenishment</w:t>
      </w:r>
      <w:r w:rsidR="00AF7615" w:rsidRPr="007E7514">
        <w:rPr>
          <w:lang w:val="en-GB"/>
        </w:rPr>
        <w:t>,</w:t>
      </w:r>
      <w:r w:rsidR="000E36D7" w:rsidRPr="007E7514">
        <w:rPr>
          <w:lang w:val="en-GB"/>
        </w:rPr>
        <w:t xml:space="preserve"> which took place virtually </w:t>
      </w:r>
      <w:r w:rsidR="00BD1E7C" w:rsidRPr="007E7514">
        <w:rPr>
          <w:lang w:val="en-GB"/>
        </w:rPr>
        <w:t xml:space="preserve">on </w:t>
      </w:r>
      <w:r w:rsidR="000E36D7" w:rsidRPr="007E7514">
        <w:rPr>
          <w:lang w:val="en-GB"/>
        </w:rPr>
        <w:t>April 22-23, 2021.</w:t>
      </w:r>
    </w:p>
    <w:p w14:paraId="5F7E9E46" w14:textId="422A6684" w:rsidR="00867A6F" w:rsidRPr="007E7514" w:rsidRDefault="00867A6F" w:rsidP="00B7581D">
      <w:pPr>
        <w:pStyle w:val="MainParagraphwith"/>
        <w:rPr>
          <w:lang w:val="en-GB"/>
        </w:rPr>
      </w:pPr>
      <w:r w:rsidRPr="007E7514">
        <w:rPr>
          <w:lang w:val="en-GB"/>
        </w:rPr>
        <w:t xml:space="preserve">The </w:t>
      </w:r>
      <w:r w:rsidR="00BD1E7C" w:rsidRPr="007E7514">
        <w:rPr>
          <w:lang w:val="en-GB"/>
        </w:rPr>
        <w:t>t</w:t>
      </w:r>
      <w:r w:rsidRPr="007E7514">
        <w:rPr>
          <w:lang w:val="en-GB"/>
        </w:rPr>
        <w:t xml:space="preserve">hird </w:t>
      </w:r>
      <w:r w:rsidR="00BD1E7C" w:rsidRPr="007E7514">
        <w:rPr>
          <w:lang w:val="en-GB"/>
        </w:rPr>
        <w:t>r</w:t>
      </w:r>
      <w:r w:rsidRPr="007E7514">
        <w:rPr>
          <w:lang w:val="en-GB"/>
        </w:rPr>
        <w:t xml:space="preserve">ound of applications to the </w:t>
      </w:r>
      <w:r w:rsidR="00050559" w:rsidRPr="007E7514">
        <w:rPr>
          <w:lang w:val="en-GB"/>
        </w:rPr>
        <w:t xml:space="preserve">SIP </w:t>
      </w:r>
      <w:r w:rsidRPr="007E7514">
        <w:rPr>
          <w:lang w:val="en-GB"/>
        </w:rPr>
        <w:t>opened on December</w:t>
      </w:r>
      <w:r w:rsidR="00C02166" w:rsidRPr="007E7514">
        <w:rPr>
          <w:lang w:val="en-GB"/>
        </w:rPr>
        <w:t xml:space="preserve"> 15,</w:t>
      </w:r>
      <w:r w:rsidRPr="007E7514">
        <w:rPr>
          <w:lang w:val="en-GB"/>
        </w:rPr>
        <w:t xml:space="preserve"> 2020 and closed on March</w:t>
      </w:r>
      <w:r w:rsidR="00C02166" w:rsidRPr="007E7514">
        <w:rPr>
          <w:lang w:val="en-GB"/>
        </w:rPr>
        <w:t xml:space="preserve"> 18,</w:t>
      </w:r>
      <w:r w:rsidRPr="007E7514">
        <w:rPr>
          <w:lang w:val="en-GB"/>
        </w:rPr>
        <w:t xml:space="preserve"> 2021. The GEF Secretariat reviewed and provided comments on the 24 complete projects that were received</w:t>
      </w:r>
      <w:r w:rsidR="007B275C" w:rsidRPr="007E7514">
        <w:rPr>
          <w:lang w:val="en-GB"/>
        </w:rPr>
        <w:t xml:space="preserve"> from Parties</w:t>
      </w:r>
      <w:r w:rsidRPr="007E7514">
        <w:rPr>
          <w:lang w:val="en-GB"/>
        </w:rPr>
        <w:t>.</w:t>
      </w:r>
    </w:p>
    <w:p w14:paraId="493BDFD6" w14:textId="28DACE30" w:rsidR="008A44E6" w:rsidRPr="007E7514" w:rsidRDefault="00504B61" w:rsidP="00B7581D">
      <w:pPr>
        <w:pStyle w:val="MainParagraphwith"/>
        <w:rPr>
          <w:lang w:val="en-GB"/>
        </w:rPr>
      </w:pPr>
      <w:r w:rsidRPr="007E7514">
        <w:rPr>
          <w:lang w:val="en-GB"/>
        </w:rPr>
        <w:t>The Executive Secretary attended the 60</w:t>
      </w:r>
      <w:r w:rsidRPr="007E7514">
        <w:rPr>
          <w:vertAlign w:val="superscript"/>
          <w:lang w:val="en-GB"/>
        </w:rPr>
        <w:t>th</w:t>
      </w:r>
      <w:r w:rsidRPr="007E7514">
        <w:rPr>
          <w:lang w:val="en-GB"/>
        </w:rPr>
        <w:t xml:space="preserve"> meeting of the GEF Council in June 2021. </w:t>
      </w:r>
      <w:r w:rsidR="00BD1E7C" w:rsidRPr="007E7514">
        <w:rPr>
          <w:lang w:val="en-GB"/>
        </w:rPr>
        <w:t xml:space="preserve">She </w:t>
      </w:r>
      <w:r w:rsidRPr="007E7514">
        <w:rPr>
          <w:lang w:val="en-GB"/>
        </w:rPr>
        <w:t xml:space="preserve">provided </w:t>
      </w:r>
      <w:r w:rsidR="00BD1E7C" w:rsidRPr="007E7514">
        <w:rPr>
          <w:lang w:val="en-GB"/>
        </w:rPr>
        <w:t xml:space="preserve">the Council </w:t>
      </w:r>
      <w:r w:rsidRPr="007E7514">
        <w:rPr>
          <w:lang w:val="en-GB"/>
        </w:rPr>
        <w:t xml:space="preserve">with updates for COP 4 during the </w:t>
      </w:r>
      <w:r w:rsidR="0061442E" w:rsidRPr="007E7514">
        <w:rPr>
          <w:lang w:val="en-GB"/>
        </w:rPr>
        <w:t>Executive Secretaries session</w:t>
      </w:r>
      <w:r w:rsidRPr="007E7514">
        <w:rPr>
          <w:lang w:val="en-GB"/>
        </w:rPr>
        <w:t xml:space="preserve">, part of the </w:t>
      </w:r>
      <w:r w:rsidR="00E65693" w:rsidRPr="007E7514">
        <w:rPr>
          <w:lang w:val="en-GB"/>
        </w:rPr>
        <w:t xml:space="preserve">Council meeting </w:t>
      </w:r>
      <w:r w:rsidR="0061442E" w:rsidRPr="007E7514">
        <w:rPr>
          <w:lang w:val="en-GB"/>
        </w:rPr>
        <w:t>agenda item</w:t>
      </w:r>
      <w:r w:rsidRPr="007E7514">
        <w:rPr>
          <w:lang w:val="en-GB"/>
        </w:rPr>
        <w:t xml:space="preserve"> on relations with </w:t>
      </w:r>
      <w:r w:rsidR="00E65693" w:rsidRPr="007E7514">
        <w:rPr>
          <w:lang w:val="en-GB"/>
        </w:rPr>
        <w:t>c</w:t>
      </w:r>
      <w:r w:rsidRPr="007E7514">
        <w:rPr>
          <w:lang w:val="en-GB"/>
        </w:rPr>
        <w:t>onventions</w:t>
      </w:r>
      <w:r w:rsidR="008A44E6" w:rsidRPr="007E7514">
        <w:rPr>
          <w:lang w:val="en-GB"/>
        </w:rPr>
        <w:t>.</w:t>
      </w:r>
    </w:p>
    <w:p w14:paraId="41A42467" w14:textId="6D24D9A2" w:rsidR="008A44E6" w:rsidRPr="007E7514" w:rsidRDefault="008A44E6" w:rsidP="00B7581D">
      <w:pPr>
        <w:pStyle w:val="MainParagraphwith"/>
        <w:rPr>
          <w:lang w:val="en-GB"/>
        </w:rPr>
      </w:pPr>
      <w:r w:rsidRPr="007E7514">
        <w:rPr>
          <w:lang w:val="en-GB"/>
        </w:rPr>
        <w:t xml:space="preserve">The GEF routinely organizes chemicals and waste focal area task force meetings. The meeting participants include the representatives from the GEF Agencies, the Scientific and Technical Advisory Panel (STAP) of the GEF, the Secretariat of the BRS Conventions, the Secretariat of the Minamata Convention and the SAICM Secretariat. In the reporting period, meetings were held in November 2019, May 2020, January 2021 and May 2021 to discuss GEF-7 programming and share information on project concepts and their statuses. </w:t>
      </w:r>
    </w:p>
    <w:p w14:paraId="77391FEF" w14:textId="1AB80334" w:rsidR="00376080" w:rsidRPr="007E7514" w:rsidRDefault="00376080" w:rsidP="005D7C1E">
      <w:pPr>
        <w:pStyle w:val="Heading1"/>
        <w:rPr>
          <w:sz w:val="24"/>
          <w:szCs w:val="24"/>
          <w:lang w:val="en-GB"/>
        </w:rPr>
      </w:pPr>
      <w:bookmarkStart w:id="55" w:name="_Toc76405376"/>
      <w:r w:rsidRPr="007E7514">
        <w:rPr>
          <w:sz w:val="24"/>
          <w:szCs w:val="24"/>
          <w:lang w:val="en-GB"/>
        </w:rPr>
        <w:t>Part II: Other GEF Activities Related to the Minamata Convention</w:t>
      </w:r>
      <w:bookmarkEnd w:id="55"/>
    </w:p>
    <w:p w14:paraId="1F8CD055" w14:textId="77777777" w:rsidR="00F633D7" w:rsidRPr="007E7514" w:rsidRDefault="00F633D7" w:rsidP="00D05424">
      <w:pPr>
        <w:rPr>
          <w:rFonts w:asciiTheme="minorHAnsi" w:hAnsiTheme="minorHAnsi"/>
          <w:lang w:val="en-GB"/>
        </w:rPr>
      </w:pPr>
    </w:p>
    <w:p w14:paraId="78211029" w14:textId="16502111" w:rsidR="0000292F" w:rsidRPr="007E7514" w:rsidRDefault="00B70105" w:rsidP="002D4A77">
      <w:pPr>
        <w:pStyle w:val="Heading2"/>
        <w:numPr>
          <w:ilvl w:val="0"/>
          <w:numId w:val="32"/>
        </w:numPr>
        <w:rPr>
          <w:lang w:val="en-GB"/>
        </w:rPr>
      </w:pPr>
      <w:bookmarkStart w:id="56" w:name="_Toc76405377"/>
      <w:r w:rsidRPr="007E7514">
        <w:rPr>
          <w:lang w:val="en-GB"/>
        </w:rPr>
        <w:t xml:space="preserve">Chemicals and Waste Portfolio in </w:t>
      </w:r>
      <w:r w:rsidR="0052328C" w:rsidRPr="007E7514">
        <w:rPr>
          <w:lang w:val="en-GB"/>
        </w:rPr>
        <w:t xml:space="preserve">the </w:t>
      </w:r>
      <w:r w:rsidRPr="007E7514">
        <w:rPr>
          <w:lang w:val="en-GB"/>
        </w:rPr>
        <w:t>Small Grants Programme</w:t>
      </w:r>
      <w:bookmarkEnd w:id="56"/>
      <w:r w:rsidRPr="007E7514">
        <w:rPr>
          <w:lang w:val="en-GB"/>
        </w:rPr>
        <w:t xml:space="preserve"> </w:t>
      </w:r>
    </w:p>
    <w:p w14:paraId="056E264F" w14:textId="19C61276" w:rsidR="005B1BE3" w:rsidRPr="007E7514" w:rsidRDefault="005B1BE3" w:rsidP="00B7581D">
      <w:pPr>
        <w:pStyle w:val="MainParagraphwith"/>
        <w:rPr>
          <w:lang w:val="en-GB"/>
        </w:rPr>
      </w:pPr>
      <w:bookmarkStart w:id="57" w:name="_bookmark18"/>
      <w:bookmarkEnd w:id="57"/>
      <w:r w:rsidRPr="007E7514">
        <w:rPr>
          <w:lang w:val="en-GB"/>
        </w:rPr>
        <w:t>The GEF Small Grants Programme (SGP), implemented by UNDP, promotes the implementation of the Minamata Convention at the local and community level</w:t>
      </w:r>
      <w:r w:rsidR="0009448F" w:rsidRPr="007E7514">
        <w:rPr>
          <w:lang w:val="en-GB"/>
        </w:rPr>
        <w:t>s</w:t>
      </w:r>
      <w:r w:rsidRPr="007E7514">
        <w:rPr>
          <w:lang w:val="en-GB"/>
        </w:rPr>
        <w:t xml:space="preserve"> by providing financial and technical support to civil society organizations </w:t>
      </w:r>
      <w:r w:rsidR="0009448F" w:rsidRPr="007E7514">
        <w:rPr>
          <w:lang w:val="en-GB"/>
        </w:rPr>
        <w:t xml:space="preserve">(CSOs) </w:t>
      </w:r>
      <w:r w:rsidRPr="007E7514">
        <w:rPr>
          <w:lang w:val="en-GB"/>
        </w:rPr>
        <w:t xml:space="preserve">in addressing mercury management. </w:t>
      </w:r>
      <w:r w:rsidR="0009448F" w:rsidRPr="007E7514">
        <w:rPr>
          <w:lang w:val="en-GB"/>
        </w:rPr>
        <w:t xml:space="preserve">The </w:t>
      </w:r>
      <w:r w:rsidRPr="007E7514">
        <w:rPr>
          <w:lang w:val="en-GB"/>
        </w:rPr>
        <w:t xml:space="preserve">SGP tests and pilots community-based approaches to the prevention, reduction, and elimination of mercury use in ASGM, and promotes safe collection and disposal of mercury-containing products and waste, such as health care and electronic waste. </w:t>
      </w:r>
    </w:p>
    <w:p w14:paraId="6DC058D9" w14:textId="0578FE80" w:rsidR="005B1BE3" w:rsidRPr="007E7514" w:rsidRDefault="005B1BE3" w:rsidP="00B7581D">
      <w:pPr>
        <w:pStyle w:val="MainParagraphwith"/>
        <w:rPr>
          <w:lang w:val="en-GB"/>
        </w:rPr>
      </w:pPr>
      <w:r w:rsidRPr="007E7514">
        <w:rPr>
          <w:lang w:val="en-GB"/>
        </w:rPr>
        <w:t xml:space="preserve"> </w:t>
      </w:r>
      <w:r w:rsidR="00CF5169" w:rsidRPr="007E7514">
        <w:rPr>
          <w:lang w:val="en-GB"/>
        </w:rPr>
        <w:t>The SGP</w:t>
      </w:r>
      <w:r w:rsidR="0009448F" w:rsidRPr="007E7514">
        <w:rPr>
          <w:lang w:val="en-GB"/>
        </w:rPr>
        <w:t xml:space="preserve"> </w:t>
      </w:r>
      <w:r w:rsidRPr="007E7514">
        <w:rPr>
          <w:lang w:val="en-GB"/>
        </w:rPr>
        <w:t xml:space="preserve">provides grants of up to $50,000 (and on average $25,000) directly to </w:t>
      </w:r>
      <w:r w:rsidR="0009448F" w:rsidRPr="007E7514">
        <w:rPr>
          <w:lang w:val="en-GB"/>
        </w:rPr>
        <w:t>CSOs</w:t>
      </w:r>
      <w:r w:rsidRPr="007E7514">
        <w:rPr>
          <w:lang w:val="en-GB"/>
        </w:rPr>
        <w:t xml:space="preserve"> and community-based organizations </w:t>
      </w:r>
      <w:r w:rsidR="0009448F" w:rsidRPr="007E7514">
        <w:rPr>
          <w:lang w:val="en-GB"/>
        </w:rPr>
        <w:t xml:space="preserve">(CBOs) </w:t>
      </w:r>
      <w:r w:rsidRPr="007E7514">
        <w:rPr>
          <w:lang w:val="en-GB"/>
        </w:rPr>
        <w:t xml:space="preserve">to undertake </w:t>
      </w:r>
      <w:r w:rsidR="0009448F" w:rsidRPr="007E7514">
        <w:rPr>
          <w:lang w:val="en-GB"/>
        </w:rPr>
        <w:t>GEB</w:t>
      </w:r>
      <w:r w:rsidRPr="007E7514">
        <w:rPr>
          <w:lang w:val="en-GB"/>
        </w:rPr>
        <w:t xml:space="preserve"> projects. Since its inception, the SGP </w:t>
      </w:r>
      <w:r w:rsidR="0009448F" w:rsidRPr="007E7514">
        <w:rPr>
          <w:lang w:val="en-GB"/>
        </w:rPr>
        <w:t xml:space="preserve">has </w:t>
      </w:r>
      <w:r w:rsidRPr="007E7514">
        <w:rPr>
          <w:lang w:val="en-GB"/>
        </w:rPr>
        <w:t>supported more than 25,000 projects implemented by civil society groups in 135 countries (</w:t>
      </w:r>
      <w:r w:rsidR="0009448F" w:rsidRPr="007E7514">
        <w:rPr>
          <w:lang w:val="en-GB"/>
        </w:rPr>
        <w:t>of which</w:t>
      </w:r>
      <w:r w:rsidRPr="007E7514">
        <w:rPr>
          <w:lang w:val="en-GB"/>
        </w:rPr>
        <w:t xml:space="preserve"> 127 </w:t>
      </w:r>
      <w:r w:rsidR="0009448F" w:rsidRPr="007E7514">
        <w:rPr>
          <w:lang w:val="en-GB"/>
        </w:rPr>
        <w:t>are</w:t>
      </w:r>
      <w:r w:rsidRPr="007E7514">
        <w:rPr>
          <w:lang w:val="en-GB"/>
        </w:rPr>
        <w:t xml:space="preserve"> </w:t>
      </w:r>
      <w:r w:rsidR="0009448F" w:rsidRPr="007E7514">
        <w:rPr>
          <w:lang w:val="en-GB"/>
        </w:rPr>
        <w:t xml:space="preserve">having SGP </w:t>
      </w:r>
      <w:r w:rsidR="00D37192" w:rsidRPr="007E7514">
        <w:rPr>
          <w:lang w:val="en-GB"/>
        </w:rPr>
        <w:t>projects as</w:t>
      </w:r>
      <w:r w:rsidR="0009448F" w:rsidRPr="007E7514">
        <w:rPr>
          <w:lang w:val="en-GB"/>
        </w:rPr>
        <w:t xml:space="preserve"> at June 30, 2021</w:t>
      </w:r>
      <w:r w:rsidRPr="007E7514">
        <w:rPr>
          <w:lang w:val="en-GB"/>
        </w:rPr>
        <w:t xml:space="preserve">), across all GEF focal areas. </w:t>
      </w:r>
      <w:r w:rsidR="00A14BC4" w:rsidRPr="007E7514">
        <w:rPr>
          <w:lang w:val="en-GB"/>
        </w:rPr>
        <w:t>T</w:t>
      </w:r>
      <w:r w:rsidR="006E1DFC" w:rsidRPr="007E7514">
        <w:rPr>
          <w:lang w:val="en-GB"/>
        </w:rPr>
        <w:t xml:space="preserve">he </w:t>
      </w:r>
      <w:r w:rsidRPr="007E7514">
        <w:rPr>
          <w:lang w:val="en-GB"/>
        </w:rPr>
        <w:t xml:space="preserve">SGP </w:t>
      </w:r>
      <w:r w:rsidRPr="007E7514">
        <w:rPr>
          <w:lang w:val="en-GB"/>
        </w:rPr>
        <w:lastRenderedPageBreak/>
        <w:t xml:space="preserve">has </w:t>
      </w:r>
      <w:r w:rsidR="00DF48B5" w:rsidRPr="007E7514">
        <w:rPr>
          <w:lang w:val="en-GB"/>
        </w:rPr>
        <w:t>cumulatively</w:t>
      </w:r>
      <w:r w:rsidRPr="007E7514">
        <w:rPr>
          <w:lang w:val="en-GB"/>
        </w:rPr>
        <w:t xml:space="preserve"> supported 886 projects related to chemical</w:t>
      </w:r>
      <w:r w:rsidR="006E1DFC" w:rsidRPr="007E7514">
        <w:rPr>
          <w:lang w:val="en-GB"/>
        </w:rPr>
        <w:t>s</w:t>
      </w:r>
      <w:r w:rsidRPr="007E7514">
        <w:rPr>
          <w:lang w:val="en-GB"/>
        </w:rPr>
        <w:t xml:space="preserve"> and waste, </w:t>
      </w:r>
      <w:proofErr w:type="spellStart"/>
      <w:r w:rsidRPr="007E7514">
        <w:rPr>
          <w:lang w:val="en-GB"/>
        </w:rPr>
        <w:t>totaling</w:t>
      </w:r>
      <w:proofErr w:type="spellEnd"/>
      <w:r w:rsidRPr="007E7514">
        <w:rPr>
          <w:lang w:val="en-GB"/>
        </w:rPr>
        <w:t xml:space="preserve"> over $26 million. While the portfolio on chemicals and waste, including mercury management</w:t>
      </w:r>
      <w:r w:rsidR="006E1DFC" w:rsidRPr="007E7514">
        <w:rPr>
          <w:lang w:val="en-GB"/>
        </w:rPr>
        <w:t>,</w:t>
      </w:r>
      <w:r w:rsidRPr="007E7514">
        <w:rPr>
          <w:lang w:val="en-GB"/>
        </w:rPr>
        <w:t xml:space="preserve"> is still small compared to others, it is a growing area of </w:t>
      </w:r>
      <w:r w:rsidR="006E1DFC" w:rsidRPr="007E7514">
        <w:rPr>
          <w:lang w:val="en-GB"/>
        </w:rPr>
        <w:t>interest</w:t>
      </w:r>
      <w:r w:rsidRPr="007E7514">
        <w:rPr>
          <w:lang w:val="en-GB"/>
        </w:rPr>
        <w:t xml:space="preserve"> by many countries and partners. However, community demand for mercury management projects is still low in comparison with </w:t>
      </w:r>
      <w:r w:rsidR="006E1DFC" w:rsidRPr="007E7514">
        <w:rPr>
          <w:lang w:val="en-GB"/>
        </w:rPr>
        <w:t xml:space="preserve">management of </w:t>
      </w:r>
      <w:r w:rsidRPr="007E7514">
        <w:rPr>
          <w:lang w:val="en-GB"/>
        </w:rPr>
        <w:t xml:space="preserve">other chemicals and waste, particularly plastic. </w:t>
      </w:r>
    </w:p>
    <w:p w14:paraId="071D66DC" w14:textId="2F0B0176" w:rsidR="005B1BE3" w:rsidRPr="007E7514" w:rsidRDefault="006E1DFC" w:rsidP="00B7581D">
      <w:pPr>
        <w:pStyle w:val="MainParagraphwith"/>
        <w:rPr>
          <w:lang w:val="en-GB"/>
        </w:rPr>
      </w:pPr>
      <w:r w:rsidRPr="007E7514">
        <w:rPr>
          <w:lang w:val="en-GB"/>
        </w:rPr>
        <w:t>In</w:t>
      </w:r>
      <w:r w:rsidR="005B1BE3" w:rsidRPr="007E7514">
        <w:rPr>
          <w:lang w:val="en-GB"/>
        </w:rPr>
        <w:t xml:space="preserve"> the reporting period, the second phase of GEF-7 SGP was approved ($64 million) with a component on chemical</w:t>
      </w:r>
      <w:r w:rsidRPr="007E7514">
        <w:rPr>
          <w:lang w:val="en-GB"/>
        </w:rPr>
        <w:t>s</w:t>
      </w:r>
      <w:r w:rsidR="005B1BE3" w:rsidRPr="007E7514">
        <w:rPr>
          <w:lang w:val="en-GB"/>
        </w:rPr>
        <w:t xml:space="preserve"> and waste management of $5.8 million. In GEF-7, </w:t>
      </w:r>
      <w:r w:rsidRPr="007E7514">
        <w:rPr>
          <w:lang w:val="en-GB"/>
        </w:rPr>
        <w:t xml:space="preserve">the </w:t>
      </w:r>
      <w:r w:rsidR="005B1BE3" w:rsidRPr="007E7514">
        <w:rPr>
          <w:lang w:val="en-GB"/>
        </w:rPr>
        <w:t>SGP plans to provide at least $11.7 million to support chemicals and waste projects, including those addressing the Minamata Convention</w:t>
      </w:r>
      <w:r w:rsidRPr="007E7514">
        <w:rPr>
          <w:lang w:val="en-GB"/>
        </w:rPr>
        <w:t>.</w:t>
      </w:r>
      <w:r w:rsidR="005B1BE3" w:rsidRPr="007E7514">
        <w:rPr>
          <w:lang w:val="en-GB"/>
        </w:rPr>
        <w:t xml:space="preserve"> </w:t>
      </w:r>
    </w:p>
    <w:p w14:paraId="6AB1FC9C" w14:textId="7EBBFC77" w:rsidR="001978AA" w:rsidRPr="007E7514" w:rsidRDefault="006E1DFC" w:rsidP="00B7581D">
      <w:pPr>
        <w:pStyle w:val="MainParagraphwith"/>
        <w:rPr>
          <w:lang w:val="en-GB"/>
        </w:rPr>
      </w:pPr>
      <w:r w:rsidRPr="007E7514">
        <w:rPr>
          <w:lang w:val="en-GB"/>
        </w:rPr>
        <w:t>In</w:t>
      </w:r>
      <w:r w:rsidR="005B1BE3" w:rsidRPr="007E7514">
        <w:rPr>
          <w:lang w:val="en-GB"/>
        </w:rPr>
        <w:t xml:space="preserve"> the reporting period, </w:t>
      </w:r>
      <w:r w:rsidRPr="007E7514">
        <w:rPr>
          <w:lang w:val="en-GB"/>
        </w:rPr>
        <w:t xml:space="preserve">the </w:t>
      </w:r>
      <w:r w:rsidR="005B1BE3" w:rsidRPr="007E7514">
        <w:rPr>
          <w:lang w:val="en-GB"/>
        </w:rPr>
        <w:t xml:space="preserve">SGP has supported 19 projects on mercury management with a total of $701,500 </w:t>
      </w:r>
      <w:r w:rsidRPr="007E7514">
        <w:rPr>
          <w:lang w:val="en-GB"/>
        </w:rPr>
        <w:t xml:space="preserve">of </w:t>
      </w:r>
      <w:r w:rsidR="005B1BE3" w:rsidRPr="007E7514">
        <w:rPr>
          <w:lang w:val="en-GB"/>
        </w:rPr>
        <w:t xml:space="preserve">GEF funding, having generated $598,000 </w:t>
      </w:r>
      <w:r w:rsidR="00585A9E" w:rsidRPr="007E7514">
        <w:rPr>
          <w:lang w:val="en-GB"/>
        </w:rPr>
        <w:t xml:space="preserve">in </w:t>
      </w:r>
      <w:r w:rsidR="005B1BE3" w:rsidRPr="007E7514">
        <w:rPr>
          <w:lang w:val="en-GB"/>
        </w:rPr>
        <w:t xml:space="preserve">co-financing. Annex 2 </w:t>
      </w:r>
      <w:r w:rsidR="00D308C6" w:rsidRPr="007E7514">
        <w:rPr>
          <w:lang w:val="en-GB"/>
        </w:rPr>
        <w:t>presents</w:t>
      </w:r>
      <w:r w:rsidR="005B1BE3" w:rsidRPr="007E7514">
        <w:rPr>
          <w:lang w:val="en-GB"/>
        </w:rPr>
        <w:t xml:space="preserve"> the list of </w:t>
      </w:r>
      <w:r w:rsidR="00D308C6" w:rsidRPr="007E7514">
        <w:rPr>
          <w:lang w:val="en-GB"/>
        </w:rPr>
        <w:t xml:space="preserve">these </w:t>
      </w:r>
      <w:r w:rsidR="005B1BE3" w:rsidRPr="007E7514">
        <w:rPr>
          <w:lang w:val="en-GB"/>
        </w:rPr>
        <w:t xml:space="preserve">projects. An innovation program on ASGM is implemented by </w:t>
      </w:r>
      <w:r w:rsidR="00585A9E" w:rsidRPr="007E7514">
        <w:rPr>
          <w:lang w:val="en-GB"/>
        </w:rPr>
        <w:t xml:space="preserve">the </w:t>
      </w:r>
      <w:r w:rsidR="005B1BE3" w:rsidRPr="007E7514">
        <w:rPr>
          <w:lang w:val="en-GB"/>
        </w:rPr>
        <w:t xml:space="preserve">SGP to support activities addressing mercury use and contamination in the ASGM sector in Antigua </w:t>
      </w:r>
      <w:r w:rsidR="00585A9E" w:rsidRPr="007E7514">
        <w:rPr>
          <w:lang w:val="en-GB"/>
        </w:rPr>
        <w:t>and</w:t>
      </w:r>
      <w:r w:rsidR="005B1BE3" w:rsidRPr="007E7514">
        <w:rPr>
          <w:lang w:val="en-GB"/>
        </w:rPr>
        <w:t xml:space="preserve"> Barbuda, Burkina Faso, Ghana, </w:t>
      </w:r>
      <w:r w:rsidR="00585A9E" w:rsidRPr="007E7514">
        <w:rPr>
          <w:lang w:val="en-GB"/>
        </w:rPr>
        <w:t xml:space="preserve">Guinea, </w:t>
      </w:r>
      <w:r w:rsidR="005B1BE3" w:rsidRPr="007E7514">
        <w:rPr>
          <w:lang w:val="en-GB"/>
        </w:rPr>
        <w:t>Guyana, Lao P</w:t>
      </w:r>
      <w:r w:rsidR="002D5DE6" w:rsidRPr="007E7514">
        <w:rPr>
          <w:lang w:val="en-GB"/>
        </w:rPr>
        <w:t xml:space="preserve">eople’s </w:t>
      </w:r>
      <w:r w:rsidR="005B1BE3" w:rsidRPr="007E7514">
        <w:rPr>
          <w:lang w:val="en-GB"/>
        </w:rPr>
        <w:t>D</w:t>
      </w:r>
      <w:r w:rsidR="002D5DE6" w:rsidRPr="007E7514">
        <w:rPr>
          <w:lang w:val="en-GB"/>
        </w:rPr>
        <w:t xml:space="preserve">emocratic </w:t>
      </w:r>
      <w:r w:rsidR="005B1BE3" w:rsidRPr="007E7514">
        <w:rPr>
          <w:lang w:val="en-GB"/>
        </w:rPr>
        <w:t>R</w:t>
      </w:r>
      <w:r w:rsidR="002D5DE6" w:rsidRPr="007E7514">
        <w:rPr>
          <w:lang w:val="en-GB"/>
        </w:rPr>
        <w:t>epublic</w:t>
      </w:r>
      <w:r w:rsidR="005B1BE3" w:rsidRPr="007E7514">
        <w:rPr>
          <w:lang w:val="en-GB"/>
        </w:rPr>
        <w:t xml:space="preserve">, Liberia, Mali, Mongolia, Uganda and Zimbabwe. Each country program had received a top-up grant of $200,000 to address </w:t>
      </w:r>
      <w:r w:rsidR="00585A9E" w:rsidRPr="007E7514">
        <w:rPr>
          <w:lang w:val="en-GB"/>
        </w:rPr>
        <w:t>matters</w:t>
      </w:r>
      <w:r w:rsidR="005B1BE3" w:rsidRPr="007E7514">
        <w:rPr>
          <w:lang w:val="en-GB"/>
        </w:rPr>
        <w:t xml:space="preserve"> related to ASGM at the community level. This program is expected to boost local capacity for mercury management in </w:t>
      </w:r>
      <w:r w:rsidR="00585A9E" w:rsidRPr="007E7514">
        <w:rPr>
          <w:lang w:val="en-GB"/>
        </w:rPr>
        <w:t xml:space="preserve">the </w:t>
      </w:r>
      <w:r w:rsidR="005B1BE3" w:rsidRPr="007E7514">
        <w:rPr>
          <w:lang w:val="en-GB"/>
        </w:rPr>
        <w:t xml:space="preserve">ASGM sector. </w:t>
      </w:r>
      <w:r w:rsidR="00585A9E" w:rsidRPr="007E7514">
        <w:rPr>
          <w:lang w:val="en-GB"/>
        </w:rPr>
        <w:t>Furthermore, a</w:t>
      </w:r>
      <w:r w:rsidR="005B1BE3" w:rsidRPr="007E7514">
        <w:rPr>
          <w:lang w:val="en-GB"/>
        </w:rPr>
        <w:t xml:space="preserve"> global project executed by </w:t>
      </w:r>
      <w:r w:rsidR="00585A9E" w:rsidRPr="007E7514">
        <w:rPr>
          <w:lang w:val="en-GB"/>
        </w:rPr>
        <w:t xml:space="preserve">the </w:t>
      </w:r>
      <w:r w:rsidR="005B1BE3" w:rsidRPr="007E7514">
        <w:rPr>
          <w:lang w:val="en-GB"/>
        </w:rPr>
        <w:t xml:space="preserve">European Environment Bureau’s Zero Mercury Working Group was successfully closed in 2020, having conducted targeted trainings </w:t>
      </w:r>
      <w:r w:rsidR="00F96B88" w:rsidRPr="007E7514">
        <w:rPr>
          <w:lang w:val="en-GB"/>
        </w:rPr>
        <w:t>on the implementation of the Minamata Convention for more than 100</w:t>
      </w:r>
      <w:r w:rsidR="005B1BE3" w:rsidRPr="007E7514">
        <w:rPr>
          <w:lang w:val="en-GB"/>
        </w:rPr>
        <w:t xml:space="preserve"> SGP national coordinators </w:t>
      </w:r>
      <w:r w:rsidR="00585A9E" w:rsidRPr="007E7514">
        <w:rPr>
          <w:lang w:val="en-GB"/>
        </w:rPr>
        <w:t xml:space="preserve">from </w:t>
      </w:r>
      <w:r w:rsidR="00E54317" w:rsidRPr="007E7514">
        <w:rPr>
          <w:lang w:val="en-GB"/>
        </w:rPr>
        <w:t>CSOs</w:t>
      </w:r>
      <w:r w:rsidR="005B1BE3" w:rsidRPr="007E7514">
        <w:rPr>
          <w:lang w:val="en-GB"/>
        </w:rPr>
        <w:t>.</w:t>
      </w:r>
      <w:r w:rsidR="00A009EB" w:rsidRPr="007E7514">
        <w:rPr>
          <w:lang w:val="en-GB"/>
        </w:rPr>
        <w:t xml:space="preserve"> </w:t>
      </w:r>
    </w:p>
    <w:p w14:paraId="589B92B6" w14:textId="7547E3C6" w:rsidR="002013D8" w:rsidRPr="007E7514" w:rsidRDefault="002013D8" w:rsidP="002D4A77">
      <w:pPr>
        <w:pStyle w:val="Heading2"/>
        <w:numPr>
          <w:ilvl w:val="0"/>
          <w:numId w:val="32"/>
        </w:numPr>
        <w:rPr>
          <w:lang w:val="en-GB"/>
        </w:rPr>
      </w:pPr>
      <w:bookmarkStart w:id="58" w:name="_Toc76405378"/>
      <w:r w:rsidRPr="007E7514">
        <w:rPr>
          <w:lang w:val="en-GB"/>
        </w:rPr>
        <w:t>Monitoring and Evaluation of Mercury Projects in GEF-</w:t>
      </w:r>
      <w:r w:rsidR="00E84371" w:rsidRPr="007E7514">
        <w:rPr>
          <w:lang w:val="en-GB"/>
        </w:rPr>
        <w:t>7</w:t>
      </w:r>
      <w:r w:rsidR="00BD1999" w:rsidRPr="007E7514">
        <w:rPr>
          <w:lang w:val="en-GB"/>
        </w:rPr>
        <w:t xml:space="preserve"> </w:t>
      </w:r>
      <w:r w:rsidR="00016F6B" w:rsidRPr="007E7514">
        <w:rPr>
          <w:lang w:val="en-GB"/>
        </w:rPr>
        <w:t>(</w:t>
      </w:r>
      <w:r w:rsidR="00CB4B69" w:rsidRPr="007E7514">
        <w:rPr>
          <w:lang w:val="en-GB"/>
        </w:rPr>
        <w:t>MOU Paragraph 10</w:t>
      </w:r>
      <w:r w:rsidR="00016F6B" w:rsidRPr="007E7514">
        <w:rPr>
          <w:lang w:val="en-GB"/>
        </w:rPr>
        <w:t>)</w:t>
      </w:r>
      <w:bookmarkEnd w:id="58"/>
    </w:p>
    <w:p w14:paraId="63583917" w14:textId="58502C9D" w:rsidR="002013D8" w:rsidRPr="007E7514" w:rsidRDefault="002013D8" w:rsidP="00B7581D">
      <w:pPr>
        <w:pStyle w:val="MainParagraphwith"/>
        <w:rPr>
          <w:lang w:val="en-GB"/>
        </w:rPr>
      </w:pPr>
      <w:r w:rsidRPr="007E7514">
        <w:rPr>
          <w:lang w:val="en-GB"/>
        </w:rPr>
        <w:t>GEF projects and focal area portfolio</w:t>
      </w:r>
      <w:r w:rsidR="00F40AFA" w:rsidRPr="007E7514">
        <w:rPr>
          <w:lang w:val="en-GB"/>
        </w:rPr>
        <w:t>s</w:t>
      </w:r>
      <w:r w:rsidRPr="007E7514">
        <w:rPr>
          <w:lang w:val="en-GB"/>
        </w:rPr>
        <w:t xml:space="preserve"> are monitored by the Secretariat through its Annual Portfolio Monitoring Report </w:t>
      </w:r>
      <w:r w:rsidR="00F40AFA" w:rsidRPr="007E7514">
        <w:rPr>
          <w:lang w:val="en-GB"/>
        </w:rPr>
        <w:t>and</w:t>
      </w:r>
      <w:r w:rsidR="00FB58CE" w:rsidRPr="007E7514">
        <w:rPr>
          <w:lang w:val="en-GB"/>
        </w:rPr>
        <w:t xml:space="preserve"> </w:t>
      </w:r>
      <w:r w:rsidRPr="007E7514">
        <w:rPr>
          <w:lang w:val="en-GB"/>
        </w:rPr>
        <w:t>evaluated by the GEF Independent Evaluation Office (IEO).</w:t>
      </w:r>
      <w:r w:rsidR="00331E4D" w:rsidRPr="007E7514">
        <w:rPr>
          <w:lang w:val="en-GB"/>
        </w:rPr>
        <w:t xml:space="preserve"> </w:t>
      </w:r>
      <w:r w:rsidRPr="007E7514">
        <w:rPr>
          <w:lang w:val="en-GB"/>
        </w:rPr>
        <w:t xml:space="preserve">The IEO is responsible for undertaking independent evaluations that involve a set of projects from more than one </w:t>
      </w:r>
      <w:r w:rsidR="00F40AFA" w:rsidRPr="007E7514">
        <w:rPr>
          <w:lang w:val="en-GB"/>
        </w:rPr>
        <w:t>GEF</w:t>
      </w:r>
      <w:r w:rsidRPr="007E7514">
        <w:rPr>
          <w:lang w:val="en-GB"/>
        </w:rPr>
        <w:t xml:space="preserve"> Agency. The evaluation results are presented </w:t>
      </w:r>
      <w:r w:rsidR="00DE1B6A" w:rsidRPr="007E7514">
        <w:rPr>
          <w:lang w:val="en-GB"/>
        </w:rPr>
        <w:t xml:space="preserve">in </w:t>
      </w:r>
      <w:r w:rsidRPr="007E7514">
        <w:rPr>
          <w:lang w:val="en-GB"/>
        </w:rPr>
        <w:t>the following reports:</w:t>
      </w:r>
    </w:p>
    <w:p w14:paraId="4A93138D" w14:textId="63B39F9D" w:rsidR="007C0D19" w:rsidRPr="007E7514" w:rsidRDefault="002013D8" w:rsidP="008D1113">
      <w:pPr>
        <w:pStyle w:val="SubParagraphLevel1"/>
        <w:numPr>
          <w:ilvl w:val="0"/>
          <w:numId w:val="4"/>
        </w:numPr>
        <w:ind w:left="720" w:firstLine="0"/>
        <w:rPr>
          <w:lang w:val="en-GB"/>
        </w:rPr>
      </w:pPr>
      <w:r w:rsidRPr="007E7514">
        <w:rPr>
          <w:lang w:val="en-GB"/>
        </w:rPr>
        <w:t>Annual Performance</w:t>
      </w:r>
      <w:r w:rsidR="007C0D19" w:rsidRPr="007E7514">
        <w:rPr>
          <w:lang w:val="en-GB"/>
        </w:rPr>
        <w:t xml:space="preserve"> </w:t>
      </w:r>
      <w:r w:rsidRPr="007E7514">
        <w:rPr>
          <w:lang w:val="en-GB"/>
        </w:rPr>
        <w:t>Reports</w:t>
      </w:r>
      <w:r w:rsidR="00F40AFA" w:rsidRPr="007E7514">
        <w:rPr>
          <w:lang w:val="en-GB"/>
        </w:rPr>
        <w:t>;</w:t>
      </w:r>
    </w:p>
    <w:p w14:paraId="0761ED28" w14:textId="7CFF43CB" w:rsidR="002013D8" w:rsidRPr="007E7514" w:rsidRDefault="002013D8" w:rsidP="008D1113">
      <w:pPr>
        <w:pStyle w:val="SubParagraphLevel1"/>
        <w:numPr>
          <w:ilvl w:val="0"/>
          <w:numId w:val="4"/>
        </w:numPr>
        <w:ind w:left="720" w:firstLine="0"/>
        <w:rPr>
          <w:lang w:val="en-GB"/>
        </w:rPr>
      </w:pPr>
      <w:r w:rsidRPr="007E7514">
        <w:rPr>
          <w:lang w:val="en-GB"/>
        </w:rPr>
        <w:t>Annual Country Portfolio Evaluations</w:t>
      </w:r>
      <w:r w:rsidR="00F40AFA" w:rsidRPr="007E7514">
        <w:rPr>
          <w:lang w:val="en-GB"/>
        </w:rPr>
        <w:t>;</w:t>
      </w:r>
    </w:p>
    <w:p w14:paraId="52D3BE58" w14:textId="16CC772D" w:rsidR="002013D8" w:rsidRPr="007E7514" w:rsidRDefault="002013D8" w:rsidP="008D1113">
      <w:pPr>
        <w:pStyle w:val="SubParagraphLevel1"/>
        <w:numPr>
          <w:ilvl w:val="0"/>
          <w:numId w:val="4"/>
        </w:numPr>
        <w:ind w:left="720" w:firstLine="0"/>
        <w:rPr>
          <w:lang w:val="en-GB"/>
        </w:rPr>
      </w:pPr>
      <w:r w:rsidRPr="007E7514">
        <w:rPr>
          <w:lang w:val="en-GB"/>
        </w:rPr>
        <w:t>Thematic Evaluations: programs, processes and cross-cutting or focal areas</w:t>
      </w:r>
      <w:r w:rsidR="00F40AFA" w:rsidRPr="007E7514">
        <w:rPr>
          <w:lang w:val="en-GB"/>
        </w:rPr>
        <w:t>; and</w:t>
      </w:r>
    </w:p>
    <w:p w14:paraId="203A1342" w14:textId="0CD15500" w:rsidR="00C7283E" w:rsidRPr="007E7514" w:rsidRDefault="00C7283E" w:rsidP="008D1113">
      <w:pPr>
        <w:pStyle w:val="SubParagraphLevel1"/>
        <w:numPr>
          <w:ilvl w:val="0"/>
          <w:numId w:val="4"/>
        </w:numPr>
        <w:ind w:left="1440" w:hanging="720"/>
        <w:rPr>
          <w:lang w:val="en-GB"/>
        </w:rPr>
      </w:pPr>
      <w:r w:rsidRPr="007E7514">
        <w:rPr>
          <w:lang w:val="en-GB"/>
        </w:rPr>
        <w:t xml:space="preserve">Comprehensive Evaluations of the GEF: </w:t>
      </w:r>
      <w:r w:rsidR="00202174" w:rsidRPr="007E7514">
        <w:rPr>
          <w:lang w:val="en-GB"/>
        </w:rPr>
        <w:t>c</w:t>
      </w:r>
      <w:r w:rsidRPr="007E7514">
        <w:rPr>
          <w:lang w:val="en-GB"/>
        </w:rPr>
        <w:t xml:space="preserve">onducted every </w:t>
      </w:r>
      <w:r w:rsidR="007B4F66" w:rsidRPr="007E7514">
        <w:rPr>
          <w:lang w:val="en-GB"/>
        </w:rPr>
        <w:t>four</w:t>
      </w:r>
      <w:r w:rsidRPr="007E7514">
        <w:rPr>
          <w:lang w:val="en-GB"/>
        </w:rPr>
        <w:t xml:space="preserve"> years as inputs to the replenishment process.</w:t>
      </w:r>
    </w:p>
    <w:p w14:paraId="7293275E" w14:textId="7A86085E" w:rsidR="005B53B1" w:rsidRPr="007E7514" w:rsidRDefault="002013D8" w:rsidP="00B7581D">
      <w:pPr>
        <w:pStyle w:val="MainParagraphwith"/>
        <w:rPr>
          <w:lang w:val="en-GB"/>
        </w:rPr>
      </w:pPr>
      <w:r w:rsidRPr="007E7514">
        <w:rPr>
          <w:lang w:val="en-GB"/>
        </w:rPr>
        <w:t xml:space="preserve">The IEO supports knowledge sharing and follow-up of evaluation recommendations. It works with the Secretariat and the GEF Agencies to establish systems to disseminate lessons learned and best practices emanating from monitoring and evaluation </w:t>
      </w:r>
      <w:r w:rsidR="00D0328B" w:rsidRPr="007E7514">
        <w:rPr>
          <w:lang w:val="en-GB"/>
        </w:rPr>
        <w:t>activities and</w:t>
      </w:r>
      <w:r w:rsidRPr="007E7514">
        <w:rPr>
          <w:lang w:val="en-GB"/>
        </w:rPr>
        <w:t xml:space="preserve"> provides independent evaluative evidence to the GEF knowledge base.</w:t>
      </w:r>
      <w:bookmarkStart w:id="59" w:name="_bookmark30"/>
      <w:bookmarkEnd w:id="59"/>
      <w:r w:rsidR="008F7DAA" w:rsidRPr="007E7514">
        <w:rPr>
          <w:lang w:val="en-GB"/>
        </w:rPr>
        <w:t xml:space="preserve"> </w:t>
      </w:r>
    </w:p>
    <w:p w14:paraId="5CEEE94C" w14:textId="02FC0326" w:rsidR="005B53B1" w:rsidRPr="007E7514" w:rsidRDefault="00F40AFA" w:rsidP="00F40AFA">
      <w:pPr>
        <w:ind w:left="1440" w:hanging="720"/>
        <w:rPr>
          <w:rFonts w:asciiTheme="minorHAnsi" w:hAnsiTheme="minorHAnsi" w:cstheme="minorHAnsi"/>
          <w:b/>
          <w:bCs/>
          <w:lang w:val="en-GB"/>
        </w:rPr>
      </w:pPr>
      <w:r w:rsidRPr="007E7514">
        <w:rPr>
          <w:rFonts w:asciiTheme="minorHAnsi" w:hAnsiTheme="minorHAnsi" w:cstheme="minorHAnsi"/>
          <w:b/>
          <w:bCs/>
          <w:lang w:val="en-GB"/>
        </w:rPr>
        <w:t>2.1.</w:t>
      </w:r>
      <w:r w:rsidRPr="007E7514">
        <w:rPr>
          <w:rFonts w:asciiTheme="minorHAnsi" w:hAnsiTheme="minorHAnsi" w:cstheme="minorHAnsi"/>
          <w:b/>
          <w:bCs/>
          <w:lang w:val="en-GB"/>
        </w:rPr>
        <w:tab/>
      </w:r>
      <w:r w:rsidR="005B53B1" w:rsidRPr="007E7514">
        <w:rPr>
          <w:rFonts w:asciiTheme="minorHAnsi" w:hAnsiTheme="minorHAnsi" w:cstheme="minorHAnsi"/>
          <w:b/>
          <w:bCs/>
          <w:lang w:val="en-GB"/>
        </w:rPr>
        <w:t>GEF IEO Evaluation of GEF Interventions in the Artisanal and Small-</w:t>
      </w:r>
      <w:r w:rsidR="00D26529" w:rsidRPr="007E7514">
        <w:rPr>
          <w:rFonts w:asciiTheme="minorHAnsi" w:hAnsiTheme="minorHAnsi" w:cstheme="minorHAnsi"/>
          <w:b/>
          <w:bCs/>
          <w:lang w:val="en-GB"/>
        </w:rPr>
        <w:t>s</w:t>
      </w:r>
      <w:r w:rsidR="005B53B1" w:rsidRPr="007E7514">
        <w:rPr>
          <w:rFonts w:asciiTheme="minorHAnsi" w:hAnsiTheme="minorHAnsi" w:cstheme="minorHAnsi"/>
          <w:b/>
          <w:bCs/>
          <w:lang w:val="en-GB"/>
        </w:rPr>
        <w:t xml:space="preserve">cale Gold </w:t>
      </w:r>
      <w:r w:rsidR="005B53B1" w:rsidRPr="007E7514">
        <w:rPr>
          <w:rFonts w:asciiTheme="minorHAnsi" w:hAnsiTheme="minorHAnsi" w:cstheme="minorHAnsi"/>
          <w:b/>
          <w:bCs/>
          <w:lang w:val="en-GB"/>
        </w:rPr>
        <w:lastRenderedPageBreak/>
        <w:t>Mining Sector</w:t>
      </w:r>
    </w:p>
    <w:p w14:paraId="5478ED16" w14:textId="5654360C" w:rsidR="005B53B1" w:rsidRPr="007E7514" w:rsidRDefault="005B53B1" w:rsidP="00B7581D">
      <w:pPr>
        <w:pStyle w:val="MainParagraphwith"/>
        <w:rPr>
          <w:lang w:val="en-GB"/>
        </w:rPr>
      </w:pPr>
      <w:r w:rsidRPr="007E7514">
        <w:rPr>
          <w:lang w:val="en-GB"/>
        </w:rPr>
        <w:t xml:space="preserve"> The IEO submitted the evaluation of GEF interventions in the ASGM sector </w:t>
      </w:r>
      <w:r w:rsidR="00F30C50" w:rsidRPr="007E7514">
        <w:rPr>
          <w:lang w:val="en-GB"/>
        </w:rPr>
        <w:t>to</w:t>
      </w:r>
      <w:r w:rsidRPr="007E7514">
        <w:rPr>
          <w:lang w:val="en-GB"/>
        </w:rPr>
        <w:t xml:space="preserve"> the </w:t>
      </w:r>
      <w:r w:rsidR="00202174" w:rsidRPr="007E7514">
        <w:rPr>
          <w:lang w:val="en-GB"/>
        </w:rPr>
        <w:br/>
      </w:r>
      <w:r w:rsidRPr="007E7514">
        <w:rPr>
          <w:lang w:val="en-GB"/>
        </w:rPr>
        <w:t>59</w:t>
      </w:r>
      <w:r w:rsidRPr="007E7514">
        <w:rPr>
          <w:vertAlign w:val="superscript"/>
          <w:lang w:val="en-GB"/>
        </w:rPr>
        <w:t>th</w:t>
      </w:r>
      <w:r w:rsidRPr="007E7514">
        <w:rPr>
          <w:lang w:val="en-GB"/>
        </w:rPr>
        <w:t xml:space="preserve"> GEF Council </w:t>
      </w:r>
      <w:r w:rsidR="00FD23B5" w:rsidRPr="007E7514">
        <w:rPr>
          <w:lang w:val="en-GB"/>
        </w:rPr>
        <w:t>m</w:t>
      </w:r>
      <w:r w:rsidRPr="007E7514">
        <w:rPr>
          <w:lang w:val="en-GB"/>
        </w:rPr>
        <w:t>eeting in December 2020.</w:t>
      </w:r>
      <w:r w:rsidRPr="007E7514">
        <w:rPr>
          <w:vertAlign w:val="superscript"/>
          <w:lang w:val="en-GB"/>
        </w:rPr>
        <w:footnoteReference w:id="28"/>
      </w:r>
      <w:r w:rsidRPr="007E7514">
        <w:rPr>
          <w:lang w:val="en-GB"/>
        </w:rPr>
        <w:t xml:space="preserve"> The evaluation </w:t>
      </w:r>
      <w:proofErr w:type="spellStart"/>
      <w:r w:rsidRPr="007E7514">
        <w:rPr>
          <w:lang w:val="en-GB"/>
        </w:rPr>
        <w:t>analyzed</w:t>
      </w:r>
      <w:proofErr w:type="spellEnd"/>
      <w:r w:rsidRPr="007E7514">
        <w:rPr>
          <w:lang w:val="en-GB"/>
        </w:rPr>
        <w:t xml:space="preserve"> the evolution of GEF’s strategy in the sector, the sustainability of outcomes in completed ASGM projects and evaluated the design and early implementation of the GEF-6 </w:t>
      </w:r>
      <w:r w:rsidRPr="007E7514">
        <w:rPr>
          <w:i/>
          <w:iCs/>
          <w:lang w:val="en-GB"/>
        </w:rPr>
        <w:t>GOLD</w:t>
      </w:r>
      <w:r w:rsidRPr="007E7514">
        <w:rPr>
          <w:lang w:val="en-GB"/>
        </w:rPr>
        <w:t xml:space="preserve"> </w:t>
      </w:r>
      <w:r w:rsidR="00F30C50" w:rsidRPr="007E7514">
        <w:rPr>
          <w:lang w:val="en-GB"/>
        </w:rPr>
        <w:t>P</w:t>
      </w:r>
      <w:r w:rsidRPr="007E7514">
        <w:rPr>
          <w:lang w:val="en-GB"/>
        </w:rPr>
        <w:t xml:space="preserve">rogram. </w:t>
      </w:r>
      <w:r w:rsidR="00E84F88" w:rsidRPr="007E7514">
        <w:rPr>
          <w:lang w:val="en-GB"/>
        </w:rPr>
        <w:t>It</w:t>
      </w:r>
      <w:r w:rsidRPr="007E7514">
        <w:rPr>
          <w:lang w:val="en-GB"/>
        </w:rPr>
        <w:t xml:space="preserve"> provided GEF stakeholders with evaluative evidence on the relevance, coherence, effectiveness, efficiency and sustainability of ASGM interventions, the vast majority of which aim to reduce mercury and are tied to the Minamata Convention.</w:t>
      </w:r>
    </w:p>
    <w:p w14:paraId="3E2C5516" w14:textId="77AA42FF" w:rsidR="005B53B1" w:rsidRPr="007E7514" w:rsidRDefault="005B53B1" w:rsidP="00B7581D">
      <w:pPr>
        <w:pStyle w:val="MainParagraphwith"/>
        <w:rPr>
          <w:lang w:val="en-GB"/>
        </w:rPr>
      </w:pPr>
      <w:r w:rsidRPr="007E7514">
        <w:rPr>
          <w:lang w:val="en-GB"/>
        </w:rPr>
        <w:t xml:space="preserve">The evaluation found that ASGM interventions are highly relevant to the Minamata Convention </w:t>
      </w:r>
      <w:r w:rsidR="00F30C50" w:rsidRPr="007E7514">
        <w:rPr>
          <w:lang w:val="en-GB"/>
        </w:rPr>
        <w:t>as they</w:t>
      </w:r>
      <w:r w:rsidRPr="007E7514">
        <w:rPr>
          <w:lang w:val="en-GB"/>
        </w:rPr>
        <w:t xml:space="preserve"> assist countries in achieving their mercury reduction goals in project areas, many of which are sustained years after completion of projects. Miner formalization efforts were found to have limited success during implementation but </w:t>
      </w:r>
      <w:proofErr w:type="spellStart"/>
      <w:r w:rsidRPr="007E7514">
        <w:rPr>
          <w:lang w:val="en-GB"/>
        </w:rPr>
        <w:t>catalyzed</w:t>
      </w:r>
      <w:proofErr w:type="spellEnd"/>
      <w:r w:rsidRPr="007E7514">
        <w:rPr>
          <w:lang w:val="en-GB"/>
        </w:rPr>
        <w:t xml:space="preserve"> continued post-completion</w:t>
      </w:r>
      <w:r w:rsidR="00F30C50" w:rsidRPr="007E7514">
        <w:rPr>
          <w:lang w:val="en-GB"/>
        </w:rPr>
        <w:t xml:space="preserve"> formalization</w:t>
      </w:r>
      <w:r w:rsidRPr="007E7514">
        <w:rPr>
          <w:lang w:val="en-GB"/>
        </w:rPr>
        <w:t xml:space="preserve">. ASGM interventions were also found to cover many of the countries with the highest </w:t>
      </w:r>
      <w:r w:rsidR="00F30C50" w:rsidRPr="007E7514">
        <w:rPr>
          <w:lang w:val="en-GB"/>
        </w:rPr>
        <w:t xml:space="preserve">global </w:t>
      </w:r>
      <w:r w:rsidRPr="007E7514">
        <w:rPr>
          <w:lang w:val="en-GB"/>
        </w:rPr>
        <w:t>mercury use</w:t>
      </w:r>
      <w:r w:rsidR="00F30C50" w:rsidRPr="007E7514">
        <w:rPr>
          <w:lang w:val="en-GB"/>
        </w:rPr>
        <w:t>,</w:t>
      </w:r>
      <w:r w:rsidRPr="007E7514">
        <w:rPr>
          <w:lang w:val="en-GB"/>
        </w:rPr>
        <w:t xml:space="preserve"> including the top four users (</w:t>
      </w:r>
      <w:r w:rsidR="00E84F88" w:rsidRPr="007E7514">
        <w:rPr>
          <w:lang w:val="en-GB"/>
        </w:rPr>
        <w:t xml:space="preserve">as show in </w:t>
      </w:r>
      <w:r w:rsidRPr="007E7514">
        <w:rPr>
          <w:lang w:val="en-GB"/>
        </w:rPr>
        <w:t xml:space="preserve">Figure 5). A major lesson learned from completed projects was the need for access to financing for miners to switch to non-mercury processing technology, which has become a major focus of the </w:t>
      </w:r>
      <w:r w:rsidRPr="007E7514">
        <w:rPr>
          <w:i/>
          <w:iCs/>
          <w:lang w:val="en-GB"/>
        </w:rPr>
        <w:t>GOLD</w:t>
      </w:r>
      <w:r w:rsidRPr="007E7514">
        <w:rPr>
          <w:lang w:val="en-GB"/>
        </w:rPr>
        <w:t xml:space="preserve"> </w:t>
      </w:r>
      <w:r w:rsidR="00F30C50" w:rsidRPr="007E7514">
        <w:rPr>
          <w:lang w:val="en-GB"/>
        </w:rPr>
        <w:t>P</w:t>
      </w:r>
      <w:r w:rsidRPr="007E7514">
        <w:rPr>
          <w:lang w:val="en-GB"/>
        </w:rPr>
        <w:t>rogram.</w:t>
      </w:r>
    </w:p>
    <w:p w14:paraId="43445CE6" w14:textId="77777777" w:rsidR="00656B48" w:rsidRPr="007E7514" w:rsidRDefault="00656B48" w:rsidP="00E57DE4">
      <w:pPr>
        <w:pStyle w:val="Caption"/>
        <w:jc w:val="center"/>
      </w:pPr>
      <w:bookmarkStart w:id="61" w:name="_Toc76405620"/>
    </w:p>
    <w:p w14:paraId="6F96EA17" w14:textId="77777777" w:rsidR="00656B48" w:rsidRPr="007E7514" w:rsidRDefault="00656B48" w:rsidP="00E57DE4">
      <w:pPr>
        <w:pStyle w:val="Caption"/>
        <w:jc w:val="center"/>
      </w:pPr>
    </w:p>
    <w:p w14:paraId="7F2D84EE" w14:textId="77777777" w:rsidR="00656B48" w:rsidRPr="007E7514" w:rsidRDefault="00656B48" w:rsidP="00E57DE4">
      <w:pPr>
        <w:pStyle w:val="Caption"/>
        <w:jc w:val="center"/>
      </w:pPr>
    </w:p>
    <w:p w14:paraId="28153C80" w14:textId="77777777" w:rsidR="00656B48" w:rsidRPr="007E7514" w:rsidRDefault="00656B48" w:rsidP="00E57DE4">
      <w:pPr>
        <w:pStyle w:val="Caption"/>
        <w:jc w:val="center"/>
      </w:pPr>
    </w:p>
    <w:p w14:paraId="1FFC09C1" w14:textId="77777777" w:rsidR="00656B48" w:rsidRPr="007E7514" w:rsidRDefault="00656B48" w:rsidP="00E57DE4">
      <w:pPr>
        <w:pStyle w:val="Caption"/>
        <w:jc w:val="center"/>
      </w:pPr>
    </w:p>
    <w:p w14:paraId="115AF8E1" w14:textId="77777777" w:rsidR="00656B48" w:rsidRPr="007E7514" w:rsidRDefault="00656B48" w:rsidP="00E57DE4">
      <w:pPr>
        <w:pStyle w:val="Caption"/>
        <w:jc w:val="center"/>
      </w:pPr>
    </w:p>
    <w:p w14:paraId="30BD4221" w14:textId="77777777" w:rsidR="00656B48" w:rsidRPr="007E7514" w:rsidRDefault="00656B48" w:rsidP="00E57DE4">
      <w:pPr>
        <w:pStyle w:val="Caption"/>
        <w:jc w:val="center"/>
      </w:pPr>
    </w:p>
    <w:p w14:paraId="4CA8BAC5" w14:textId="77777777" w:rsidR="00656B48" w:rsidRPr="007E7514" w:rsidRDefault="00656B48" w:rsidP="00E57DE4">
      <w:pPr>
        <w:pStyle w:val="Caption"/>
        <w:jc w:val="center"/>
      </w:pPr>
    </w:p>
    <w:p w14:paraId="4DD0F8A6" w14:textId="77777777" w:rsidR="00656B48" w:rsidRPr="007E7514" w:rsidRDefault="00656B48" w:rsidP="00E57DE4">
      <w:pPr>
        <w:pStyle w:val="Caption"/>
        <w:jc w:val="center"/>
      </w:pPr>
    </w:p>
    <w:p w14:paraId="78EF9BDC" w14:textId="77777777" w:rsidR="00656B48" w:rsidRPr="007E7514" w:rsidRDefault="00656B48" w:rsidP="00E57DE4">
      <w:pPr>
        <w:pStyle w:val="Caption"/>
        <w:jc w:val="center"/>
      </w:pPr>
    </w:p>
    <w:p w14:paraId="4BE24B45" w14:textId="77777777" w:rsidR="00656B48" w:rsidRPr="007E7514" w:rsidRDefault="00656B48" w:rsidP="00E57DE4">
      <w:pPr>
        <w:pStyle w:val="Caption"/>
        <w:jc w:val="center"/>
      </w:pPr>
    </w:p>
    <w:p w14:paraId="016B6A91" w14:textId="77777777" w:rsidR="00656B48" w:rsidRPr="007E7514" w:rsidRDefault="00656B48" w:rsidP="00E57DE4">
      <w:pPr>
        <w:pStyle w:val="Caption"/>
        <w:jc w:val="center"/>
      </w:pPr>
    </w:p>
    <w:p w14:paraId="342F376D" w14:textId="77777777" w:rsidR="00656B48" w:rsidRPr="007E7514" w:rsidRDefault="00656B48" w:rsidP="00E57DE4">
      <w:pPr>
        <w:pStyle w:val="Caption"/>
        <w:jc w:val="center"/>
      </w:pPr>
    </w:p>
    <w:p w14:paraId="58BF7545" w14:textId="75E9253C" w:rsidR="00E57DE4" w:rsidRPr="007E7514" w:rsidRDefault="00E57DE4" w:rsidP="00E57DE4">
      <w:pPr>
        <w:pStyle w:val="Caption"/>
        <w:jc w:val="center"/>
        <w:rPr>
          <w:lang w:eastAsia="zh-CN"/>
        </w:rPr>
      </w:pPr>
      <w:r w:rsidRPr="007E7514">
        <w:t xml:space="preserve">Figure </w:t>
      </w:r>
      <w:r w:rsidRPr="007E7514">
        <w:fldChar w:fldCharType="begin"/>
      </w:r>
      <w:r w:rsidRPr="007E7514">
        <w:instrText xml:space="preserve"> SEQ Figure \* ARABIC </w:instrText>
      </w:r>
      <w:r w:rsidRPr="007E7514">
        <w:fldChar w:fldCharType="separate"/>
      </w:r>
      <w:r w:rsidR="00C604A6">
        <w:rPr>
          <w:noProof/>
        </w:rPr>
        <w:t>5</w:t>
      </w:r>
      <w:r w:rsidRPr="007E7514">
        <w:fldChar w:fldCharType="end"/>
      </w:r>
      <w:r w:rsidRPr="007E7514">
        <w:t>: 2015 Mercury Use and Presence of GEF ASGM Interventions at the Country Level</w:t>
      </w:r>
      <w:r w:rsidRPr="007E7514">
        <w:rPr>
          <w:rStyle w:val="FootnoteReference"/>
        </w:rPr>
        <w:footnoteReference w:id="29"/>
      </w:r>
      <w:bookmarkEnd w:id="61"/>
    </w:p>
    <w:p w14:paraId="4A90FCA4" w14:textId="77777777" w:rsidR="005B53B1" w:rsidRPr="007E7514" w:rsidRDefault="005B53B1" w:rsidP="00B7581D">
      <w:pPr>
        <w:pStyle w:val="MainParagraphwith"/>
        <w:numPr>
          <w:ilvl w:val="0"/>
          <w:numId w:val="0"/>
        </w:numPr>
        <w:ind w:left="114"/>
        <w:rPr>
          <w:lang w:val="en-GB"/>
        </w:rPr>
      </w:pPr>
      <w:r w:rsidRPr="007E7514">
        <w:rPr>
          <w:noProof/>
          <w:lang w:val="en-GB"/>
        </w:rPr>
        <w:lastRenderedPageBreak/>
        <w:drawing>
          <wp:inline distT="0" distB="0" distL="0" distR="0" wp14:anchorId="43B59A56" wp14:editId="2A5C7109">
            <wp:extent cx="6083302" cy="2767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3">
                      <a:extLst>
                        <a:ext uri="{28A0092B-C50C-407E-A947-70E740481C1C}">
                          <a14:useLocalDpi xmlns:a14="http://schemas.microsoft.com/office/drawing/2010/main" val="0"/>
                        </a:ext>
                      </a:extLst>
                    </a:blip>
                    <a:stretch>
                      <a:fillRect/>
                    </a:stretch>
                  </pic:blipFill>
                  <pic:spPr>
                    <a:xfrm>
                      <a:off x="0" y="0"/>
                      <a:ext cx="6083302" cy="2767330"/>
                    </a:xfrm>
                    <a:prstGeom prst="rect">
                      <a:avLst/>
                    </a:prstGeom>
                  </pic:spPr>
                </pic:pic>
              </a:graphicData>
            </a:graphic>
          </wp:inline>
        </w:drawing>
      </w:r>
    </w:p>
    <w:p w14:paraId="3738E9FC" w14:textId="081D6B77" w:rsidR="005B53B1" w:rsidRPr="007E7514" w:rsidRDefault="005B53B1" w:rsidP="00B7581D">
      <w:pPr>
        <w:pStyle w:val="MainParagraphwith"/>
        <w:rPr>
          <w:lang w:val="en-GB"/>
        </w:rPr>
      </w:pPr>
      <w:r w:rsidRPr="007E7514">
        <w:rPr>
          <w:lang w:val="en-GB"/>
        </w:rPr>
        <w:t xml:space="preserve">The </w:t>
      </w:r>
      <w:r w:rsidRPr="007E7514">
        <w:rPr>
          <w:i/>
          <w:iCs/>
          <w:lang w:val="en-GB"/>
        </w:rPr>
        <w:t>GOLD</w:t>
      </w:r>
      <w:r w:rsidRPr="007E7514">
        <w:rPr>
          <w:lang w:val="en-GB"/>
        </w:rPr>
        <w:t xml:space="preserve"> </w:t>
      </w:r>
      <w:r w:rsidR="00F30C50" w:rsidRPr="007E7514">
        <w:rPr>
          <w:lang w:val="en-GB"/>
        </w:rPr>
        <w:t>P</w:t>
      </w:r>
      <w:r w:rsidRPr="007E7514">
        <w:rPr>
          <w:lang w:val="en-GB"/>
        </w:rPr>
        <w:t>rogram’s major components were found to correlate with best practices in the mercury reduction international community</w:t>
      </w:r>
      <w:r w:rsidR="00E84F88" w:rsidRPr="007E7514">
        <w:rPr>
          <w:lang w:val="en-GB"/>
        </w:rPr>
        <w:t>,</w:t>
      </w:r>
      <w:r w:rsidRPr="007E7514">
        <w:rPr>
          <w:lang w:val="en-GB"/>
        </w:rPr>
        <w:t xml:space="preserve"> while promoting collaboration and learning between its child projects. Its addition of access to financing </w:t>
      </w:r>
      <w:r w:rsidR="00F30C50" w:rsidRPr="007E7514">
        <w:rPr>
          <w:lang w:val="en-GB"/>
        </w:rPr>
        <w:t xml:space="preserve">for miners to switch to </w:t>
      </w:r>
      <w:r w:rsidR="00E84F88" w:rsidRPr="007E7514">
        <w:rPr>
          <w:lang w:val="en-GB"/>
        </w:rPr>
        <w:br/>
      </w:r>
      <w:r w:rsidR="00F30C50" w:rsidRPr="007E7514">
        <w:rPr>
          <w:lang w:val="en-GB"/>
        </w:rPr>
        <w:t xml:space="preserve">non-mercury processing technology </w:t>
      </w:r>
      <w:r w:rsidRPr="007E7514">
        <w:rPr>
          <w:lang w:val="en-GB"/>
        </w:rPr>
        <w:t>and connecting miners to markets</w:t>
      </w:r>
      <w:r w:rsidR="00F30C50" w:rsidRPr="007E7514">
        <w:rPr>
          <w:lang w:val="en-GB"/>
        </w:rPr>
        <w:t>,</w:t>
      </w:r>
      <w:r w:rsidRPr="007E7514">
        <w:rPr>
          <w:lang w:val="en-GB"/>
        </w:rPr>
        <w:t xml:space="preserve"> alongside </w:t>
      </w:r>
      <w:r w:rsidR="00F30C50" w:rsidRPr="007E7514">
        <w:rPr>
          <w:lang w:val="en-GB"/>
        </w:rPr>
        <w:t xml:space="preserve">the </w:t>
      </w:r>
      <w:r w:rsidRPr="007E7514">
        <w:rPr>
          <w:lang w:val="en-GB"/>
        </w:rPr>
        <w:t>demonstration of non-mercury technologies and promoting miner formalization policy</w:t>
      </w:r>
      <w:r w:rsidR="00F30C50" w:rsidRPr="007E7514">
        <w:rPr>
          <w:lang w:val="en-GB"/>
        </w:rPr>
        <w:t>,</w:t>
      </w:r>
      <w:r w:rsidRPr="007E7514">
        <w:rPr>
          <w:lang w:val="en-GB"/>
        </w:rPr>
        <w:t xml:space="preserve"> </w:t>
      </w:r>
      <w:r w:rsidR="00F30C50" w:rsidRPr="007E7514">
        <w:rPr>
          <w:lang w:val="en-GB"/>
        </w:rPr>
        <w:t>were</w:t>
      </w:r>
      <w:r w:rsidRPr="007E7514">
        <w:rPr>
          <w:lang w:val="en-GB"/>
        </w:rPr>
        <w:t xml:space="preserve"> considered innovative. A majority of the </w:t>
      </w:r>
      <w:r w:rsidR="00F30C50" w:rsidRPr="007E7514">
        <w:rPr>
          <w:lang w:val="en-GB"/>
        </w:rPr>
        <w:t>P</w:t>
      </w:r>
      <w:r w:rsidRPr="007E7514">
        <w:rPr>
          <w:lang w:val="en-GB"/>
        </w:rPr>
        <w:t>rogram’s mercury reduction targets are set to be achieved through knowledge management and broader adoption</w:t>
      </w:r>
      <w:r w:rsidR="00F30C50" w:rsidRPr="007E7514">
        <w:rPr>
          <w:lang w:val="en-GB"/>
        </w:rPr>
        <w:t>,</w:t>
      </w:r>
      <w:r w:rsidRPr="007E7514">
        <w:rPr>
          <w:lang w:val="en-GB"/>
        </w:rPr>
        <w:t xml:space="preserve"> which will be difficult to monitor or attribute to the </w:t>
      </w:r>
      <w:r w:rsidR="00F30C50" w:rsidRPr="007E7514">
        <w:rPr>
          <w:lang w:val="en-GB"/>
        </w:rPr>
        <w:t>P</w:t>
      </w:r>
      <w:r w:rsidRPr="007E7514">
        <w:rPr>
          <w:lang w:val="en-GB"/>
        </w:rPr>
        <w:t xml:space="preserve">rogram. Given the </w:t>
      </w:r>
      <w:r w:rsidR="00F30C50" w:rsidRPr="007E7514">
        <w:rPr>
          <w:lang w:val="en-GB"/>
        </w:rPr>
        <w:t>P</w:t>
      </w:r>
      <w:r w:rsidRPr="007E7514">
        <w:rPr>
          <w:lang w:val="en-GB"/>
        </w:rPr>
        <w:t>rogram’s link with the Minamata Convention, its focus is on mercury reduction</w:t>
      </w:r>
      <w:r w:rsidR="00F30C50" w:rsidRPr="007E7514">
        <w:rPr>
          <w:lang w:val="en-GB"/>
        </w:rPr>
        <w:t>,</w:t>
      </w:r>
      <w:r w:rsidRPr="007E7514">
        <w:rPr>
          <w:lang w:val="en-GB"/>
        </w:rPr>
        <w:t xml:space="preserve"> while not strongly addressing other environmental and health </w:t>
      </w:r>
      <w:r w:rsidR="00F30C50" w:rsidRPr="007E7514">
        <w:rPr>
          <w:lang w:val="en-GB"/>
        </w:rPr>
        <w:t>matters</w:t>
      </w:r>
      <w:r w:rsidRPr="007E7514">
        <w:rPr>
          <w:lang w:val="en-GB"/>
        </w:rPr>
        <w:t xml:space="preserve"> related to the sector in some of its project areas</w:t>
      </w:r>
      <w:r w:rsidR="00F30C50" w:rsidRPr="007E7514">
        <w:rPr>
          <w:lang w:val="en-GB"/>
        </w:rPr>
        <w:t>,</w:t>
      </w:r>
      <w:r w:rsidRPr="007E7514">
        <w:rPr>
          <w:lang w:val="en-GB"/>
        </w:rPr>
        <w:t xml:space="preserve"> such as deforestation, land degradation and watershed contamination.</w:t>
      </w:r>
    </w:p>
    <w:p w14:paraId="1D752A30" w14:textId="20C05897" w:rsidR="005B53B1" w:rsidRPr="007E7514" w:rsidRDefault="005B53B1" w:rsidP="00B7581D">
      <w:pPr>
        <w:pStyle w:val="MainParagraphwith"/>
        <w:rPr>
          <w:lang w:val="en-GB"/>
        </w:rPr>
      </w:pPr>
      <w:r w:rsidRPr="007E7514">
        <w:rPr>
          <w:lang w:val="en-GB"/>
        </w:rPr>
        <w:t xml:space="preserve">The evaluation recommended the GEF and the Minamata Convention </w:t>
      </w:r>
      <w:r w:rsidR="00F30C50" w:rsidRPr="007E7514">
        <w:rPr>
          <w:lang w:val="en-GB"/>
        </w:rPr>
        <w:t xml:space="preserve">Secretariat </w:t>
      </w:r>
      <w:r w:rsidRPr="007E7514">
        <w:rPr>
          <w:lang w:val="en-GB"/>
        </w:rPr>
        <w:t>to continue encouraging high</w:t>
      </w:r>
      <w:r w:rsidR="00E84F88" w:rsidRPr="007E7514">
        <w:rPr>
          <w:lang w:val="en-GB"/>
        </w:rPr>
        <w:t>-</w:t>
      </w:r>
      <w:r w:rsidRPr="007E7514">
        <w:rPr>
          <w:lang w:val="en-GB"/>
        </w:rPr>
        <w:t>mercury</w:t>
      </w:r>
      <w:r w:rsidR="00E84F88" w:rsidRPr="007E7514">
        <w:rPr>
          <w:lang w:val="en-GB"/>
        </w:rPr>
        <w:t>-</w:t>
      </w:r>
      <w:r w:rsidRPr="007E7514">
        <w:rPr>
          <w:lang w:val="en-GB"/>
        </w:rPr>
        <w:t xml:space="preserve">use countries to become involved in the Convention and increase project focus on policy interventions to create effective monitoring of the sector. The GEF was also recommended to seek opportunities for multi-focal area ASGM interventions and measure co-benefits beyond mercury reductions in the sector. Additionally, the evaluation recommended harnessing the successful </w:t>
      </w:r>
      <w:proofErr w:type="spellStart"/>
      <w:r w:rsidRPr="007E7514">
        <w:rPr>
          <w:lang w:val="en-GB"/>
        </w:rPr>
        <w:t>planetGOLD</w:t>
      </w:r>
      <w:proofErr w:type="spellEnd"/>
      <w:r w:rsidRPr="007E7514">
        <w:rPr>
          <w:lang w:val="en-GB"/>
        </w:rPr>
        <w:t xml:space="preserve"> global platform to further disseminate results and lessons learned from completed ASGM projects and provide more detailed information on NAP and </w:t>
      </w:r>
      <w:r w:rsidRPr="007E7514">
        <w:rPr>
          <w:i/>
          <w:iCs/>
          <w:lang w:val="en-GB"/>
        </w:rPr>
        <w:t>GOLD</w:t>
      </w:r>
      <w:r w:rsidRPr="007E7514">
        <w:rPr>
          <w:lang w:val="en-GB"/>
        </w:rPr>
        <w:t xml:space="preserve"> child projects.</w:t>
      </w:r>
    </w:p>
    <w:p w14:paraId="32E02B69" w14:textId="3FE5DB0F" w:rsidR="005B53B1" w:rsidRPr="007E7514" w:rsidRDefault="00F40AFA" w:rsidP="00F40AFA">
      <w:pPr>
        <w:ind w:left="1440" w:hanging="720"/>
        <w:rPr>
          <w:rFonts w:asciiTheme="minorHAnsi" w:hAnsiTheme="minorHAnsi" w:cstheme="minorHAnsi"/>
          <w:b/>
          <w:bCs/>
          <w:lang w:val="en-GB"/>
        </w:rPr>
      </w:pPr>
      <w:r w:rsidRPr="007E7514">
        <w:rPr>
          <w:rFonts w:asciiTheme="minorHAnsi" w:hAnsiTheme="minorHAnsi" w:cstheme="minorHAnsi"/>
          <w:b/>
          <w:bCs/>
          <w:lang w:val="en-GB"/>
        </w:rPr>
        <w:t>2.2.</w:t>
      </w:r>
      <w:r w:rsidRPr="007E7514">
        <w:rPr>
          <w:rFonts w:asciiTheme="minorHAnsi" w:hAnsiTheme="minorHAnsi" w:cstheme="minorHAnsi"/>
          <w:b/>
          <w:bCs/>
          <w:lang w:val="en-GB"/>
        </w:rPr>
        <w:tab/>
      </w:r>
      <w:r w:rsidR="00292C94" w:rsidRPr="007E7514">
        <w:rPr>
          <w:rFonts w:asciiTheme="minorHAnsi" w:hAnsiTheme="minorHAnsi" w:cstheme="minorHAnsi"/>
          <w:b/>
          <w:bCs/>
          <w:lang w:val="en-GB"/>
        </w:rPr>
        <w:t xml:space="preserve">GEF IEO </w:t>
      </w:r>
      <w:r w:rsidR="005B53B1" w:rsidRPr="007E7514">
        <w:rPr>
          <w:rFonts w:asciiTheme="minorHAnsi" w:hAnsiTheme="minorHAnsi" w:cstheme="minorHAnsi"/>
          <w:b/>
          <w:bCs/>
          <w:lang w:val="en-GB"/>
        </w:rPr>
        <w:t xml:space="preserve">Chemicals and Waste </w:t>
      </w:r>
      <w:r w:rsidR="00D26529" w:rsidRPr="007E7514">
        <w:rPr>
          <w:rFonts w:asciiTheme="minorHAnsi" w:hAnsiTheme="minorHAnsi" w:cstheme="minorHAnsi"/>
          <w:b/>
          <w:bCs/>
          <w:lang w:val="en-GB"/>
        </w:rPr>
        <w:t>F</w:t>
      </w:r>
      <w:r w:rsidR="005B53B1" w:rsidRPr="007E7514">
        <w:rPr>
          <w:rFonts w:asciiTheme="minorHAnsi" w:hAnsiTheme="minorHAnsi" w:cstheme="minorHAnsi"/>
          <w:b/>
          <w:bCs/>
          <w:lang w:val="en-GB"/>
        </w:rPr>
        <w:t xml:space="preserve">ocal </w:t>
      </w:r>
      <w:r w:rsidR="00D26529" w:rsidRPr="007E7514">
        <w:rPr>
          <w:rFonts w:asciiTheme="minorHAnsi" w:hAnsiTheme="minorHAnsi" w:cstheme="minorHAnsi"/>
          <w:b/>
          <w:bCs/>
          <w:lang w:val="en-GB"/>
        </w:rPr>
        <w:t>A</w:t>
      </w:r>
      <w:r w:rsidR="005B53B1" w:rsidRPr="007E7514">
        <w:rPr>
          <w:rFonts w:asciiTheme="minorHAnsi" w:hAnsiTheme="minorHAnsi" w:cstheme="minorHAnsi"/>
          <w:b/>
          <w:bCs/>
          <w:lang w:val="en-GB"/>
        </w:rPr>
        <w:t xml:space="preserve">rea </w:t>
      </w:r>
      <w:r w:rsidR="00D26529" w:rsidRPr="007E7514">
        <w:rPr>
          <w:rFonts w:asciiTheme="minorHAnsi" w:hAnsiTheme="minorHAnsi" w:cstheme="minorHAnsi"/>
          <w:b/>
          <w:bCs/>
          <w:lang w:val="en-GB"/>
        </w:rPr>
        <w:t>E</w:t>
      </w:r>
      <w:r w:rsidR="005B53B1" w:rsidRPr="007E7514">
        <w:rPr>
          <w:rFonts w:asciiTheme="minorHAnsi" w:hAnsiTheme="minorHAnsi" w:cstheme="minorHAnsi"/>
          <w:b/>
          <w:bCs/>
          <w:lang w:val="en-GB"/>
        </w:rPr>
        <w:t xml:space="preserve">volution in </w:t>
      </w:r>
      <w:r w:rsidR="00D26529" w:rsidRPr="007E7514">
        <w:rPr>
          <w:rFonts w:asciiTheme="minorHAnsi" w:hAnsiTheme="minorHAnsi" w:cstheme="minorHAnsi"/>
          <w:b/>
          <w:bCs/>
          <w:lang w:val="en-GB"/>
        </w:rPr>
        <w:t>R</w:t>
      </w:r>
      <w:r w:rsidR="005B53B1" w:rsidRPr="007E7514">
        <w:rPr>
          <w:rFonts w:asciiTheme="minorHAnsi" w:hAnsiTheme="minorHAnsi" w:cstheme="minorHAnsi"/>
          <w:b/>
          <w:bCs/>
          <w:lang w:val="en-GB"/>
        </w:rPr>
        <w:t>esponse to the Minamata Convention</w:t>
      </w:r>
    </w:p>
    <w:p w14:paraId="282ED060" w14:textId="2A1C1791" w:rsidR="000F15A9" w:rsidRPr="007E7514" w:rsidRDefault="005B53B1" w:rsidP="00B7581D">
      <w:pPr>
        <w:pStyle w:val="MainParagraphwith"/>
        <w:rPr>
          <w:lang w:val="en-GB"/>
        </w:rPr>
      </w:pPr>
      <w:r w:rsidRPr="007E7514">
        <w:rPr>
          <w:lang w:val="en-GB"/>
        </w:rPr>
        <w:t xml:space="preserve">As part of the Seventh Comprehensive Evaluation of the GEF, the IEO carried out </w:t>
      </w:r>
      <w:r w:rsidRPr="007E7514">
        <w:rPr>
          <w:lang w:val="en-GB"/>
        </w:rPr>
        <w:lastRenderedPageBreak/>
        <w:t xml:space="preserve">research to understand GEF’s </w:t>
      </w:r>
      <w:r w:rsidR="003E7378" w:rsidRPr="007E7514">
        <w:rPr>
          <w:lang w:val="en-GB"/>
        </w:rPr>
        <w:t>c</w:t>
      </w:r>
      <w:r w:rsidRPr="007E7514">
        <w:rPr>
          <w:lang w:val="en-GB"/>
        </w:rPr>
        <w:t xml:space="preserve">hemicals and </w:t>
      </w:r>
      <w:r w:rsidR="003E7378" w:rsidRPr="007E7514">
        <w:rPr>
          <w:lang w:val="en-GB"/>
        </w:rPr>
        <w:t>w</w:t>
      </w:r>
      <w:r w:rsidRPr="007E7514">
        <w:rPr>
          <w:lang w:val="en-GB"/>
        </w:rPr>
        <w:t xml:space="preserve">aste focal area evolution in response to the Stockholm and Minamata Conventions. The research concluded that GEF’s programming in </w:t>
      </w:r>
      <w:r w:rsidR="003E7378" w:rsidRPr="007E7514">
        <w:rPr>
          <w:lang w:val="en-GB"/>
        </w:rPr>
        <w:t>this focal area</w:t>
      </w:r>
      <w:r w:rsidRPr="007E7514">
        <w:rPr>
          <w:lang w:val="en-GB"/>
        </w:rPr>
        <w:t xml:space="preserve"> has been highly responsive to </w:t>
      </w:r>
      <w:r w:rsidR="003E7378" w:rsidRPr="007E7514">
        <w:rPr>
          <w:lang w:val="en-GB"/>
        </w:rPr>
        <w:t xml:space="preserve">the </w:t>
      </w:r>
      <w:r w:rsidRPr="007E7514">
        <w:rPr>
          <w:lang w:val="en-GB"/>
        </w:rPr>
        <w:t>relevant guidance from the Minamata Convention</w:t>
      </w:r>
      <w:r w:rsidR="003E7378" w:rsidRPr="007E7514">
        <w:rPr>
          <w:lang w:val="en-GB"/>
        </w:rPr>
        <w:t xml:space="preserve"> COP</w:t>
      </w:r>
      <w:r w:rsidRPr="007E7514">
        <w:rPr>
          <w:lang w:val="en-GB"/>
        </w:rPr>
        <w:t>. GEF support for mercury began in GEF-4</w:t>
      </w:r>
      <w:r w:rsidR="003E7378" w:rsidRPr="007E7514">
        <w:rPr>
          <w:lang w:val="en-GB"/>
        </w:rPr>
        <w:t>,</w:t>
      </w:r>
      <w:r w:rsidRPr="007E7514">
        <w:rPr>
          <w:lang w:val="en-GB"/>
        </w:rPr>
        <w:t xml:space="preserve"> before the Convention came into force</w:t>
      </w:r>
      <w:r w:rsidR="003E7378" w:rsidRPr="007E7514">
        <w:rPr>
          <w:lang w:val="en-GB"/>
        </w:rPr>
        <w:t>,</w:t>
      </w:r>
      <w:r w:rsidRPr="007E7514">
        <w:rPr>
          <w:lang w:val="en-GB"/>
        </w:rPr>
        <w:t xml:space="preserve"> with limited support through the </w:t>
      </w:r>
      <w:r w:rsidR="003E7378" w:rsidRPr="007E7514">
        <w:rPr>
          <w:lang w:val="en-GB"/>
        </w:rPr>
        <w:t>i</w:t>
      </w:r>
      <w:r w:rsidRPr="007E7514">
        <w:rPr>
          <w:lang w:val="en-GB"/>
        </w:rPr>
        <w:t xml:space="preserve">nternational </w:t>
      </w:r>
      <w:r w:rsidR="003E7378" w:rsidRPr="007E7514">
        <w:rPr>
          <w:lang w:val="en-GB"/>
        </w:rPr>
        <w:t>w</w:t>
      </w:r>
      <w:r w:rsidRPr="007E7514">
        <w:rPr>
          <w:lang w:val="en-GB"/>
        </w:rPr>
        <w:t>aters focal area</w:t>
      </w:r>
      <w:r w:rsidR="004119C1" w:rsidRPr="007E7514">
        <w:rPr>
          <w:lang w:val="en-GB"/>
        </w:rPr>
        <w:t>,</w:t>
      </w:r>
      <w:r w:rsidRPr="007E7514">
        <w:rPr>
          <w:lang w:val="en-GB"/>
        </w:rPr>
        <w:t xml:space="preserve"> and in GEF-5 and GEF-6 through the </w:t>
      </w:r>
      <w:r w:rsidR="003E7378" w:rsidRPr="007E7514">
        <w:rPr>
          <w:lang w:val="en-GB"/>
        </w:rPr>
        <w:t xml:space="preserve">support provided in relation to </w:t>
      </w:r>
      <w:r w:rsidRPr="007E7514">
        <w:rPr>
          <w:lang w:val="en-GB"/>
        </w:rPr>
        <w:t xml:space="preserve">POPs and </w:t>
      </w:r>
      <w:r w:rsidR="003E7378" w:rsidRPr="007E7514">
        <w:rPr>
          <w:lang w:val="en-GB"/>
        </w:rPr>
        <w:t>ozone</w:t>
      </w:r>
      <w:r w:rsidR="004119C1" w:rsidRPr="007E7514">
        <w:rPr>
          <w:lang w:val="en-GB"/>
        </w:rPr>
        <w:t>-</w:t>
      </w:r>
      <w:r w:rsidR="003E7378" w:rsidRPr="007E7514">
        <w:rPr>
          <w:lang w:val="en-GB"/>
        </w:rPr>
        <w:t>depleting substances</w:t>
      </w:r>
      <w:r w:rsidR="004119C1" w:rsidRPr="007E7514">
        <w:rPr>
          <w:lang w:val="en-GB"/>
        </w:rPr>
        <w:t xml:space="preserve"> (ODS)</w:t>
      </w:r>
      <w:r w:rsidRPr="007E7514">
        <w:rPr>
          <w:lang w:val="en-GB"/>
        </w:rPr>
        <w:t xml:space="preserve">. Although activities for the early implementation of the Convention were not explicitly referenced in any replenishment phase, MIAs and ASGM NAPs were approved </w:t>
      </w:r>
      <w:r w:rsidR="003E7378" w:rsidRPr="007E7514">
        <w:rPr>
          <w:lang w:val="en-GB"/>
        </w:rPr>
        <w:t>in</w:t>
      </w:r>
      <w:r w:rsidRPr="007E7514">
        <w:rPr>
          <w:lang w:val="en-GB"/>
        </w:rPr>
        <w:t xml:space="preserve"> these phases. After the Convention came into force in 2017, </w:t>
      </w:r>
      <w:r w:rsidR="003E7378" w:rsidRPr="007E7514">
        <w:rPr>
          <w:lang w:val="en-GB"/>
        </w:rPr>
        <w:t xml:space="preserve">the </w:t>
      </w:r>
      <w:r w:rsidRPr="007E7514">
        <w:rPr>
          <w:lang w:val="en-GB"/>
        </w:rPr>
        <w:t xml:space="preserve">GEF </w:t>
      </w:r>
      <w:r w:rsidR="003E7378" w:rsidRPr="007E7514">
        <w:rPr>
          <w:lang w:val="en-GB"/>
        </w:rPr>
        <w:t>significantly increased</w:t>
      </w:r>
      <w:r w:rsidRPr="007E7514">
        <w:rPr>
          <w:lang w:val="en-GB"/>
        </w:rPr>
        <w:t xml:space="preserve"> funding</w:t>
      </w:r>
      <w:r w:rsidR="003E7378" w:rsidRPr="007E7514">
        <w:rPr>
          <w:lang w:val="en-GB"/>
        </w:rPr>
        <w:t xml:space="preserve">, </w:t>
      </w:r>
      <w:r w:rsidRPr="007E7514">
        <w:rPr>
          <w:lang w:val="en-GB"/>
        </w:rPr>
        <w:t xml:space="preserve">including a notional allocation </w:t>
      </w:r>
      <w:r w:rsidR="003E7378" w:rsidRPr="007E7514">
        <w:rPr>
          <w:lang w:val="en-GB"/>
        </w:rPr>
        <w:t xml:space="preserve">of $14 million </w:t>
      </w:r>
      <w:r w:rsidRPr="007E7514">
        <w:rPr>
          <w:lang w:val="en-GB"/>
        </w:rPr>
        <w:t xml:space="preserve">for </w:t>
      </w:r>
      <w:r w:rsidR="003E7378" w:rsidRPr="007E7514">
        <w:rPr>
          <w:lang w:val="en-GB"/>
        </w:rPr>
        <w:t>EAs</w:t>
      </w:r>
      <w:r w:rsidR="00F67435" w:rsidRPr="007E7514">
        <w:rPr>
          <w:lang w:val="en-GB"/>
        </w:rPr>
        <w:t xml:space="preserve"> in GEF-7</w:t>
      </w:r>
      <w:r w:rsidRPr="007E7514">
        <w:rPr>
          <w:lang w:val="en-GB"/>
        </w:rPr>
        <w:t xml:space="preserve">. All </w:t>
      </w:r>
      <w:r w:rsidR="003E7378" w:rsidRPr="007E7514">
        <w:rPr>
          <w:lang w:val="en-GB"/>
        </w:rPr>
        <w:t>EAs</w:t>
      </w:r>
      <w:r w:rsidRPr="007E7514">
        <w:rPr>
          <w:lang w:val="en-GB"/>
        </w:rPr>
        <w:t xml:space="preserve"> submitted to </w:t>
      </w:r>
      <w:r w:rsidR="003E7378" w:rsidRPr="007E7514">
        <w:rPr>
          <w:lang w:val="en-GB"/>
        </w:rPr>
        <w:t xml:space="preserve">the </w:t>
      </w:r>
      <w:r w:rsidRPr="007E7514">
        <w:rPr>
          <w:lang w:val="en-GB"/>
        </w:rPr>
        <w:t xml:space="preserve">GEF have received funding in GEF-6 and GEF-7. GEF support to the Convention </w:t>
      </w:r>
      <w:r w:rsidR="003E7378" w:rsidRPr="007E7514">
        <w:rPr>
          <w:lang w:val="en-GB"/>
        </w:rPr>
        <w:t xml:space="preserve">implementation </w:t>
      </w:r>
      <w:r w:rsidRPr="007E7514">
        <w:rPr>
          <w:lang w:val="en-GB"/>
        </w:rPr>
        <w:t xml:space="preserve">includes assisting countries in their legally binding obligations </w:t>
      </w:r>
      <w:r w:rsidR="003E7378" w:rsidRPr="007E7514">
        <w:rPr>
          <w:lang w:val="en-GB"/>
        </w:rPr>
        <w:t>under</w:t>
      </w:r>
      <w:r w:rsidRPr="007E7514">
        <w:rPr>
          <w:lang w:val="en-GB"/>
        </w:rPr>
        <w:t xml:space="preserve"> the Convention through implementation of projects to minimize, reduce or eliminate mercury in mining</w:t>
      </w:r>
      <w:r w:rsidR="00F67435" w:rsidRPr="007E7514">
        <w:rPr>
          <w:lang w:val="en-GB"/>
        </w:rPr>
        <w:t xml:space="preserve">, </w:t>
      </w:r>
      <w:r w:rsidRPr="007E7514">
        <w:rPr>
          <w:lang w:val="en-GB"/>
        </w:rPr>
        <w:t>agriculture and manufacturing processes. Best Available Techniques and Best Environmental Practices (BAT</w:t>
      </w:r>
      <w:r w:rsidR="003E7378" w:rsidRPr="007E7514">
        <w:rPr>
          <w:lang w:val="en-GB"/>
        </w:rPr>
        <w:t>s</w:t>
      </w:r>
      <w:r w:rsidRPr="007E7514">
        <w:rPr>
          <w:lang w:val="en-GB"/>
        </w:rPr>
        <w:t>/BEP</w:t>
      </w:r>
      <w:r w:rsidR="003E7378" w:rsidRPr="007E7514">
        <w:rPr>
          <w:lang w:val="en-GB"/>
        </w:rPr>
        <w:t>s</w:t>
      </w:r>
      <w:r w:rsidRPr="007E7514">
        <w:rPr>
          <w:lang w:val="en-GB"/>
        </w:rPr>
        <w:t>) for the management of mercury</w:t>
      </w:r>
      <w:r w:rsidR="00C02A4D" w:rsidRPr="007E7514">
        <w:rPr>
          <w:lang w:val="en-GB"/>
        </w:rPr>
        <w:t xml:space="preserve"> were applied in GEF-6 and GEF-7</w:t>
      </w:r>
      <w:r w:rsidRPr="007E7514">
        <w:rPr>
          <w:lang w:val="en-GB"/>
        </w:rPr>
        <w:t>.</w:t>
      </w:r>
    </w:p>
    <w:p w14:paraId="26FCAC0C" w14:textId="72EC4C6C" w:rsidR="005138BC" w:rsidRPr="007E7514" w:rsidRDefault="005138BC" w:rsidP="002D4A77">
      <w:pPr>
        <w:pStyle w:val="Heading2"/>
        <w:rPr>
          <w:lang w:val="en-GB"/>
        </w:rPr>
      </w:pPr>
      <w:bookmarkStart w:id="62" w:name="_bookmark32"/>
      <w:bookmarkStart w:id="63" w:name="_bookmark33"/>
      <w:bookmarkStart w:id="64" w:name="_bookmark34"/>
      <w:bookmarkStart w:id="65" w:name="_Toc76405379"/>
      <w:bookmarkStart w:id="66" w:name="_Hlk10034608"/>
      <w:bookmarkEnd w:id="62"/>
      <w:bookmarkEnd w:id="63"/>
      <w:bookmarkEnd w:id="64"/>
      <w:r w:rsidRPr="007E7514">
        <w:rPr>
          <w:lang w:val="en-GB"/>
        </w:rPr>
        <w:t>GEF</w:t>
      </w:r>
      <w:r w:rsidR="00B546FC" w:rsidRPr="007E7514">
        <w:rPr>
          <w:lang w:val="en-GB"/>
        </w:rPr>
        <w:t>-7 Results</w:t>
      </w:r>
      <w:bookmarkEnd w:id="65"/>
    </w:p>
    <w:bookmarkEnd w:id="66"/>
    <w:p w14:paraId="4661128A" w14:textId="544E3ED3" w:rsidR="005138BC" w:rsidRPr="007E7514" w:rsidRDefault="005138BC" w:rsidP="00B7581D">
      <w:pPr>
        <w:pStyle w:val="MainParagraphwith"/>
        <w:rPr>
          <w:lang w:val="en-GB"/>
        </w:rPr>
      </w:pPr>
      <w:r w:rsidRPr="007E7514">
        <w:rPr>
          <w:lang w:val="en-GB"/>
        </w:rPr>
        <w:t>In GEF-</w:t>
      </w:r>
      <w:r w:rsidR="00DE03BB" w:rsidRPr="007E7514">
        <w:rPr>
          <w:lang w:val="en-GB"/>
        </w:rPr>
        <w:t>7</w:t>
      </w:r>
      <w:r w:rsidRPr="007E7514">
        <w:rPr>
          <w:lang w:val="en-GB"/>
        </w:rPr>
        <w:t xml:space="preserve">, </w:t>
      </w:r>
      <w:r w:rsidR="00D0328B" w:rsidRPr="007E7514">
        <w:rPr>
          <w:lang w:val="en-GB"/>
        </w:rPr>
        <w:t xml:space="preserve">a new results framework </w:t>
      </w:r>
      <w:r w:rsidR="00ED51E9" w:rsidRPr="007E7514">
        <w:rPr>
          <w:lang w:val="en-GB"/>
        </w:rPr>
        <w:t>has been implemented.</w:t>
      </w:r>
      <w:r w:rsidR="00CA0B81" w:rsidRPr="007E7514">
        <w:rPr>
          <w:lang w:val="en-GB"/>
        </w:rPr>
        <w:t xml:space="preserve"> </w:t>
      </w:r>
      <w:r w:rsidR="00D0328B" w:rsidRPr="007E7514">
        <w:rPr>
          <w:lang w:val="en-GB"/>
        </w:rPr>
        <w:t xml:space="preserve">This framework includes </w:t>
      </w:r>
      <w:r w:rsidRPr="007E7514">
        <w:rPr>
          <w:lang w:val="en-GB"/>
        </w:rPr>
        <w:t>several cor</w:t>
      </w:r>
      <w:r w:rsidR="00336F94" w:rsidRPr="007E7514">
        <w:rPr>
          <w:lang w:val="en-GB"/>
        </w:rPr>
        <w:t>e</w:t>
      </w:r>
      <w:r w:rsidRPr="007E7514">
        <w:rPr>
          <w:lang w:val="en-GB"/>
        </w:rPr>
        <w:t xml:space="preserve"> indicators </w:t>
      </w:r>
      <w:r w:rsidR="003E7378" w:rsidRPr="007E7514">
        <w:rPr>
          <w:lang w:val="en-GB"/>
        </w:rPr>
        <w:t>that</w:t>
      </w:r>
      <w:r w:rsidR="00D0328B" w:rsidRPr="007E7514">
        <w:rPr>
          <w:lang w:val="en-GB"/>
        </w:rPr>
        <w:t xml:space="preserve"> </w:t>
      </w:r>
      <w:r w:rsidRPr="007E7514">
        <w:rPr>
          <w:lang w:val="en-GB"/>
        </w:rPr>
        <w:t>monitor the progress of implementation of the GEF-</w:t>
      </w:r>
      <w:r w:rsidR="00336F94" w:rsidRPr="007E7514">
        <w:rPr>
          <w:lang w:val="en-GB"/>
        </w:rPr>
        <w:t>7</w:t>
      </w:r>
      <w:r w:rsidRPr="007E7514">
        <w:rPr>
          <w:lang w:val="en-GB"/>
        </w:rPr>
        <w:t xml:space="preserve"> </w:t>
      </w:r>
      <w:r w:rsidR="003E7378" w:rsidRPr="007E7514">
        <w:rPr>
          <w:lang w:val="en-GB"/>
        </w:rPr>
        <w:t>P</w:t>
      </w:r>
      <w:r w:rsidRPr="007E7514">
        <w:rPr>
          <w:lang w:val="en-GB"/>
        </w:rPr>
        <w:t xml:space="preserve">rogramming </w:t>
      </w:r>
      <w:r w:rsidR="003E7378" w:rsidRPr="007E7514">
        <w:rPr>
          <w:lang w:val="en-GB"/>
        </w:rPr>
        <w:t>S</w:t>
      </w:r>
      <w:r w:rsidRPr="007E7514">
        <w:rPr>
          <w:lang w:val="en-GB"/>
        </w:rPr>
        <w:t xml:space="preserve">trategy. </w:t>
      </w:r>
      <w:r w:rsidR="00D37192" w:rsidRPr="007E7514">
        <w:rPr>
          <w:lang w:val="en-GB"/>
        </w:rPr>
        <w:t>Starting</w:t>
      </w:r>
      <w:r w:rsidR="003E7378" w:rsidRPr="007E7514">
        <w:rPr>
          <w:lang w:val="en-GB"/>
        </w:rPr>
        <w:t xml:space="preserve"> with</w:t>
      </w:r>
      <w:r w:rsidR="006611BA" w:rsidRPr="007E7514">
        <w:rPr>
          <w:lang w:val="en-GB"/>
        </w:rPr>
        <w:t xml:space="preserve"> GEF-7</w:t>
      </w:r>
      <w:r w:rsidR="003E7378" w:rsidRPr="007E7514">
        <w:rPr>
          <w:lang w:val="en-GB"/>
        </w:rPr>
        <w:t>,</w:t>
      </w:r>
      <w:r w:rsidR="006611BA" w:rsidRPr="007E7514">
        <w:rPr>
          <w:lang w:val="en-GB"/>
        </w:rPr>
        <w:t xml:space="preserve"> t</w:t>
      </w:r>
      <w:r w:rsidRPr="007E7514">
        <w:rPr>
          <w:lang w:val="en-GB"/>
        </w:rPr>
        <w:t>he Secretariat pre</w:t>
      </w:r>
      <w:r w:rsidR="0000589B" w:rsidRPr="007E7514">
        <w:rPr>
          <w:lang w:val="en-GB"/>
        </w:rPr>
        <w:t>pared</w:t>
      </w:r>
      <w:r w:rsidRPr="007E7514">
        <w:rPr>
          <w:lang w:val="en-GB"/>
        </w:rPr>
        <w:t xml:space="preserve"> </w:t>
      </w:r>
      <w:r w:rsidR="006611BA" w:rsidRPr="007E7514">
        <w:rPr>
          <w:lang w:val="en-GB"/>
        </w:rPr>
        <w:t>a</w:t>
      </w:r>
      <w:r w:rsidRPr="007E7514">
        <w:rPr>
          <w:lang w:val="en-GB"/>
        </w:rPr>
        <w:t xml:space="preserve"> Corporate Scorecard </w:t>
      </w:r>
      <w:r w:rsidR="00C2023C" w:rsidRPr="007E7514">
        <w:rPr>
          <w:lang w:val="en-GB"/>
        </w:rPr>
        <w:t xml:space="preserve">for </w:t>
      </w:r>
      <w:r w:rsidR="006611BA" w:rsidRPr="007E7514">
        <w:rPr>
          <w:lang w:val="en-GB"/>
        </w:rPr>
        <w:t>the</w:t>
      </w:r>
      <w:r w:rsidRPr="007E7514">
        <w:rPr>
          <w:lang w:val="en-GB"/>
        </w:rPr>
        <w:t xml:space="preserve"> GEF Council</w:t>
      </w:r>
      <w:r w:rsidR="006611BA" w:rsidRPr="007E7514">
        <w:rPr>
          <w:lang w:val="en-GB"/>
        </w:rPr>
        <w:t xml:space="preserve"> meetings</w:t>
      </w:r>
      <w:r w:rsidR="000F4570" w:rsidRPr="007E7514">
        <w:rPr>
          <w:lang w:val="en-GB"/>
        </w:rPr>
        <w:t xml:space="preserve">, </w:t>
      </w:r>
      <w:r w:rsidR="006611BA" w:rsidRPr="007E7514">
        <w:rPr>
          <w:lang w:val="en-GB"/>
        </w:rPr>
        <w:t>including the 60</w:t>
      </w:r>
      <w:r w:rsidR="006611BA" w:rsidRPr="007E7514">
        <w:rPr>
          <w:vertAlign w:val="superscript"/>
          <w:lang w:val="en-GB"/>
        </w:rPr>
        <w:t>th</w:t>
      </w:r>
      <w:r w:rsidR="006611BA" w:rsidRPr="007E7514">
        <w:rPr>
          <w:lang w:val="en-GB"/>
        </w:rPr>
        <w:t xml:space="preserve"> Council</w:t>
      </w:r>
      <w:r w:rsidR="000F4570" w:rsidRPr="007E7514">
        <w:rPr>
          <w:lang w:val="en-GB"/>
        </w:rPr>
        <w:t xml:space="preserve"> </w:t>
      </w:r>
      <w:r w:rsidR="003E7378" w:rsidRPr="007E7514">
        <w:rPr>
          <w:lang w:val="en-GB"/>
        </w:rPr>
        <w:t xml:space="preserve">meeting </w:t>
      </w:r>
      <w:r w:rsidR="000F4570" w:rsidRPr="007E7514">
        <w:rPr>
          <w:lang w:val="en-GB"/>
        </w:rPr>
        <w:t>in June 20</w:t>
      </w:r>
      <w:r w:rsidR="006611BA" w:rsidRPr="007E7514">
        <w:rPr>
          <w:lang w:val="en-GB"/>
        </w:rPr>
        <w:t>21</w:t>
      </w:r>
      <w:r w:rsidR="000F4570" w:rsidRPr="007E7514">
        <w:rPr>
          <w:lang w:val="en-GB"/>
        </w:rPr>
        <w:t>,</w:t>
      </w:r>
      <w:r w:rsidRPr="007E7514">
        <w:rPr>
          <w:lang w:val="en-GB"/>
        </w:rPr>
        <w:t xml:space="preserve"> </w:t>
      </w:r>
      <w:r w:rsidR="003E7378" w:rsidRPr="007E7514">
        <w:rPr>
          <w:lang w:val="en-GB"/>
        </w:rPr>
        <w:t>presenting</w:t>
      </w:r>
      <w:r w:rsidRPr="007E7514">
        <w:rPr>
          <w:lang w:val="en-GB"/>
        </w:rPr>
        <w:t xml:space="preserve"> the results of chemicals and waste focal area in: (i) contribution to the generation of </w:t>
      </w:r>
      <w:r w:rsidR="003E7378" w:rsidRPr="007E7514">
        <w:rPr>
          <w:lang w:val="en-GB"/>
        </w:rPr>
        <w:t>GEBs</w:t>
      </w:r>
      <w:r w:rsidRPr="007E7514">
        <w:rPr>
          <w:lang w:val="en-GB"/>
        </w:rPr>
        <w:t xml:space="preserve">; and (ii) utilization of </w:t>
      </w:r>
      <w:r w:rsidR="004C4C4B" w:rsidRPr="007E7514">
        <w:rPr>
          <w:lang w:val="en-GB"/>
        </w:rPr>
        <w:t xml:space="preserve">GEF-7 </w:t>
      </w:r>
      <w:r w:rsidRPr="007E7514">
        <w:rPr>
          <w:lang w:val="en-GB"/>
        </w:rPr>
        <w:t xml:space="preserve">funds against the </w:t>
      </w:r>
      <w:r w:rsidR="00370AB7" w:rsidRPr="007E7514">
        <w:rPr>
          <w:lang w:val="en-GB"/>
        </w:rPr>
        <w:t xml:space="preserve">notional </w:t>
      </w:r>
      <w:r w:rsidR="0018458A" w:rsidRPr="007E7514">
        <w:rPr>
          <w:lang w:val="en-GB"/>
        </w:rPr>
        <w:t>allocation</w:t>
      </w:r>
      <w:r w:rsidR="001A2394" w:rsidRPr="007E7514">
        <w:rPr>
          <w:lang w:val="en-GB"/>
        </w:rPr>
        <w:t xml:space="preserve"> </w:t>
      </w:r>
      <w:r w:rsidR="00706BF9" w:rsidRPr="007E7514">
        <w:rPr>
          <w:lang w:val="en-GB"/>
        </w:rPr>
        <w:t>for the Minamata Convention</w:t>
      </w:r>
      <w:r w:rsidRPr="007E7514">
        <w:rPr>
          <w:lang w:val="en-GB"/>
        </w:rPr>
        <w:t>.</w:t>
      </w:r>
      <w:r w:rsidRPr="007E7514">
        <w:rPr>
          <w:vertAlign w:val="superscript"/>
          <w:lang w:val="en-GB"/>
        </w:rPr>
        <w:footnoteReference w:id="30"/>
      </w:r>
    </w:p>
    <w:p w14:paraId="5C572BD8" w14:textId="1005C1D9" w:rsidR="003348CD" w:rsidRPr="007E7514" w:rsidRDefault="005138BC" w:rsidP="00B7581D">
      <w:pPr>
        <w:pStyle w:val="MainParagraphwith"/>
        <w:rPr>
          <w:lang w:val="en-GB"/>
        </w:rPr>
      </w:pPr>
      <w:r w:rsidRPr="007E7514">
        <w:rPr>
          <w:lang w:val="en-GB"/>
        </w:rPr>
        <w:t xml:space="preserve">The Corporate Scorecard showed that the </w:t>
      </w:r>
      <w:r w:rsidR="00FB58CE" w:rsidRPr="007E7514">
        <w:rPr>
          <w:lang w:val="en-GB"/>
        </w:rPr>
        <w:t>c</w:t>
      </w:r>
      <w:r w:rsidR="00DD6A03" w:rsidRPr="007E7514">
        <w:rPr>
          <w:lang w:val="en-GB"/>
        </w:rPr>
        <w:t xml:space="preserve">hemicals and </w:t>
      </w:r>
      <w:r w:rsidR="00FB58CE" w:rsidRPr="007E7514">
        <w:rPr>
          <w:lang w:val="en-GB"/>
        </w:rPr>
        <w:t>w</w:t>
      </w:r>
      <w:r w:rsidR="00DD6A03" w:rsidRPr="007E7514">
        <w:rPr>
          <w:lang w:val="en-GB"/>
        </w:rPr>
        <w:t>aste</w:t>
      </w:r>
      <w:r w:rsidRPr="007E7514">
        <w:rPr>
          <w:lang w:val="en-GB"/>
        </w:rPr>
        <w:t xml:space="preserve"> projects approved </w:t>
      </w:r>
      <w:r w:rsidR="00BB0821" w:rsidRPr="007E7514">
        <w:rPr>
          <w:lang w:val="en-GB"/>
        </w:rPr>
        <w:t xml:space="preserve">in GEF-7 </w:t>
      </w:r>
      <w:r w:rsidRPr="007E7514">
        <w:rPr>
          <w:lang w:val="en-GB"/>
        </w:rPr>
        <w:t>contributed</w:t>
      </w:r>
      <w:r w:rsidR="00373E25" w:rsidRPr="007E7514">
        <w:rPr>
          <w:lang w:val="en-GB"/>
        </w:rPr>
        <w:t xml:space="preserve"> </w:t>
      </w:r>
      <w:r w:rsidR="00CE170F" w:rsidRPr="007E7514">
        <w:rPr>
          <w:lang w:val="en-GB"/>
        </w:rPr>
        <w:t>to 3</w:t>
      </w:r>
      <w:r w:rsidR="006611BA" w:rsidRPr="007E7514">
        <w:rPr>
          <w:lang w:val="en-GB"/>
        </w:rPr>
        <w:t>7.9</w:t>
      </w:r>
      <w:r w:rsidRPr="007E7514">
        <w:rPr>
          <w:lang w:val="en-GB"/>
        </w:rPr>
        <w:t xml:space="preserve"> percent of the GEF-</w:t>
      </w:r>
      <w:r w:rsidR="00CE170F" w:rsidRPr="007E7514">
        <w:rPr>
          <w:lang w:val="en-GB"/>
        </w:rPr>
        <w:t>7</w:t>
      </w:r>
      <w:r w:rsidRPr="007E7514">
        <w:rPr>
          <w:lang w:val="en-GB"/>
        </w:rPr>
        <w:t xml:space="preserve"> corporate target of </w:t>
      </w:r>
      <w:r w:rsidR="004C4C4B" w:rsidRPr="007E7514">
        <w:rPr>
          <w:lang w:val="en-GB"/>
        </w:rPr>
        <w:t xml:space="preserve">reducing </w:t>
      </w:r>
      <w:r w:rsidRPr="007E7514">
        <w:rPr>
          <w:lang w:val="en-GB"/>
        </w:rPr>
        <w:t>1</w:t>
      </w:r>
      <w:r w:rsidR="001A2658" w:rsidRPr="007E7514">
        <w:rPr>
          <w:lang w:val="en-GB"/>
        </w:rPr>
        <w:t>00</w:t>
      </w:r>
      <w:r w:rsidRPr="007E7514">
        <w:rPr>
          <w:lang w:val="en-GB"/>
        </w:rPr>
        <w:t xml:space="preserve">,000 tons </w:t>
      </w:r>
      <w:r w:rsidR="004C4C4B" w:rsidRPr="007E7514">
        <w:rPr>
          <w:lang w:val="en-GB"/>
        </w:rPr>
        <w:t>of</w:t>
      </w:r>
      <w:r w:rsidR="001A2658" w:rsidRPr="007E7514">
        <w:rPr>
          <w:lang w:val="en-GB"/>
        </w:rPr>
        <w:t xml:space="preserve"> chemicals, including </w:t>
      </w:r>
      <w:r w:rsidR="00F67435" w:rsidRPr="007E7514">
        <w:rPr>
          <w:lang w:val="en-GB"/>
        </w:rPr>
        <w:t xml:space="preserve">by reducing nearly </w:t>
      </w:r>
      <w:r w:rsidR="006611BA" w:rsidRPr="007E7514">
        <w:rPr>
          <w:lang w:val="en-GB"/>
        </w:rPr>
        <w:t xml:space="preserve">2,000 metric tons of </w:t>
      </w:r>
      <w:r w:rsidR="001A2658" w:rsidRPr="007E7514">
        <w:rPr>
          <w:lang w:val="en-GB"/>
        </w:rPr>
        <w:t>mercury</w:t>
      </w:r>
      <w:r w:rsidR="006611BA" w:rsidRPr="007E7514">
        <w:rPr>
          <w:lang w:val="en-GB"/>
        </w:rPr>
        <w:t xml:space="preserve"> and 2.6 million metric tons of POPs and mercury</w:t>
      </w:r>
      <w:r w:rsidR="004C4C4B" w:rsidRPr="007E7514">
        <w:rPr>
          <w:lang w:val="en-GB"/>
        </w:rPr>
        <w:t>-</w:t>
      </w:r>
      <w:r w:rsidR="006611BA" w:rsidRPr="007E7514">
        <w:rPr>
          <w:lang w:val="en-GB"/>
        </w:rPr>
        <w:t>containing material</w:t>
      </w:r>
      <w:r w:rsidRPr="007E7514">
        <w:rPr>
          <w:lang w:val="en-GB"/>
        </w:rPr>
        <w:t xml:space="preserve">. </w:t>
      </w:r>
      <w:r w:rsidR="00EF4E83" w:rsidRPr="007E7514">
        <w:rPr>
          <w:lang w:val="en-GB"/>
        </w:rPr>
        <w:t xml:space="preserve">The </w:t>
      </w:r>
      <w:r w:rsidR="004C4C4B" w:rsidRPr="007E7514">
        <w:rPr>
          <w:lang w:val="en-GB"/>
        </w:rPr>
        <w:t>S</w:t>
      </w:r>
      <w:r w:rsidR="00EF4E83" w:rsidRPr="007E7514">
        <w:rPr>
          <w:lang w:val="en-GB"/>
        </w:rPr>
        <w:t xml:space="preserve">corecard </w:t>
      </w:r>
      <w:r w:rsidRPr="007E7514">
        <w:rPr>
          <w:lang w:val="en-GB"/>
        </w:rPr>
        <w:t>also showed that the GEF had programme</w:t>
      </w:r>
      <w:r w:rsidR="00441EDA" w:rsidRPr="007E7514">
        <w:rPr>
          <w:lang w:val="en-GB"/>
        </w:rPr>
        <w:t xml:space="preserve">d </w:t>
      </w:r>
      <w:r w:rsidR="00B928B9" w:rsidRPr="007E7514">
        <w:rPr>
          <w:lang w:val="en-GB"/>
        </w:rPr>
        <w:t>81</w:t>
      </w:r>
      <w:r w:rsidRPr="007E7514">
        <w:rPr>
          <w:lang w:val="en-GB"/>
        </w:rPr>
        <w:t xml:space="preserve"> percent of the </w:t>
      </w:r>
      <w:r w:rsidR="00CA7AA6" w:rsidRPr="007E7514">
        <w:rPr>
          <w:lang w:val="en-GB"/>
        </w:rPr>
        <w:t>allocated</w:t>
      </w:r>
      <w:r w:rsidRPr="007E7514">
        <w:rPr>
          <w:lang w:val="en-GB"/>
        </w:rPr>
        <w:t xml:space="preserve"> </w:t>
      </w:r>
      <w:r w:rsidR="004C4C4B" w:rsidRPr="007E7514">
        <w:rPr>
          <w:lang w:val="en-GB"/>
        </w:rPr>
        <w:t xml:space="preserve">GEF-7 </w:t>
      </w:r>
      <w:r w:rsidRPr="007E7514">
        <w:rPr>
          <w:lang w:val="en-GB"/>
        </w:rPr>
        <w:t xml:space="preserve">mercury resources. </w:t>
      </w:r>
      <w:bookmarkStart w:id="67" w:name="_Hlk528747526"/>
    </w:p>
    <w:p w14:paraId="53A90426" w14:textId="4D4BA26D" w:rsidR="008D1113" w:rsidRPr="007E7514" w:rsidRDefault="003348CD" w:rsidP="00B7581D">
      <w:pPr>
        <w:pStyle w:val="MainParagraphwith"/>
        <w:rPr>
          <w:lang w:val="en-GB"/>
        </w:rPr>
      </w:pPr>
      <w:r w:rsidRPr="007E7514">
        <w:rPr>
          <w:lang w:val="en-GB"/>
        </w:rPr>
        <w:t xml:space="preserve"> In GEF</w:t>
      </w:r>
      <w:r w:rsidR="00D24CA4" w:rsidRPr="007E7514">
        <w:rPr>
          <w:lang w:val="en-GB"/>
        </w:rPr>
        <w:t>-</w:t>
      </w:r>
      <w:r w:rsidRPr="007E7514">
        <w:rPr>
          <w:lang w:val="en-GB"/>
        </w:rPr>
        <w:t xml:space="preserve">7, the majority of </w:t>
      </w:r>
      <w:r w:rsidR="00B30A5F" w:rsidRPr="007E7514">
        <w:rPr>
          <w:lang w:val="en-GB"/>
        </w:rPr>
        <w:t>chemicals and waste</w:t>
      </w:r>
      <w:r w:rsidRPr="007E7514">
        <w:rPr>
          <w:lang w:val="en-GB"/>
        </w:rPr>
        <w:t xml:space="preserve"> projects and programs address chemicals that are contained in products, materials </w:t>
      </w:r>
      <w:r w:rsidR="00A9052C" w:rsidRPr="007E7514">
        <w:rPr>
          <w:lang w:val="en-GB"/>
        </w:rPr>
        <w:t xml:space="preserve">and </w:t>
      </w:r>
      <w:r w:rsidRPr="007E7514">
        <w:rPr>
          <w:lang w:val="en-GB"/>
        </w:rPr>
        <w:t xml:space="preserve">waste. These chemicals are contained in much larger volumes of material. The </w:t>
      </w:r>
      <w:r w:rsidR="00F67435" w:rsidRPr="007E7514">
        <w:rPr>
          <w:lang w:val="en-GB"/>
        </w:rPr>
        <w:t xml:space="preserve">framework’s </w:t>
      </w:r>
      <w:r w:rsidR="00B30A5F" w:rsidRPr="007E7514">
        <w:rPr>
          <w:lang w:val="en-GB"/>
        </w:rPr>
        <w:t>I</w:t>
      </w:r>
      <w:r w:rsidRPr="007E7514">
        <w:rPr>
          <w:lang w:val="en-GB"/>
        </w:rPr>
        <w:t xml:space="preserve">ndicator 9 captures the </w:t>
      </w:r>
      <w:r w:rsidR="00445110" w:rsidRPr="007E7514">
        <w:rPr>
          <w:lang w:val="en-GB"/>
        </w:rPr>
        <w:t>tons</w:t>
      </w:r>
      <w:r w:rsidRPr="007E7514">
        <w:rPr>
          <w:lang w:val="en-GB"/>
        </w:rPr>
        <w:t xml:space="preserve"> of pure chemicals only</w:t>
      </w:r>
      <w:r w:rsidR="00B30A5F" w:rsidRPr="007E7514">
        <w:rPr>
          <w:lang w:val="en-GB"/>
        </w:rPr>
        <w:t>,</w:t>
      </w:r>
      <w:r w:rsidRPr="007E7514">
        <w:rPr>
          <w:lang w:val="en-GB"/>
        </w:rPr>
        <w:t xml:space="preserve"> </w:t>
      </w:r>
      <w:r w:rsidR="00B30A5F" w:rsidRPr="007E7514">
        <w:rPr>
          <w:lang w:val="en-GB"/>
        </w:rPr>
        <w:t>which are</w:t>
      </w:r>
      <w:r w:rsidRPr="007E7514">
        <w:rPr>
          <w:lang w:val="en-GB"/>
        </w:rPr>
        <w:t xml:space="preserve"> a fraction of the waste stream or materials that the project has to manage.</w:t>
      </w:r>
      <w:r w:rsidR="00A4313F" w:rsidRPr="007E7514">
        <w:rPr>
          <w:lang w:val="en-GB"/>
        </w:rPr>
        <w:t xml:space="preserve"> </w:t>
      </w:r>
      <w:r w:rsidRPr="007E7514">
        <w:rPr>
          <w:lang w:val="en-GB"/>
        </w:rPr>
        <w:t xml:space="preserve">Targets presented at </w:t>
      </w:r>
      <w:r w:rsidR="00C05E59" w:rsidRPr="007E7514">
        <w:rPr>
          <w:lang w:val="en-GB"/>
        </w:rPr>
        <w:t xml:space="preserve">the </w:t>
      </w:r>
      <w:r w:rsidRPr="007E7514">
        <w:rPr>
          <w:lang w:val="en-GB"/>
        </w:rPr>
        <w:t>project concept stage (</w:t>
      </w:r>
      <w:r w:rsidR="00B30A5F" w:rsidRPr="007E7514">
        <w:rPr>
          <w:lang w:val="en-GB"/>
        </w:rPr>
        <w:t>project identification form (</w:t>
      </w:r>
      <w:r w:rsidRPr="007E7514">
        <w:rPr>
          <w:lang w:val="en-GB"/>
        </w:rPr>
        <w:t>PIF</w:t>
      </w:r>
      <w:r w:rsidR="00B30A5F" w:rsidRPr="007E7514">
        <w:rPr>
          <w:lang w:val="en-GB"/>
        </w:rPr>
        <w:t>)</w:t>
      </w:r>
      <w:r w:rsidRPr="007E7514">
        <w:rPr>
          <w:lang w:val="en-GB"/>
        </w:rPr>
        <w:t xml:space="preserve">/PFD) tend to </w:t>
      </w:r>
      <w:r w:rsidR="00B934E1" w:rsidRPr="007E7514">
        <w:rPr>
          <w:lang w:val="en-GB"/>
        </w:rPr>
        <w:t>be</w:t>
      </w:r>
      <w:r w:rsidR="009967C7" w:rsidRPr="007E7514">
        <w:rPr>
          <w:lang w:val="en-GB"/>
        </w:rPr>
        <w:t xml:space="preserve"> a conservative </w:t>
      </w:r>
      <w:r w:rsidRPr="007E7514">
        <w:rPr>
          <w:lang w:val="en-GB"/>
        </w:rPr>
        <w:t xml:space="preserve">estimate and </w:t>
      </w:r>
      <w:r w:rsidR="003F02EB" w:rsidRPr="007E7514">
        <w:rPr>
          <w:lang w:val="en-GB"/>
        </w:rPr>
        <w:t>there can be an</w:t>
      </w:r>
      <w:r w:rsidRPr="007E7514">
        <w:rPr>
          <w:lang w:val="en-GB"/>
        </w:rPr>
        <w:t xml:space="preserve"> increase in the expected results</w:t>
      </w:r>
      <w:r w:rsidR="005B6270" w:rsidRPr="007E7514">
        <w:rPr>
          <w:lang w:val="en-GB"/>
        </w:rPr>
        <w:t xml:space="preserve"> at the</w:t>
      </w:r>
      <w:r w:rsidR="004538D6" w:rsidRPr="007E7514">
        <w:rPr>
          <w:lang w:val="en-GB"/>
        </w:rPr>
        <w:t xml:space="preserve"> CEO</w:t>
      </w:r>
      <w:r w:rsidR="00F67435" w:rsidRPr="007E7514">
        <w:rPr>
          <w:lang w:val="en-GB"/>
        </w:rPr>
        <w:t xml:space="preserve"> </w:t>
      </w:r>
      <w:r w:rsidR="004538D6" w:rsidRPr="007E7514">
        <w:rPr>
          <w:lang w:val="en-GB"/>
        </w:rPr>
        <w:t>endorsement/approval</w:t>
      </w:r>
      <w:r w:rsidR="005B6270" w:rsidRPr="007E7514">
        <w:rPr>
          <w:lang w:val="en-GB"/>
        </w:rPr>
        <w:t xml:space="preserve"> stage</w:t>
      </w:r>
      <w:r w:rsidRPr="007E7514">
        <w:rPr>
          <w:lang w:val="en-GB"/>
        </w:rPr>
        <w:t xml:space="preserve">. </w:t>
      </w:r>
      <w:r w:rsidR="00B30A5F" w:rsidRPr="007E7514">
        <w:rPr>
          <w:lang w:val="en-GB"/>
        </w:rPr>
        <w:t>T</w:t>
      </w:r>
      <w:r w:rsidRPr="007E7514">
        <w:rPr>
          <w:lang w:val="en-GB"/>
        </w:rPr>
        <w:t xml:space="preserve">he </w:t>
      </w:r>
      <w:r w:rsidR="003F02EB" w:rsidRPr="007E7514">
        <w:rPr>
          <w:lang w:val="en-GB"/>
        </w:rPr>
        <w:t>S</w:t>
      </w:r>
      <w:r w:rsidRPr="007E7514">
        <w:rPr>
          <w:lang w:val="en-GB"/>
        </w:rPr>
        <w:t>corecard only provide</w:t>
      </w:r>
      <w:r w:rsidR="00B30A5F" w:rsidRPr="007E7514">
        <w:rPr>
          <w:lang w:val="en-GB"/>
        </w:rPr>
        <w:t>d</w:t>
      </w:r>
      <w:r w:rsidRPr="007E7514">
        <w:rPr>
          <w:lang w:val="en-GB"/>
        </w:rPr>
        <w:t xml:space="preserve"> data at PIF</w:t>
      </w:r>
      <w:r w:rsidR="00C05E59" w:rsidRPr="007E7514">
        <w:rPr>
          <w:lang w:val="en-GB"/>
        </w:rPr>
        <w:t>/PFD</w:t>
      </w:r>
      <w:r w:rsidRPr="007E7514">
        <w:rPr>
          <w:lang w:val="en-GB"/>
        </w:rPr>
        <w:t xml:space="preserve"> stage</w:t>
      </w:r>
      <w:r w:rsidR="00B30A5F" w:rsidRPr="007E7514">
        <w:rPr>
          <w:lang w:val="en-GB"/>
        </w:rPr>
        <w:t>,</w:t>
      </w:r>
      <w:r w:rsidRPr="007E7514">
        <w:rPr>
          <w:lang w:val="en-GB"/>
        </w:rPr>
        <w:t xml:space="preserve"> which </w:t>
      </w:r>
      <w:r w:rsidR="005B6270" w:rsidRPr="007E7514">
        <w:rPr>
          <w:lang w:val="en-GB"/>
        </w:rPr>
        <w:t>was</w:t>
      </w:r>
      <w:r w:rsidRPr="007E7514">
        <w:rPr>
          <w:lang w:val="en-GB"/>
        </w:rPr>
        <w:t xml:space="preserve"> a best estimate </w:t>
      </w:r>
      <w:r w:rsidR="00B30A5F" w:rsidRPr="007E7514">
        <w:rPr>
          <w:lang w:val="en-GB"/>
        </w:rPr>
        <w:t xml:space="preserve">based </w:t>
      </w:r>
      <w:r w:rsidRPr="007E7514">
        <w:rPr>
          <w:lang w:val="en-GB"/>
        </w:rPr>
        <w:t xml:space="preserve">on available data. When the </w:t>
      </w:r>
      <w:r w:rsidR="005B6270" w:rsidRPr="007E7514">
        <w:rPr>
          <w:lang w:val="en-GB"/>
        </w:rPr>
        <w:t>refine</w:t>
      </w:r>
      <w:r w:rsidR="00B55529" w:rsidRPr="007E7514">
        <w:rPr>
          <w:lang w:val="en-GB"/>
        </w:rPr>
        <w:t>d</w:t>
      </w:r>
      <w:r w:rsidR="005B6270" w:rsidRPr="007E7514">
        <w:rPr>
          <w:lang w:val="en-GB"/>
        </w:rPr>
        <w:t xml:space="preserve"> </w:t>
      </w:r>
      <w:r w:rsidRPr="007E7514">
        <w:rPr>
          <w:lang w:val="en-GB"/>
        </w:rPr>
        <w:t xml:space="preserve">estimates </w:t>
      </w:r>
      <w:r w:rsidR="00D614D4" w:rsidRPr="007E7514">
        <w:rPr>
          <w:lang w:val="en-GB"/>
        </w:rPr>
        <w:t>for</w:t>
      </w:r>
      <w:r w:rsidR="00BC46FD" w:rsidRPr="007E7514">
        <w:rPr>
          <w:lang w:val="en-GB"/>
        </w:rPr>
        <w:t xml:space="preserve"> Indicator </w:t>
      </w:r>
      <w:r w:rsidR="00E471D1" w:rsidRPr="007E7514">
        <w:rPr>
          <w:lang w:val="en-GB"/>
        </w:rPr>
        <w:t xml:space="preserve">9 for tons of chemicals </w:t>
      </w:r>
      <w:r w:rsidR="00036934" w:rsidRPr="007E7514">
        <w:rPr>
          <w:lang w:val="en-GB"/>
        </w:rPr>
        <w:t xml:space="preserve">at CEO </w:t>
      </w:r>
      <w:r w:rsidR="001929EE" w:rsidRPr="007E7514">
        <w:rPr>
          <w:lang w:val="en-GB"/>
        </w:rPr>
        <w:t xml:space="preserve">endorsement/approval </w:t>
      </w:r>
      <w:r w:rsidR="00F67435" w:rsidRPr="007E7514">
        <w:rPr>
          <w:lang w:val="en-GB"/>
        </w:rPr>
        <w:t xml:space="preserve">stage </w:t>
      </w:r>
      <w:r w:rsidRPr="007E7514">
        <w:rPr>
          <w:lang w:val="en-GB"/>
        </w:rPr>
        <w:t>are taken into consideration</w:t>
      </w:r>
      <w:r w:rsidR="00B30A5F" w:rsidRPr="007E7514">
        <w:rPr>
          <w:lang w:val="en-GB"/>
        </w:rPr>
        <w:t>,</w:t>
      </w:r>
      <w:r w:rsidRPr="007E7514">
        <w:rPr>
          <w:lang w:val="en-GB"/>
        </w:rPr>
        <w:t xml:space="preserve"> the progress towards the 100,000</w:t>
      </w:r>
      <w:r w:rsidR="00044992" w:rsidRPr="007E7514">
        <w:rPr>
          <w:lang w:val="en-GB"/>
        </w:rPr>
        <w:t xml:space="preserve"> </w:t>
      </w:r>
      <w:r w:rsidRPr="007E7514">
        <w:rPr>
          <w:lang w:val="en-GB"/>
        </w:rPr>
        <w:t>ton target is 92.4</w:t>
      </w:r>
      <w:r w:rsidR="00145B6F" w:rsidRPr="007E7514">
        <w:rPr>
          <w:lang w:val="en-GB"/>
        </w:rPr>
        <w:t xml:space="preserve"> percent</w:t>
      </w:r>
      <w:r w:rsidRPr="007E7514">
        <w:rPr>
          <w:lang w:val="en-GB"/>
        </w:rPr>
        <w:t>.</w:t>
      </w:r>
    </w:p>
    <w:p w14:paraId="68F3EB36" w14:textId="337B10BD" w:rsidR="00376080" w:rsidRPr="007E7514" w:rsidRDefault="001E19D2" w:rsidP="005D7C1E">
      <w:pPr>
        <w:pStyle w:val="Heading1"/>
        <w:rPr>
          <w:sz w:val="24"/>
          <w:szCs w:val="24"/>
          <w:lang w:val="en-GB"/>
        </w:rPr>
      </w:pPr>
      <w:bookmarkStart w:id="68" w:name="_Toc76405380"/>
      <w:bookmarkEnd w:id="67"/>
      <w:r w:rsidRPr="007E7514">
        <w:rPr>
          <w:sz w:val="24"/>
          <w:szCs w:val="24"/>
          <w:lang w:val="en-GB"/>
        </w:rPr>
        <w:lastRenderedPageBreak/>
        <w:t xml:space="preserve">Part III: </w:t>
      </w:r>
      <w:bookmarkStart w:id="69" w:name="_bookmark29"/>
      <w:bookmarkStart w:id="70" w:name="_Hlk519072734"/>
      <w:bookmarkEnd w:id="69"/>
      <w:r w:rsidR="00406DAF" w:rsidRPr="007E7514">
        <w:rPr>
          <w:sz w:val="24"/>
          <w:szCs w:val="24"/>
          <w:lang w:val="en-GB"/>
        </w:rPr>
        <w:t xml:space="preserve">Seventh Replenishment </w:t>
      </w:r>
      <w:r w:rsidR="00376080" w:rsidRPr="007E7514">
        <w:rPr>
          <w:sz w:val="24"/>
          <w:szCs w:val="24"/>
          <w:lang w:val="en-GB"/>
        </w:rPr>
        <w:t>Polic</w:t>
      </w:r>
      <w:r w:rsidR="00D26529" w:rsidRPr="007E7514">
        <w:rPr>
          <w:sz w:val="24"/>
          <w:szCs w:val="24"/>
          <w:lang w:val="en-GB"/>
        </w:rPr>
        <w:t>y</w:t>
      </w:r>
      <w:r w:rsidR="00376080" w:rsidRPr="007E7514">
        <w:rPr>
          <w:sz w:val="24"/>
          <w:szCs w:val="24"/>
          <w:lang w:val="en-GB"/>
        </w:rPr>
        <w:t xml:space="preserve"> Update</w:t>
      </w:r>
      <w:r w:rsidR="00DC4252" w:rsidRPr="007E7514">
        <w:rPr>
          <w:sz w:val="24"/>
          <w:szCs w:val="24"/>
          <w:lang w:val="en-GB"/>
        </w:rPr>
        <w:t xml:space="preserve"> and </w:t>
      </w:r>
      <w:r w:rsidR="00F869B7" w:rsidRPr="007E7514">
        <w:rPr>
          <w:sz w:val="24"/>
          <w:szCs w:val="24"/>
          <w:lang w:val="en-GB"/>
        </w:rPr>
        <w:t>P</w:t>
      </w:r>
      <w:r w:rsidR="00DC4252" w:rsidRPr="007E7514">
        <w:rPr>
          <w:sz w:val="24"/>
          <w:szCs w:val="24"/>
          <w:lang w:val="en-GB"/>
        </w:rPr>
        <w:t>erformance of the Minamata Portfolio</w:t>
      </w:r>
      <w:r w:rsidR="000E16B9" w:rsidRPr="007E7514">
        <w:rPr>
          <w:sz w:val="24"/>
          <w:szCs w:val="24"/>
          <w:lang w:val="en-GB"/>
        </w:rPr>
        <w:t xml:space="preserve"> </w:t>
      </w:r>
      <w:r w:rsidR="00D26529" w:rsidRPr="007E7514">
        <w:rPr>
          <w:sz w:val="24"/>
          <w:szCs w:val="24"/>
          <w:lang w:val="en-GB"/>
        </w:rPr>
        <w:t>W</w:t>
      </w:r>
      <w:r w:rsidR="000E16B9" w:rsidRPr="007E7514">
        <w:rPr>
          <w:sz w:val="24"/>
          <w:szCs w:val="24"/>
          <w:lang w:val="en-GB"/>
        </w:rPr>
        <w:t xml:space="preserve">ith </w:t>
      </w:r>
      <w:r w:rsidR="00D26529" w:rsidRPr="007E7514">
        <w:rPr>
          <w:sz w:val="24"/>
          <w:szCs w:val="24"/>
          <w:lang w:val="en-GB"/>
        </w:rPr>
        <w:t>Regard to T</w:t>
      </w:r>
      <w:r w:rsidR="000E16B9" w:rsidRPr="007E7514">
        <w:rPr>
          <w:sz w:val="24"/>
          <w:szCs w:val="24"/>
          <w:lang w:val="en-GB"/>
        </w:rPr>
        <w:t>hese Policies</w:t>
      </w:r>
      <w:bookmarkEnd w:id="68"/>
    </w:p>
    <w:p w14:paraId="1B2F59AE" w14:textId="77777777" w:rsidR="00F02F00" w:rsidRPr="007E7514" w:rsidRDefault="00F02F00" w:rsidP="002D4A77">
      <w:pPr>
        <w:pStyle w:val="Heading2"/>
        <w:numPr>
          <w:ilvl w:val="0"/>
          <w:numId w:val="0"/>
        </w:numPr>
        <w:ind w:left="360"/>
        <w:rPr>
          <w:lang w:val="en-GB"/>
        </w:rPr>
      </w:pPr>
    </w:p>
    <w:p w14:paraId="43B274D2" w14:textId="33206B47" w:rsidR="001D4EE2" w:rsidRPr="007E7514" w:rsidRDefault="00376080" w:rsidP="002D4A77">
      <w:pPr>
        <w:pStyle w:val="Heading2"/>
        <w:numPr>
          <w:ilvl w:val="0"/>
          <w:numId w:val="34"/>
        </w:numPr>
        <w:rPr>
          <w:lang w:val="en-GB"/>
        </w:rPr>
      </w:pPr>
      <w:bookmarkStart w:id="71" w:name="_Toc76405381"/>
      <w:bookmarkStart w:id="72" w:name="_Hlk72505888"/>
      <w:r w:rsidRPr="007E7514">
        <w:rPr>
          <w:lang w:val="en-GB"/>
        </w:rPr>
        <w:t>Gender</w:t>
      </w:r>
      <w:r w:rsidR="00B87A0E" w:rsidRPr="007E7514">
        <w:rPr>
          <w:lang w:val="en-GB"/>
        </w:rPr>
        <w:t xml:space="preserve"> Equality</w:t>
      </w:r>
      <w:bookmarkEnd w:id="71"/>
    </w:p>
    <w:bookmarkEnd w:id="72"/>
    <w:p w14:paraId="3052C4E1" w14:textId="49F8C419" w:rsidR="002233B8" w:rsidRPr="007E7514" w:rsidRDefault="00183C1E" w:rsidP="00B7581D">
      <w:pPr>
        <w:pStyle w:val="MainParagraphwith"/>
        <w:rPr>
          <w:shd w:val="clear" w:color="auto" w:fill="FFFFFF"/>
          <w:lang w:val="en-GB"/>
        </w:rPr>
      </w:pPr>
      <w:r w:rsidRPr="007E7514">
        <w:rPr>
          <w:lang w:val="en-GB"/>
        </w:rPr>
        <w:t xml:space="preserve">GEF’s </w:t>
      </w:r>
      <w:r w:rsidRPr="007E7514">
        <w:rPr>
          <w:shd w:val="clear" w:color="auto" w:fill="FFFFFF"/>
          <w:lang w:val="en-GB"/>
        </w:rPr>
        <w:t>new approach to gender equality reflects the increased recognition by the Parties to the Minamata Convention of the need to consider the impact of poor management of hazardous chemicals and waste on vulnerable groups such as women and children.</w:t>
      </w:r>
    </w:p>
    <w:p w14:paraId="39DD5435" w14:textId="69A30457" w:rsidR="00183C1E" w:rsidRPr="007E7514" w:rsidRDefault="00183C1E" w:rsidP="00B7581D">
      <w:pPr>
        <w:pStyle w:val="MainParagraphwith"/>
        <w:rPr>
          <w:shd w:val="clear" w:color="auto" w:fill="FFFFFF"/>
          <w:lang w:val="en-GB"/>
        </w:rPr>
      </w:pPr>
      <w:r w:rsidRPr="007E7514">
        <w:rPr>
          <w:shd w:val="clear" w:color="auto" w:fill="FFFFFF"/>
          <w:lang w:val="en-GB"/>
        </w:rPr>
        <w:t xml:space="preserve">The approval of the GEF Policy on Gender Equality, which came into effect </w:t>
      </w:r>
      <w:r w:rsidR="00054E1D" w:rsidRPr="007E7514">
        <w:rPr>
          <w:shd w:val="clear" w:color="auto" w:fill="FFFFFF"/>
          <w:lang w:val="en-GB"/>
        </w:rPr>
        <w:t>i</w:t>
      </w:r>
      <w:r w:rsidRPr="007E7514">
        <w:rPr>
          <w:shd w:val="clear" w:color="auto" w:fill="FFFFFF"/>
          <w:lang w:val="en-GB"/>
        </w:rPr>
        <w:t xml:space="preserve">n July 2018, at the onset of GEF-7, marked GEF’s significantly increased ambition to address gender equality. The Policy provided the impetus for the GEF to introduce more robust standards on gender across the project cycle and promote gender-responsive approaches in </w:t>
      </w:r>
      <w:r w:rsidR="00054E1D" w:rsidRPr="007E7514">
        <w:rPr>
          <w:shd w:val="clear" w:color="auto" w:fill="FFFFFF"/>
          <w:lang w:val="en-GB"/>
        </w:rPr>
        <w:t>its</w:t>
      </w:r>
      <w:r w:rsidRPr="007E7514">
        <w:rPr>
          <w:shd w:val="clear" w:color="auto" w:fill="FFFFFF"/>
          <w:lang w:val="en-GB"/>
        </w:rPr>
        <w:t xml:space="preserve"> projects and programs, including a set of new principles and requirements to mainstream gender in the design, implementation, monitoring and evaluation of programs and projects.  </w:t>
      </w:r>
    </w:p>
    <w:p w14:paraId="7AF43623" w14:textId="2DEA6828" w:rsidR="00183C1E" w:rsidRPr="007E7514" w:rsidRDefault="00183C1E" w:rsidP="00B7581D">
      <w:pPr>
        <w:pStyle w:val="MainParagraphwith"/>
        <w:rPr>
          <w:rFonts w:cstheme="minorBidi"/>
          <w:color w:val="000000" w:themeColor="text1"/>
          <w:shd w:val="clear" w:color="auto" w:fill="FFFFFF"/>
          <w:lang w:val="en-GB"/>
        </w:rPr>
      </w:pPr>
      <w:r w:rsidRPr="007E7514">
        <w:rPr>
          <w:shd w:val="clear" w:color="auto" w:fill="FFFFFF"/>
          <w:lang w:val="en-GB"/>
        </w:rPr>
        <w:t xml:space="preserve">The GEF-7 portfolio continues to </w:t>
      </w:r>
      <w:r w:rsidR="004F6A0C" w:rsidRPr="007E7514">
        <w:rPr>
          <w:shd w:val="clear" w:color="auto" w:fill="FFFFFF"/>
          <w:lang w:val="en-GB"/>
        </w:rPr>
        <w:t>achieve</w:t>
      </w:r>
      <w:r w:rsidRPr="007E7514">
        <w:rPr>
          <w:shd w:val="clear" w:color="auto" w:fill="FFFFFF"/>
          <w:lang w:val="en-GB"/>
        </w:rPr>
        <w:t xml:space="preserve"> good compliance with new principles and requirements set out in the Policy. It shows that gender dimensions are considered early in project design and that plans are incorporated to carry out gender analyses and develop gender action plans and sex-disaggregated and gender</w:t>
      </w:r>
      <w:r w:rsidR="00054E1D" w:rsidRPr="007E7514">
        <w:rPr>
          <w:shd w:val="clear" w:color="auto" w:fill="FFFFFF"/>
          <w:lang w:val="en-GB"/>
        </w:rPr>
        <w:t>-</w:t>
      </w:r>
      <w:r w:rsidRPr="007E7514">
        <w:rPr>
          <w:shd w:val="clear" w:color="auto" w:fill="FFFFFF"/>
          <w:lang w:val="en-GB"/>
        </w:rPr>
        <w:t xml:space="preserve">sensitive indicators </w:t>
      </w:r>
      <w:r w:rsidR="00054E1D" w:rsidRPr="007E7514">
        <w:rPr>
          <w:shd w:val="clear" w:color="auto" w:fill="FFFFFF"/>
          <w:lang w:val="en-GB"/>
        </w:rPr>
        <w:t xml:space="preserve">in </w:t>
      </w:r>
      <w:r w:rsidRPr="007E7514">
        <w:rPr>
          <w:shd w:val="clear" w:color="auto" w:fill="FFFFFF"/>
          <w:lang w:val="en-GB"/>
        </w:rPr>
        <w:t xml:space="preserve">project development. </w:t>
      </w:r>
      <w:r w:rsidR="04857505" w:rsidRPr="007E7514">
        <w:rPr>
          <w:lang w:val="en-GB"/>
        </w:rPr>
        <w:t xml:space="preserve">The </w:t>
      </w:r>
      <w:proofErr w:type="spellStart"/>
      <w:r w:rsidR="04857505" w:rsidRPr="007E7514">
        <w:rPr>
          <w:lang w:val="en-GB"/>
        </w:rPr>
        <w:t>GEF</w:t>
      </w:r>
      <w:proofErr w:type="spellEnd"/>
      <w:r w:rsidR="04857505" w:rsidRPr="007E7514">
        <w:rPr>
          <w:lang w:val="en-GB"/>
        </w:rPr>
        <w:t xml:space="preserve"> Secretariat </w:t>
      </w:r>
      <w:proofErr w:type="spellStart"/>
      <w:r w:rsidR="00A97804" w:rsidRPr="007E7514">
        <w:rPr>
          <w:lang w:val="en-GB"/>
        </w:rPr>
        <w:t>analyzed</w:t>
      </w:r>
      <w:proofErr w:type="spellEnd"/>
      <w:r w:rsidR="04857505" w:rsidRPr="007E7514">
        <w:rPr>
          <w:lang w:val="en-GB"/>
        </w:rPr>
        <w:t xml:space="preserve"> 52 </w:t>
      </w:r>
      <w:r w:rsidR="00054E1D" w:rsidRPr="007E7514">
        <w:rPr>
          <w:lang w:val="en-GB"/>
        </w:rPr>
        <w:t>e</w:t>
      </w:r>
      <w:r w:rsidR="04857505" w:rsidRPr="007E7514">
        <w:rPr>
          <w:lang w:val="en-GB"/>
        </w:rPr>
        <w:t>ndorsement</w:t>
      </w:r>
      <w:r w:rsidR="00054E1D" w:rsidRPr="007E7514">
        <w:rPr>
          <w:lang w:val="en-GB"/>
        </w:rPr>
        <w:t>s by the CEO</w:t>
      </w:r>
      <w:r w:rsidR="04857505" w:rsidRPr="007E7514">
        <w:rPr>
          <w:lang w:val="en-GB"/>
        </w:rPr>
        <w:t xml:space="preserve"> between July 2018 </w:t>
      </w:r>
      <w:r w:rsidR="00054E1D" w:rsidRPr="007E7514">
        <w:rPr>
          <w:lang w:val="en-GB"/>
        </w:rPr>
        <w:t>and</w:t>
      </w:r>
      <w:r w:rsidR="04857505" w:rsidRPr="007E7514">
        <w:rPr>
          <w:lang w:val="en-GB"/>
        </w:rPr>
        <w:t xml:space="preserve"> March 2021</w:t>
      </w:r>
      <w:r w:rsidR="00A469CC" w:rsidRPr="007E7514">
        <w:rPr>
          <w:lang w:val="en-GB"/>
        </w:rPr>
        <w:t>, including one mercury project,</w:t>
      </w:r>
      <w:r w:rsidR="005B6459" w:rsidRPr="007E7514">
        <w:rPr>
          <w:lang w:val="en-GB"/>
        </w:rPr>
        <w:t xml:space="preserve"> </w:t>
      </w:r>
      <w:r w:rsidR="005B6459" w:rsidRPr="007E7514">
        <w:rPr>
          <w:i/>
          <w:iCs/>
          <w:lang w:val="en-GB"/>
        </w:rPr>
        <w:t xml:space="preserve">Reducing </w:t>
      </w:r>
      <w:r w:rsidR="00054E1D" w:rsidRPr="007E7514">
        <w:rPr>
          <w:i/>
          <w:iCs/>
          <w:lang w:val="en-GB"/>
        </w:rPr>
        <w:t>G</w:t>
      </w:r>
      <w:r w:rsidR="005B6459" w:rsidRPr="007E7514">
        <w:rPr>
          <w:i/>
          <w:iCs/>
          <w:lang w:val="en-GB"/>
        </w:rPr>
        <w:t xml:space="preserve">lobal </w:t>
      </w:r>
      <w:r w:rsidR="00054E1D" w:rsidRPr="007E7514">
        <w:rPr>
          <w:i/>
          <w:iCs/>
          <w:lang w:val="en-GB"/>
        </w:rPr>
        <w:t>E</w:t>
      </w:r>
      <w:r w:rsidR="005B6459" w:rsidRPr="007E7514">
        <w:rPr>
          <w:i/>
          <w:iCs/>
          <w:lang w:val="en-GB"/>
        </w:rPr>
        <w:t xml:space="preserve">nvironmental </w:t>
      </w:r>
      <w:r w:rsidR="00054E1D" w:rsidRPr="007E7514">
        <w:rPr>
          <w:i/>
          <w:iCs/>
          <w:lang w:val="en-GB"/>
        </w:rPr>
        <w:t>R</w:t>
      </w:r>
      <w:r w:rsidR="005B6459" w:rsidRPr="007E7514">
        <w:rPr>
          <w:i/>
          <w:iCs/>
          <w:lang w:val="en-GB"/>
        </w:rPr>
        <w:t xml:space="preserve">isks through the </w:t>
      </w:r>
      <w:r w:rsidR="00054E1D" w:rsidRPr="007E7514">
        <w:rPr>
          <w:i/>
          <w:iCs/>
          <w:lang w:val="en-GB"/>
        </w:rPr>
        <w:t>M</w:t>
      </w:r>
      <w:r w:rsidR="005B6459" w:rsidRPr="007E7514">
        <w:rPr>
          <w:i/>
          <w:iCs/>
          <w:lang w:val="en-GB"/>
        </w:rPr>
        <w:t xml:space="preserve">onitoring and </w:t>
      </w:r>
      <w:r w:rsidR="00054E1D" w:rsidRPr="007E7514">
        <w:rPr>
          <w:i/>
          <w:iCs/>
          <w:lang w:val="en-GB"/>
        </w:rPr>
        <w:t>D</w:t>
      </w:r>
      <w:r w:rsidR="005B6459" w:rsidRPr="007E7514">
        <w:rPr>
          <w:i/>
          <w:iCs/>
          <w:lang w:val="en-GB"/>
        </w:rPr>
        <w:t xml:space="preserve">evelopment of </w:t>
      </w:r>
      <w:r w:rsidR="00054E1D" w:rsidRPr="007E7514">
        <w:rPr>
          <w:i/>
          <w:iCs/>
          <w:lang w:val="en-GB"/>
        </w:rPr>
        <w:t>A</w:t>
      </w:r>
      <w:r w:rsidR="005B6459" w:rsidRPr="007E7514">
        <w:rPr>
          <w:i/>
          <w:iCs/>
          <w:lang w:val="en-GB"/>
        </w:rPr>
        <w:t xml:space="preserve">lternative </w:t>
      </w:r>
      <w:r w:rsidR="00054E1D" w:rsidRPr="007E7514">
        <w:rPr>
          <w:i/>
          <w:iCs/>
          <w:lang w:val="en-GB"/>
        </w:rPr>
        <w:t>L</w:t>
      </w:r>
      <w:r w:rsidR="005B6459" w:rsidRPr="007E7514">
        <w:rPr>
          <w:i/>
          <w:iCs/>
          <w:lang w:val="en-GB"/>
        </w:rPr>
        <w:t xml:space="preserve">ivelihood for the </w:t>
      </w:r>
      <w:r w:rsidR="00054E1D" w:rsidRPr="007E7514">
        <w:rPr>
          <w:i/>
          <w:iCs/>
          <w:lang w:val="en-GB"/>
        </w:rPr>
        <w:t>P</w:t>
      </w:r>
      <w:r w:rsidR="005B6459" w:rsidRPr="007E7514">
        <w:rPr>
          <w:i/>
          <w:iCs/>
          <w:lang w:val="en-GB"/>
        </w:rPr>
        <w:t xml:space="preserve">rimary </w:t>
      </w:r>
      <w:r w:rsidR="00054E1D" w:rsidRPr="007E7514">
        <w:rPr>
          <w:i/>
          <w:iCs/>
          <w:lang w:val="en-GB"/>
        </w:rPr>
        <w:t>M</w:t>
      </w:r>
      <w:r w:rsidR="005B6459" w:rsidRPr="007E7514">
        <w:rPr>
          <w:i/>
          <w:iCs/>
          <w:lang w:val="en-GB"/>
        </w:rPr>
        <w:t>ercury</w:t>
      </w:r>
      <w:r w:rsidR="00054E1D" w:rsidRPr="007E7514">
        <w:rPr>
          <w:i/>
          <w:iCs/>
          <w:lang w:val="en-GB"/>
        </w:rPr>
        <w:t>-</w:t>
      </w:r>
      <w:r w:rsidR="005B6459" w:rsidRPr="007E7514">
        <w:rPr>
          <w:i/>
          <w:iCs/>
          <w:lang w:val="en-GB"/>
        </w:rPr>
        <w:t xml:space="preserve">mining </w:t>
      </w:r>
      <w:r w:rsidR="00054E1D" w:rsidRPr="007E7514">
        <w:rPr>
          <w:i/>
          <w:iCs/>
          <w:lang w:val="en-GB"/>
        </w:rPr>
        <w:t>S</w:t>
      </w:r>
      <w:r w:rsidR="005B6459" w:rsidRPr="007E7514">
        <w:rPr>
          <w:i/>
          <w:iCs/>
          <w:lang w:val="en-GB"/>
        </w:rPr>
        <w:t>ector in Mexico</w:t>
      </w:r>
      <w:r w:rsidR="00BD393A" w:rsidRPr="007E7514">
        <w:rPr>
          <w:lang w:val="en-GB"/>
        </w:rPr>
        <w:t xml:space="preserve"> (ID 10086)</w:t>
      </w:r>
      <w:r w:rsidR="00A469CC" w:rsidRPr="007E7514">
        <w:rPr>
          <w:lang w:val="en-GB"/>
        </w:rPr>
        <w:t xml:space="preserve">.  </w:t>
      </w:r>
      <w:r w:rsidR="00BF0461" w:rsidRPr="007E7514">
        <w:rPr>
          <w:lang w:val="en-GB"/>
        </w:rPr>
        <w:t>Of the 52 projects reviewed</w:t>
      </w:r>
      <w:r w:rsidR="00054E1D" w:rsidRPr="007E7514">
        <w:rPr>
          <w:lang w:val="en-GB"/>
        </w:rPr>
        <w:t>, 47 (or</w:t>
      </w:r>
      <w:r w:rsidRPr="007E7514">
        <w:rPr>
          <w:shd w:val="clear" w:color="auto" w:fill="FFFFFF"/>
          <w:lang w:val="en-GB"/>
        </w:rPr>
        <w:t xml:space="preserve"> 90 </w:t>
      </w:r>
      <w:r w:rsidR="00E46D92" w:rsidRPr="007E7514">
        <w:rPr>
          <w:lang w:val="en-GB"/>
        </w:rPr>
        <w:t>percent</w:t>
      </w:r>
      <w:r w:rsidRPr="007E7514">
        <w:rPr>
          <w:shd w:val="clear" w:color="auto" w:fill="FFFFFF"/>
          <w:lang w:val="en-GB"/>
        </w:rPr>
        <w:t xml:space="preserve">) </w:t>
      </w:r>
      <w:r w:rsidR="00054E1D" w:rsidRPr="007E7514">
        <w:rPr>
          <w:shd w:val="clear" w:color="auto" w:fill="FFFFFF"/>
          <w:lang w:val="en-GB"/>
        </w:rPr>
        <w:t>we</w:t>
      </w:r>
      <w:r w:rsidRPr="007E7514">
        <w:rPr>
          <w:shd w:val="clear" w:color="auto" w:fill="FFFFFF"/>
          <w:lang w:val="en-GB"/>
        </w:rPr>
        <w:t xml:space="preserve">re planning to contribute to gender results in areas such as improving women’s access </w:t>
      </w:r>
      <w:r w:rsidR="00054E1D" w:rsidRPr="007E7514">
        <w:rPr>
          <w:shd w:val="clear" w:color="auto" w:fill="FFFFFF"/>
          <w:lang w:val="en-GB"/>
        </w:rPr>
        <w:t xml:space="preserve">to </w:t>
      </w:r>
      <w:r w:rsidRPr="007E7514">
        <w:rPr>
          <w:shd w:val="clear" w:color="auto" w:fill="FFFFFF"/>
          <w:lang w:val="en-GB"/>
        </w:rPr>
        <w:t>and control over natural resources, women’s participation in natural resource decision-making at different levels, as well as supporting women’s economic opportunities</w:t>
      </w:r>
      <w:r w:rsidR="001502C9" w:rsidRPr="007E7514">
        <w:rPr>
          <w:lang w:val="en-GB"/>
        </w:rPr>
        <w:t>.</w:t>
      </w:r>
    </w:p>
    <w:p w14:paraId="1B46FC22" w14:textId="373BD159" w:rsidR="00FB183A" w:rsidRPr="007E7514" w:rsidRDefault="00183C1E" w:rsidP="00B7581D">
      <w:pPr>
        <w:pStyle w:val="MainParagraphwith"/>
        <w:rPr>
          <w:rFonts w:cstheme="minorBidi"/>
          <w:color w:val="000000" w:themeColor="text1"/>
          <w:lang w:val="en-GB"/>
        </w:rPr>
      </w:pPr>
      <w:r w:rsidRPr="007E7514">
        <w:rPr>
          <w:shd w:val="clear" w:color="auto" w:fill="FFFFFF"/>
          <w:lang w:val="en-GB"/>
        </w:rPr>
        <w:t xml:space="preserve">The detailed review of the GEF-7 chemical and waste portfolio shows that </w:t>
      </w:r>
      <w:r w:rsidR="00054E1D" w:rsidRPr="007E7514">
        <w:rPr>
          <w:shd w:val="clear" w:color="auto" w:fill="FFFFFF"/>
          <w:lang w:val="en-GB"/>
        </w:rPr>
        <w:t>EAs</w:t>
      </w:r>
      <w:r w:rsidRPr="007E7514">
        <w:rPr>
          <w:shd w:val="clear" w:color="auto" w:fill="FFFFFF"/>
          <w:lang w:val="en-GB"/>
        </w:rPr>
        <w:t xml:space="preserve"> supporting </w:t>
      </w:r>
      <w:r w:rsidR="00054E1D" w:rsidRPr="007E7514">
        <w:rPr>
          <w:shd w:val="clear" w:color="auto" w:fill="FFFFFF"/>
          <w:lang w:val="en-GB"/>
        </w:rPr>
        <w:t xml:space="preserve">the </w:t>
      </w:r>
      <w:r w:rsidRPr="007E7514">
        <w:rPr>
          <w:shd w:val="clear" w:color="auto" w:fill="FFFFFF"/>
          <w:lang w:val="en-GB"/>
        </w:rPr>
        <w:t xml:space="preserve">preparation of </w:t>
      </w:r>
      <w:r w:rsidR="008A28E8" w:rsidRPr="007E7514">
        <w:rPr>
          <w:lang w:val="en-GB"/>
        </w:rPr>
        <w:t>NAPs</w:t>
      </w:r>
      <w:r w:rsidRPr="007E7514">
        <w:rPr>
          <w:shd w:val="clear" w:color="auto" w:fill="FFFFFF"/>
          <w:lang w:val="en-GB"/>
        </w:rPr>
        <w:t xml:space="preserve">, for example, include plans to develop strategies to: </w:t>
      </w:r>
      <w:r w:rsidR="004F6A0C" w:rsidRPr="007E7514">
        <w:rPr>
          <w:shd w:val="clear" w:color="auto" w:fill="FFFFFF"/>
          <w:lang w:val="en-GB"/>
        </w:rPr>
        <w:br/>
      </w:r>
      <w:r w:rsidRPr="007E7514">
        <w:rPr>
          <w:shd w:val="clear" w:color="auto" w:fill="FFFFFF"/>
          <w:lang w:val="en-GB"/>
        </w:rPr>
        <w:t>(i) prevent exposure of vulnerable population, particularly children and women of child-bearing age</w:t>
      </w:r>
      <w:r w:rsidR="004F6A0C" w:rsidRPr="007E7514">
        <w:rPr>
          <w:shd w:val="clear" w:color="auto" w:fill="FFFFFF"/>
          <w:lang w:val="en-GB"/>
        </w:rPr>
        <w:t>,</w:t>
      </w:r>
      <w:r w:rsidRPr="007E7514">
        <w:rPr>
          <w:shd w:val="clear" w:color="auto" w:fill="FFFFFF"/>
          <w:lang w:val="en-GB"/>
        </w:rPr>
        <w:t xml:space="preserve"> to mercury use in the ASGM sector; and (ii) mitigate gender inequality and prevent child </w:t>
      </w:r>
      <w:proofErr w:type="spellStart"/>
      <w:r w:rsidRPr="007E7514">
        <w:rPr>
          <w:shd w:val="clear" w:color="auto" w:fill="FFFFFF"/>
          <w:lang w:val="en-GB"/>
        </w:rPr>
        <w:t>labor</w:t>
      </w:r>
      <w:proofErr w:type="spellEnd"/>
      <w:r w:rsidRPr="007E7514">
        <w:rPr>
          <w:shd w:val="clear" w:color="auto" w:fill="FFFFFF"/>
          <w:lang w:val="en-GB"/>
        </w:rPr>
        <w:t xml:space="preserve"> in </w:t>
      </w:r>
      <w:proofErr w:type="spellStart"/>
      <w:r w:rsidRPr="007E7514">
        <w:rPr>
          <w:shd w:val="clear" w:color="auto" w:fill="FFFFFF"/>
          <w:lang w:val="en-GB"/>
        </w:rPr>
        <w:t>ASGM</w:t>
      </w:r>
      <w:proofErr w:type="spellEnd"/>
      <w:r w:rsidRPr="007E7514">
        <w:rPr>
          <w:shd w:val="clear" w:color="auto" w:fill="FFFFFF"/>
          <w:lang w:val="en-GB"/>
        </w:rPr>
        <w:t xml:space="preserve">. Similarly, the </w:t>
      </w:r>
      <w:r w:rsidRPr="007E7514">
        <w:rPr>
          <w:i/>
          <w:iCs/>
          <w:shd w:val="clear" w:color="auto" w:fill="FFFFFF"/>
          <w:lang w:val="en-GB"/>
        </w:rPr>
        <w:t>ISLANDS</w:t>
      </w:r>
      <w:r w:rsidRPr="007E7514">
        <w:rPr>
          <w:shd w:val="clear" w:color="auto" w:fill="FFFFFF"/>
          <w:lang w:val="en-GB"/>
        </w:rPr>
        <w:t xml:space="preserve"> Program recognized that gender dimensions are important factors related to its objective to prevent the build-up of chemicals </w:t>
      </w:r>
      <w:r w:rsidR="00054E1D" w:rsidRPr="007E7514">
        <w:rPr>
          <w:shd w:val="clear" w:color="auto" w:fill="FFFFFF"/>
          <w:lang w:val="en-GB"/>
        </w:rPr>
        <w:t xml:space="preserve">and waste </w:t>
      </w:r>
      <w:r w:rsidRPr="007E7514">
        <w:rPr>
          <w:shd w:val="clear" w:color="auto" w:fill="FFFFFF"/>
          <w:lang w:val="en-GB"/>
        </w:rPr>
        <w:t xml:space="preserve">in the environment and managing and disposing of existing harmful </w:t>
      </w:r>
      <w:r w:rsidR="00D37192" w:rsidRPr="007E7514">
        <w:rPr>
          <w:shd w:val="clear" w:color="auto" w:fill="FFFFFF"/>
          <w:lang w:val="en-GB"/>
        </w:rPr>
        <w:t>chemicals</w:t>
      </w:r>
      <w:r w:rsidR="00054E1D" w:rsidRPr="007E7514">
        <w:rPr>
          <w:shd w:val="clear" w:color="auto" w:fill="FFFFFF"/>
          <w:lang w:val="en-GB"/>
        </w:rPr>
        <w:t xml:space="preserve"> and waste</w:t>
      </w:r>
      <w:r w:rsidRPr="007E7514">
        <w:rPr>
          <w:shd w:val="clear" w:color="auto" w:fill="FFFFFF"/>
          <w:lang w:val="en-GB"/>
        </w:rPr>
        <w:t xml:space="preserve">. </w:t>
      </w:r>
      <w:r w:rsidR="00054E1D" w:rsidRPr="007E7514">
        <w:rPr>
          <w:shd w:val="clear" w:color="auto" w:fill="FFFFFF"/>
          <w:lang w:val="en-GB"/>
        </w:rPr>
        <w:t>T</w:t>
      </w:r>
      <w:r w:rsidRPr="007E7514">
        <w:rPr>
          <w:shd w:val="clear" w:color="auto" w:fill="FFFFFF"/>
          <w:lang w:val="en-GB"/>
        </w:rPr>
        <w:t xml:space="preserve">he Program incorporates plans to mainstream gender, including targeted gender analyses and development of gender-disaggregated indicators. </w:t>
      </w:r>
      <w:r w:rsidR="00054E1D" w:rsidRPr="007E7514">
        <w:rPr>
          <w:shd w:val="clear" w:color="auto" w:fill="FFFFFF"/>
          <w:lang w:val="en-GB"/>
        </w:rPr>
        <w:t>P</w:t>
      </w:r>
      <w:r w:rsidRPr="007E7514">
        <w:rPr>
          <w:shd w:val="clear" w:color="auto" w:fill="FFFFFF"/>
          <w:lang w:val="en-GB"/>
        </w:rPr>
        <w:t xml:space="preserve">lans also include </w:t>
      </w:r>
      <w:r w:rsidR="00054E1D" w:rsidRPr="007E7514">
        <w:rPr>
          <w:shd w:val="clear" w:color="auto" w:fill="FFFFFF"/>
          <w:lang w:val="en-GB"/>
        </w:rPr>
        <w:t xml:space="preserve">specific </w:t>
      </w:r>
      <w:r w:rsidRPr="007E7514">
        <w:rPr>
          <w:shd w:val="clear" w:color="auto" w:fill="FFFFFF"/>
          <w:lang w:val="en-GB"/>
        </w:rPr>
        <w:t xml:space="preserve">efforts to consider gender </w:t>
      </w:r>
      <w:r w:rsidR="00054E1D" w:rsidRPr="007E7514">
        <w:rPr>
          <w:shd w:val="clear" w:color="auto" w:fill="FFFFFF"/>
          <w:lang w:val="en-GB"/>
        </w:rPr>
        <w:t xml:space="preserve">elements </w:t>
      </w:r>
      <w:r w:rsidRPr="007E7514">
        <w:rPr>
          <w:shd w:val="clear" w:color="auto" w:fill="FFFFFF"/>
          <w:lang w:val="en-GB"/>
        </w:rPr>
        <w:t>in the chemicals and waste value chain.</w:t>
      </w:r>
    </w:p>
    <w:p w14:paraId="0D4376C7" w14:textId="60E2132F" w:rsidR="00376080" w:rsidRPr="007E7514" w:rsidRDefault="00376080" w:rsidP="002D4A77">
      <w:pPr>
        <w:pStyle w:val="Heading2"/>
        <w:rPr>
          <w:lang w:val="en-GB"/>
        </w:rPr>
      </w:pPr>
      <w:bookmarkStart w:id="73" w:name="_Toc76405382"/>
      <w:r w:rsidRPr="007E7514">
        <w:rPr>
          <w:lang w:val="en-GB"/>
        </w:rPr>
        <w:t>Private Sector</w:t>
      </w:r>
      <w:bookmarkEnd w:id="73"/>
      <w:r w:rsidRPr="007E7514">
        <w:rPr>
          <w:lang w:val="en-GB"/>
        </w:rPr>
        <w:t xml:space="preserve"> </w:t>
      </w:r>
    </w:p>
    <w:p w14:paraId="05D44E90" w14:textId="5C80D08F" w:rsidR="00054E1D" w:rsidRPr="007E7514" w:rsidRDefault="00054E1D" w:rsidP="00B7581D">
      <w:pPr>
        <w:pStyle w:val="MainParagraphwith"/>
        <w:rPr>
          <w:lang w:val="en-GB"/>
        </w:rPr>
      </w:pPr>
      <w:r w:rsidRPr="007E7514">
        <w:rPr>
          <w:lang w:val="en-GB"/>
        </w:rPr>
        <w:t xml:space="preserve">Guidance </w:t>
      </w:r>
      <w:r w:rsidRPr="007E7514">
        <w:rPr>
          <w:shd w:val="clear" w:color="auto" w:fill="FFFFFF"/>
          <w:lang w:val="en-GB"/>
        </w:rPr>
        <w:t xml:space="preserve">received from the Minamata Convention COP encouraged the GEF to further enhance engagement with the private sector. As a result, one of the key components of the chemicals and waste </w:t>
      </w:r>
      <w:r w:rsidR="00957088" w:rsidRPr="007E7514">
        <w:rPr>
          <w:shd w:val="clear" w:color="auto" w:fill="FFFFFF"/>
          <w:lang w:val="en-GB"/>
        </w:rPr>
        <w:t>Programming S</w:t>
      </w:r>
      <w:r w:rsidRPr="007E7514">
        <w:rPr>
          <w:shd w:val="clear" w:color="auto" w:fill="FFFFFF"/>
          <w:lang w:val="en-GB"/>
        </w:rPr>
        <w:t xml:space="preserve">trategy approved under GEF-7 is to facilitate the reduction </w:t>
      </w:r>
      <w:r w:rsidRPr="007E7514">
        <w:rPr>
          <w:shd w:val="clear" w:color="auto" w:fill="FFFFFF"/>
          <w:lang w:val="en-GB"/>
        </w:rPr>
        <w:lastRenderedPageBreak/>
        <w:t xml:space="preserve">of chemicals through the shift </w:t>
      </w:r>
      <w:r w:rsidR="00957088" w:rsidRPr="007E7514">
        <w:rPr>
          <w:shd w:val="clear" w:color="auto" w:fill="FFFFFF"/>
          <w:lang w:val="en-GB"/>
        </w:rPr>
        <w:t>to</w:t>
      </w:r>
      <w:r w:rsidRPr="007E7514">
        <w:rPr>
          <w:shd w:val="clear" w:color="auto" w:fill="FFFFFF"/>
          <w:lang w:val="en-GB"/>
        </w:rPr>
        <w:t xml:space="preserve"> sustainable production and consumption, as well as stronger private sector engagement and public-private sector investments. The goal of the GEF’s private sector engagement is to mobilize the private sector as an agent of market transformation. The GEF’s vision is to engage the private sector at all scales, and across all GEF </w:t>
      </w:r>
      <w:r w:rsidR="00957088" w:rsidRPr="007E7514">
        <w:rPr>
          <w:shd w:val="clear" w:color="auto" w:fill="FFFFFF"/>
          <w:lang w:val="en-GB"/>
        </w:rPr>
        <w:t>portfolios</w:t>
      </w:r>
      <w:r w:rsidRPr="007E7514">
        <w:rPr>
          <w:shd w:val="clear" w:color="auto" w:fill="FFFFFF"/>
          <w:lang w:val="en-GB"/>
        </w:rPr>
        <w:t xml:space="preserve">, to transform the markets and economic systems required to tackle key drivers of environmental degradation, reverse unsustainable global trends, and extend the delivery of </w:t>
      </w:r>
      <w:r w:rsidR="00957088" w:rsidRPr="007E7514">
        <w:rPr>
          <w:shd w:val="clear" w:color="auto" w:fill="FFFFFF"/>
          <w:lang w:val="en-GB"/>
        </w:rPr>
        <w:t>GEBs</w:t>
      </w:r>
      <w:r w:rsidRPr="007E7514">
        <w:rPr>
          <w:shd w:val="clear" w:color="auto" w:fill="FFFFFF"/>
          <w:lang w:val="en-GB"/>
        </w:rPr>
        <w:t>.</w:t>
      </w:r>
    </w:p>
    <w:p w14:paraId="6AD92479" w14:textId="1A81DE0C" w:rsidR="00FF7A4E" w:rsidRPr="007E7514" w:rsidRDefault="00676847" w:rsidP="00B7581D">
      <w:pPr>
        <w:pStyle w:val="MainParagraphwith"/>
        <w:rPr>
          <w:lang w:val="en-GB"/>
        </w:rPr>
      </w:pPr>
      <w:r w:rsidRPr="007E7514">
        <w:rPr>
          <w:lang w:val="en-GB"/>
        </w:rPr>
        <w:t>In</w:t>
      </w:r>
      <w:r w:rsidR="00FF7A4E" w:rsidRPr="007E7514">
        <w:rPr>
          <w:lang w:val="en-GB"/>
        </w:rPr>
        <w:t xml:space="preserve"> th</w:t>
      </w:r>
      <w:r w:rsidRPr="007E7514">
        <w:rPr>
          <w:lang w:val="en-GB"/>
        </w:rPr>
        <w:t>e</w:t>
      </w:r>
      <w:r w:rsidR="00FF7A4E" w:rsidRPr="007E7514">
        <w:rPr>
          <w:lang w:val="en-GB"/>
        </w:rPr>
        <w:t xml:space="preserve"> reporting period, the 59</w:t>
      </w:r>
      <w:r w:rsidR="00FF7A4E" w:rsidRPr="007E7514">
        <w:rPr>
          <w:vertAlign w:val="superscript"/>
          <w:lang w:val="en-GB"/>
        </w:rPr>
        <w:t>th</w:t>
      </w:r>
      <w:r w:rsidR="00FF7A4E" w:rsidRPr="007E7514">
        <w:rPr>
          <w:lang w:val="en-GB"/>
        </w:rPr>
        <w:t xml:space="preserve"> GEF Council </w:t>
      </w:r>
      <w:r w:rsidRPr="007E7514">
        <w:rPr>
          <w:lang w:val="en-GB"/>
        </w:rPr>
        <w:t>m</w:t>
      </w:r>
      <w:r w:rsidR="00FF7A4E" w:rsidRPr="007E7514">
        <w:rPr>
          <w:lang w:val="en-GB"/>
        </w:rPr>
        <w:t xml:space="preserve">eeting in December 2020 approved </w:t>
      </w:r>
      <w:r w:rsidRPr="007E7514">
        <w:rPr>
          <w:lang w:val="en-GB"/>
        </w:rPr>
        <w:t xml:space="preserve">the </w:t>
      </w:r>
      <w:r w:rsidR="00FF7A4E" w:rsidRPr="007E7514">
        <w:rPr>
          <w:lang w:val="en-GB"/>
        </w:rPr>
        <w:t>PSES.</w:t>
      </w:r>
      <w:r w:rsidR="00FF7A4E" w:rsidRPr="007E7514">
        <w:rPr>
          <w:vertAlign w:val="superscript"/>
          <w:lang w:val="en-GB"/>
        </w:rPr>
        <w:footnoteReference w:id="31"/>
      </w:r>
      <w:r w:rsidR="00FF7A4E" w:rsidRPr="007E7514">
        <w:rPr>
          <w:lang w:val="en-GB"/>
        </w:rPr>
        <w:t xml:space="preserve"> The PSES is supported </w:t>
      </w:r>
      <w:r w:rsidRPr="007E7514">
        <w:rPr>
          <w:lang w:val="en-GB"/>
        </w:rPr>
        <w:t>by</w:t>
      </w:r>
      <w:r w:rsidR="00FF7A4E" w:rsidRPr="007E7514">
        <w:rPr>
          <w:lang w:val="en-GB"/>
        </w:rPr>
        <w:t xml:space="preserve"> an Implementation Plan that sets actions and deliverables </w:t>
      </w:r>
      <w:r w:rsidRPr="007E7514">
        <w:rPr>
          <w:lang w:val="en-GB"/>
        </w:rPr>
        <w:t xml:space="preserve">up </w:t>
      </w:r>
      <w:r w:rsidR="00FF7A4E" w:rsidRPr="007E7514">
        <w:rPr>
          <w:lang w:val="en-GB"/>
        </w:rPr>
        <w:t xml:space="preserve">to the end of </w:t>
      </w:r>
      <w:r w:rsidRPr="007E7514">
        <w:rPr>
          <w:lang w:val="en-GB"/>
        </w:rPr>
        <w:t xml:space="preserve">the </w:t>
      </w:r>
      <w:r w:rsidR="00FF7A4E" w:rsidRPr="007E7514">
        <w:rPr>
          <w:lang w:val="en-GB"/>
        </w:rPr>
        <w:t>GEF-7 period. The PSES is founded o</w:t>
      </w:r>
      <w:r w:rsidR="00A72664" w:rsidRPr="007E7514">
        <w:rPr>
          <w:lang w:val="en-GB"/>
        </w:rPr>
        <w:t>n</w:t>
      </w:r>
      <w:r w:rsidR="00FF7A4E" w:rsidRPr="007E7514">
        <w:rPr>
          <w:lang w:val="en-GB"/>
        </w:rPr>
        <w:t xml:space="preserve"> core elements </w:t>
      </w:r>
      <w:r w:rsidRPr="007E7514">
        <w:rPr>
          <w:lang w:val="en-GB"/>
        </w:rPr>
        <w:t>that</w:t>
      </w:r>
      <w:r w:rsidR="00FF7A4E" w:rsidRPr="007E7514">
        <w:rPr>
          <w:lang w:val="en-GB"/>
        </w:rPr>
        <w:t xml:space="preserve"> include the goal of working with multi-stakeholder platforms to </w:t>
      </w:r>
      <w:r w:rsidR="004F6A0C" w:rsidRPr="007E7514">
        <w:rPr>
          <w:lang w:val="en-GB"/>
        </w:rPr>
        <w:t>drive systemic transformation and achieve scale and impact</w:t>
      </w:r>
      <w:r w:rsidR="00A72664" w:rsidRPr="007E7514">
        <w:rPr>
          <w:lang w:val="en-GB"/>
        </w:rPr>
        <w:t>.</w:t>
      </w:r>
    </w:p>
    <w:p w14:paraId="27591C76" w14:textId="6A19C98C" w:rsidR="00FF7A4E" w:rsidRPr="007E7514" w:rsidRDefault="004F6A0C" w:rsidP="00B7581D">
      <w:pPr>
        <w:pStyle w:val="MainParagraphwith"/>
        <w:rPr>
          <w:lang w:val="en-GB"/>
        </w:rPr>
      </w:pPr>
      <w:r w:rsidRPr="007E7514">
        <w:rPr>
          <w:lang w:val="en-GB"/>
        </w:rPr>
        <w:t>With regard to mercury</w:t>
      </w:r>
      <w:r w:rsidR="001421E9" w:rsidRPr="007E7514">
        <w:rPr>
          <w:lang w:val="en-GB"/>
        </w:rPr>
        <w:t xml:space="preserve"> use</w:t>
      </w:r>
      <w:r w:rsidRPr="007E7514">
        <w:rPr>
          <w:lang w:val="en-GB"/>
        </w:rPr>
        <w:t>, t</w:t>
      </w:r>
      <w:r w:rsidR="00FF7A4E" w:rsidRPr="007E7514">
        <w:rPr>
          <w:lang w:val="en-GB"/>
        </w:rPr>
        <w:t>he objective of working with multi-stakeholder platforms and coalitions is to transform the markets and economic systems at the scale required to drive the uptake of mercury</w:t>
      </w:r>
      <w:r w:rsidR="00596C4D" w:rsidRPr="007E7514">
        <w:rPr>
          <w:lang w:val="en-GB"/>
        </w:rPr>
        <w:t>-</w:t>
      </w:r>
      <w:r w:rsidR="00FF7A4E" w:rsidRPr="007E7514">
        <w:rPr>
          <w:lang w:val="en-GB"/>
        </w:rPr>
        <w:t>free solutions and reduce mercury emissions in the major emission sources</w:t>
      </w:r>
      <w:r w:rsidR="000E60CC" w:rsidRPr="007E7514">
        <w:rPr>
          <w:lang w:val="en-GB"/>
        </w:rPr>
        <w:t>, such as</w:t>
      </w:r>
      <w:r w:rsidR="00FF7A4E" w:rsidRPr="007E7514">
        <w:rPr>
          <w:lang w:val="en-GB"/>
        </w:rPr>
        <w:t xml:space="preserve"> ASGM, coal mining and industry sectors</w:t>
      </w:r>
      <w:r w:rsidR="00596C4D" w:rsidRPr="007E7514">
        <w:rPr>
          <w:lang w:val="en-GB"/>
        </w:rPr>
        <w:t>,</w:t>
      </w:r>
      <w:r w:rsidR="00FF7A4E" w:rsidRPr="007E7514">
        <w:rPr>
          <w:lang w:val="en-GB"/>
        </w:rPr>
        <w:t xml:space="preserve"> </w:t>
      </w:r>
      <w:r w:rsidR="000E60CC" w:rsidRPr="007E7514">
        <w:rPr>
          <w:lang w:val="en-GB"/>
        </w:rPr>
        <w:t>including</w:t>
      </w:r>
      <w:r w:rsidR="00FF7A4E" w:rsidRPr="007E7514">
        <w:rPr>
          <w:lang w:val="en-GB"/>
        </w:rPr>
        <w:t xml:space="preserve"> fashion</w:t>
      </w:r>
      <w:r w:rsidR="00596C4D" w:rsidRPr="007E7514">
        <w:rPr>
          <w:lang w:val="en-GB"/>
        </w:rPr>
        <w:t>,</w:t>
      </w:r>
      <w:r w:rsidR="00FF7A4E" w:rsidRPr="007E7514">
        <w:rPr>
          <w:lang w:val="en-GB"/>
        </w:rPr>
        <w:t xml:space="preserve"> through value chain approaches, as well as horizontally</w:t>
      </w:r>
      <w:r w:rsidR="00596C4D" w:rsidRPr="007E7514">
        <w:rPr>
          <w:lang w:val="en-GB"/>
        </w:rPr>
        <w:t>,</w:t>
      </w:r>
      <w:r w:rsidR="00FF7A4E" w:rsidRPr="007E7514">
        <w:rPr>
          <w:lang w:val="en-GB"/>
        </w:rPr>
        <w:t xml:space="preserve"> through landscapes, cities, countries and regions. This horizontal and vertical approach to working with the private sector extends the reach of GEF funding beyond specific </w:t>
      </w:r>
      <w:r w:rsidR="00596C4D" w:rsidRPr="007E7514">
        <w:rPr>
          <w:lang w:val="en-GB"/>
        </w:rPr>
        <w:t>geographic areas</w:t>
      </w:r>
      <w:r w:rsidR="00FF7A4E" w:rsidRPr="007E7514">
        <w:rPr>
          <w:lang w:val="en-GB"/>
        </w:rPr>
        <w:t xml:space="preserve"> and brings </w:t>
      </w:r>
      <w:r w:rsidR="00596C4D" w:rsidRPr="007E7514">
        <w:rPr>
          <w:lang w:val="en-GB"/>
        </w:rPr>
        <w:t xml:space="preserve">up </w:t>
      </w:r>
      <w:r w:rsidR="00FF7A4E" w:rsidRPr="007E7514">
        <w:rPr>
          <w:lang w:val="en-GB"/>
        </w:rPr>
        <w:t>a wider range of resources and solutions from all levels of the private sector. This core element of the PSES supports the provisions in the Convention that relate to the entire life cycle of mercury, including control and reduction across a range of products, processes and industries where mercury is used, released or emitted.</w:t>
      </w:r>
    </w:p>
    <w:p w14:paraId="20A5A0ED" w14:textId="7A55FEB6" w:rsidR="00FF7A4E" w:rsidRPr="007E7514" w:rsidRDefault="00FF7A4E" w:rsidP="00B7581D">
      <w:pPr>
        <w:pStyle w:val="MainParagraphwith"/>
        <w:rPr>
          <w:lang w:val="en-GB"/>
        </w:rPr>
      </w:pPr>
      <w:r w:rsidRPr="007E7514">
        <w:rPr>
          <w:lang w:val="en-GB"/>
        </w:rPr>
        <w:t xml:space="preserve">Examples of GEF’s private sector engagement through multi-stakeholder platforms and broad value chain approaches to reduce mercury emissions in the </w:t>
      </w:r>
      <w:r w:rsidR="000E60CC" w:rsidRPr="007E7514">
        <w:rPr>
          <w:lang w:val="en-GB"/>
        </w:rPr>
        <w:t>c</w:t>
      </w:r>
      <w:r w:rsidRPr="007E7514">
        <w:rPr>
          <w:lang w:val="en-GB"/>
        </w:rPr>
        <w:t xml:space="preserve">hemicals and </w:t>
      </w:r>
      <w:r w:rsidR="000E60CC" w:rsidRPr="007E7514">
        <w:rPr>
          <w:lang w:val="en-GB"/>
        </w:rPr>
        <w:t>w</w:t>
      </w:r>
      <w:r w:rsidRPr="007E7514">
        <w:rPr>
          <w:lang w:val="en-GB"/>
        </w:rPr>
        <w:t>aste focal area include:</w:t>
      </w:r>
    </w:p>
    <w:p w14:paraId="71C6DCD9" w14:textId="2D50BB03" w:rsidR="00FF7A4E" w:rsidRPr="007E7514" w:rsidRDefault="00FF7A4E" w:rsidP="000E60CC">
      <w:pPr>
        <w:pStyle w:val="SubParagraphLevel1"/>
        <w:numPr>
          <w:ilvl w:val="0"/>
          <w:numId w:val="37"/>
        </w:numPr>
        <w:ind w:left="1440" w:hanging="720"/>
        <w:rPr>
          <w:lang w:val="en-GB"/>
        </w:rPr>
      </w:pPr>
      <w:r w:rsidRPr="007E7514">
        <w:rPr>
          <w:lang w:val="en-GB"/>
        </w:rPr>
        <w:t xml:space="preserve">The FSP </w:t>
      </w:r>
      <w:r w:rsidRPr="007E7514">
        <w:rPr>
          <w:i/>
          <w:iCs/>
          <w:lang w:val="en-GB"/>
        </w:rPr>
        <w:t>Global Greenchem Innovation and Network Programme</w:t>
      </w:r>
      <w:r w:rsidRPr="007E7514">
        <w:rPr>
          <w:lang w:val="en-GB"/>
        </w:rPr>
        <w:t xml:space="preserve"> (ID 10353</w:t>
      </w:r>
      <w:r w:rsidR="00E0269F" w:rsidRPr="007E7514">
        <w:rPr>
          <w:lang w:val="en-GB"/>
        </w:rPr>
        <w:t>, implemented by UNIDO</w:t>
      </w:r>
      <w:r w:rsidRPr="007E7514">
        <w:rPr>
          <w:lang w:val="en-GB"/>
        </w:rPr>
        <w:t xml:space="preserve">). Green </w:t>
      </w:r>
      <w:r w:rsidR="0077490A" w:rsidRPr="007E7514">
        <w:rPr>
          <w:lang w:val="en-GB"/>
        </w:rPr>
        <w:t>c</w:t>
      </w:r>
      <w:r w:rsidRPr="007E7514">
        <w:rPr>
          <w:lang w:val="en-GB"/>
        </w:rPr>
        <w:t xml:space="preserve">hemistry </w:t>
      </w:r>
      <w:r w:rsidR="0077490A" w:rsidRPr="007E7514">
        <w:rPr>
          <w:lang w:val="en-GB"/>
        </w:rPr>
        <w:t>relates to</w:t>
      </w:r>
      <w:r w:rsidRPr="007E7514">
        <w:rPr>
          <w:lang w:val="en-GB"/>
        </w:rPr>
        <w:t xml:space="preserve"> virtually every business sector</w:t>
      </w:r>
      <w:r w:rsidR="0077490A" w:rsidRPr="007E7514">
        <w:rPr>
          <w:lang w:val="en-GB"/>
        </w:rPr>
        <w:t>,</w:t>
      </w:r>
      <w:r w:rsidRPr="007E7514">
        <w:rPr>
          <w:lang w:val="en-GB"/>
        </w:rPr>
        <w:t xml:space="preserve"> including food, energy, plastic, drugs, cosmetics, cleaning products and apparel. Through this global partnership, the private sector is engaged through innovative </w:t>
      </w:r>
      <w:r w:rsidR="0077490A" w:rsidRPr="007E7514">
        <w:rPr>
          <w:lang w:val="en-GB"/>
        </w:rPr>
        <w:t>g</w:t>
      </w:r>
      <w:r w:rsidRPr="007E7514">
        <w:rPr>
          <w:lang w:val="en-GB"/>
        </w:rPr>
        <w:t xml:space="preserve">reen </w:t>
      </w:r>
      <w:r w:rsidR="0077490A" w:rsidRPr="007E7514">
        <w:rPr>
          <w:lang w:val="en-GB"/>
        </w:rPr>
        <w:t>c</w:t>
      </w:r>
      <w:r w:rsidRPr="007E7514">
        <w:rPr>
          <w:lang w:val="en-GB"/>
        </w:rPr>
        <w:t xml:space="preserve">hemistry </w:t>
      </w:r>
      <w:r w:rsidR="0077490A" w:rsidRPr="007E7514">
        <w:rPr>
          <w:lang w:val="en-GB"/>
        </w:rPr>
        <w:t>a</w:t>
      </w:r>
      <w:r w:rsidRPr="007E7514">
        <w:rPr>
          <w:lang w:val="en-GB"/>
        </w:rPr>
        <w:t>ccelerator approaches</w:t>
      </w:r>
      <w:r w:rsidR="0077490A" w:rsidRPr="007E7514">
        <w:rPr>
          <w:lang w:val="en-GB"/>
        </w:rPr>
        <w:t>,</w:t>
      </w:r>
      <w:r w:rsidRPr="007E7514">
        <w:rPr>
          <w:lang w:val="en-GB"/>
        </w:rPr>
        <w:t xml:space="preserve"> such as innovation challenges with participants connected to further technical resources, investors and commercial partners</w:t>
      </w:r>
      <w:r w:rsidR="0077490A" w:rsidRPr="007E7514">
        <w:rPr>
          <w:lang w:val="en-GB"/>
        </w:rPr>
        <w:t>,</w:t>
      </w:r>
      <w:r w:rsidRPr="007E7514">
        <w:rPr>
          <w:lang w:val="en-GB"/>
        </w:rPr>
        <w:t xml:space="preserve"> to foster scaling up </w:t>
      </w:r>
      <w:r w:rsidR="0077490A" w:rsidRPr="007E7514">
        <w:rPr>
          <w:lang w:val="en-GB"/>
        </w:rPr>
        <w:t xml:space="preserve">of </w:t>
      </w:r>
      <w:r w:rsidRPr="007E7514">
        <w:rPr>
          <w:lang w:val="en-GB"/>
        </w:rPr>
        <w:t xml:space="preserve">activities. The approach engages value chain actors and includes multi-stakeholder participation with </w:t>
      </w:r>
      <w:r w:rsidR="0077490A" w:rsidRPr="007E7514">
        <w:rPr>
          <w:lang w:val="en-GB"/>
        </w:rPr>
        <w:t>t</w:t>
      </w:r>
      <w:r w:rsidRPr="007E7514">
        <w:rPr>
          <w:lang w:val="en-GB"/>
        </w:rPr>
        <w:t>he Green Chemistry Commerce Council, the International Union of Pure and Applied Chemistry and entrepreneurs and companies with demonstration programs.</w:t>
      </w:r>
    </w:p>
    <w:p w14:paraId="660A2D58" w14:textId="7FD56FC6" w:rsidR="00FF7A4E" w:rsidRPr="007E7514" w:rsidRDefault="00FF7A4E" w:rsidP="003006DF">
      <w:pPr>
        <w:pStyle w:val="SubParagraphLevel1"/>
        <w:numPr>
          <w:ilvl w:val="0"/>
          <w:numId w:val="37"/>
        </w:numPr>
        <w:ind w:left="1440" w:hanging="720"/>
        <w:rPr>
          <w:lang w:val="en-GB"/>
        </w:rPr>
      </w:pPr>
      <w:r w:rsidRPr="007E7514">
        <w:rPr>
          <w:lang w:val="en-GB"/>
        </w:rPr>
        <w:t xml:space="preserve">The MSP </w:t>
      </w:r>
      <w:r w:rsidRPr="007E7514">
        <w:rPr>
          <w:i/>
          <w:iCs/>
          <w:lang w:val="en-GB"/>
        </w:rPr>
        <w:t>Transforming the Fashion Sector to Drive Positive Outcomes for Biodiversity, Climate and Oceans</w:t>
      </w:r>
      <w:r w:rsidRPr="007E7514">
        <w:rPr>
          <w:lang w:val="en-GB"/>
        </w:rPr>
        <w:t xml:space="preserve"> (ID 10658</w:t>
      </w:r>
      <w:r w:rsidR="0077490A" w:rsidRPr="007E7514">
        <w:rPr>
          <w:lang w:val="en-GB"/>
        </w:rPr>
        <w:t>, implemented by CI</w:t>
      </w:r>
      <w:r w:rsidRPr="007E7514">
        <w:rPr>
          <w:lang w:val="en-GB"/>
        </w:rPr>
        <w:t>) facilitate</w:t>
      </w:r>
      <w:r w:rsidR="0077490A" w:rsidRPr="007E7514">
        <w:rPr>
          <w:lang w:val="en-GB"/>
        </w:rPr>
        <w:t>s</w:t>
      </w:r>
      <w:r w:rsidRPr="007E7514">
        <w:rPr>
          <w:lang w:val="en-GB"/>
        </w:rPr>
        <w:t xml:space="preserve"> the </w:t>
      </w:r>
      <w:r w:rsidRPr="007E7514">
        <w:rPr>
          <w:lang w:val="en-GB"/>
        </w:rPr>
        <w:lastRenderedPageBreak/>
        <w:t>fashion sector’s move from commitments to action and outcomes around key areas of environmental impact. The success of this project relies on private sector engagement. </w:t>
      </w:r>
      <w:r w:rsidR="000F23DC" w:rsidRPr="007E7514">
        <w:rPr>
          <w:lang w:val="en-GB"/>
        </w:rPr>
        <w:t xml:space="preserve">As </w:t>
      </w:r>
      <w:r w:rsidR="001421E9" w:rsidRPr="007E7514">
        <w:rPr>
          <w:lang w:val="en-GB"/>
        </w:rPr>
        <w:t>at</w:t>
      </w:r>
      <w:r w:rsidR="000F23DC" w:rsidRPr="007E7514">
        <w:rPr>
          <w:lang w:val="en-GB"/>
        </w:rPr>
        <w:t xml:space="preserve"> June 2021</w:t>
      </w:r>
      <w:r w:rsidR="001421E9" w:rsidRPr="007E7514">
        <w:rPr>
          <w:lang w:val="en-GB"/>
        </w:rPr>
        <w:t>,</w:t>
      </w:r>
      <w:r w:rsidRPr="007E7514">
        <w:rPr>
          <w:lang w:val="en-GB"/>
        </w:rPr>
        <w:t xml:space="preserve"> 66 fashion companies representing over 250 brands (representing 35</w:t>
      </w:r>
      <w:r w:rsidR="007D240D" w:rsidRPr="007E7514">
        <w:rPr>
          <w:lang w:val="en-GB"/>
        </w:rPr>
        <w:t xml:space="preserve"> percent</w:t>
      </w:r>
      <w:r w:rsidRPr="007E7514">
        <w:rPr>
          <w:lang w:val="en-GB"/>
        </w:rPr>
        <w:t xml:space="preserve"> of the sector by volume) have responded to </w:t>
      </w:r>
      <w:r w:rsidR="00671E65" w:rsidRPr="007E7514">
        <w:rPr>
          <w:lang w:val="en-GB"/>
        </w:rPr>
        <w:t xml:space="preserve">the </w:t>
      </w:r>
      <w:r w:rsidRPr="007E7514">
        <w:rPr>
          <w:lang w:val="en-GB"/>
        </w:rPr>
        <w:t xml:space="preserve">invitation </w:t>
      </w:r>
      <w:r w:rsidR="00671E65" w:rsidRPr="007E7514">
        <w:rPr>
          <w:lang w:val="en-GB"/>
        </w:rPr>
        <w:t xml:space="preserve">by the President of France </w:t>
      </w:r>
      <w:r w:rsidRPr="007E7514">
        <w:rPr>
          <w:lang w:val="en-GB"/>
        </w:rPr>
        <w:t>to create a Fashion Pact</w:t>
      </w:r>
      <w:r w:rsidR="001421E9" w:rsidRPr="007E7514">
        <w:rPr>
          <w:lang w:val="en-GB"/>
        </w:rPr>
        <w:t xml:space="preserve"> Association</w:t>
      </w:r>
      <w:r w:rsidRPr="007E7514">
        <w:rPr>
          <w:lang w:val="en-GB"/>
        </w:rPr>
        <w:t xml:space="preserve">. </w:t>
      </w:r>
      <w:r w:rsidR="0077490A" w:rsidRPr="007E7514">
        <w:rPr>
          <w:lang w:val="en-GB"/>
        </w:rPr>
        <w:t>Its</w:t>
      </w:r>
      <w:r w:rsidRPr="007E7514">
        <w:rPr>
          <w:lang w:val="en-GB"/>
        </w:rPr>
        <w:t xml:space="preserve"> member companies contribute funds and in-kind support to the </w:t>
      </w:r>
      <w:r w:rsidR="0077490A" w:rsidRPr="007E7514">
        <w:rPr>
          <w:lang w:val="en-GB"/>
        </w:rPr>
        <w:t>P</w:t>
      </w:r>
      <w:r w:rsidRPr="007E7514">
        <w:rPr>
          <w:lang w:val="en-GB"/>
        </w:rPr>
        <w:t xml:space="preserve">roject. Their engagement in the </w:t>
      </w:r>
      <w:r w:rsidR="0077490A" w:rsidRPr="007E7514">
        <w:rPr>
          <w:lang w:val="en-GB"/>
        </w:rPr>
        <w:t>P</w:t>
      </w:r>
      <w:r w:rsidRPr="007E7514">
        <w:rPr>
          <w:lang w:val="en-GB"/>
        </w:rPr>
        <w:t xml:space="preserve">roject activities and commitment to implement their “action pathway” with clear targets, milestones and actions will be an important result of this </w:t>
      </w:r>
      <w:r w:rsidR="0077490A" w:rsidRPr="007E7514">
        <w:rPr>
          <w:lang w:val="en-GB"/>
        </w:rPr>
        <w:t>P</w:t>
      </w:r>
      <w:r w:rsidRPr="007E7514">
        <w:rPr>
          <w:lang w:val="en-GB"/>
        </w:rPr>
        <w:t>roject. At least 40 Fashion P</w:t>
      </w:r>
      <w:r w:rsidR="00A00CEA" w:rsidRPr="007E7514">
        <w:rPr>
          <w:lang w:val="en-GB"/>
        </w:rPr>
        <w:t>act</w:t>
      </w:r>
      <w:r w:rsidRPr="007E7514">
        <w:rPr>
          <w:lang w:val="en-GB"/>
        </w:rPr>
        <w:t xml:space="preserve"> companies </w:t>
      </w:r>
      <w:r w:rsidR="0077490A" w:rsidRPr="007E7514">
        <w:rPr>
          <w:lang w:val="en-GB"/>
        </w:rPr>
        <w:t xml:space="preserve">are </w:t>
      </w:r>
      <w:r w:rsidRPr="007E7514">
        <w:rPr>
          <w:lang w:val="en-GB"/>
        </w:rPr>
        <w:t>trained and 35</w:t>
      </w:r>
      <w:r w:rsidR="0004041A" w:rsidRPr="007E7514">
        <w:rPr>
          <w:lang w:val="en-GB"/>
        </w:rPr>
        <w:t xml:space="preserve"> percent</w:t>
      </w:r>
      <w:r w:rsidRPr="007E7514">
        <w:rPr>
          <w:lang w:val="en-GB"/>
        </w:rPr>
        <w:t xml:space="preserve"> </w:t>
      </w:r>
      <w:r w:rsidR="001421E9" w:rsidRPr="007E7514">
        <w:rPr>
          <w:lang w:val="en-GB"/>
        </w:rPr>
        <w:t>(</w:t>
      </w:r>
      <w:r w:rsidRPr="007E7514">
        <w:rPr>
          <w:lang w:val="en-GB"/>
        </w:rPr>
        <w:t>by</w:t>
      </w:r>
      <w:r w:rsidR="18876702" w:rsidRPr="007E7514">
        <w:rPr>
          <w:lang w:val="en-GB"/>
        </w:rPr>
        <w:t xml:space="preserve"> sales </w:t>
      </w:r>
      <w:r w:rsidRPr="007E7514">
        <w:rPr>
          <w:lang w:val="en-GB"/>
        </w:rPr>
        <w:t>volume</w:t>
      </w:r>
      <w:r w:rsidR="001421E9" w:rsidRPr="007E7514">
        <w:rPr>
          <w:lang w:val="en-GB"/>
        </w:rPr>
        <w:t>)</w:t>
      </w:r>
      <w:r w:rsidRPr="007E7514">
        <w:rPr>
          <w:lang w:val="en-GB"/>
        </w:rPr>
        <w:t xml:space="preserve"> of the global fashion industry is actively participating in the Fashion Pact Association</w:t>
      </w:r>
      <w:r w:rsidR="0421C4D4" w:rsidRPr="007E7514">
        <w:rPr>
          <w:lang w:val="en-GB"/>
        </w:rPr>
        <w:t xml:space="preserve"> to</w:t>
      </w:r>
      <w:r w:rsidRPr="007E7514">
        <w:rPr>
          <w:lang w:val="en-GB"/>
        </w:rPr>
        <w:t xml:space="preserve"> </w:t>
      </w:r>
      <w:r w:rsidR="64DEE6DB" w:rsidRPr="007E7514">
        <w:rPr>
          <w:lang w:val="en-GB"/>
        </w:rPr>
        <w:t>s</w:t>
      </w:r>
      <w:r w:rsidRPr="007E7514">
        <w:rPr>
          <w:lang w:val="en-GB"/>
        </w:rPr>
        <w:t>trengthen the sound management of industrial chemicals and their waste through better control, reduction and/or elimination</w:t>
      </w:r>
      <w:r w:rsidR="003006DF" w:rsidRPr="007E7514">
        <w:rPr>
          <w:lang w:val="en-GB"/>
        </w:rPr>
        <w:t xml:space="preserve">. </w:t>
      </w:r>
      <w:r w:rsidR="001421E9" w:rsidRPr="007E7514">
        <w:rPr>
          <w:lang w:val="en-GB"/>
        </w:rPr>
        <w:t>While t</w:t>
      </w:r>
      <w:r w:rsidRPr="007E7514">
        <w:rPr>
          <w:lang w:val="en-GB"/>
        </w:rPr>
        <w:t xml:space="preserve">aking a sectoral approach, the project recognizes that the fashion sector is not a homogenous sector and it includes consumer-facing companies ranging from small and mid-sized enterprises and start-ups, through fast fashion </w:t>
      </w:r>
      <w:r w:rsidR="0077490A" w:rsidRPr="007E7514">
        <w:rPr>
          <w:lang w:val="en-GB"/>
        </w:rPr>
        <w:t>to</w:t>
      </w:r>
      <w:r w:rsidRPr="007E7514">
        <w:rPr>
          <w:lang w:val="en-GB"/>
        </w:rPr>
        <w:t xml:space="preserve"> luxury companies and their suppliers. The project include</w:t>
      </w:r>
      <w:r w:rsidR="00D73ED1" w:rsidRPr="007E7514">
        <w:rPr>
          <w:lang w:val="en-GB"/>
        </w:rPr>
        <w:t>s</w:t>
      </w:r>
      <w:r w:rsidRPr="007E7514">
        <w:rPr>
          <w:lang w:val="en-GB"/>
        </w:rPr>
        <w:t xml:space="preserve"> approaches, tools and communication that are customized to the different segments of the fashion sector and different levels of awareness o</w:t>
      </w:r>
      <w:r w:rsidR="0077490A" w:rsidRPr="007E7514">
        <w:rPr>
          <w:lang w:val="en-GB"/>
        </w:rPr>
        <w:t>f</w:t>
      </w:r>
      <w:r w:rsidRPr="007E7514">
        <w:rPr>
          <w:lang w:val="en-GB"/>
        </w:rPr>
        <w:t xml:space="preserve"> </w:t>
      </w:r>
      <w:r w:rsidR="0077490A" w:rsidRPr="007E7514">
        <w:rPr>
          <w:lang w:val="en-GB"/>
        </w:rPr>
        <w:t>problems</w:t>
      </w:r>
      <w:r w:rsidRPr="007E7514">
        <w:rPr>
          <w:lang w:val="en-GB"/>
        </w:rPr>
        <w:t xml:space="preserve"> and approaches.</w:t>
      </w:r>
    </w:p>
    <w:p w14:paraId="24F194B3" w14:textId="40E965BA" w:rsidR="001F52B2" w:rsidRPr="007E7514" w:rsidRDefault="00FF7A4E" w:rsidP="008D2F2F">
      <w:pPr>
        <w:pStyle w:val="SubParagraphLevel1"/>
        <w:numPr>
          <w:ilvl w:val="0"/>
          <w:numId w:val="37"/>
        </w:numPr>
        <w:spacing w:after="240"/>
        <w:ind w:left="1440" w:hanging="720"/>
        <w:rPr>
          <w:lang w:val="en-GB"/>
        </w:rPr>
      </w:pPr>
      <w:r w:rsidRPr="007E7514">
        <w:rPr>
          <w:lang w:val="en-GB"/>
        </w:rPr>
        <w:t xml:space="preserve">The MSP </w:t>
      </w:r>
      <w:r w:rsidRPr="007E7514">
        <w:rPr>
          <w:i/>
          <w:iCs/>
          <w:lang w:val="en-GB"/>
        </w:rPr>
        <w:t xml:space="preserve">Assessment of </w:t>
      </w:r>
      <w:r w:rsidR="00D73ED1" w:rsidRPr="007E7514">
        <w:rPr>
          <w:i/>
          <w:iCs/>
          <w:lang w:val="en-GB"/>
        </w:rPr>
        <w:t>E</w:t>
      </w:r>
      <w:r w:rsidRPr="007E7514">
        <w:rPr>
          <w:i/>
          <w:iCs/>
          <w:lang w:val="en-GB"/>
        </w:rPr>
        <w:t xml:space="preserve">xisting and </w:t>
      </w:r>
      <w:r w:rsidR="00D73ED1" w:rsidRPr="007E7514">
        <w:rPr>
          <w:i/>
          <w:iCs/>
          <w:lang w:val="en-GB"/>
        </w:rPr>
        <w:t>F</w:t>
      </w:r>
      <w:r w:rsidRPr="007E7514">
        <w:rPr>
          <w:i/>
          <w:iCs/>
          <w:lang w:val="en-GB"/>
        </w:rPr>
        <w:t xml:space="preserve">uture </w:t>
      </w:r>
      <w:r w:rsidR="00D73ED1" w:rsidRPr="007E7514">
        <w:rPr>
          <w:i/>
          <w:iCs/>
          <w:lang w:val="en-GB"/>
        </w:rPr>
        <w:t>E</w:t>
      </w:r>
      <w:r w:rsidRPr="007E7514">
        <w:rPr>
          <w:i/>
          <w:iCs/>
          <w:lang w:val="en-GB"/>
        </w:rPr>
        <w:t xml:space="preserve">mission </w:t>
      </w:r>
      <w:r w:rsidR="00D73ED1" w:rsidRPr="007E7514">
        <w:rPr>
          <w:i/>
          <w:iCs/>
          <w:lang w:val="en-GB"/>
        </w:rPr>
        <w:t>R</w:t>
      </w:r>
      <w:r w:rsidRPr="007E7514">
        <w:rPr>
          <w:i/>
          <w:iCs/>
          <w:lang w:val="en-GB"/>
        </w:rPr>
        <w:t>eduction</w:t>
      </w:r>
      <w:r w:rsidR="001421E9" w:rsidRPr="007E7514">
        <w:rPr>
          <w:i/>
          <w:iCs/>
          <w:lang w:val="en-GB"/>
        </w:rPr>
        <w:t>s</w:t>
      </w:r>
      <w:r w:rsidRPr="007E7514">
        <w:rPr>
          <w:i/>
          <w:iCs/>
          <w:lang w:val="en-GB"/>
        </w:rPr>
        <w:t xml:space="preserve"> from the </w:t>
      </w:r>
      <w:r w:rsidR="00D73ED1" w:rsidRPr="007E7514">
        <w:rPr>
          <w:i/>
          <w:iCs/>
          <w:lang w:val="en-GB"/>
        </w:rPr>
        <w:t>C</w:t>
      </w:r>
      <w:r w:rsidRPr="007E7514">
        <w:rPr>
          <w:i/>
          <w:iCs/>
          <w:lang w:val="en-GB"/>
        </w:rPr>
        <w:t xml:space="preserve">oal </w:t>
      </w:r>
      <w:r w:rsidR="00D73ED1" w:rsidRPr="007E7514">
        <w:rPr>
          <w:i/>
          <w:iCs/>
          <w:lang w:val="en-GB"/>
        </w:rPr>
        <w:t>S</w:t>
      </w:r>
      <w:r w:rsidRPr="007E7514">
        <w:rPr>
          <w:i/>
          <w:iCs/>
          <w:lang w:val="en-GB"/>
        </w:rPr>
        <w:t xml:space="preserve">ector toward the </w:t>
      </w:r>
      <w:r w:rsidR="00D73ED1" w:rsidRPr="007E7514">
        <w:rPr>
          <w:i/>
          <w:iCs/>
          <w:lang w:val="en-GB"/>
        </w:rPr>
        <w:t>I</w:t>
      </w:r>
      <w:r w:rsidRPr="007E7514">
        <w:rPr>
          <w:i/>
          <w:iCs/>
          <w:lang w:val="en-GB"/>
        </w:rPr>
        <w:t>mplementation of the Minamata and Stockholm Conventions</w:t>
      </w:r>
      <w:r w:rsidRPr="007E7514">
        <w:rPr>
          <w:lang w:val="en-GB"/>
        </w:rPr>
        <w:t xml:space="preserve"> (ID 10748</w:t>
      </w:r>
      <w:r w:rsidR="0077490A" w:rsidRPr="007E7514">
        <w:rPr>
          <w:lang w:val="en-GB"/>
        </w:rPr>
        <w:t>, implemented by UNEP</w:t>
      </w:r>
      <w:r w:rsidRPr="007E7514">
        <w:rPr>
          <w:lang w:val="en-GB"/>
        </w:rPr>
        <w:t>) support</w:t>
      </w:r>
      <w:r w:rsidR="00D73ED1" w:rsidRPr="007E7514">
        <w:rPr>
          <w:lang w:val="en-GB"/>
        </w:rPr>
        <w:t>s</w:t>
      </w:r>
      <w:r w:rsidRPr="007E7514">
        <w:rPr>
          <w:lang w:val="en-GB"/>
        </w:rPr>
        <w:t xml:space="preserve"> the development and implementation of a strategy for the coal sector’s emission reduction</w:t>
      </w:r>
      <w:r w:rsidR="001421E9" w:rsidRPr="007E7514">
        <w:rPr>
          <w:lang w:val="en-GB"/>
        </w:rPr>
        <w:t>s</w:t>
      </w:r>
      <w:r w:rsidRPr="007E7514">
        <w:rPr>
          <w:lang w:val="en-GB"/>
        </w:rPr>
        <w:t xml:space="preserve"> </w:t>
      </w:r>
      <w:r w:rsidR="00D73ED1" w:rsidRPr="007E7514">
        <w:rPr>
          <w:lang w:val="en-GB"/>
        </w:rPr>
        <w:t xml:space="preserve">as a </w:t>
      </w:r>
      <w:r w:rsidRPr="007E7514">
        <w:rPr>
          <w:lang w:val="en-GB"/>
        </w:rPr>
        <w:t xml:space="preserve">contribution to </w:t>
      </w:r>
      <w:r w:rsidR="00D73ED1" w:rsidRPr="007E7514">
        <w:rPr>
          <w:lang w:val="en-GB"/>
        </w:rPr>
        <w:t xml:space="preserve">the implementation of the </w:t>
      </w:r>
      <w:r w:rsidRPr="007E7514">
        <w:rPr>
          <w:lang w:val="en-GB"/>
        </w:rPr>
        <w:t>Stockholm and Minamata Conventions</w:t>
      </w:r>
      <w:r w:rsidR="007E321B" w:rsidRPr="007E7514">
        <w:rPr>
          <w:lang w:val="en-GB"/>
        </w:rPr>
        <w:t>.</w:t>
      </w:r>
      <w:r w:rsidR="003006DF" w:rsidRPr="007E7514">
        <w:rPr>
          <w:lang w:val="en-GB"/>
        </w:rPr>
        <w:t xml:space="preserve"> </w:t>
      </w:r>
      <w:r w:rsidRPr="007E7514">
        <w:rPr>
          <w:lang w:val="en-GB"/>
        </w:rPr>
        <w:t xml:space="preserve">Using the multi-stakeholder model under </w:t>
      </w:r>
      <w:r w:rsidR="00D73ED1" w:rsidRPr="007E7514">
        <w:rPr>
          <w:lang w:val="en-GB"/>
        </w:rPr>
        <w:t>t</w:t>
      </w:r>
      <w:r w:rsidRPr="007E7514">
        <w:rPr>
          <w:lang w:val="en-GB"/>
        </w:rPr>
        <w:t xml:space="preserve">he Coal Partnership, consultations with the private sector </w:t>
      </w:r>
      <w:r w:rsidR="00D73ED1" w:rsidRPr="007E7514">
        <w:rPr>
          <w:lang w:val="en-GB"/>
        </w:rPr>
        <w:t>are</w:t>
      </w:r>
      <w:r w:rsidRPr="007E7514">
        <w:rPr>
          <w:lang w:val="en-GB"/>
        </w:rPr>
        <w:t xml:space="preserve"> an integral aspect of the project with inputs from industry to ensure that proposals put forward by the project are financially and technically feasible and appropriate for the coal sector. The Partnership on Mercury Control in Coal Combustions is a key forum for these consultations</w:t>
      </w:r>
      <w:r w:rsidR="003E067A" w:rsidRPr="007E7514">
        <w:rPr>
          <w:lang w:val="en-GB"/>
        </w:rPr>
        <w:t>,</w:t>
      </w:r>
      <w:r w:rsidRPr="007E7514">
        <w:rPr>
          <w:lang w:val="en-GB"/>
        </w:rPr>
        <w:t xml:space="preserve"> with nineteen industry representatives</w:t>
      </w:r>
      <w:r w:rsidR="001421E9" w:rsidRPr="007E7514">
        <w:rPr>
          <w:lang w:val="en-GB"/>
        </w:rPr>
        <w:t>. W</w:t>
      </w:r>
      <w:r w:rsidRPr="007E7514">
        <w:rPr>
          <w:lang w:val="en-GB"/>
        </w:rPr>
        <w:t>here additional expertise or insights are required, the project can build on the private sector relationships already established within the broader Global Mercury Partnership and the extensive networks of other project partners</w:t>
      </w:r>
      <w:r w:rsidR="003E067A" w:rsidRPr="007E7514">
        <w:rPr>
          <w:lang w:val="en-GB"/>
        </w:rPr>
        <w:t>,</w:t>
      </w:r>
      <w:r w:rsidRPr="007E7514">
        <w:rPr>
          <w:lang w:val="en-GB"/>
        </w:rPr>
        <w:t xml:space="preserve"> such as the Clean Coal Centre and Macquarie University.</w:t>
      </w:r>
      <w:r w:rsidR="00071D47" w:rsidRPr="007E7514">
        <w:rPr>
          <w:lang w:val="en-GB"/>
        </w:rPr>
        <w:t xml:space="preserve"> By</w:t>
      </w:r>
      <w:r w:rsidRPr="007E7514">
        <w:rPr>
          <w:lang w:val="en-GB"/>
        </w:rPr>
        <w:t xml:space="preserve"> reducing uncertainties and helping governments incorporate action plans for the coal sector in their national planning, this project will send a clear signal o</w:t>
      </w:r>
      <w:r w:rsidR="003E067A" w:rsidRPr="007E7514">
        <w:rPr>
          <w:lang w:val="en-GB"/>
        </w:rPr>
        <w:t>n</w:t>
      </w:r>
      <w:r w:rsidRPr="007E7514">
        <w:rPr>
          <w:lang w:val="en-GB"/>
        </w:rPr>
        <w:t xml:space="preserve"> the required steps</w:t>
      </w:r>
      <w:r w:rsidR="003E067A" w:rsidRPr="007E7514">
        <w:rPr>
          <w:lang w:val="en-GB"/>
        </w:rPr>
        <w:t xml:space="preserve"> to the private sector</w:t>
      </w:r>
      <w:r w:rsidRPr="007E7514">
        <w:rPr>
          <w:lang w:val="en-GB"/>
        </w:rPr>
        <w:t>.</w:t>
      </w:r>
    </w:p>
    <w:p w14:paraId="0B757448" w14:textId="3958F469" w:rsidR="00376080" w:rsidRPr="007E7514" w:rsidRDefault="00240AB4" w:rsidP="005D7C1E">
      <w:pPr>
        <w:pStyle w:val="Heading1"/>
        <w:rPr>
          <w:rFonts w:cstheme="minorHAnsi"/>
          <w:sz w:val="24"/>
          <w:szCs w:val="24"/>
          <w:lang w:val="en-GB"/>
        </w:rPr>
      </w:pPr>
      <w:bookmarkStart w:id="74" w:name="_Toc76405383"/>
      <w:r w:rsidRPr="007E7514">
        <w:rPr>
          <w:sz w:val="24"/>
          <w:szCs w:val="24"/>
          <w:lang w:val="en-GB"/>
        </w:rPr>
        <w:t xml:space="preserve">Part IV: Update on </w:t>
      </w:r>
      <w:r w:rsidR="001421E9" w:rsidRPr="007E7514">
        <w:rPr>
          <w:sz w:val="24"/>
          <w:szCs w:val="24"/>
          <w:lang w:val="en-GB"/>
        </w:rPr>
        <w:t xml:space="preserve">the </w:t>
      </w:r>
      <w:r w:rsidRPr="007E7514">
        <w:rPr>
          <w:sz w:val="24"/>
          <w:szCs w:val="24"/>
          <w:lang w:val="en-GB"/>
        </w:rPr>
        <w:t>GEF</w:t>
      </w:r>
      <w:r w:rsidR="001421E9" w:rsidRPr="007E7514">
        <w:rPr>
          <w:sz w:val="24"/>
          <w:szCs w:val="24"/>
          <w:lang w:val="en-GB"/>
        </w:rPr>
        <w:t>’s Response to the</w:t>
      </w:r>
      <w:r w:rsidRPr="007E7514">
        <w:rPr>
          <w:sz w:val="24"/>
          <w:szCs w:val="24"/>
          <w:lang w:val="en-GB"/>
        </w:rPr>
        <w:t xml:space="preserve"> COVID-19 </w:t>
      </w:r>
      <w:r w:rsidR="000F3339" w:rsidRPr="007E7514">
        <w:rPr>
          <w:sz w:val="24"/>
          <w:szCs w:val="24"/>
          <w:lang w:val="en-GB"/>
        </w:rPr>
        <w:t>Pandemic</w:t>
      </w:r>
      <w:r w:rsidRPr="007E7514">
        <w:rPr>
          <w:sz w:val="24"/>
          <w:szCs w:val="24"/>
          <w:lang w:val="en-GB"/>
        </w:rPr>
        <w:t xml:space="preserve"> and the Eighth Replenishment</w:t>
      </w:r>
      <w:r w:rsidR="001421E9" w:rsidRPr="007E7514">
        <w:rPr>
          <w:sz w:val="24"/>
          <w:szCs w:val="24"/>
          <w:lang w:val="en-GB"/>
        </w:rPr>
        <w:t xml:space="preserve"> of the GEF</w:t>
      </w:r>
      <w:bookmarkEnd w:id="74"/>
    </w:p>
    <w:bookmarkEnd w:id="70"/>
    <w:p w14:paraId="526D2E38" w14:textId="77777777" w:rsidR="0000292F" w:rsidRPr="007E7514" w:rsidRDefault="0000292F">
      <w:pPr>
        <w:tabs>
          <w:tab w:val="left" w:pos="2530"/>
        </w:tabs>
        <w:rPr>
          <w:rFonts w:asciiTheme="minorHAnsi" w:hAnsiTheme="minorHAnsi" w:cstheme="minorHAnsi"/>
          <w:lang w:val="en-GB"/>
        </w:rPr>
      </w:pPr>
    </w:p>
    <w:p w14:paraId="0B136F4A" w14:textId="6FFFC5DF" w:rsidR="00240AB4" w:rsidRPr="007E7514" w:rsidRDefault="00E62DD0" w:rsidP="002D4A77">
      <w:pPr>
        <w:pStyle w:val="Heading2"/>
        <w:numPr>
          <w:ilvl w:val="0"/>
          <w:numId w:val="35"/>
        </w:numPr>
        <w:rPr>
          <w:lang w:val="en-GB"/>
        </w:rPr>
      </w:pPr>
      <w:bookmarkStart w:id="75" w:name="_Toc76405384"/>
      <w:r w:rsidRPr="007E7514">
        <w:rPr>
          <w:lang w:val="en-GB"/>
        </w:rPr>
        <w:t>C</w:t>
      </w:r>
      <w:r w:rsidR="00016F6B" w:rsidRPr="007E7514">
        <w:rPr>
          <w:lang w:val="en-GB"/>
        </w:rPr>
        <w:t>OVID</w:t>
      </w:r>
      <w:r w:rsidRPr="007E7514">
        <w:rPr>
          <w:lang w:val="en-GB"/>
        </w:rPr>
        <w:t xml:space="preserve">-19 </w:t>
      </w:r>
      <w:r w:rsidR="00016F6B" w:rsidRPr="007E7514">
        <w:rPr>
          <w:lang w:val="en-GB"/>
        </w:rPr>
        <w:t>Pandemic R</w:t>
      </w:r>
      <w:r w:rsidRPr="007E7514">
        <w:rPr>
          <w:lang w:val="en-GB"/>
        </w:rPr>
        <w:t>esponse</w:t>
      </w:r>
      <w:bookmarkEnd w:id="75"/>
    </w:p>
    <w:p w14:paraId="03A1198B" w14:textId="01F4E09D" w:rsidR="00240AB4" w:rsidRPr="007E7514" w:rsidRDefault="00240AB4" w:rsidP="00B7581D">
      <w:pPr>
        <w:pStyle w:val="MainParagraphwith"/>
        <w:rPr>
          <w:lang w:val="en-GB"/>
        </w:rPr>
      </w:pPr>
      <w:r w:rsidRPr="007E7514">
        <w:rPr>
          <w:lang w:val="en-GB"/>
        </w:rPr>
        <w:t xml:space="preserve">The world is </w:t>
      </w:r>
      <w:r w:rsidR="00E95B41" w:rsidRPr="007E7514">
        <w:rPr>
          <w:lang w:val="en-GB"/>
        </w:rPr>
        <w:t>going</w:t>
      </w:r>
      <w:r w:rsidRPr="007E7514">
        <w:rPr>
          <w:lang w:val="en-GB"/>
        </w:rPr>
        <w:t xml:space="preserve"> through an </w:t>
      </w:r>
      <w:r w:rsidR="00E95B41" w:rsidRPr="007E7514">
        <w:rPr>
          <w:lang w:val="en-GB"/>
        </w:rPr>
        <w:t>immense</w:t>
      </w:r>
      <w:r w:rsidRPr="007E7514">
        <w:rPr>
          <w:lang w:val="en-GB"/>
        </w:rPr>
        <w:t xml:space="preserve"> crisis. The COVID-19 pandemic has severely </w:t>
      </w:r>
      <w:r w:rsidRPr="007E7514">
        <w:rPr>
          <w:lang w:val="en-GB"/>
        </w:rPr>
        <w:lastRenderedPageBreak/>
        <w:t>hampered most economic and social activities in all countries and continue</w:t>
      </w:r>
      <w:r w:rsidR="00E95B41" w:rsidRPr="007E7514">
        <w:rPr>
          <w:lang w:val="en-GB"/>
        </w:rPr>
        <w:t>s</w:t>
      </w:r>
      <w:r w:rsidRPr="007E7514">
        <w:rPr>
          <w:lang w:val="en-GB"/>
        </w:rPr>
        <w:t xml:space="preserve"> to </w:t>
      </w:r>
      <w:r w:rsidR="00E95B41" w:rsidRPr="007E7514">
        <w:rPr>
          <w:lang w:val="en-GB"/>
        </w:rPr>
        <w:t>cause</w:t>
      </w:r>
      <w:r w:rsidRPr="007E7514" w:rsidDel="00243568">
        <w:rPr>
          <w:lang w:val="en-GB"/>
        </w:rPr>
        <w:t xml:space="preserve"> </w:t>
      </w:r>
      <w:r w:rsidRPr="007E7514">
        <w:rPr>
          <w:lang w:val="en-GB"/>
        </w:rPr>
        <w:t xml:space="preserve">human suffering and hardship.  </w:t>
      </w:r>
    </w:p>
    <w:p w14:paraId="565D8AB0" w14:textId="5C054B59" w:rsidR="00240AB4" w:rsidRPr="007E7514" w:rsidRDefault="00E95B41" w:rsidP="00B7581D">
      <w:pPr>
        <w:pStyle w:val="MainParagraphwith"/>
        <w:rPr>
          <w:lang w:val="en-GB"/>
        </w:rPr>
      </w:pPr>
      <w:r w:rsidRPr="007E7514">
        <w:rPr>
          <w:lang w:val="en-GB"/>
        </w:rPr>
        <w:t>Scientific evidence makes it</w:t>
      </w:r>
      <w:r w:rsidR="00240AB4" w:rsidRPr="007E7514">
        <w:rPr>
          <w:lang w:val="en-GB"/>
        </w:rPr>
        <w:t xml:space="preserve"> clearer than ever that the fundamental solution to the COVID-19 crisis and prevention </w:t>
      </w:r>
      <w:r w:rsidRPr="007E7514">
        <w:rPr>
          <w:lang w:val="en-GB"/>
        </w:rPr>
        <w:t>of similar crises in the future need</w:t>
      </w:r>
      <w:r w:rsidR="00240AB4" w:rsidRPr="007E7514">
        <w:rPr>
          <w:lang w:val="en-GB"/>
        </w:rPr>
        <w:t xml:space="preserve"> to include transformational change in </w:t>
      </w:r>
      <w:r w:rsidRPr="007E7514">
        <w:rPr>
          <w:lang w:val="en-GB"/>
        </w:rPr>
        <w:t>the way</w:t>
      </w:r>
      <w:r w:rsidR="00240AB4" w:rsidRPr="007E7514">
        <w:rPr>
          <w:lang w:val="en-GB"/>
        </w:rPr>
        <w:t xml:space="preserve"> natural and human systems interact, with a view to restore balance and ensure health</w:t>
      </w:r>
      <w:r w:rsidRPr="007E7514">
        <w:rPr>
          <w:lang w:val="en-GB"/>
        </w:rPr>
        <w:t xml:space="preserve"> of and on the planet</w:t>
      </w:r>
      <w:r w:rsidR="00240AB4" w:rsidRPr="007E7514">
        <w:rPr>
          <w:lang w:val="en-GB"/>
        </w:rPr>
        <w:t>. The GEF has already been pursuing the goal of system change throughout GEF-7 to help continued human prosperity</w:t>
      </w:r>
      <w:r w:rsidRPr="007E7514">
        <w:rPr>
          <w:lang w:val="en-GB"/>
        </w:rPr>
        <w:t xml:space="preserve"> and protect the environment</w:t>
      </w:r>
      <w:r w:rsidR="00240AB4" w:rsidRPr="007E7514">
        <w:rPr>
          <w:lang w:val="en-GB"/>
        </w:rPr>
        <w:t xml:space="preserve">.  </w:t>
      </w:r>
      <w:r w:rsidRPr="007E7514">
        <w:rPr>
          <w:lang w:val="en-GB"/>
        </w:rPr>
        <w:t xml:space="preserve">The </w:t>
      </w:r>
      <w:r w:rsidR="00240AB4" w:rsidRPr="007E7514">
        <w:rPr>
          <w:lang w:val="en-GB"/>
        </w:rPr>
        <w:t xml:space="preserve">GEF’s strategy </w:t>
      </w:r>
      <w:r w:rsidRPr="007E7514">
        <w:rPr>
          <w:lang w:val="en-GB"/>
        </w:rPr>
        <w:t xml:space="preserve">of </w:t>
      </w:r>
      <w:r w:rsidR="00240AB4" w:rsidRPr="007E7514">
        <w:rPr>
          <w:lang w:val="en-GB"/>
        </w:rPr>
        <w:t>focus</w:t>
      </w:r>
      <w:r w:rsidRPr="007E7514">
        <w:rPr>
          <w:lang w:val="en-GB"/>
        </w:rPr>
        <w:t>ing</w:t>
      </w:r>
      <w:r w:rsidR="00240AB4" w:rsidRPr="007E7514">
        <w:rPr>
          <w:lang w:val="en-GB"/>
        </w:rPr>
        <w:t xml:space="preserve"> on the need to protect and restore the integrity of ecosystems as a central requirement for sustainable economic development</w:t>
      </w:r>
      <w:r w:rsidRPr="007E7514">
        <w:rPr>
          <w:lang w:val="en-GB"/>
        </w:rPr>
        <w:t xml:space="preserve"> </w:t>
      </w:r>
      <w:r w:rsidR="00BC4B48" w:rsidRPr="007E7514">
        <w:rPr>
          <w:lang w:val="en-GB"/>
        </w:rPr>
        <w:t>has been</w:t>
      </w:r>
      <w:r w:rsidRPr="007E7514">
        <w:rPr>
          <w:lang w:val="en-GB"/>
        </w:rPr>
        <w:t xml:space="preserve"> reinforced by the COVID-19 crisis</w:t>
      </w:r>
      <w:r w:rsidR="00240AB4" w:rsidRPr="007E7514">
        <w:rPr>
          <w:lang w:val="en-GB"/>
        </w:rPr>
        <w:t>.</w:t>
      </w:r>
    </w:p>
    <w:p w14:paraId="5D9E6DAF" w14:textId="52286BE0" w:rsidR="00240AB4" w:rsidRPr="007E7514" w:rsidRDefault="00240AB4" w:rsidP="00B7581D">
      <w:pPr>
        <w:pStyle w:val="MainParagraphwith"/>
        <w:rPr>
          <w:lang w:val="en-GB"/>
        </w:rPr>
      </w:pPr>
      <w:r w:rsidRPr="007E7514">
        <w:rPr>
          <w:lang w:val="en-GB"/>
        </w:rPr>
        <w:t xml:space="preserve">As governments </w:t>
      </w:r>
      <w:r w:rsidR="00E95B41" w:rsidRPr="007E7514">
        <w:rPr>
          <w:lang w:val="en-GB"/>
        </w:rPr>
        <w:t xml:space="preserve">have </w:t>
      </w:r>
      <w:r w:rsidRPr="007E7514">
        <w:rPr>
          <w:lang w:val="en-GB"/>
        </w:rPr>
        <w:t>strive</w:t>
      </w:r>
      <w:r w:rsidR="00E95B41" w:rsidRPr="007E7514">
        <w:rPr>
          <w:lang w:val="en-GB"/>
        </w:rPr>
        <w:t>n</w:t>
      </w:r>
      <w:r w:rsidRPr="007E7514">
        <w:rPr>
          <w:lang w:val="en-GB"/>
        </w:rPr>
        <w:t xml:space="preserve"> to </w:t>
      </w:r>
      <w:r w:rsidR="00E95B41" w:rsidRPr="007E7514">
        <w:rPr>
          <w:lang w:val="en-GB"/>
        </w:rPr>
        <w:t>find the best ways to cope</w:t>
      </w:r>
      <w:r w:rsidRPr="007E7514">
        <w:rPr>
          <w:lang w:val="en-GB"/>
        </w:rPr>
        <w:t xml:space="preserve"> with the pandemic’s massive </w:t>
      </w:r>
      <w:r w:rsidR="00E95B41" w:rsidRPr="007E7514">
        <w:rPr>
          <w:lang w:val="en-GB"/>
        </w:rPr>
        <w:t>impact on the societies</w:t>
      </w:r>
      <w:r w:rsidRPr="007E7514">
        <w:rPr>
          <w:lang w:val="en-GB"/>
        </w:rPr>
        <w:t xml:space="preserve">, the GEF has worked to ensure that its work </w:t>
      </w:r>
      <w:r w:rsidR="00E95B41" w:rsidRPr="007E7514">
        <w:rPr>
          <w:lang w:val="en-GB"/>
        </w:rPr>
        <w:t>and partnerships are</w:t>
      </w:r>
      <w:r w:rsidRPr="007E7514">
        <w:rPr>
          <w:lang w:val="en-GB"/>
        </w:rPr>
        <w:t xml:space="preserve"> not critically disrupted, and </w:t>
      </w:r>
      <w:r w:rsidR="00E95B41" w:rsidRPr="007E7514">
        <w:rPr>
          <w:lang w:val="en-GB"/>
        </w:rPr>
        <w:t>to</w:t>
      </w:r>
      <w:r w:rsidRPr="007E7514">
        <w:rPr>
          <w:lang w:val="en-GB"/>
        </w:rPr>
        <w:t xml:space="preserve"> adapt to the rapidly changing situation, by integrating responses to </w:t>
      </w:r>
      <w:r w:rsidR="00E95B41" w:rsidRPr="007E7514">
        <w:rPr>
          <w:lang w:val="en-GB"/>
        </w:rPr>
        <w:t xml:space="preserve">the </w:t>
      </w:r>
      <w:r w:rsidRPr="007E7514">
        <w:rPr>
          <w:lang w:val="en-GB"/>
        </w:rPr>
        <w:t xml:space="preserve">COVID-19 </w:t>
      </w:r>
      <w:r w:rsidR="00E95B41" w:rsidRPr="007E7514">
        <w:rPr>
          <w:lang w:val="en-GB"/>
        </w:rPr>
        <w:t xml:space="preserve">pandemic </w:t>
      </w:r>
      <w:r w:rsidRPr="007E7514">
        <w:rPr>
          <w:lang w:val="en-GB"/>
        </w:rPr>
        <w:t xml:space="preserve">into </w:t>
      </w:r>
      <w:r w:rsidR="00E95B41" w:rsidRPr="007E7514">
        <w:rPr>
          <w:lang w:val="en-GB"/>
        </w:rPr>
        <w:t>its</w:t>
      </w:r>
      <w:r w:rsidRPr="007E7514">
        <w:rPr>
          <w:lang w:val="en-GB"/>
        </w:rPr>
        <w:t xml:space="preserve"> business processes.</w:t>
      </w:r>
    </w:p>
    <w:p w14:paraId="21E2B40F" w14:textId="73BF4258" w:rsidR="00240AB4" w:rsidRPr="007E7514" w:rsidRDefault="00240AB4" w:rsidP="00B7581D">
      <w:pPr>
        <w:pStyle w:val="MainParagraphwith"/>
        <w:rPr>
          <w:lang w:val="en-GB"/>
        </w:rPr>
      </w:pPr>
      <w:r w:rsidRPr="007E7514">
        <w:rPr>
          <w:lang w:val="en-GB"/>
        </w:rPr>
        <w:t xml:space="preserve">Since early 2020, the GEF has been investigating how the effects of the pandemic, including risks, impacts and opportunities can be properly integrated into </w:t>
      </w:r>
      <w:r w:rsidR="006951A4" w:rsidRPr="007E7514">
        <w:rPr>
          <w:lang w:val="en-GB"/>
        </w:rPr>
        <w:t xml:space="preserve">its </w:t>
      </w:r>
      <w:r w:rsidRPr="007E7514">
        <w:rPr>
          <w:lang w:val="en-GB"/>
        </w:rPr>
        <w:t>business. The GEF’s response to the pandemic has been varied and comprehensive</w:t>
      </w:r>
      <w:r w:rsidR="006951A4" w:rsidRPr="007E7514">
        <w:rPr>
          <w:lang w:val="en-GB"/>
        </w:rPr>
        <w:t>:</w:t>
      </w:r>
    </w:p>
    <w:p w14:paraId="112262FE" w14:textId="27F7FE9D" w:rsidR="00240AB4" w:rsidRPr="007E7514" w:rsidRDefault="006951A4" w:rsidP="006951A4">
      <w:pPr>
        <w:pStyle w:val="SubParagraphLevel1"/>
        <w:numPr>
          <w:ilvl w:val="0"/>
          <w:numId w:val="38"/>
        </w:numPr>
        <w:ind w:left="1440" w:hanging="720"/>
        <w:rPr>
          <w:lang w:val="en-GB"/>
        </w:rPr>
      </w:pPr>
      <w:r w:rsidRPr="007E7514">
        <w:rPr>
          <w:lang w:val="en-GB"/>
        </w:rPr>
        <w:t>T</w:t>
      </w:r>
      <w:r w:rsidR="00240AB4" w:rsidRPr="007E7514">
        <w:rPr>
          <w:lang w:val="en-GB"/>
        </w:rPr>
        <w:t xml:space="preserve">he GEF Secretariat has called on the expertise of </w:t>
      </w:r>
      <w:r w:rsidRPr="007E7514">
        <w:rPr>
          <w:lang w:val="en-GB"/>
        </w:rPr>
        <w:t>the</w:t>
      </w:r>
      <w:r w:rsidR="00240AB4" w:rsidRPr="007E7514">
        <w:rPr>
          <w:lang w:val="en-GB"/>
        </w:rPr>
        <w:t xml:space="preserve"> COVID-19 Response Task Force to provide overall guidance </w:t>
      </w:r>
      <w:r w:rsidRPr="007E7514">
        <w:rPr>
          <w:lang w:val="en-GB"/>
        </w:rPr>
        <w:t xml:space="preserve">for, </w:t>
      </w:r>
      <w:r w:rsidR="00240AB4" w:rsidRPr="007E7514">
        <w:rPr>
          <w:lang w:val="en-GB"/>
        </w:rPr>
        <w:t>and assess risk</w:t>
      </w:r>
      <w:r w:rsidRPr="007E7514">
        <w:rPr>
          <w:lang w:val="en-GB"/>
        </w:rPr>
        <w:t>s</w:t>
      </w:r>
      <w:r w:rsidR="00240AB4" w:rsidRPr="007E7514">
        <w:rPr>
          <w:lang w:val="en-GB"/>
        </w:rPr>
        <w:t xml:space="preserve"> </w:t>
      </w:r>
      <w:r w:rsidRPr="007E7514">
        <w:rPr>
          <w:lang w:val="en-GB"/>
        </w:rPr>
        <w:t>to,</w:t>
      </w:r>
      <w:r w:rsidR="00240AB4" w:rsidRPr="007E7514">
        <w:rPr>
          <w:lang w:val="en-GB"/>
        </w:rPr>
        <w:t xml:space="preserve"> its entire investment portfolio. This Task Force met every two weeks during 2020 to examine how the COVID-19 pandemic was affecting key priority programs and focal area investments and what the GEF partnership can do about it. The work of the Task Force </w:t>
      </w:r>
      <w:r w:rsidRPr="007E7514">
        <w:rPr>
          <w:lang w:val="en-GB"/>
        </w:rPr>
        <w:t>resulted</w:t>
      </w:r>
      <w:r w:rsidR="00240AB4" w:rsidRPr="007E7514">
        <w:rPr>
          <w:lang w:val="en-GB"/>
        </w:rPr>
        <w:t xml:space="preserve"> in the pr</w:t>
      </w:r>
      <w:r w:rsidRPr="007E7514">
        <w:rPr>
          <w:lang w:val="en-GB"/>
        </w:rPr>
        <w:t>eparation</w:t>
      </w:r>
      <w:r w:rsidR="00240AB4" w:rsidRPr="007E7514">
        <w:rPr>
          <w:lang w:val="en-GB"/>
        </w:rPr>
        <w:t xml:space="preserve"> of a white paper that was presented to the 59</w:t>
      </w:r>
      <w:r w:rsidR="00240AB4" w:rsidRPr="007E7514">
        <w:rPr>
          <w:vertAlign w:val="superscript"/>
          <w:lang w:val="en-GB"/>
        </w:rPr>
        <w:t>th</w:t>
      </w:r>
      <w:r w:rsidR="00240AB4" w:rsidRPr="007E7514">
        <w:rPr>
          <w:lang w:val="en-GB"/>
        </w:rPr>
        <w:t xml:space="preserve"> </w:t>
      </w:r>
      <w:r w:rsidR="00112B3E" w:rsidRPr="007E7514">
        <w:rPr>
          <w:lang w:val="en-GB"/>
        </w:rPr>
        <w:t>GEF C</w:t>
      </w:r>
      <w:r w:rsidR="00240AB4" w:rsidRPr="007E7514">
        <w:rPr>
          <w:lang w:val="en-GB"/>
        </w:rPr>
        <w:t>ouncil meeting.</w:t>
      </w:r>
      <w:r w:rsidR="00240AB4" w:rsidRPr="007E7514">
        <w:rPr>
          <w:vertAlign w:val="superscript"/>
          <w:lang w:val="en-GB"/>
        </w:rPr>
        <w:footnoteReference w:id="32"/>
      </w:r>
      <w:r w:rsidR="00240AB4" w:rsidRPr="007E7514">
        <w:rPr>
          <w:lang w:val="en-GB"/>
        </w:rPr>
        <w:t xml:space="preserve"> </w:t>
      </w:r>
    </w:p>
    <w:p w14:paraId="54178706" w14:textId="6FEFA141" w:rsidR="00240AB4" w:rsidRPr="007E7514" w:rsidRDefault="006951A4" w:rsidP="006951A4">
      <w:pPr>
        <w:pStyle w:val="SubParagraphLevel1"/>
        <w:numPr>
          <w:ilvl w:val="0"/>
          <w:numId w:val="38"/>
        </w:numPr>
        <w:ind w:left="1440" w:hanging="720"/>
        <w:rPr>
          <w:lang w:val="en-GB"/>
        </w:rPr>
      </w:pPr>
      <w:r w:rsidRPr="007E7514">
        <w:rPr>
          <w:lang w:val="en-GB"/>
        </w:rPr>
        <w:t>T</w:t>
      </w:r>
      <w:r w:rsidR="00240AB4" w:rsidRPr="007E7514">
        <w:rPr>
          <w:lang w:val="en-GB"/>
        </w:rPr>
        <w:t xml:space="preserve">he GEF Secretariat </w:t>
      </w:r>
      <w:r w:rsidRPr="007E7514">
        <w:rPr>
          <w:lang w:val="en-GB"/>
        </w:rPr>
        <w:t>initiated</w:t>
      </w:r>
      <w:r w:rsidR="00240AB4" w:rsidRPr="007E7514">
        <w:rPr>
          <w:lang w:val="en-GB"/>
        </w:rPr>
        <w:t xml:space="preserve"> in-depth surveys and </w:t>
      </w:r>
      <w:r w:rsidRPr="007E7514">
        <w:rPr>
          <w:lang w:val="en-GB"/>
        </w:rPr>
        <w:t>held intensive</w:t>
      </w:r>
      <w:r w:rsidR="00240AB4" w:rsidRPr="007E7514">
        <w:rPr>
          <w:lang w:val="en-GB"/>
        </w:rPr>
        <w:t xml:space="preserve"> dialogues with </w:t>
      </w:r>
      <w:r w:rsidR="008C5831" w:rsidRPr="007E7514">
        <w:rPr>
          <w:lang w:val="en-GB"/>
        </w:rPr>
        <w:t xml:space="preserve">the </w:t>
      </w:r>
      <w:r w:rsidRPr="007E7514">
        <w:rPr>
          <w:lang w:val="en-GB"/>
        </w:rPr>
        <w:t>A</w:t>
      </w:r>
      <w:r w:rsidR="00240AB4" w:rsidRPr="007E7514">
        <w:rPr>
          <w:lang w:val="en-GB"/>
        </w:rPr>
        <w:t>gencies to identify project and program risk</w:t>
      </w:r>
      <w:r w:rsidRPr="007E7514">
        <w:rPr>
          <w:lang w:val="en-GB"/>
        </w:rPr>
        <w:t>s</w:t>
      </w:r>
      <w:r w:rsidR="00240AB4" w:rsidRPr="007E7514">
        <w:rPr>
          <w:lang w:val="en-GB"/>
        </w:rPr>
        <w:t xml:space="preserve"> </w:t>
      </w:r>
      <w:r w:rsidRPr="007E7514">
        <w:rPr>
          <w:lang w:val="en-GB"/>
        </w:rPr>
        <w:t>and</w:t>
      </w:r>
      <w:r w:rsidR="00240AB4" w:rsidRPr="007E7514">
        <w:rPr>
          <w:lang w:val="en-GB"/>
        </w:rPr>
        <w:t xml:space="preserve"> identify disruptions in their business practices that c</w:t>
      </w:r>
      <w:r w:rsidRPr="007E7514">
        <w:rPr>
          <w:lang w:val="en-GB"/>
        </w:rPr>
        <w:t>ould</w:t>
      </w:r>
      <w:r w:rsidR="00240AB4" w:rsidRPr="007E7514">
        <w:rPr>
          <w:lang w:val="en-GB"/>
        </w:rPr>
        <w:t xml:space="preserve"> slow or halt project preparation and implementation. As these assessments were completed</w:t>
      </w:r>
      <w:r w:rsidRPr="007E7514">
        <w:rPr>
          <w:lang w:val="en-GB"/>
        </w:rPr>
        <w:t>, it became</w:t>
      </w:r>
      <w:r w:rsidR="00240AB4" w:rsidRPr="007E7514">
        <w:rPr>
          <w:lang w:val="en-GB"/>
        </w:rPr>
        <w:t xml:space="preserve"> </w:t>
      </w:r>
      <w:r w:rsidRPr="007E7514">
        <w:rPr>
          <w:lang w:val="en-GB"/>
        </w:rPr>
        <w:t>clearer</w:t>
      </w:r>
      <w:r w:rsidR="00240AB4" w:rsidRPr="007E7514">
        <w:rPr>
          <w:lang w:val="en-GB"/>
        </w:rPr>
        <w:t xml:space="preserve"> what types of projects might have been at </w:t>
      </w:r>
      <w:r w:rsidRPr="007E7514">
        <w:rPr>
          <w:lang w:val="en-GB"/>
        </w:rPr>
        <w:t xml:space="preserve">a </w:t>
      </w:r>
      <w:r w:rsidR="00240AB4" w:rsidRPr="007E7514">
        <w:rPr>
          <w:lang w:val="en-GB"/>
        </w:rPr>
        <w:t>higher operational risk, including across different geograph</w:t>
      </w:r>
      <w:r w:rsidRPr="007E7514">
        <w:rPr>
          <w:lang w:val="en-GB"/>
        </w:rPr>
        <w:t>ic areas</w:t>
      </w:r>
      <w:r w:rsidR="00240AB4" w:rsidRPr="007E7514">
        <w:rPr>
          <w:lang w:val="en-GB"/>
        </w:rPr>
        <w:t xml:space="preserve"> and contexts. Initial information point</w:t>
      </w:r>
      <w:r w:rsidR="008C5831" w:rsidRPr="007E7514">
        <w:rPr>
          <w:lang w:val="en-GB"/>
        </w:rPr>
        <w:t>ed</w:t>
      </w:r>
      <w:r w:rsidR="00240AB4" w:rsidRPr="007E7514">
        <w:rPr>
          <w:lang w:val="en-GB"/>
        </w:rPr>
        <w:t xml:space="preserve"> </w:t>
      </w:r>
      <w:r w:rsidRPr="007E7514">
        <w:rPr>
          <w:lang w:val="en-GB"/>
        </w:rPr>
        <w:t>out the</w:t>
      </w:r>
      <w:r w:rsidR="00240AB4" w:rsidRPr="007E7514">
        <w:rPr>
          <w:lang w:val="en-GB"/>
        </w:rPr>
        <w:t xml:space="preserve"> </w:t>
      </w:r>
      <w:r w:rsidRPr="007E7514">
        <w:rPr>
          <w:lang w:val="en-GB"/>
        </w:rPr>
        <w:t>problems</w:t>
      </w:r>
      <w:r w:rsidR="00240AB4" w:rsidRPr="007E7514">
        <w:rPr>
          <w:lang w:val="en-GB"/>
        </w:rPr>
        <w:t xml:space="preserve"> </w:t>
      </w:r>
      <w:r w:rsidR="006A79C0" w:rsidRPr="007E7514">
        <w:rPr>
          <w:lang w:val="en-GB"/>
        </w:rPr>
        <w:t xml:space="preserve">for </w:t>
      </w:r>
      <w:r w:rsidR="00240AB4" w:rsidRPr="007E7514">
        <w:rPr>
          <w:lang w:val="en-GB"/>
        </w:rPr>
        <w:t xml:space="preserve">projects that involve extensive stakeholder consultation, particularly those with strong participation of indigenous peoples and communities. The </w:t>
      </w:r>
      <w:r w:rsidR="006A79C0" w:rsidRPr="007E7514">
        <w:rPr>
          <w:lang w:val="en-GB"/>
        </w:rPr>
        <w:t>A</w:t>
      </w:r>
      <w:r w:rsidR="00240AB4" w:rsidRPr="007E7514">
        <w:rPr>
          <w:lang w:val="en-GB"/>
        </w:rPr>
        <w:t>gencies</w:t>
      </w:r>
      <w:r w:rsidR="006A79C0" w:rsidRPr="007E7514">
        <w:rPr>
          <w:lang w:val="en-GB"/>
        </w:rPr>
        <w:t>’</w:t>
      </w:r>
      <w:r w:rsidR="00240AB4" w:rsidRPr="007E7514">
        <w:rPr>
          <w:lang w:val="en-GB"/>
        </w:rPr>
        <w:t xml:space="preserve"> risk assessment tools and fiduciary risk assessment processes constitute key tools </w:t>
      </w:r>
      <w:r w:rsidR="006A79C0" w:rsidRPr="007E7514">
        <w:rPr>
          <w:lang w:val="en-GB"/>
        </w:rPr>
        <w:t>for</w:t>
      </w:r>
      <w:r w:rsidR="00240AB4" w:rsidRPr="007E7514">
        <w:rPr>
          <w:lang w:val="en-GB"/>
        </w:rPr>
        <w:t xml:space="preserve"> </w:t>
      </w:r>
      <w:proofErr w:type="spellStart"/>
      <w:r w:rsidR="00240AB4" w:rsidRPr="007E7514">
        <w:rPr>
          <w:lang w:val="en-GB"/>
        </w:rPr>
        <w:t>analyzing</w:t>
      </w:r>
      <w:proofErr w:type="spellEnd"/>
      <w:r w:rsidR="00240AB4" w:rsidRPr="007E7514">
        <w:rPr>
          <w:lang w:val="en-GB"/>
        </w:rPr>
        <w:t xml:space="preserve"> and developing an appropriate set of mitigation measures</w:t>
      </w:r>
      <w:r w:rsidR="006A79C0" w:rsidRPr="007E7514">
        <w:rPr>
          <w:lang w:val="en-GB"/>
        </w:rPr>
        <w:t xml:space="preserve"> that are</w:t>
      </w:r>
      <w:r w:rsidR="00240AB4" w:rsidRPr="007E7514">
        <w:rPr>
          <w:lang w:val="en-GB"/>
        </w:rPr>
        <w:t xml:space="preserve"> appropriate to the context of the project. In response to some of these findings, the GEF </w:t>
      </w:r>
      <w:r w:rsidR="006A79C0" w:rsidRPr="007E7514">
        <w:rPr>
          <w:lang w:val="en-GB"/>
        </w:rPr>
        <w:t>granted</w:t>
      </w:r>
      <w:r w:rsidR="00240AB4" w:rsidRPr="007E7514">
        <w:rPr>
          <w:lang w:val="en-GB"/>
        </w:rPr>
        <w:t xml:space="preserve"> two extensions </w:t>
      </w:r>
      <w:r w:rsidR="006A79C0" w:rsidRPr="007E7514">
        <w:rPr>
          <w:lang w:val="en-GB"/>
        </w:rPr>
        <w:t>of</w:t>
      </w:r>
      <w:r w:rsidR="00240AB4" w:rsidRPr="007E7514">
        <w:rPr>
          <w:lang w:val="en-GB"/>
        </w:rPr>
        <w:t xml:space="preserve"> project submission deadlines to allow for more flexibility in project preparation and avoid unnecessary cancellations, as </w:t>
      </w:r>
      <w:r w:rsidR="006A79C0" w:rsidRPr="007E7514">
        <w:rPr>
          <w:lang w:val="en-GB"/>
        </w:rPr>
        <w:t>A</w:t>
      </w:r>
      <w:r w:rsidR="00240AB4" w:rsidRPr="007E7514">
        <w:rPr>
          <w:lang w:val="en-GB"/>
        </w:rPr>
        <w:t xml:space="preserve">gencies and </w:t>
      </w:r>
      <w:r w:rsidR="006A79C0" w:rsidRPr="007E7514">
        <w:rPr>
          <w:lang w:val="en-GB"/>
        </w:rPr>
        <w:t>their</w:t>
      </w:r>
      <w:r w:rsidR="00240AB4" w:rsidRPr="007E7514">
        <w:rPr>
          <w:lang w:val="en-GB"/>
        </w:rPr>
        <w:t xml:space="preserve"> counterparts</w:t>
      </w:r>
      <w:r w:rsidR="006A79C0" w:rsidRPr="007E7514">
        <w:rPr>
          <w:lang w:val="en-GB"/>
        </w:rPr>
        <w:t xml:space="preserve"> moved to </w:t>
      </w:r>
      <w:r w:rsidR="006A79C0" w:rsidRPr="007E7514">
        <w:rPr>
          <w:lang w:val="en-GB"/>
        </w:rPr>
        <w:lastRenderedPageBreak/>
        <w:t>work online</w:t>
      </w:r>
      <w:r w:rsidR="00240AB4" w:rsidRPr="007E7514">
        <w:rPr>
          <w:lang w:val="en-GB"/>
        </w:rPr>
        <w:t xml:space="preserve">. This increased flexibility has ensured that no project </w:t>
      </w:r>
      <w:r w:rsidR="006A79C0" w:rsidRPr="007E7514">
        <w:rPr>
          <w:lang w:val="en-GB"/>
        </w:rPr>
        <w:t xml:space="preserve">is </w:t>
      </w:r>
      <w:r w:rsidR="00240AB4" w:rsidRPr="007E7514">
        <w:rPr>
          <w:lang w:val="en-GB"/>
        </w:rPr>
        <w:t>cancell</w:t>
      </w:r>
      <w:r w:rsidR="006A79C0" w:rsidRPr="007E7514">
        <w:rPr>
          <w:lang w:val="en-GB"/>
        </w:rPr>
        <w:t>ed</w:t>
      </w:r>
      <w:r w:rsidR="00240AB4" w:rsidRPr="007E7514">
        <w:rPr>
          <w:lang w:val="en-GB"/>
        </w:rPr>
        <w:t xml:space="preserve"> </w:t>
      </w:r>
      <w:r w:rsidR="006A79C0" w:rsidRPr="007E7514">
        <w:rPr>
          <w:lang w:val="en-GB"/>
        </w:rPr>
        <w:t>for</w:t>
      </w:r>
      <w:r w:rsidR="00240AB4" w:rsidRPr="007E7514">
        <w:rPr>
          <w:lang w:val="en-GB"/>
        </w:rPr>
        <w:t xml:space="preserve"> not meeting the project preparation deadlines set forth by the GEF </w:t>
      </w:r>
      <w:r w:rsidR="006A79C0" w:rsidRPr="007E7514">
        <w:rPr>
          <w:lang w:val="en-GB"/>
        </w:rPr>
        <w:t>C</w:t>
      </w:r>
      <w:r w:rsidR="00240AB4" w:rsidRPr="007E7514">
        <w:rPr>
          <w:lang w:val="en-GB"/>
        </w:rPr>
        <w:t xml:space="preserve">ancellation </w:t>
      </w:r>
      <w:r w:rsidR="006A79C0" w:rsidRPr="007E7514">
        <w:rPr>
          <w:lang w:val="en-GB"/>
        </w:rPr>
        <w:t>P</w:t>
      </w:r>
      <w:r w:rsidR="00240AB4" w:rsidRPr="007E7514">
        <w:rPr>
          <w:lang w:val="en-GB"/>
        </w:rPr>
        <w:t>olicy</w:t>
      </w:r>
      <w:r w:rsidR="008C5831" w:rsidRPr="007E7514">
        <w:rPr>
          <w:lang w:val="en-GB"/>
        </w:rPr>
        <w:t xml:space="preserve"> because of the pandemic</w:t>
      </w:r>
      <w:r w:rsidR="00240AB4" w:rsidRPr="007E7514">
        <w:rPr>
          <w:lang w:val="en-GB"/>
        </w:rPr>
        <w:t xml:space="preserve">. </w:t>
      </w:r>
    </w:p>
    <w:p w14:paraId="25A3D36A" w14:textId="5381DEA3" w:rsidR="00240AB4" w:rsidRPr="007E7514" w:rsidRDefault="00240AB4" w:rsidP="006951A4">
      <w:pPr>
        <w:pStyle w:val="SubParagraphLevel1"/>
        <w:numPr>
          <w:ilvl w:val="0"/>
          <w:numId w:val="38"/>
        </w:numPr>
        <w:ind w:left="1440" w:hanging="720"/>
        <w:rPr>
          <w:lang w:val="en-GB"/>
        </w:rPr>
      </w:pPr>
      <w:r w:rsidRPr="007E7514">
        <w:rPr>
          <w:lang w:val="en-GB"/>
        </w:rPr>
        <w:t>The GEF Secretariat developed a guidance framework t</w:t>
      </w:r>
      <w:r w:rsidR="006A79C0" w:rsidRPr="007E7514">
        <w:rPr>
          <w:lang w:val="en-GB"/>
        </w:rPr>
        <w:t>hat</w:t>
      </w:r>
      <w:r w:rsidRPr="007E7514">
        <w:rPr>
          <w:lang w:val="en-GB"/>
        </w:rPr>
        <w:t xml:space="preserve"> </w:t>
      </w:r>
      <w:r w:rsidR="006A79C0" w:rsidRPr="007E7514">
        <w:rPr>
          <w:lang w:val="en-GB"/>
        </w:rPr>
        <w:t xml:space="preserve">has </w:t>
      </w:r>
      <w:r w:rsidRPr="007E7514">
        <w:rPr>
          <w:lang w:val="en-GB"/>
        </w:rPr>
        <w:t>help</w:t>
      </w:r>
      <w:r w:rsidR="006A79C0" w:rsidRPr="007E7514">
        <w:rPr>
          <w:lang w:val="en-GB"/>
        </w:rPr>
        <w:t>ed</w:t>
      </w:r>
      <w:r w:rsidRPr="007E7514">
        <w:rPr>
          <w:lang w:val="en-GB"/>
        </w:rPr>
        <w:t xml:space="preserve"> project proponents better incorporate pandemic</w:t>
      </w:r>
      <w:r w:rsidR="006A79C0" w:rsidRPr="007E7514">
        <w:rPr>
          <w:lang w:val="en-GB"/>
        </w:rPr>
        <w:t>-related</w:t>
      </w:r>
      <w:r w:rsidRPr="007E7514">
        <w:rPr>
          <w:lang w:val="en-GB"/>
        </w:rPr>
        <w:t xml:space="preserve"> considerations into project design and preparation and manage risks and opportunities. An interactive discussion was held with the Agencies to share the </w:t>
      </w:r>
      <w:r w:rsidR="008C5831" w:rsidRPr="007E7514">
        <w:rPr>
          <w:lang w:val="en-GB"/>
        </w:rPr>
        <w:t xml:space="preserve">GEF’s </w:t>
      </w:r>
      <w:r w:rsidR="008C5831" w:rsidRPr="007E7514">
        <w:rPr>
          <w:lang w:val="en-GB"/>
        </w:rPr>
        <w:br/>
      </w:r>
      <w:r w:rsidRPr="007E7514">
        <w:rPr>
          <w:lang w:val="en-GB"/>
        </w:rPr>
        <w:t xml:space="preserve">COVID-19 </w:t>
      </w:r>
      <w:r w:rsidR="006A79C0" w:rsidRPr="007E7514">
        <w:rPr>
          <w:lang w:val="en-GB"/>
        </w:rPr>
        <w:t xml:space="preserve">pandemic </w:t>
      </w:r>
      <w:r w:rsidRPr="007E7514">
        <w:rPr>
          <w:lang w:val="en-GB"/>
        </w:rPr>
        <w:t xml:space="preserve">response guidance well before the project submission deadline for the December 2020 Work Program. The guidance was well received, and it </w:t>
      </w:r>
      <w:r w:rsidR="006A79C0" w:rsidRPr="007E7514">
        <w:rPr>
          <w:lang w:val="en-GB"/>
        </w:rPr>
        <w:t>has been compatible</w:t>
      </w:r>
      <w:r w:rsidRPr="007E7514">
        <w:rPr>
          <w:lang w:val="en-GB"/>
        </w:rPr>
        <w:t xml:space="preserve"> with similar frameworks adopted by the </w:t>
      </w:r>
      <w:r w:rsidR="006A79C0" w:rsidRPr="007E7514">
        <w:rPr>
          <w:lang w:val="en-GB"/>
        </w:rPr>
        <w:t>A</w:t>
      </w:r>
      <w:r w:rsidRPr="007E7514">
        <w:rPr>
          <w:lang w:val="en-GB"/>
        </w:rPr>
        <w:t>gencies</w:t>
      </w:r>
      <w:r w:rsidR="006A79C0" w:rsidRPr="007E7514">
        <w:rPr>
          <w:lang w:val="en-GB"/>
        </w:rPr>
        <w:t>.</w:t>
      </w:r>
      <w:r w:rsidRPr="007E7514">
        <w:rPr>
          <w:lang w:val="en-GB"/>
        </w:rPr>
        <w:t xml:space="preserve"> </w:t>
      </w:r>
      <w:r w:rsidR="006A79C0" w:rsidRPr="007E7514">
        <w:rPr>
          <w:lang w:val="en-GB"/>
        </w:rPr>
        <w:t xml:space="preserve">This could be considered </w:t>
      </w:r>
      <w:r w:rsidRPr="007E7514">
        <w:rPr>
          <w:lang w:val="en-GB"/>
        </w:rPr>
        <w:t xml:space="preserve">a best practice </w:t>
      </w:r>
      <w:r w:rsidR="006A79C0" w:rsidRPr="007E7514">
        <w:rPr>
          <w:lang w:val="en-GB"/>
        </w:rPr>
        <w:t xml:space="preserve">for the future </w:t>
      </w:r>
      <w:r w:rsidRPr="007E7514">
        <w:rPr>
          <w:lang w:val="en-GB"/>
        </w:rPr>
        <w:t xml:space="preserve">across the entire </w:t>
      </w:r>
      <w:r w:rsidR="006A79C0" w:rsidRPr="007E7514">
        <w:rPr>
          <w:lang w:val="en-GB"/>
        </w:rPr>
        <w:t xml:space="preserve">GEF </w:t>
      </w:r>
      <w:r w:rsidRPr="007E7514">
        <w:rPr>
          <w:lang w:val="en-GB"/>
        </w:rPr>
        <w:t>partnership.</w:t>
      </w:r>
      <w:r w:rsidRPr="007E7514">
        <w:rPr>
          <w:vertAlign w:val="superscript"/>
          <w:lang w:val="en-GB"/>
        </w:rPr>
        <w:footnoteReference w:id="33"/>
      </w:r>
    </w:p>
    <w:p w14:paraId="18F24202" w14:textId="7AF33CD5" w:rsidR="00240AB4" w:rsidRPr="007E7514" w:rsidRDefault="006A79C0" w:rsidP="006951A4">
      <w:pPr>
        <w:pStyle w:val="SubParagraphLevel1"/>
        <w:numPr>
          <w:ilvl w:val="0"/>
          <w:numId w:val="38"/>
        </w:numPr>
        <w:ind w:left="1440" w:hanging="720"/>
        <w:rPr>
          <w:lang w:val="en-GB"/>
        </w:rPr>
      </w:pPr>
      <w:r w:rsidRPr="007E7514">
        <w:rPr>
          <w:lang w:val="en-GB"/>
        </w:rPr>
        <w:t>P</w:t>
      </w:r>
      <w:r w:rsidR="00240AB4" w:rsidRPr="007E7514">
        <w:rPr>
          <w:lang w:val="en-GB"/>
        </w:rPr>
        <w:t>roject managers at the GEF Secretariat review</w:t>
      </w:r>
      <w:r w:rsidRPr="007E7514">
        <w:rPr>
          <w:lang w:val="en-GB"/>
        </w:rPr>
        <w:t>ed</w:t>
      </w:r>
      <w:r w:rsidR="00240AB4" w:rsidRPr="007E7514">
        <w:rPr>
          <w:lang w:val="en-GB"/>
        </w:rPr>
        <w:t xml:space="preserve"> projects </w:t>
      </w:r>
      <w:r w:rsidRPr="007E7514">
        <w:rPr>
          <w:lang w:val="en-GB"/>
        </w:rPr>
        <w:t>taking into account</w:t>
      </w:r>
      <w:r w:rsidR="00240AB4" w:rsidRPr="007E7514">
        <w:rPr>
          <w:lang w:val="en-GB"/>
        </w:rPr>
        <w:t xml:space="preserve"> the guidance on </w:t>
      </w:r>
      <w:r w:rsidR="008C5831" w:rsidRPr="007E7514">
        <w:rPr>
          <w:lang w:val="en-GB"/>
        </w:rPr>
        <w:t xml:space="preserve">the </w:t>
      </w:r>
      <w:r w:rsidR="00240AB4" w:rsidRPr="007E7514">
        <w:rPr>
          <w:lang w:val="en-GB"/>
        </w:rPr>
        <w:t>COVID-19</w:t>
      </w:r>
      <w:r w:rsidRPr="007E7514">
        <w:rPr>
          <w:lang w:val="en-GB"/>
        </w:rPr>
        <w:t xml:space="preserve"> </w:t>
      </w:r>
      <w:r w:rsidR="008C5831" w:rsidRPr="007E7514">
        <w:rPr>
          <w:lang w:val="en-GB"/>
        </w:rPr>
        <w:t xml:space="preserve">pandemic </w:t>
      </w:r>
      <w:r w:rsidRPr="007E7514">
        <w:rPr>
          <w:lang w:val="en-GB"/>
        </w:rPr>
        <w:t>response</w:t>
      </w:r>
      <w:r w:rsidR="00240AB4" w:rsidRPr="007E7514">
        <w:rPr>
          <w:lang w:val="en-GB"/>
        </w:rPr>
        <w:t xml:space="preserve">, ensuring that all projects and programs submitted for consideration by the Council have taken into account the risks and opportunities </w:t>
      </w:r>
      <w:r w:rsidRPr="007E7514">
        <w:rPr>
          <w:lang w:val="en-GB"/>
        </w:rPr>
        <w:t>relating to</w:t>
      </w:r>
      <w:r w:rsidR="00240AB4" w:rsidRPr="007E7514">
        <w:rPr>
          <w:lang w:val="en-GB"/>
        </w:rPr>
        <w:t xml:space="preserve"> the pandemic </w:t>
      </w:r>
      <w:r w:rsidRPr="007E7514">
        <w:rPr>
          <w:lang w:val="en-GB"/>
        </w:rPr>
        <w:t>that may be reflected</w:t>
      </w:r>
      <w:r w:rsidR="00240AB4" w:rsidRPr="007E7514">
        <w:rPr>
          <w:lang w:val="en-GB"/>
        </w:rPr>
        <w:t xml:space="preserve"> </w:t>
      </w:r>
      <w:r w:rsidRPr="007E7514">
        <w:rPr>
          <w:lang w:val="en-GB"/>
        </w:rPr>
        <w:t xml:space="preserve">in </w:t>
      </w:r>
      <w:r w:rsidR="00240AB4" w:rsidRPr="007E7514">
        <w:rPr>
          <w:lang w:val="en-GB"/>
        </w:rPr>
        <w:t>the project outcomes. The results of the detailed review of projects</w:t>
      </w:r>
      <w:r w:rsidRPr="007E7514">
        <w:rPr>
          <w:lang w:val="en-GB"/>
        </w:rPr>
        <w:t xml:space="preserve"> in light of the COVID-19 pandemic response</w:t>
      </w:r>
      <w:r w:rsidR="00240AB4" w:rsidRPr="007E7514">
        <w:rPr>
          <w:lang w:val="en-GB"/>
        </w:rPr>
        <w:t xml:space="preserve"> can be found in the individual reports </w:t>
      </w:r>
      <w:r w:rsidRPr="007E7514">
        <w:rPr>
          <w:lang w:val="en-GB"/>
        </w:rPr>
        <w:t>of</w:t>
      </w:r>
      <w:r w:rsidR="00240AB4" w:rsidRPr="007E7514">
        <w:rPr>
          <w:lang w:val="en-GB"/>
        </w:rPr>
        <w:t xml:space="preserve"> each project included in the cover notes of the Work Program for the GEF Trust Fund presented to the </w:t>
      </w:r>
      <w:r w:rsidRPr="007E7514">
        <w:rPr>
          <w:lang w:val="en-GB"/>
        </w:rPr>
        <w:t>C</w:t>
      </w:r>
      <w:r w:rsidR="00240AB4" w:rsidRPr="007E7514">
        <w:rPr>
          <w:lang w:val="en-GB"/>
        </w:rPr>
        <w:t>ouncil.</w:t>
      </w:r>
    </w:p>
    <w:p w14:paraId="435DA73D" w14:textId="1C1F3C57" w:rsidR="001B5A21" w:rsidRPr="007E7514" w:rsidRDefault="001B5A21" w:rsidP="001B5A21">
      <w:pPr>
        <w:pStyle w:val="MainParagraphwith"/>
        <w:rPr>
          <w:lang w:val="en-GB"/>
        </w:rPr>
      </w:pPr>
      <w:r w:rsidRPr="007E7514">
        <w:rPr>
          <w:lang w:val="en-GB"/>
        </w:rPr>
        <w:t>As governments have striven to find the best ways to cope with the COVID-19 pandemic’s massive impact on the societies, the GEF has worked with countries and Agencies to ensure that the support for chemicals and waste priorities continues to be provided, with the approval of 98 projects and programs from the GEF Council in December 2020 and June 2021. The GEF developed a guidance framework that has helped project proponents to identify risks and opportunities related to the pandemic and incorporate them into project design and preparation. The GEF Secretariat has reviewed the projects for consideration by the Councils in accordance with this guidance framework. Furthermore, the GEF granted two extensions of project submission deadlines to allow for more flexibility in project preparation and avoid unnecessary cancellations, as Agencies and their national counterparts moved to work online.</w:t>
      </w:r>
    </w:p>
    <w:p w14:paraId="527C6729" w14:textId="2C9C3B24" w:rsidR="008462FA" w:rsidRPr="007E7514" w:rsidRDefault="001B5A21" w:rsidP="001B5A21">
      <w:pPr>
        <w:pStyle w:val="MainParagraphwith"/>
        <w:rPr>
          <w:lang w:val="en-GB"/>
        </w:rPr>
      </w:pPr>
      <w:r w:rsidRPr="007E7514">
        <w:rPr>
          <w:lang w:val="en-GB"/>
        </w:rPr>
        <w:t>The GEF has initiated the eighth replenishment (GEF-8) process in early 2021, which is expected to be completed by the spring of 2022. The GEF’s contribution to a green and blue post-COVID-19 recovery is expected to be articulated in the Programming Strategy documents.</w:t>
      </w:r>
    </w:p>
    <w:p w14:paraId="5C773A58" w14:textId="0C848203" w:rsidR="00DA3C51" w:rsidRPr="007E7514" w:rsidRDefault="00240AB4" w:rsidP="008462FA">
      <w:pPr>
        <w:pStyle w:val="MainParagraphwith"/>
        <w:rPr>
          <w:lang w:val="en-GB"/>
        </w:rPr>
      </w:pPr>
      <w:r w:rsidRPr="007E7514">
        <w:rPr>
          <w:lang w:val="en-GB"/>
        </w:rPr>
        <w:t xml:space="preserve">The COVID-19 pandemic has disrupted work in significant ways. However, </w:t>
      </w:r>
      <w:r w:rsidR="006A79C0" w:rsidRPr="007E7514">
        <w:rPr>
          <w:lang w:val="en-GB"/>
        </w:rPr>
        <w:t xml:space="preserve">in light of </w:t>
      </w:r>
      <w:r w:rsidRPr="007E7514">
        <w:rPr>
          <w:lang w:val="en-GB"/>
        </w:rPr>
        <w:t xml:space="preserve">the GEF-wide response to the pandemic </w:t>
      </w:r>
      <w:r w:rsidR="006A79C0" w:rsidRPr="007E7514">
        <w:rPr>
          <w:lang w:val="en-GB"/>
        </w:rPr>
        <w:t xml:space="preserve">described above, </w:t>
      </w:r>
      <w:r w:rsidRPr="007E7514">
        <w:rPr>
          <w:lang w:val="en-GB"/>
        </w:rPr>
        <w:t xml:space="preserve">the GEF believes </w:t>
      </w:r>
      <w:r w:rsidR="006A79C0" w:rsidRPr="007E7514">
        <w:rPr>
          <w:lang w:val="en-GB"/>
        </w:rPr>
        <w:t>to be</w:t>
      </w:r>
      <w:r w:rsidRPr="007E7514">
        <w:rPr>
          <w:lang w:val="en-GB"/>
        </w:rPr>
        <w:t xml:space="preserve"> on track to minimize and</w:t>
      </w:r>
      <w:r w:rsidR="006A79C0" w:rsidRPr="007E7514">
        <w:rPr>
          <w:lang w:val="en-GB"/>
        </w:rPr>
        <w:t>/</w:t>
      </w:r>
      <w:r w:rsidRPr="007E7514">
        <w:rPr>
          <w:lang w:val="en-GB"/>
        </w:rPr>
        <w:t>or mitigate much of the disrupti</w:t>
      </w:r>
      <w:r w:rsidR="006A79C0" w:rsidRPr="007E7514">
        <w:rPr>
          <w:lang w:val="en-GB"/>
        </w:rPr>
        <w:t>on</w:t>
      </w:r>
      <w:r w:rsidRPr="007E7514">
        <w:rPr>
          <w:lang w:val="en-GB"/>
        </w:rPr>
        <w:t xml:space="preserve"> the pandemic </w:t>
      </w:r>
      <w:r w:rsidR="006A79C0" w:rsidRPr="007E7514">
        <w:rPr>
          <w:lang w:val="en-GB"/>
        </w:rPr>
        <w:t>has created in</w:t>
      </w:r>
      <w:r w:rsidRPr="007E7514">
        <w:rPr>
          <w:lang w:val="en-GB"/>
        </w:rPr>
        <w:t xml:space="preserve"> the </w:t>
      </w:r>
      <w:r w:rsidR="006A79C0" w:rsidRPr="007E7514">
        <w:rPr>
          <w:lang w:val="en-GB"/>
        </w:rPr>
        <w:t xml:space="preserve">GEF </w:t>
      </w:r>
      <w:r w:rsidRPr="007E7514">
        <w:rPr>
          <w:lang w:val="en-GB"/>
        </w:rPr>
        <w:t xml:space="preserve">business.  More importantly, by focusing even more on rebuilding the health of the environment and </w:t>
      </w:r>
      <w:r w:rsidRPr="007E7514">
        <w:rPr>
          <w:lang w:val="en-GB"/>
        </w:rPr>
        <w:lastRenderedPageBreak/>
        <w:t>investing in blue and green recovery activities, the work of the GEF can help prevent such crises</w:t>
      </w:r>
      <w:r w:rsidR="006A79C0" w:rsidRPr="007E7514">
        <w:rPr>
          <w:lang w:val="en-GB"/>
        </w:rPr>
        <w:t xml:space="preserve"> in the future</w:t>
      </w:r>
      <w:r w:rsidRPr="007E7514">
        <w:rPr>
          <w:lang w:val="en-GB"/>
        </w:rPr>
        <w:t>, a</w:t>
      </w:r>
      <w:r w:rsidR="006A79C0" w:rsidRPr="007E7514">
        <w:rPr>
          <w:lang w:val="en-GB"/>
        </w:rPr>
        <w:t>nd</w:t>
      </w:r>
      <w:r w:rsidRPr="007E7514">
        <w:rPr>
          <w:lang w:val="en-GB"/>
        </w:rPr>
        <w:t xml:space="preserve"> contribute to a healthier and more resilient recovery for people and the planet.</w:t>
      </w:r>
    </w:p>
    <w:p w14:paraId="2F4D7D52" w14:textId="5BF0A48C" w:rsidR="00240AB4" w:rsidRPr="007E7514" w:rsidRDefault="00E62DD0" w:rsidP="002D4A77">
      <w:pPr>
        <w:pStyle w:val="Heading2"/>
        <w:rPr>
          <w:lang w:val="en-GB"/>
        </w:rPr>
      </w:pPr>
      <w:bookmarkStart w:id="76" w:name="_Toc76405385"/>
      <w:r w:rsidRPr="007E7514">
        <w:rPr>
          <w:lang w:val="en-GB"/>
        </w:rPr>
        <w:t>Eight</w:t>
      </w:r>
      <w:r w:rsidR="00016F6B" w:rsidRPr="007E7514">
        <w:rPr>
          <w:lang w:val="en-GB"/>
        </w:rPr>
        <w:t>h</w:t>
      </w:r>
      <w:r w:rsidRPr="007E7514">
        <w:rPr>
          <w:lang w:val="en-GB"/>
        </w:rPr>
        <w:t xml:space="preserve"> </w:t>
      </w:r>
      <w:r w:rsidR="00016F6B" w:rsidRPr="007E7514">
        <w:rPr>
          <w:lang w:val="en-GB"/>
        </w:rPr>
        <w:t>R</w:t>
      </w:r>
      <w:r w:rsidRPr="007E7514">
        <w:rPr>
          <w:lang w:val="en-GB"/>
        </w:rPr>
        <w:t xml:space="preserve">eplenishment of the </w:t>
      </w:r>
      <w:r w:rsidR="00016F6B" w:rsidRPr="007E7514">
        <w:rPr>
          <w:lang w:val="en-GB"/>
        </w:rPr>
        <w:t>GEF</w:t>
      </w:r>
      <w:r w:rsidRPr="007E7514">
        <w:rPr>
          <w:lang w:val="en-GB"/>
        </w:rPr>
        <w:t xml:space="preserve"> </w:t>
      </w:r>
      <w:r w:rsidR="00016F6B" w:rsidRPr="007E7514">
        <w:rPr>
          <w:lang w:val="en-GB"/>
        </w:rPr>
        <w:t>T</w:t>
      </w:r>
      <w:r w:rsidRPr="007E7514">
        <w:rPr>
          <w:lang w:val="en-GB"/>
        </w:rPr>
        <w:t xml:space="preserve">rust </w:t>
      </w:r>
      <w:r w:rsidR="00016F6B" w:rsidRPr="007E7514">
        <w:rPr>
          <w:lang w:val="en-GB"/>
        </w:rPr>
        <w:t>F</w:t>
      </w:r>
      <w:r w:rsidRPr="007E7514">
        <w:rPr>
          <w:lang w:val="en-GB"/>
        </w:rPr>
        <w:t>und</w:t>
      </w:r>
      <w:bookmarkEnd w:id="76"/>
    </w:p>
    <w:p w14:paraId="7FD7A509" w14:textId="6F3402D4" w:rsidR="00240AB4" w:rsidRPr="007E7514" w:rsidRDefault="00F66434" w:rsidP="00B7581D">
      <w:pPr>
        <w:pStyle w:val="MainParagraphwith"/>
        <w:rPr>
          <w:lang w:val="en-GB"/>
        </w:rPr>
      </w:pPr>
      <w:r w:rsidRPr="007E7514">
        <w:rPr>
          <w:lang w:val="en-GB"/>
        </w:rPr>
        <w:t xml:space="preserve">Resources for the GEF Trust Fund are replenished every four years by countries that wish to contribute to the Fund (“Contributing Participants”). </w:t>
      </w:r>
      <w:r w:rsidR="00240AB4" w:rsidRPr="007E7514">
        <w:rPr>
          <w:lang w:val="en-GB"/>
        </w:rPr>
        <w:t>The GEF Council, at its 59</w:t>
      </w:r>
      <w:r w:rsidR="00240AB4" w:rsidRPr="007E7514">
        <w:rPr>
          <w:vertAlign w:val="superscript"/>
          <w:lang w:val="en-GB"/>
        </w:rPr>
        <w:t>th</w:t>
      </w:r>
      <w:r w:rsidR="00240AB4" w:rsidRPr="007E7514">
        <w:rPr>
          <w:lang w:val="en-GB"/>
        </w:rPr>
        <w:t xml:space="preserve"> meeting in December 2020, requested the Trustee, in cooperation with the Secretariat, to initiate the discussions on GEF-8.</w:t>
      </w:r>
      <w:r w:rsidR="00240AB4" w:rsidRPr="007E7514">
        <w:rPr>
          <w:vertAlign w:val="superscript"/>
          <w:lang w:val="en-GB"/>
        </w:rPr>
        <w:footnoteReference w:id="34"/>
      </w:r>
      <w:r w:rsidR="00AF4AC8" w:rsidRPr="007E7514">
        <w:rPr>
          <w:lang w:val="en-GB"/>
        </w:rPr>
        <w:t xml:space="preserve"> </w:t>
      </w:r>
      <w:r w:rsidR="00F26BBB" w:rsidRPr="007E7514">
        <w:rPr>
          <w:lang w:val="en-GB"/>
        </w:rPr>
        <w:t xml:space="preserve">The </w:t>
      </w:r>
      <w:r w:rsidR="00AF4AC8" w:rsidRPr="007E7514">
        <w:rPr>
          <w:lang w:val="en-GB"/>
        </w:rPr>
        <w:t xml:space="preserve">GEF-8 </w:t>
      </w:r>
      <w:r w:rsidR="00485A9F" w:rsidRPr="007E7514">
        <w:rPr>
          <w:lang w:val="en-GB"/>
        </w:rPr>
        <w:t>phase</w:t>
      </w:r>
      <w:r w:rsidR="00AF4AC8" w:rsidRPr="007E7514">
        <w:rPr>
          <w:lang w:val="en-GB"/>
        </w:rPr>
        <w:t xml:space="preserve"> cover</w:t>
      </w:r>
      <w:r w:rsidR="00F26BBB" w:rsidRPr="007E7514">
        <w:rPr>
          <w:lang w:val="en-GB"/>
        </w:rPr>
        <w:t>s</w:t>
      </w:r>
      <w:r w:rsidR="00AF4AC8" w:rsidRPr="007E7514">
        <w:rPr>
          <w:lang w:val="en-GB"/>
        </w:rPr>
        <w:t xml:space="preserve"> the period </w:t>
      </w:r>
      <w:r w:rsidRPr="007E7514">
        <w:rPr>
          <w:lang w:val="en-GB"/>
        </w:rPr>
        <w:t>from</w:t>
      </w:r>
      <w:r w:rsidR="00AF4AC8" w:rsidRPr="007E7514">
        <w:rPr>
          <w:lang w:val="en-GB"/>
        </w:rPr>
        <w:t xml:space="preserve"> J</w:t>
      </w:r>
      <w:r w:rsidR="002E760E" w:rsidRPr="007E7514">
        <w:rPr>
          <w:lang w:val="en-GB"/>
        </w:rPr>
        <w:t>uly 1,</w:t>
      </w:r>
      <w:r w:rsidR="00AF4AC8" w:rsidRPr="007E7514">
        <w:rPr>
          <w:lang w:val="en-GB"/>
        </w:rPr>
        <w:t xml:space="preserve"> </w:t>
      </w:r>
      <w:r w:rsidR="00FA37C0" w:rsidRPr="007E7514">
        <w:rPr>
          <w:lang w:val="en-GB"/>
        </w:rPr>
        <w:t xml:space="preserve">2022 </w:t>
      </w:r>
      <w:r w:rsidRPr="007E7514">
        <w:rPr>
          <w:lang w:val="en-GB"/>
        </w:rPr>
        <w:t>to</w:t>
      </w:r>
      <w:r w:rsidR="00FA37C0" w:rsidRPr="007E7514">
        <w:rPr>
          <w:lang w:val="en-GB"/>
        </w:rPr>
        <w:t xml:space="preserve"> June 30</w:t>
      </w:r>
      <w:r w:rsidR="002E760E" w:rsidRPr="007E7514">
        <w:rPr>
          <w:lang w:val="en-GB"/>
        </w:rPr>
        <w:t>, 202</w:t>
      </w:r>
      <w:r w:rsidR="002C3118" w:rsidRPr="007E7514">
        <w:rPr>
          <w:lang w:val="en-GB"/>
        </w:rPr>
        <w:t>6</w:t>
      </w:r>
      <w:r w:rsidR="002E760E" w:rsidRPr="007E7514">
        <w:rPr>
          <w:lang w:val="en-GB"/>
        </w:rPr>
        <w:t>.</w:t>
      </w:r>
    </w:p>
    <w:p w14:paraId="0EE348E7" w14:textId="77777777" w:rsidR="00240AB4" w:rsidRPr="007E7514" w:rsidRDefault="00240AB4" w:rsidP="00B7581D">
      <w:pPr>
        <w:pStyle w:val="MainParagraphwith"/>
        <w:rPr>
          <w:lang w:val="en-GB"/>
        </w:rPr>
      </w:pPr>
      <w:r w:rsidRPr="007E7514">
        <w:rPr>
          <w:lang w:val="en-GB"/>
        </w:rPr>
        <w:t>Through the replenishment process, which consists of a series of meetings over a period of approximately one year, Contributing Participants review the GEF’s performance, assess future funding needs and agree on a financing framework, and set out key policy reforms and programming directions.</w:t>
      </w:r>
    </w:p>
    <w:p w14:paraId="4070787F" w14:textId="221ECED9" w:rsidR="00240AB4" w:rsidRPr="007E7514" w:rsidRDefault="00240AB4" w:rsidP="00B7581D">
      <w:pPr>
        <w:pStyle w:val="MainParagraphwith"/>
        <w:rPr>
          <w:lang w:val="en-GB"/>
        </w:rPr>
      </w:pPr>
      <w:r w:rsidRPr="007E7514">
        <w:rPr>
          <w:color w:val="333333"/>
          <w:lang w:val="en-GB"/>
        </w:rPr>
        <w:t> </w:t>
      </w:r>
      <w:r w:rsidRPr="007E7514">
        <w:rPr>
          <w:lang w:val="en-GB"/>
        </w:rPr>
        <w:t xml:space="preserve">To </w:t>
      </w:r>
      <w:r w:rsidR="00D86448" w:rsidRPr="007E7514">
        <w:rPr>
          <w:lang w:val="en-GB"/>
        </w:rPr>
        <w:t>support the development of the</w:t>
      </w:r>
      <w:r w:rsidR="00062051" w:rsidRPr="007E7514">
        <w:rPr>
          <w:lang w:val="en-GB"/>
        </w:rPr>
        <w:t xml:space="preserve"> draft </w:t>
      </w:r>
      <w:r w:rsidR="00EB650F" w:rsidRPr="007E7514">
        <w:rPr>
          <w:lang w:val="en-GB"/>
        </w:rPr>
        <w:t xml:space="preserve">GEF-8 </w:t>
      </w:r>
      <w:r w:rsidR="00062051" w:rsidRPr="007E7514">
        <w:rPr>
          <w:lang w:val="en-GB"/>
        </w:rPr>
        <w:t>programming directions</w:t>
      </w:r>
      <w:r w:rsidR="00200DB2" w:rsidRPr="007E7514">
        <w:rPr>
          <w:lang w:val="en-GB"/>
        </w:rPr>
        <w:t xml:space="preserve">, </w:t>
      </w:r>
      <w:r w:rsidRPr="007E7514">
        <w:rPr>
          <w:lang w:val="en-GB"/>
        </w:rPr>
        <w:t>the GEF hosted the TAG meeting</w:t>
      </w:r>
      <w:r w:rsidR="00200DB2" w:rsidRPr="007E7514">
        <w:rPr>
          <w:lang w:val="en-GB"/>
        </w:rPr>
        <w:t xml:space="preserve"> from February 8 to 11, 2021</w:t>
      </w:r>
      <w:r w:rsidRPr="007E7514">
        <w:rPr>
          <w:lang w:val="en-GB"/>
        </w:rPr>
        <w:t xml:space="preserve"> t</w:t>
      </w:r>
      <w:r w:rsidR="00F66434" w:rsidRPr="007E7514">
        <w:rPr>
          <w:lang w:val="en-GB"/>
        </w:rPr>
        <w:t>hat</w:t>
      </w:r>
      <w:r w:rsidRPr="007E7514">
        <w:rPr>
          <w:lang w:val="en-GB"/>
        </w:rPr>
        <w:t xml:space="preserve"> gather</w:t>
      </w:r>
      <w:r w:rsidR="00F66434" w:rsidRPr="007E7514">
        <w:rPr>
          <w:lang w:val="en-GB"/>
        </w:rPr>
        <w:t>ed</w:t>
      </w:r>
      <w:r w:rsidRPr="007E7514">
        <w:rPr>
          <w:lang w:val="en-GB"/>
        </w:rPr>
        <w:t xml:space="preserve"> scien</w:t>
      </w:r>
      <w:r w:rsidR="00200DB2" w:rsidRPr="007E7514">
        <w:rPr>
          <w:lang w:val="en-GB"/>
        </w:rPr>
        <w:t>tists</w:t>
      </w:r>
      <w:r w:rsidRPr="007E7514">
        <w:rPr>
          <w:lang w:val="en-GB"/>
        </w:rPr>
        <w:t xml:space="preserve"> and environmental expert </w:t>
      </w:r>
      <w:r w:rsidR="00200DB2" w:rsidRPr="007E7514">
        <w:rPr>
          <w:lang w:val="en-GB"/>
        </w:rPr>
        <w:t xml:space="preserve">to </w:t>
      </w:r>
      <w:r w:rsidR="00D37192" w:rsidRPr="007E7514">
        <w:rPr>
          <w:lang w:val="en-GB"/>
        </w:rPr>
        <w:t>receive</w:t>
      </w:r>
      <w:r w:rsidR="00200DB2" w:rsidRPr="007E7514">
        <w:rPr>
          <w:lang w:val="en-GB"/>
        </w:rPr>
        <w:t xml:space="preserve"> their </w:t>
      </w:r>
      <w:r w:rsidR="00D37192" w:rsidRPr="007E7514">
        <w:rPr>
          <w:lang w:val="en-GB"/>
        </w:rPr>
        <w:t>input for</w:t>
      </w:r>
      <w:r w:rsidR="00200DB2" w:rsidRPr="007E7514">
        <w:rPr>
          <w:lang w:val="en-GB"/>
        </w:rPr>
        <w:t xml:space="preserve"> a framework of</w:t>
      </w:r>
      <w:r w:rsidRPr="007E7514">
        <w:rPr>
          <w:lang w:val="en-GB"/>
        </w:rPr>
        <w:t xml:space="preserve"> programming directions for donor governments to consider. The TAG meeting included discussion</w:t>
      </w:r>
      <w:r w:rsidR="00F66434" w:rsidRPr="007E7514">
        <w:rPr>
          <w:lang w:val="en-GB"/>
        </w:rPr>
        <w:t>s</w:t>
      </w:r>
      <w:r w:rsidRPr="007E7514">
        <w:rPr>
          <w:lang w:val="en-GB"/>
        </w:rPr>
        <w:t xml:space="preserve"> on proposed priority themes for the GEF, </w:t>
      </w:r>
      <w:r w:rsidR="00F66434" w:rsidRPr="007E7514">
        <w:rPr>
          <w:lang w:val="en-GB"/>
        </w:rPr>
        <w:t>such as</w:t>
      </w:r>
      <w:r w:rsidRPr="007E7514">
        <w:rPr>
          <w:lang w:val="en-GB"/>
        </w:rPr>
        <w:t xml:space="preserve"> the links between environmental and human health; greater opportunities to engage with the private sector, indigenous peoples and civil society; ways to manage fragmentation between environmental initiatives; and means through which the GEF can influence policy</w:t>
      </w:r>
      <w:r w:rsidR="007D6DC4" w:rsidRPr="007E7514">
        <w:rPr>
          <w:lang w:val="en-GB"/>
        </w:rPr>
        <w:t xml:space="preserve"> </w:t>
      </w:r>
      <w:r w:rsidRPr="007E7514">
        <w:rPr>
          <w:lang w:val="en-GB"/>
        </w:rPr>
        <w:t xml:space="preserve">making in a broad range of areas. </w:t>
      </w:r>
      <w:r w:rsidR="00F66434" w:rsidRPr="007E7514">
        <w:rPr>
          <w:lang w:val="en-GB"/>
        </w:rPr>
        <w:t>T</w:t>
      </w:r>
      <w:r w:rsidR="007D6DC4" w:rsidRPr="007E7514">
        <w:rPr>
          <w:lang w:val="en-GB"/>
        </w:rPr>
        <w:t xml:space="preserve">he </w:t>
      </w:r>
      <w:r w:rsidRPr="007E7514">
        <w:rPr>
          <w:lang w:val="en-GB"/>
        </w:rPr>
        <w:t xml:space="preserve">representatives of </w:t>
      </w:r>
      <w:r w:rsidR="00A40E98" w:rsidRPr="007E7514">
        <w:rPr>
          <w:lang w:val="en-GB"/>
        </w:rPr>
        <w:t>the</w:t>
      </w:r>
      <w:r w:rsidR="007D6DC4" w:rsidRPr="007E7514">
        <w:rPr>
          <w:lang w:val="en-GB"/>
        </w:rPr>
        <w:t xml:space="preserve"> secretariats of</w:t>
      </w:r>
      <w:r w:rsidR="00A40E98" w:rsidRPr="007E7514">
        <w:rPr>
          <w:lang w:val="en-GB"/>
        </w:rPr>
        <w:t xml:space="preserve"> five </w:t>
      </w:r>
      <w:r w:rsidR="007D6DC4" w:rsidRPr="007E7514">
        <w:rPr>
          <w:lang w:val="en-GB"/>
        </w:rPr>
        <w:t>c</w:t>
      </w:r>
      <w:r w:rsidR="00A40E98" w:rsidRPr="007E7514">
        <w:rPr>
          <w:lang w:val="en-GB"/>
        </w:rPr>
        <w:t xml:space="preserve">onventions </w:t>
      </w:r>
      <w:r w:rsidR="007D6DC4" w:rsidRPr="007E7514">
        <w:rPr>
          <w:lang w:val="en-GB"/>
        </w:rPr>
        <w:t>for which</w:t>
      </w:r>
      <w:r w:rsidR="00A40E98" w:rsidRPr="007E7514">
        <w:rPr>
          <w:lang w:val="en-GB"/>
        </w:rPr>
        <w:t xml:space="preserve"> the GEF serves as</w:t>
      </w:r>
      <w:r w:rsidR="006301DA" w:rsidRPr="007E7514">
        <w:rPr>
          <w:lang w:val="en-GB"/>
        </w:rPr>
        <w:t xml:space="preserve"> a/the</w:t>
      </w:r>
      <w:r w:rsidR="00A40E98" w:rsidRPr="007E7514">
        <w:rPr>
          <w:lang w:val="en-GB"/>
        </w:rPr>
        <w:t xml:space="preserve"> financial mechanism, </w:t>
      </w:r>
      <w:r w:rsidRPr="007E7514">
        <w:rPr>
          <w:lang w:val="en-GB"/>
        </w:rPr>
        <w:t xml:space="preserve">GEF </w:t>
      </w:r>
      <w:r w:rsidR="007D6DC4" w:rsidRPr="007E7514">
        <w:rPr>
          <w:lang w:val="en-GB"/>
        </w:rPr>
        <w:t>A</w:t>
      </w:r>
      <w:r w:rsidRPr="007E7514">
        <w:rPr>
          <w:lang w:val="en-GB"/>
        </w:rPr>
        <w:t>gencies, STAP, and Secretariat staff</w:t>
      </w:r>
      <w:r w:rsidR="00F66434" w:rsidRPr="007E7514">
        <w:rPr>
          <w:lang w:val="en-GB"/>
        </w:rPr>
        <w:t xml:space="preserve"> took part in the meeting</w:t>
      </w:r>
      <w:r w:rsidRPr="007E7514">
        <w:rPr>
          <w:lang w:val="en-GB"/>
        </w:rPr>
        <w:t xml:space="preserve">. </w:t>
      </w:r>
    </w:p>
    <w:p w14:paraId="35CB6AEB" w14:textId="06D9F4E1" w:rsidR="00240AB4" w:rsidRPr="007E7514" w:rsidRDefault="00240AB4" w:rsidP="00B7581D">
      <w:pPr>
        <w:pStyle w:val="MainParagraphwith"/>
        <w:rPr>
          <w:lang w:val="en-GB"/>
        </w:rPr>
      </w:pPr>
      <w:r w:rsidRPr="007E7514">
        <w:rPr>
          <w:lang w:val="en-GB"/>
        </w:rPr>
        <w:t>The first meeting on GEF-8 took place virtually on April 22-23, 2021. The meeting was co-chaired by Vice President, Development Finance</w:t>
      </w:r>
      <w:r w:rsidR="007D6DC4" w:rsidRPr="007E7514">
        <w:rPr>
          <w:lang w:val="en-GB"/>
        </w:rPr>
        <w:t>,</w:t>
      </w:r>
      <w:r w:rsidRPr="007E7514">
        <w:rPr>
          <w:lang w:val="en-GB"/>
        </w:rPr>
        <w:t xml:space="preserve"> of the World Bank Group and the GEF CEO and Chairperson. Contributing </w:t>
      </w:r>
      <w:r w:rsidR="00FD2DCB" w:rsidRPr="007E7514">
        <w:rPr>
          <w:lang w:val="en-GB"/>
        </w:rPr>
        <w:t>p</w:t>
      </w:r>
      <w:r w:rsidRPr="007E7514">
        <w:rPr>
          <w:lang w:val="en-GB"/>
        </w:rPr>
        <w:t xml:space="preserve">articipants were joined by observers from: </w:t>
      </w:r>
      <w:r w:rsidR="00E45080" w:rsidRPr="007E7514">
        <w:rPr>
          <w:lang w:val="en-GB"/>
        </w:rPr>
        <w:t xml:space="preserve">five representatives </w:t>
      </w:r>
      <w:r w:rsidR="00B33AB6" w:rsidRPr="007E7514">
        <w:rPr>
          <w:lang w:val="en-GB"/>
        </w:rPr>
        <w:t>of</w:t>
      </w:r>
      <w:r w:rsidR="00E45080" w:rsidRPr="007E7514">
        <w:rPr>
          <w:lang w:val="en-GB"/>
        </w:rPr>
        <w:t xml:space="preserve"> non</w:t>
      </w:r>
      <w:r w:rsidR="00FC04E2" w:rsidRPr="007E7514">
        <w:rPr>
          <w:lang w:val="en-GB"/>
        </w:rPr>
        <w:t>-</w:t>
      </w:r>
      <w:r w:rsidR="00E45080" w:rsidRPr="007E7514">
        <w:rPr>
          <w:lang w:val="en-GB"/>
        </w:rPr>
        <w:t>donor recipient countries</w:t>
      </w:r>
      <w:r w:rsidR="00B33AB6" w:rsidRPr="007E7514">
        <w:rPr>
          <w:lang w:val="en-GB"/>
        </w:rPr>
        <w:t>,</w:t>
      </w:r>
      <w:r w:rsidR="00E45080" w:rsidRPr="007E7514">
        <w:rPr>
          <w:lang w:val="en-GB"/>
        </w:rPr>
        <w:t xml:space="preserve"> representing Africa, Asia, Eastern Europe</w:t>
      </w:r>
      <w:r w:rsidR="00FC04E2" w:rsidRPr="007E7514">
        <w:rPr>
          <w:lang w:val="en-GB"/>
        </w:rPr>
        <w:t xml:space="preserve"> and </w:t>
      </w:r>
      <w:r w:rsidR="00E45080" w:rsidRPr="007E7514">
        <w:rPr>
          <w:lang w:val="en-GB"/>
        </w:rPr>
        <w:t xml:space="preserve">Central Asia, Latin America, and the SIDS, two </w:t>
      </w:r>
      <w:r w:rsidR="00E54317" w:rsidRPr="007E7514">
        <w:rPr>
          <w:lang w:val="en-GB"/>
        </w:rPr>
        <w:t>non-governmental organization (</w:t>
      </w:r>
      <w:r w:rsidR="00E45080" w:rsidRPr="007E7514">
        <w:rPr>
          <w:lang w:val="en-GB"/>
        </w:rPr>
        <w:t>NGO</w:t>
      </w:r>
      <w:r w:rsidR="00E54317" w:rsidRPr="007E7514">
        <w:rPr>
          <w:lang w:val="en-GB"/>
        </w:rPr>
        <w:t>)</w:t>
      </w:r>
      <w:r w:rsidR="00E45080" w:rsidRPr="007E7514">
        <w:rPr>
          <w:lang w:val="en-GB"/>
        </w:rPr>
        <w:t xml:space="preserve">/CSO representatives </w:t>
      </w:r>
      <w:r w:rsidR="00FC04E2" w:rsidRPr="007E7514">
        <w:rPr>
          <w:lang w:val="en-GB"/>
        </w:rPr>
        <w:t>(</w:t>
      </w:r>
      <w:r w:rsidR="00E45080" w:rsidRPr="007E7514">
        <w:rPr>
          <w:lang w:val="en-GB"/>
        </w:rPr>
        <w:t>one representing a donor country based NGO/CSO and another representing a recipient country</w:t>
      </w:r>
      <w:r w:rsidR="00FC04E2" w:rsidRPr="007E7514">
        <w:rPr>
          <w:lang w:val="en-GB"/>
        </w:rPr>
        <w:t xml:space="preserve"> based NGO/CSO)</w:t>
      </w:r>
      <w:r w:rsidR="00E45080" w:rsidRPr="007E7514">
        <w:rPr>
          <w:lang w:val="en-GB"/>
        </w:rPr>
        <w:t xml:space="preserve">, one representative of the private sector, one representative </w:t>
      </w:r>
      <w:r w:rsidR="001E7DF4" w:rsidRPr="007E7514">
        <w:rPr>
          <w:lang w:val="en-GB"/>
        </w:rPr>
        <w:t>of</w:t>
      </w:r>
      <w:r w:rsidR="00E45080" w:rsidRPr="007E7514">
        <w:rPr>
          <w:lang w:val="en-GB"/>
        </w:rPr>
        <w:t xml:space="preserve"> the Green Climate Fund </w:t>
      </w:r>
      <w:r w:rsidR="001E7DF4" w:rsidRPr="007E7514">
        <w:rPr>
          <w:lang w:val="en-GB"/>
        </w:rPr>
        <w:t xml:space="preserve">(GCF) </w:t>
      </w:r>
      <w:r w:rsidR="00E45080" w:rsidRPr="007E7514">
        <w:rPr>
          <w:lang w:val="en-GB"/>
        </w:rPr>
        <w:t xml:space="preserve">Secretariat and one representative </w:t>
      </w:r>
      <w:r w:rsidR="001E7DF4" w:rsidRPr="007E7514">
        <w:rPr>
          <w:lang w:val="en-GB"/>
        </w:rPr>
        <w:t>of</w:t>
      </w:r>
      <w:r w:rsidR="00E45080" w:rsidRPr="007E7514">
        <w:rPr>
          <w:lang w:val="en-GB"/>
        </w:rPr>
        <w:t xml:space="preserve"> the Adaptation Fund Secretariat. In addition, representatives of GEF Agencies and the conventions for which the GEF serves as a</w:t>
      </w:r>
      <w:r w:rsidR="001E7DF4" w:rsidRPr="007E7514">
        <w:rPr>
          <w:lang w:val="en-GB"/>
        </w:rPr>
        <w:t>/the</w:t>
      </w:r>
      <w:r w:rsidR="00E45080" w:rsidRPr="007E7514">
        <w:rPr>
          <w:lang w:val="en-GB"/>
        </w:rPr>
        <w:t xml:space="preserve"> financial mechanism </w:t>
      </w:r>
      <w:r w:rsidR="001E7DF4" w:rsidRPr="007E7514">
        <w:rPr>
          <w:lang w:val="en-GB"/>
        </w:rPr>
        <w:t>are</w:t>
      </w:r>
      <w:r w:rsidR="00E45080" w:rsidRPr="007E7514">
        <w:rPr>
          <w:lang w:val="en-GB"/>
        </w:rPr>
        <w:t xml:space="preserve"> invited to attend the meetings as observers. Comments w</w:t>
      </w:r>
      <w:r w:rsidR="005C5982" w:rsidRPr="007E7514">
        <w:rPr>
          <w:lang w:val="en-GB"/>
        </w:rPr>
        <w:t>ere</w:t>
      </w:r>
      <w:r w:rsidR="00E45080" w:rsidRPr="007E7514">
        <w:rPr>
          <w:lang w:val="en-GB"/>
        </w:rPr>
        <w:t xml:space="preserve"> also solicited from GEF Council </w:t>
      </w:r>
      <w:r w:rsidR="001E7DF4" w:rsidRPr="007E7514">
        <w:rPr>
          <w:lang w:val="en-GB"/>
        </w:rPr>
        <w:t>m</w:t>
      </w:r>
      <w:r w:rsidR="00E45080" w:rsidRPr="007E7514">
        <w:rPr>
          <w:lang w:val="en-GB"/>
        </w:rPr>
        <w:t>embers on policy and programming documents prepared for replenishment discussions</w:t>
      </w:r>
      <w:r w:rsidRPr="007E7514">
        <w:rPr>
          <w:lang w:val="en-GB"/>
        </w:rPr>
        <w:t>.</w:t>
      </w:r>
    </w:p>
    <w:p w14:paraId="19E1C024" w14:textId="4A90871D" w:rsidR="00240AB4" w:rsidRPr="007E7514" w:rsidRDefault="00240AB4" w:rsidP="00B7581D">
      <w:pPr>
        <w:pStyle w:val="MainParagraphwith"/>
        <w:rPr>
          <w:lang w:val="en-GB"/>
        </w:rPr>
      </w:pPr>
      <w:r w:rsidRPr="007E7514">
        <w:rPr>
          <w:lang w:val="en-GB"/>
        </w:rPr>
        <w:t xml:space="preserve">All documents presented at the first meeting, along with the Co-Chairs’ Summary of the </w:t>
      </w:r>
      <w:r w:rsidRPr="007E7514">
        <w:rPr>
          <w:lang w:val="en-GB"/>
        </w:rPr>
        <w:lastRenderedPageBreak/>
        <w:t>discussions, are publicly available.</w:t>
      </w:r>
      <w:r w:rsidRPr="007E7514">
        <w:rPr>
          <w:vertAlign w:val="superscript"/>
          <w:lang w:val="en-GB"/>
        </w:rPr>
        <w:footnoteReference w:id="35"/>
      </w:r>
      <w:r w:rsidRPr="007E7514">
        <w:rPr>
          <w:vertAlign w:val="superscript"/>
          <w:lang w:val="en-GB"/>
        </w:rPr>
        <w:t xml:space="preserve"> </w:t>
      </w:r>
    </w:p>
    <w:p w14:paraId="0B2CCA9A" w14:textId="7294211E" w:rsidR="006A031F" w:rsidRPr="007E7514" w:rsidRDefault="00240AB4" w:rsidP="00B7581D">
      <w:pPr>
        <w:pStyle w:val="MainParagraphwith"/>
        <w:rPr>
          <w:lang w:val="en-GB"/>
        </w:rPr>
      </w:pPr>
      <w:r w:rsidRPr="007E7514">
        <w:rPr>
          <w:lang w:val="en-GB"/>
        </w:rPr>
        <w:t>The second, third and fourth meetings on</w:t>
      </w:r>
      <w:r w:rsidR="00B15796" w:rsidRPr="007E7514">
        <w:rPr>
          <w:lang w:val="en-GB"/>
        </w:rPr>
        <w:t xml:space="preserve"> </w:t>
      </w:r>
      <w:r w:rsidRPr="007E7514">
        <w:rPr>
          <w:lang w:val="en-GB"/>
        </w:rPr>
        <w:t>GEF-8 are scheduled to take place on September 29</w:t>
      </w:r>
      <w:r w:rsidR="00B15796" w:rsidRPr="007E7514">
        <w:rPr>
          <w:lang w:val="en-GB"/>
        </w:rPr>
        <w:t>-</w:t>
      </w:r>
      <w:r w:rsidRPr="007E7514">
        <w:rPr>
          <w:lang w:val="en-GB"/>
        </w:rPr>
        <w:t>October 1, 2021, January 17</w:t>
      </w:r>
      <w:r w:rsidR="00B15796" w:rsidRPr="007E7514">
        <w:rPr>
          <w:lang w:val="en-GB"/>
        </w:rPr>
        <w:t>-</w:t>
      </w:r>
      <w:r w:rsidRPr="007E7514">
        <w:rPr>
          <w:lang w:val="en-GB"/>
        </w:rPr>
        <w:t>19, 2022 and March 14-16, 2022, respectively, with venues to be confirmed. The Seventh GEF Assembly</w:t>
      </w:r>
      <w:r w:rsidR="00B33AB6" w:rsidRPr="007E7514">
        <w:rPr>
          <w:lang w:val="en-GB"/>
        </w:rPr>
        <w:t xml:space="preserve"> meeting</w:t>
      </w:r>
      <w:r w:rsidRPr="007E7514">
        <w:rPr>
          <w:lang w:val="en-GB"/>
        </w:rPr>
        <w:t>, which concludes the replenishment process, will take place on May 22-24</w:t>
      </w:r>
      <w:r w:rsidR="00CC7825" w:rsidRPr="007E7514">
        <w:rPr>
          <w:lang w:val="en-GB"/>
        </w:rPr>
        <w:t>, 2022</w:t>
      </w:r>
      <w:r w:rsidR="00DB55F5" w:rsidRPr="007E7514">
        <w:rPr>
          <w:lang w:val="en-GB"/>
        </w:rPr>
        <w:t xml:space="preserve">, with </w:t>
      </w:r>
      <w:r w:rsidR="008A2C8F" w:rsidRPr="007E7514">
        <w:rPr>
          <w:lang w:val="en-GB"/>
        </w:rPr>
        <w:t xml:space="preserve">the </w:t>
      </w:r>
      <w:r w:rsidRPr="007E7514">
        <w:rPr>
          <w:lang w:val="en-GB"/>
        </w:rPr>
        <w:t>venue to be confirmed.</w:t>
      </w:r>
      <w:r w:rsidR="00D121DF" w:rsidRPr="007E7514">
        <w:rPr>
          <w:lang w:val="en-GB"/>
        </w:rPr>
        <w:t xml:space="preserve"> </w:t>
      </w:r>
      <w:r w:rsidRPr="007E7514">
        <w:rPr>
          <w:lang w:val="en-GB"/>
        </w:rPr>
        <w:t xml:space="preserve"> </w:t>
      </w:r>
    </w:p>
    <w:p w14:paraId="32B582E7" w14:textId="653EA504" w:rsidR="00240AB4" w:rsidRPr="007E7514" w:rsidRDefault="00240AB4">
      <w:pPr>
        <w:tabs>
          <w:tab w:val="left" w:pos="2530"/>
        </w:tabs>
        <w:rPr>
          <w:rFonts w:asciiTheme="minorHAnsi" w:hAnsiTheme="minorHAnsi" w:cstheme="minorHAnsi"/>
          <w:lang w:val="en-GB"/>
        </w:rPr>
        <w:sectPr w:rsidR="00240AB4" w:rsidRPr="007E7514" w:rsidSect="00BD7490">
          <w:headerReference w:type="even" r:id="rId34"/>
          <w:headerReference w:type="default" r:id="rId35"/>
          <w:headerReference w:type="first" r:id="rId36"/>
          <w:pgSz w:w="12240" w:h="15840"/>
          <w:pgMar w:top="1440" w:right="1440" w:bottom="1440" w:left="1440" w:header="0" w:footer="1296" w:gutter="0"/>
          <w:pgNumType w:start="1"/>
          <w:cols w:space="720"/>
          <w:docGrid w:linePitch="326"/>
        </w:sectPr>
      </w:pPr>
    </w:p>
    <w:p w14:paraId="786B9F52" w14:textId="68EFE66B" w:rsidR="0000292F" w:rsidRPr="007E7514" w:rsidRDefault="001E19D2" w:rsidP="005D7C1E">
      <w:pPr>
        <w:pStyle w:val="Heading1"/>
        <w:rPr>
          <w:sz w:val="24"/>
          <w:szCs w:val="24"/>
          <w:lang w:val="en-GB"/>
        </w:rPr>
      </w:pPr>
      <w:bookmarkStart w:id="79" w:name="_bookmark35"/>
      <w:bookmarkStart w:id="80" w:name="_Toc76405386"/>
      <w:bookmarkStart w:id="81" w:name="_Hlk519156126"/>
      <w:bookmarkEnd w:id="79"/>
      <w:r w:rsidRPr="007E7514">
        <w:rPr>
          <w:sz w:val="24"/>
          <w:szCs w:val="24"/>
          <w:lang w:val="en-GB"/>
        </w:rPr>
        <w:lastRenderedPageBreak/>
        <w:t xml:space="preserve">Annex </w:t>
      </w:r>
      <w:r w:rsidR="00354375" w:rsidRPr="007E7514">
        <w:rPr>
          <w:sz w:val="24"/>
          <w:szCs w:val="24"/>
          <w:lang w:val="en-GB"/>
        </w:rPr>
        <w:t xml:space="preserve">1: </w:t>
      </w:r>
      <w:r w:rsidR="004227CA" w:rsidRPr="007E7514">
        <w:rPr>
          <w:sz w:val="24"/>
          <w:szCs w:val="24"/>
          <w:lang w:val="en-GB"/>
        </w:rPr>
        <w:t xml:space="preserve">List of Mercury </w:t>
      </w:r>
      <w:r w:rsidR="00644B15" w:rsidRPr="007E7514">
        <w:rPr>
          <w:sz w:val="24"/>
          <w:szCs w:val="24"/>
          <w:lang w:val="en-GB"/>
        </w:rPr>
        <w:t xml:space="preserve">Projects </w:t>
      </w:r>
      <w:r w:rsidR="004D206F" w:rsidRPr="007E7514">
        <w:rPr>
          <w:sz w:val="24"/>
          <w:szCs w:val="24"/>
          <w:lang w:val="en-GB"/>
        </w:rPr>
        <w:t xml:space="preserve">and Programs </w:t>
      </w:r>
      <w:r w:rsidR="00297158" w:rsidRPr="007E7514">
        <w:rPr>
          <w:sz w:val="24"/>
          <w:szCs w:val="24"/>
          <w:lang w:val="en-GB"/>
        </w:rPr>
        <w:t>A</w:t>
      </w:r>
      <w:r w:rsidR="00644B15" w:rsidRPr="007E7514">
        <w:rPr>
          <w:sz w:val="24"/>
          <w:szCs w:val="24"/>
          <w:lang w:val="en-GB"/>
        </w:rPr>
        <w:t xml:space="preserve">pproved </w:t>
      </w:r>
      <w:r w:rsidR="00731624" w:rsidRPr="007E7514">
        <w:rPr>
          <w:sz w:val="24"/>
          <w:szCs w:val="24"/>
          <w:lang w:val="en-GB"/>
        </w:rPr>
        <w:t xml:space="preserve">in the </w:t>
      </w:r>
      <w:r w:rsidR="00297158" w:rsidRPr="007E7514">
        <w:rPr>
          <w:sz w:val="24"/>
          <w:szCs w:val="24"/>
          <w:lang w:val="en-GB"/>
        </w:rPr>
        <w:t>R</w:t>
      </w:r>
      <w:r w:rsidR="00731624" w:rsidRPr="007E7514">
        <w:rPr>
          <w:sz w:val="24"/>
          <w:szCs w:val="24"/>
          <w:lang w:val="en-GB"/>
        </w:rPr>
        <w:t xml:space="preserve">eporting </w:t>
      </w:r>
      <w:r w:rsidR="00297158" w:rsidRPr="007E7514">
        <w:rPr>
          <w:sz w:val="24"/>
          <w:szCs w:val="24"/>
          <w:lang w:val="en-GB"/>
        </w:rPr>
        <w:t>P</w:t>
      </w:r>
      <w:r w:rsidR="00731624" w:rsidRPr="007E7514">
        <w:rPr>
          <w:sz w:val="24"/>
          <w:szCs w:val="24"/>
          <w:lang w:val="en-GB"/>
        </w:rPr>
        <w:t xml:space="preserve">eriod </w:t>
      </w:r>
      <w:r w:rsidR="00BE0816" w:rsidRPr="007E7514">
        <w:rPr>
          <w:sz w:val="24"/>
          <w:szCs w:val="24"/>
          <w:lang w:val="en-GB"/>
        </w:rPr>
        <w:t>(</w:t>
      </w:r>
      <w:r w:rsidR="00731624" w:rsidRPr="007E7514">
        <w:rPr>
          <w:sz w:val="24"/>
          <w:szCs w:val="24"/>
          <w:lang w:val="en-GB"/>
        </w:rPr>
        <w:t>July 1, 201</w:t>
      </w:r>
      <w:r w:rsidR="000B7F26" w:rsidRPr="007E7514">
        <w:rPr>
          <w:sz w:val="24"/>
          <w:szCs w:val="24"/>
          <w:lang w:val="en-GB"/>
        </w:rPr>
        <w:t>9</w:t>
      </w:r>
      <w:r w:rsidR="00731624" w:rsidRPr="007E7514">
        <w:rPr>
          <w:sz w:val="24"/>
          <w:szCs w:val="24"/>
          <w:lang w:val="en-GB"/>
        </w:rPr>
        <w:t xml:space="preserve"> to June 30, 20</w:t>
      </w:r>
      <w:r w:rsidR="00713BD5" w:rsidRPr="007E7514">
        <w:rPr>
          <w:sz w:val="24"/>
          <w:szCs w:val="24"/>
          <w:lang w:val="en-GB"/>
        </w:rPr>
        <w:t>21</w:t>
      </w:r>
      <w:r w:rsidR="00BE0816" w:rsidRPr="007E7514">
        <w:rPr>
          <w:sz w:val="24"/>
          <w:szCs w:val="24"/>
          <w:lang w:val="en-GB"/>
        </w:rPr>
        <w:t>)</w:t>
      </w:r>
      <w:bookmarkEnd w:id="80"/>
    </w:p>
    <w:p w14:paraId="53CC10F6" w14:textId="77777777" w:rsidR="00117AC3" w:rsidRPr="007E7514" w:rsidRDefault="00117AC3">
      <w:pPr>
        <w:rPr>
          <w:rFonts w:asciiTheme="minorHAnsi" w:hAnsiTheme="minorHAnsi"/>
          <w:lang w:val="en-GB"/>
        </w:rPr>
      </w:pPr>
    </w:p>
    <w:p w14:paraId="2F76874F" w14:textId="37C783BF" w:rsidR="005304AD" w:rsidRPr="007E7514" w:rsidRDefault="00FC762D">
      <w:pPr>
        <w:rPr>
          <w:rFonts w:asciiTheme="minorHAnsi" w:hAnsiTheme="minorHAnsi"/>
          <w:lang w:val="en-GB"/>
        </w:rPr>
      </w:pPr>
      <w:r w:rsidRPr="007E7514">
        <w:rPr>
          <w:rFonts w:asciiTheme="minorHAnsi" w:hAnsiTheme="minorHAnsi"/>
          <w:lang w:val="en-GB"/>
        </w:rPr>
        <w:t xml:space="preserve">GEF grant </w:t>
      </w:r>
      <w:r w:rsidR="00CA3C00" w:rsidRPr="007E7514">
        <w:rPr>
          <w:rFonts w:asciiTheme="minorHAnsi" w:hAnsiTheme="minorHAnsi"/>
          <w:lang w:val="en-GB"/>
        </w:rPr>
        <w:t xml:space="preserve">amount </w:t>
      </w:r>
      <w:r w:rsidRPr="007E7514">
        <w:rPr>
          <w:rFonts w:asciiTheme="minorHAnsi" w:hAnsiTheme="minorHAnsi"/>
          <w:lang w:val="en-GB"/>
        </w:rPr>
        <w:t xml:space="preserve">includes the GEF grant </w:t>
      </w:r>
      <w:r w:rsidR="00413D91" w:rsidRPr="007E7514">
        <w:rPr>
          <w:rFonts w:asciiTheme="minorHAnsi" w:hAnsiTheme="minorHAnsi"/>
          <w:lang w:val="en-GB"/>
        </w:rPr>
        <w:t xml:space="preserve">amount </w:t>
      </w:r>
      <w:r w:rsidRPr="007E7514">
        <w:rPr>
          <w:rFonts w:asciiTheme="minorHAnsi" w:hAnsiTheme="minorHAnsi"/>
          <w:lang w:val="en-GB"/>
        </w:rPr>
        <w:t xml:space="preserve">allocated to mercury components only, excluding </w:t>
      </w:r>
      <w:r w:rsidR="00F23752" w:rsidRPr="007E7514">
        <w:rPr>
          <w:rFonts w:asciiTheme="minorHAnsi" w:hAnsiTheme="minorHAnsi"/>
          <w:lang w:val="en-GB"/>
        </w:rPr>
        <w:t>PPGs and Agency fees</w:t>
      </w:r>
      <w:r w:rsidRPr="007E7514">
        <w:rPr>
          <w:rFonts w:asciiTheme="minorHAnsi" w:hAnsiTheme="minorHAnsi"/>
          <w:lang w:val="en-GB"/>
        </w:rPr>
        <w:t>.</w:t>
      </w:r>
      <w:bookmarkEnd w:id="81"/>
    </w:p>
    <w:p w14:paraId="72C6E9B3" w14:textId="50B3EF83" w:rsidR="00FB2BBA" w:rsidRPr="007E7514" w:rsidRDefault="00FB2BBA">
      <w:pPr>
        <w:rPr>
          <w:rFonts w:asciiTheme="minorHAnsi" w:eastAsiaTheme="minorHAnsi" w:hAnsiTheme="minorHAnsi" w:cstheme="minorBidi"/>
          <w:sz w:val="22"/>
          <w:szCs w:val="22"/>
          <w:lang w:val="en-GB"/>
        </w:rPr>
      </w:pPr>
      <w:r w:rsidRPr="007E7514">
        <w:rPr>
          <w:rFonts w:asciiTheme="minorHAnsi" w:hAnsiTheme="minorHAnsi"/>
          <w:lang w:val="en-GB"/>
        </w:rPr>
        <w:fldChar w:fldCharType="begin"/>
      </w:r>
      <w:r w:rsidRPr="007E7514">
        <w:rPr>
          <w:rFonts w:asciiTheme="minorHAnsi" w:hAnsiTheme="minorHAnsi"/>
          <w:lang w:val="en-GB"/>
        </w:rPr>
        <w:instrText xml:space="preserve"> LINK </w:instrText>
      </w:r>
      <w:r w:rsidR="00AC781A" w:rsidRPr="007E7514">
        <w:rPr>
          <w:rFonts w:asciiTheme="minorHAnsi" w:hAnsiTheme="minorHAnsi"/>
          <w:lang w:val="en-GB"/>
        </w:rPr>
        <w:instrText xml:space="preserve">Excel.Sheet.12 "C:\\Users\\WB400978\\OneDrive - WBG\\Documents\\Mercury\\COP 4\\Mecury Funded Project data for COP 4.xlsx" "Annex 1!R1C1:R30C10" </w:instrText>
      </w:r>
      <w:r w:rsidRPr="007E7514">
        <w:rPr>
          <w:rFonts w:asciiTheme="minorHAnsi" w:hAnsiTheme="minorHAnsi"/>
          <w:lang w:val="en-GB"/>
        </w:rPr>
        <w:instrText xml:space="preserve">\a \f 5 \h  \* MERGEFORMAT </w:instrText>
      </w:r>
      <w:r w:rsidRPr="007E7514">
        <w:rPr>
          <w:rFonts w:asciiTheme="minorHAnsi" w:hAnsiTheme="minorHAnsi"/>
          <w:lang w:val="en-GB"/>
        </w:rPr>
        <w:fldChar w:fldCharType="separate"/>
      </w:r>
    </w:p>
    <w:tbl>
      <w:tblPr>
        <w:tblStyle w:val="TableGrid"/>
        <w:tblW w:w="13036" w:type="dxa"/>
        <w:tblLayout w:type="fixed"/>
        <w:tblLook w:val="04A0" w:firstRow="1" w:lastRow="0" w:firstColumn="1" w:lastColumn="0" w:noHBand="0" w:noVBand="1"/>
      </w:tblPr>
      <w:tblGrid>
        <w:gridCol w:w="846"/>
        <w:gridCol w:w="1417"/>
        <w:gridCol w:w="3852"/>
        <w:gridCol w:w="826"/>
        <w:gridCol w:w="1190"/>
        <w:gridCol w:w="1191"/>
        <w:gridCol w:w="1191"/>
        <w:gridCol w:w="1191"/>
        <w:gridCol w:w="1332"/>
      </w:tblGrid>
      <w:tr w:rsidR="007A7876" w:rsidRPr="007E7514" w14:paraId="21D84E68" w14:textId="77777777" w:rsidTr="007A7876">
        <w:trPr>
          <w:trHeight w:val="630"/>
          <w:tblHeader/>
        </w:trPr>
        <w:tc>
          <w:tcPr>
            <w:tcW w:w="846" w:type="dxa"/>
            <w:shd w:val="clear" w:color="auto" w:fill="auto"/>
            <w:hideMark/>
          </w:tcPr>
          <w:p w14:paraId="0EFBAEB3" w14:textId="55C49CF9" w:rsidR="007A7876" w:rsidRPr="007E7514" w:rsidRDefault="007A7876" w:rsidP="00FB2BBA">
            <w:pPr>
              <w:rPr>
                <w:rFonts w:asciiTheme="minorHAnsi" w:hAnsiTheme="minorHAnsi" w:cstheme="minorHAnsi"/>
                <w:b/>
                <w:bCs/>
                <w:sz w:val="20"/>
                <w:szCs w:val="20"/>
                <w:lang w:val="en-GB"/>
              </w:rPr>
            </w:pPr>
            <w:proofErr w:type="spellStart"/>
            <w:r w:rsidRPr="007E7514">
              <w:rPr>
                <w:rFonts w:asciiTheme="minorHAnsi" w:hAnsiTheme="minorHAnsi" w:cstheme="minorHAnsi"/>
                <w:b/>
                <w:bCs/>
                <w:sz w:val="20"/>
                <w:szCs w:val="20"/>
                <w:lang w:val="en-GB"/>
              </w:rPr>
              <w:t>GEF</w:t>
            </w:r>
            <w:proofErr w:type="spellEnd"/>
            <w:r w:rsidRPr="007E7514">
              <w:rPr>
                <w:rFonts w:asciiTheme="minorHAnsi" w:hAnsiTheme="minorHAnsi" w:cstheme="minorHAnsi"/>
                <w:b/>
                <w:bCs/>
                <w:sz w:val="20"/>
                <w:szCs w:val="20"/>
                <w:lang w:val="en-GB"/>
              </w:rPr>
              <w:t xml:space="preserve"> ID</w:t>
            </w:r>
          </w:p>
        </w:tc>
        <w:tc>
          <w:tcPr>
            <w:tcW w:w="1417" w:type="dxa"/>
            <w:shd w:val="clear" w:color="auto" w:fill="auto"/>
            <w:hideMark/>
          </w:tcPr>
          <w:p w14:paraId="6869C485" w14:textId="77777777" w:rsidR="007A7876" w:rsidRPr="007E7514" w:rsidRDefault="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Country</w:t>
            </w:r>
          </w:p>
        </w:tc>
        <w:tc>
          <w:tcPr>
            <w:tcW w:w="3852" w:type="dxa"/>
            <w:shd w:val="clear" w:color="auto" w:fill="auto"/>
            <w:hideMark/>
          </w:tcPr>
          <w:p w14:paraId="3CA504B3" w14:textId="25927DD2" w:rsidR="007A7876" w:rsidRPr="007E7514" w:rsidRDefault="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Project title</w:t>
            </w:r>
          </w:p>
        </w:tc>
        <w:tc>
          <w:tcPr>
            <w:tcW w:w="826" w:type="dxa"/>
            <w:shd w:val="clear" w:color="auto" w:fill="auto"/>
            <w:hideMark/>
          </w:tcPr>
          <w:p w14:paraId="21B20D76" w14:textId="77777777" w:rsidR="007A7876" w:rsidRPr="007E7514" w:rsidRDefault="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Lead Agency</w:t>
            </w:r>
          </w:p>
        </w:tc>
        <w:tc>
          <w:tcPr>
            <w:tcW w:w="1190" w:type="dxa"/>
            <w:shd w:val="clear" w:color="auto" w:fill="auto"/>
            <w:hideMark/>
          </w:tcPr>
          <w:p w14:paraId="17591F80" w14:textId="3E76A426" w:rsidR="007A7876" w:rsidRPr="007E7514" w:rsidRDefault="007A7876">
            <w:pPr>
              <w:rPr>
                <w:rFonts w:asciiTheme="minorHAnsi" w:hAnsiTheme="minorHAnsi" w:cstheme="minorHAnsi"/>
                <w:b/>
                <w:bCs/>
                <w:sz w:val="20"/>
                <w:szCs w:val="20"/>
                <w:lang w:val="en-GB"/>
              </w:rPr>
            </w:pPr>
            <w:proofErr w:type="spellStart"/>
            <w:r w:rsidRPr="007E7514">
              <w:rPr>
                <w:rFonts w:asciiTheme="minorHAnsi" w:hAnsiTheme="minorHAnsi" w:cstheme="minorHAnsi"/>
                <w:b/>
                <w:bCs/>
                <w:sz w:val="20"/>
                <w:szCs w:val="20"/>
                <w:lang w:val="en-GB"/>
              </w:rPr>
              <w:t>GEF</w:t>
            </w:r>
            <w:proofErr w:type="spellEnd"/>
            <w:r w:rsidRPr="007E7514">
              <w:rPr>
                <w:rFonts w:asciiTheme="minorHAnsi" w:hAnsiTheme="minorHAnsi" w:cstheme="minorHAnsi"/>
                <w:b/>
                <w:bCs/>
                <w:sz w:val="20"/>
                <w:szCs w:val="20"/>
                <w:lang w:val="en-GB"/>
              </w:rPr>
              <w:t xml:space="preserve"> </w:t>
            </w:r>
            <w:r w:rsidR="006E3ADF" w:rsidRPr="007E7514">
              <w:rPr>
                <w:rFonts w:asciiTheme="minorHAnsi" w:hAnsiTheme="minorHAnsi" w:cstheme="minorHAnsi"/>
                <w:b/>
                <w:bCs/>
                <w:sz w:val="20"/>
                <w:szCs w:val="20"/>
                <w:lang w:val="en-GB"/>
              </w:rPr>
              <w:t>G</w:t>
            </w:r>
            <w:r w:rsidRPr="007E7514">
              <w:rPr>
                <w:rFonts w:asciiTheme="minorHAnsi" w:hAnsiTheme="minorHAnsi" w:cstheme="minorHAnsi"/>
                <w:b/>
                <w:bCs/>
                <w:sz w:val="20"/>
                <w:szCs w:val="20"/>
                <w:lang w:val="en-GB"/>
              </w:rPr>
              <w:t xml:space="preserve">rant </w:t>
            </w:r>
            <w:r w:rsidR="006E3ADF" w:rsidRPr="007E7514">
              <w:rPr>
                <w:rFonts w:asciiTheme="minorHAnsi" w:hAnsiTheme="minorHAnsi" w:cstheme="minorHAnsi"/>
                <w:b/>
                <w:bCs/>
                <w:sz w:val="20"/>
                <w:szCs w:val="20"/>
                <w:lang w:val="en-GB"/>
              </w:rPr>
              <w:t>A</w:t>
            </w:r>
            <w:r w:rsidRPr="007E7514">
              <w:rPr>
                <w:rFonts w:asciiTheme="minorHAnsi" w:hAnsiTheme="minorHAnsi" w:cstheme="minorHAnsi"/>
                <w:b/>
                <w:bCs/>
                <w:sz w:val="20"/>
                <w:szCs w:val="20"/>
                <w:lang w:val="en-GB"/>
              </w:rPr>
              <w:t>mount ($)</w:t>
            </w:r>
          </w:p>
        </w:tc>
        <w:tc>
          <w:tcPr>
            <w:tcW w:w="1191" w:type="dxa"/>
            <w:shd w:val="clear" w:color="auto" w:fill="auto"/>
            <w:hideMark/>
          </w:tcPr>
          <w:p w14:paraId="511A2B6B" w14:textId="34578DEF" w:rsidR="007A7876" w:rsidRPr="007E7514" w:rsidRDefault="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 xml:space="preserve">Agency </w:t>
            </w:r>
            <w:r w:rsidR="006E3ADF" w:rsidRPr="007E7514">
              <w:rPr>
                <w:rFonts w:asciiTheme="minorHAnsi" w:hAnsiTheme="minorHAnsi" w:cstheme="minorHAnsi"/>
                <w:b/>
                <w:bCs/>
                <w:sz w:val="20"/>
                <w:szCs w:val="20"/>
                <w:lang w:val="en-GB"/>
              </w:rPr>
              <w:t>F</w:t>
            </w:r>
            <w:r w:rsidRPr="007E7514">
              <w:rPr>
                <w:rFonts w:asciiTheme="minorHAnsi" w:hAnsiTheme="minorHAnsi" w:cstheme="minorHAnsi"/>
                <w:b/>
                <w:bCs/>
                <w:sz w:val="20"/>
                <w:szCs w:val="20"/>
                <w:lang w:val="en-GB"/>
              </w:rPr>
              <w:t>ees ($)</w:t>
            </w:r>
          </w:p>
        </w:tc>
        <w:tc>
          <w:tcPr>
            <w:tcW w:w="1191" w:type="dxa"/>
            <w:shd w:val="clear" w:color="auto" w:fill="auto"/>
            <w:hideMark/>
          </w:tcPr>
          <w:p w14:paraId="7400915E" w14:textId="39225133" w:rsidR="007A7876" w:rsidRPr="007E7514" w:rsidRDefault="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PPGs</w:t>
            </w:r>
            <w:r w:rsidRPr="007E7514">
              <w:rPr>
                <w:rStyle w:val="FootnoteReference"/>
                <w:rFonts w:asciiTheme="minorHAnsi" w:hAnsiTheme="minorHAnsi" w:cstheme="minorHAnsi"/>
                <w:sz w:val="20"/>
                <w:szCs w:val="20"/>
                <w:lang w:val="en-GB"/>
              </w:rPr>
              <w:footnoteReference w:id="36"/>
            </w:r>
            <w:r w:rsidRPr="007E7514">
              <w:rPr>
                <w:rFonts w:asciiTheme="minorHAnsi" w:hAnsiTheme="minorHAnsi" w:cstheme="minorHAnsi"/>
                <w:b/>
                <w:bCs/>
                <w:sz w:val="20"/>
                <w:szCs w:val="20"/>
                <w:lang w:val="en-GB"/>
              </w:rPr>
              <w:t xml:space="preserve"> ($)</w:t>
            </w:r>
          </w:p>
        </w:tc>
        <w:tc>
          <w:tcPr>
            <w:tcW w:w="1191" w:type="dxa"/>
            <w:shd w:val="clear" w:color="auto" w:fill="auto"/>
            <w:hideMark/>
          </w:tcPr>
          <w:p w14:paraId="54D5B9C2" w14:textId="4766B259" w:rsidR="007A7876" w:rsidRPr="007E7514" w:rsidRDefault="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 xml:space="preserve">PPG </w:t>
            </w:r>
            <w:r w:rsidR="006E3ADF" w:rsidRPr="007E7514">
              <w:rPr>
                <w:rFonts w:asciiTheme="minorHAnsi" w:hAnsiTheme="minorHAnsi" w:cstheme="minorHAnsi"/>
                <w:b/>
                <w:bCs/>
                <w:sz w:val="20"/>
                <w:szCs w:val="20"/>
                <w:lang w:val="en-GB"/>
              </w:rPr>
              <w:t>F</w:t>
            </w:r>
            <w:r w:rsidRPr="007E7514">
              <w:rPr>
                <w:rFonts w:asciiTheme="minorHAnsi" w:hAnsiTheme="minorHAnsi" w:cstheme="minorHAnsi"/>
                <w:b/>
                <w:bCs/>
                <w:sz w:val="20"/>
                <w:szCs w:val="20"/>
                <w:lang w:val="en-GB"/>
              </w:rPr>
              <w:t>ees ($)</w:t>
            </w:r>
          </w:p>
        </w:tc>
        <w:tc>
          <w:tcPr>
            <w:tcW w:w="1332" w:type="dxa"/>
            <w:shd w:val="clear" w:color="auto" w:fill="auto"/>
            <w:hideMark/>
          </w:tcPr>
          <w:p w14:paraId="264435FF" w14:textId="31B2D274" w:rsidR="007A7876" w:rsidRPr="007E7514" w:rsidRDefault="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Co-financing ($)</w:t>
            </w:r>
          </w:p>
        </w:tc>
      </w:tr>
      <w:tr w:rsidR="00D46FD9" w:rsidRPr="007E7514" w14:paraId="3BBA506D" w14:textId="77777777" w:rsidTr="00357CB6">
        <w:trPr>
          <w:trHeight w:val="235"/>
        </w:trPr>
        <w:tc>
          <w:tcPr>
            <w:tcW w:w="13036" w:type="dxa"/>
            <w:gridSpan w:val="9"/>
            <w:noWrap/>
          </w:tcPr>
          <w:p w14:paraId="09E545FA" w14:textId="76E3A15E" w:rsidR="00D46FD9" w:rsidRPr="007E7514" w:rsidRDefault="00D46FD9" w:rsidP="00FB2BBA">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Enabling activities</w:t>
            </w:r>
          </w:p>
        </w:tc>
      </w:tr>
      <w:tr w:rsidR="007A7876" w:rsidRPr="007E7514" w14:paraId="2D4011D6" w14:textId="77777777" w:rsidTr="007A7876">
        <w:trPr>
          <w:trHeight w:val="600"/>
        </w:trPr>
        <w:tc>
          <w:tcPr>
            <w:tcW w:w="846" w:type="dxa"/>
            <w:noWrap/>
          </w:tcPr>
          <w:p w14:paraId="01BA8ECA" w14:textId="1E8497E6"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10148</w:t>
            </w:r>
          </w:p>
        </w:tc>
        <w:tc>
          <w:tcPr>
            <w:tcW w:w="1417" w:type="dxa"/>
          </w:tcPr>
          <w:p w14:paraId="6D0494ED" w14:textId="5AA88C75"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Nicaragua</w:t>
            </w:r>
          </w:p>
        </w:tc>
        <w:tc>
          <w:tcPr>
            <w:tcW w:w="3852" w:type="dxa"/>
          </w:tcPr>
          <w:p w14:paraId="63D2351E" w14:textId="22865189"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Initial Assessment and National Action Plan on the Artisanal and Small-scale Gold Mining Sector in Nicaragua</w:t>
            </w:r>
          </w:p>
        </w:tc>
        <w:tc>
          <w:tcPr>
            <w:tcW w:w="826" w:type="dxa"/>
            <w:noWrap/>
          </w:tcPr>
          <w:p w14:paraId="124CBBC2" w14:textId="7C9481FB" w:rsidR="007A7876" w:rsidRPr="007E7514" w:rsidRDefault="007A7876">
            <w:pPr>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UNIDO</w:t>
            </w:r>
            <w:proofErr w:type="spellEnd"/>
          </w:p>
        </w:tc>
        <w:tc>
          <w:tcPr>
            <w:tcW w:w="1190" w:type="dxa"/>
            <w:noWrap/>
          </w:tcPr>
          <w:p w14:paraId="375C95A1" w14:textId="4F7F3BE6"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700,000</w:t>
            </w:r>
          </w:p>
        </w:tc>
        <w:tc>
          <w:tcPr>
            <w:tcW w:w="1191" w:type="dxa"/>
            <w:noWrap/>
          </w:tcPr>
          <w:p w14:paraId="75E52058" w14:textId="0895F1DD"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66,500</w:t>
            </w:r>
          </w:p>
        </w:tc>
        <w:tc>
          <w:tcPr>
            <w:tcW w:w="1191" w:type="dxa"/>
            <w:noWrap/>
          </w:tcPr>
          <w:p w14:paraId="7216CE85" w14:textId="7B6C5026"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tcPr>
          <w:p w14:paraId="6FFDBC93" w14:textId="054BA9BC"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tcPr>
          <w:p w14:paraId="743841C5" w14:textId="2307AB61"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30,000</w:t>
            </w:r>
          </w:p>
        </w:tc>
      </w:tr>
      <w:tr w:rsidR="007A7876" w:rsidRPr="007E7514" w14:paraId="53D72171" w14:textId="77777777" w:rsidTr="007A7876">
        <w:trPr>
          <w:trHeight w:val="600"/>
        </w:trPr>
        <w:tc>
          <w:tcPr>
            <w:tcW w:w="846" w:type="dxa"/>
            <w:noWrap/>
            <w:hideMark/>
          </w:tcPr>
          <w:p w14:paraId="0244AC4C"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10310</w:t>
            </w:r>
          </w:p>
        </w:tc>
        <w:tc>
          <w:tcPr>
            <w:tcW w:w="1417" w:type="dxa"/>
            <w:hideMark/>
          </w:tcPr>
          <w:p w14:paraId="1F92A226" w14:textId="3FD65640"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Bolivia (Plurinational State of)</w:t>
            </w:r>
          </w:p>
        </w:tc>
        <w:tc>
          <w:tcPr>
            <w:tcW w:w="3852" w:type="dxa"/>
            <w:hideMark/>
          </w:tcPr>
          <w:p w14:paraId="57634AAC" w14:textId="071662D9"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National Action Plan in the Artisanal and Small-scale Gold Mining Sector in the Plurinational State of Bolivia</w:t>
            </w:r>
          </w:p>
        </w:tc>
        <w:tc>
          <w:tcPr>
            <w:tcW w:w="826" w:type="dxa"/>
            <w:noWrap/>
            <w:hideMark/>
          </w:tcPr>
          <w:p w14:paraId="1734822D" w14:textId="77777777" w:rsidR="007A7876" w:rsidRPr="007E7514" w:rsidRDefault="007A7876">
            <w:pPr>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UNIDO</w:t>
            </w:r>
            <w:proofErr w:type="spellEnd"/>
          </w:p>
        </w:tc>
        <w:tc>
          <w:tcPr>
            <w:tcW w:w="1190" w:type="dxa"/>
            <w:noWrap/>
            <w:hideMark/>
          </w:tcPr>
          <w:p w14:paraId="50A65343"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17D4FED2"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61406AB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7F4B0A0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7CCCB20A"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31,000</w:t>
            </w:r>
          </w:p>
        </w:tc>
      </w:tr>
      <w:tr w:rsidR="007A7876" w:rsidRPr="007E7514" w14:paraId="075484ED" w14:textId="77777777" w:rsidTr="007A7876">
        <w:trPr>
          <w:trHeight w:val="600"/>
        </w:trPr>
        <w:tc>
          <w:tcPr>
            <w:tcW w:w="846" w:type="dxa"/>
            <w:noWrap/>
            <w:hideMark/>
          </w:tcPr>
          <w:p w14:paraId="7F2AD6F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10383</w:t>
            </w:r>
          </w:p>
        </w:tc>
        <w:tc>
          <w:tcPr>
            <w:tcW w:w="1417" w:type="dxa"/>
            <w:hideMark/>
          </w:tcPr>
          <w:p w14:paraId="2985F004" w14:textId="2960EB5E"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w:t>
            </w:r>
            <w:r w:rsidRPr="007E7514">
              <w:rPr>
                <w:rFonts w:ascii="Calibri" w:hAnsi="Calibri" w:cs="Calibri"/>
                <w:sz w:val="20"/>
                <w:szCs w:val="20"/>
                <w:lang w:val="en-GB"/>
              </w:rPr>
              <w:t>ô</w:t>
            </w:r>
            <w:r w:rsidRPr="007E7514">
              <w:rPr>
                <w:rFonts w:asciiTheme="minorHAnsi" w:hAnsiTheme="minorHAnsi" w:cstheme="minorHAnsi"/>
                <w:sz w:val="20"/>
                <w:szCs w:val="20"/>
                <w:lang w:val="en-GB"/>
              </w:rPr>
              <w:t>te D'Ivoire</w:t>
            </w:r>
          </w:p>
        </w:tc>
        <w:tc>
          <w:tcPr>
            <w:tcW w:w="3852" w:type="dxa"/>
            <w:hideMark/>
          </w:tcPr>
          <w:p w14:paraId="1255901D" w14:textId="50750F75"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the Artisanal and Small-scale Gold Mining in C</w:t>
            </w:r>
            <w:r w:rsidRPr="007E7514">
              <w:rPr>
                <w:rFonts w:ascii="Calibri" w:hAnsi="Calibri" w:cs="Calibri"/>
                <w:i/>
                <w:iCs/>
                <w:sz w:val="20"/>
                <w:szCs w:val="20"/>
                <w:lang w:val="en-GB"/>
              </w:rPr>
              <w:t>ô</w:t>
            </w:r>
            <w:r w:rsidRPr="007E7514">
              <w:rPr>
                <w:rFonts w:asciiTheme="minorHAnsi" w:hAnsiTheme="minorHAnsi" w:cstheme="minorHAnsi"/>
                <w:i/>
                <w:iCs/>
                <w:sz w:val="20"/>
                <w:szCs w:val="20"/>
                <w:lang w:val="en-GB"/>
              </w:rPr>
              <w:t>te D’Ivoire</w:t>
            </w:r>
          </w:p>
        </w:tc>
        <w:tc>
          <w:tcPr>
            <w:tcW w:w="826" w:type="dxa"/>
            <w:noWrap/>
            <w:hideMark/>
          </w:tcPr>
          <w:p w14:paraId="77866706"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67ECD03B"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02FD4D6A"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4A8F972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01A67D2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6B1B09D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r>
      <w:tr w:rsidR="007A7876" w:rsidRPr="007E7514" w14:paraId="360188D7" w14:textId="77777777" w:rsidTr="007A7876">
        <w:trPr>
          <w:trHeight w:val="600"/>
        </w:trPr>
        <w:tc>
          <w:tcPr>
            <w:tcW w:w="846" w:type="dxa"/>
            <w:noWrap/>
            <w:hideMark/>
          </w:tcPr>
          <w:p w14:paraId="507C29A0"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10422</w:t>
            </w:r>
          </w:p>
        </w:tc>
        <w:tc>
          <w:tcPr>
            <w:tcW w:w="1417" w:type="dxa"/>
            <w:hideMark/>
          </w:tcPr>
          <w:p w14:paraId="4655BB70"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Mexico</w:t>
            </w:r>
          </w:p>
        </w:tc>
        <w:tc>
          <w:tcPr>
            <w:tcW w:w="3852" w:type="dxa"/>
            <w:hideMark/>
          </w:tcPr>
          <w:p w14:paraId="62048922" w14:textId="682A16B1"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the Artisanal and Small-scale Gold Mining in Mexico</w:t>
            </w:r>
          </w:p>
        </w:tc>
        <w:tc>
          <w:tcPr>
            <w:tcW w:w="826" w:type="dxa"/>
            <w:noWrap/>
            <w:hideMark/>
          </w:tcPr>
          <w:p w14:paraId="630DC833"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26D7748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329E359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7A7A8D7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4A91DD2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58DD1F2B"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r>
      <w:tr w:rsidR="007A7876" w:rsidRPr="007E7514" w14:paraId="5D0073E7" w14:textId="77777777" w:rsidTr="007A7876">
        <w:trPr>
          <w:trHeight w:val="600"/>
        </w:trPr>
        <w:tc>
          <w:tcPr>
            <w:tcW w:w="846" w:type="dxa"/>
            <w:noWrap/>
            <w:hideMark/>
          </w:tcPr>
          <w:p w14:paraId="73EB803C"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10423</w:t>
            </w:r>
          </w:p>
        </w:tc>
        <w:tc>
          <w:tcPr>
            <w:tcW w:w="1417" w:type="dxa"/>
            <w:hideMark/>
          </w:tcPr>
          <w:p w14:paraId="2CA37FB9"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Costa Rica</w:t>
            </w:r>
          </w:p>
        </w:tc>
        <w:tc>
          <w:tcPr>
            <w:tcW w:w="3852" w:type="dxa"/>
            <w:hideMark/>
          </w:tcPr>
          <w:p w14:paraId="1767B4DA" w14:textId="31B58481"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the Artisanal and Small-scale Gold Mining in Costa Rica</w:t>
            </w:r>
          </w:p>
        </w:tc>
        <w:tc>
          <w:tcPr>
            <w:tcW w:w="826" w:type="dxa"/>
            <w:noWrap/>
            <w:hideMark/>
          </w:tcPr>
          <w:p w14:paraId="0091BE1B"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388C269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73B15820"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758ECBB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0229401D"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038D40ED"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r>
      <w:tr w:rsidR="007A7876" w:rsidRPr="007E7514" w14:paraId="31047BBA" w14:textId="77777777" w:rsidTr="007A7876">
        <w:trPr>
          <w:trHeight w:val="600"/>
        </w:trPr>
        <w:tc>
          <w:tcPr>
            <w:tcW w:w="846" w:type="dxa"/>
            <w:noWrap/>
            <w:hideMark/>
          </w:tcPr>
          <w:p w14:paraId="756B516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10440</w:t>
            </w:r>
          </w:p>
        </w:tc>
        <w:tc>
          <w:tcPr>
            <w:tcW w:w="1417" w:type="dxa"/>
            <w:hideMark/>
          </w:tcPr>
          <w:p w14:paraId="311ECDF0"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Cameroon</w:t>
            </w:r>
          </w:p>
        </w:tc>
        <w:tc>
          <w:tcPr>
            <w:tcW w:w="3852" w:type="dxa"/>
            <w:hideMark/>
          </w:tcPr>
          <w:p w14:paraId="05CF2ADC" w14:textId="653D0A87"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National Action Plan on Mercury in the Artisanal and Small-scale Gold Mining Sector in Cameroon</w:t>
            </w:r>
          </w:p>
        </w:tc>
        <w:tc>
          <w:tcPr>
            <w:tcW w:w="826" w:type="dxa"/>
            <w:noWrap/>
            <w:hideMark/>
          </w:tcPr>
          <w:p w14:paraId="77ABF603" w14:textId="77777777" w:rsidR="007A7876" w:rsidRPr="007E7514" w:rsidRDefault="007A7876">
            <w:pPr>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UNIDO</w:t>
            </w:r>
            <w:proofErr w:type="spellEnd"/>
          </w:p>
        </w:tc>
        <w:tc>
          <w:tcPr>
            <w:tcW w:w="1190" w:type="dxa"/>
            <w:noWrap/>
            <w:hideMark/>
          </w:tcPr>
          <w:p w14:paraId="60D1D17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6C5D75C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587C524C"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346E02F4"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7B74203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46,500</w:t>
            </w:r>
          </w:p>
        </w:tc>
      </w:tr>
      <w:tr w:rsidR="007A7876" w:rsidRPr="007E7514" w14:paraId="4E907391" w14:textId="77777777" w:rsidTr="007A7876">
        <w:trPr>
          <w:trHeight w:val="400"/>
        </w:trPr>
        <w:tc>
          <w:tcPr>
            <w:tcW w:w="846" w:type="dxa"/>
            <w:noWrap/>
            <w:hideMark/>
          </w:tcPr>
          <w:p w14:paraId="140B6CC2"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10448</w:t>
            </w:r>
          </w:p>
        </w:tc>
        <w:tc>
          <w:tcPr>
            <w:tcW w:w="1417" w:type="dxa"/>
            <w:hideMark/>
          </w:tcPr>
          <w:p w14:paraId="15580E52"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Chad</w:t>
            </w:r>
          </w:p>
        </w:tc>
        <w:tc>
          <w:tcPr>
            <w:tcW w:w="3852" w:type="dxa"/>
            <w:hideMark/>
          </w:tcPr>
          <w:p w14:paraId="6E2A09F9" w14:textId="71C9CA83"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Small-scale Gold Mining in Chad</w:t>
            </w:r>
          </w:p>
        </w:tc>
        <w:tc>
          <w:tcPr>
            <w:tcW w:w="826" w:type="dxa"/>
            <w:noWrap/>
            <w:hideMark/>
          </w:tcPr>
          <w:p w14:paraId="5DCD7969"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5427A28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0F92E73E"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11BDF2F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3F1EC57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1A8A815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10,000</w:t>
            </w:r>
          </w:p>
        </w:tc>
      </w:tr>
      <w:tr w:rsidR="007A7876" w:rsidRPr="007E7514" w14:paraId="21D8B9E2" w14:textId="77777777" w:rsidTr="007A7876">
        <w:trPr>
          <w:trHeight w:val="400"/>
        </w:trPr>
        <w:tc>
          <w:tcPr>
            <w:tcW w:w="846" w:type="dxa"/>
            <w:noWrap/>
            <w:hideMark/>
          </w:tcPr>
          <w:p w14:paraId="16AE6BC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10527</w:t>
            </w:r>
          </w:p>
        </w:tc>
        <w:tc>
          <w:tcPr>
            <w:tcW w:w="1417" w:type="dxa"/>
            <w:hideMark/>
          </w:tcPr>
          <w:p w14:paraId="3C696C90"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Togo</w:t>
            </w:r>
          </w:p>
        </w:tc>
        <w:tc>
          <w:tcPr>
            <w:tcW w:w="3852" w:type="dxa"/>
            <w:hideMark/>
          </w:tcPr>
          <w:p w14:paraId="33769DCA" w14:textId="200BAD71"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w:t>
            </w:r>
            <w:r w:rsidR="009A03B1"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Togo</w:t>
            </w:r>
          </w:p>
        </w:tc>
        <w:tc>
          <w:tcPr>
            <w:tcW w:w="826" w:type="dxa"/>
            <w:noWrap/>
            <w:hideMark/>
          </w:tcPr>
          <w:p w14:paraId="6890212D"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7E6254E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1D6019BB"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0AC7DF7F"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30D5C65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14267164"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r>
      <w:tr w:rsidR="007A7876" w:rsidRPr="007E7514" w14:paraId="0D50C625" w14:textId="77777777" w:rsidTr="007A7876">
        <w:trPr>
          <w:trHeight w:val="400"/>
        </w:trPr>
        <w:tc>
          <w:tcPr>
            <w:tcW w:w="846" w:type="dxa"/>
            <w:noWrap/>
            <w:hideMark/>
          </w:tcPr>
          <w:p w14:paraId="125FE18E"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10582</w:t>
            </w:r>
          </w:p>
        </w:tc>
        <w:tc>
          <w:tcPr>
            <w:tcW w:w="1417" w:type="dxa"/>
            <w:hideMark/>
          </w:tcPr>
          <w:p w14:paraId="035CBEE2"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Tuvalu</w:t>
            </w:r>
          </w:p>
        </w:tc>
        <w:tc>
          <w:tcPr>
            <w:tcW w:w="3852" w:type="dxa"/>
            <w:hideMark/>
          </w:tcPr>
          <w:p w14:paraId="1813A3B8" w14:textId="77777777"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Tuvalu</w:t>
            </w:r>
          </w:p>
        </w:tc>
        <w:tc>
          <w:tcPr>
            <w:tcW w:w="826" w:type="dxa"/>
            <w:noWrap/>
            <w:hideMark/>
          </w:tcPr>
          <w:p w14:paraId="447C857D"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1241925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125,000</w:t>
            </w:r>
          </w:p>
        </w:tc>
        <w:tc>
          <w:tcPr>
            <w:tcW w:w="1191" w:type="dxa"/>
            <w:noWrap/>
            <w:hideMark/>
          </w:tcPr>
          <w:p w14:paraId="7897E473"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11,875</w:t>
            </w:r>
          </w:p>
        </w:tc>
        <w:tc>
          <w:tcPr>
            <w:tcW w:w="1191" w:type="dxa"/>
            <w:noWrap/>
            <w:hideMark/>
          </w:tcPr>
          <w:p w14:paraId="76240F9A"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607782A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63DC164F"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r>
      <w:tr w:rsidR="007A7876" w:rsidRPr="007E7514" w14:paraId="45D52729" w14:textId="77777777" w:rsidTr="007A7876">
        <w:trPr>
          <w:trHeight w:val="400"/>
        </w:trPr>
        <w:tc>
          <w:tcPr>
            <w:tcW w:w="846" w:type="dxa"/>
            <w:noWrap/>
            <w:hideMark/>
          </w:tcPr>
          <w:p w14:paraId="6ECE2D1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10585</w:t>
            </w:r>
          </w:p>
        </w:tc>
        <w:tc>
          <w:tcPr>
            <w:tcW w:w="1417" w:type="dxa"/>
            <w:hideMark/>
          </w:tcPr>
          <w:p w14:paraId="76A3C4C8"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Bahamas</w:t>
            </w:r>
          </w:p>
        </w:tc>
        <w:tc>
          <w:tcPr>
            <w:tcW w:w="3852" w:type="dxa"/>
            <w:hideMark/>
          </w:tcPr>
          <w:p w14:paraId="03C1242C" w14:textId="77777777"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The Bahamas</w:t>
            </w:r>
          </w:p>
        </w:tc>
        <w:tc>
          <w:tcPr>
            <w:tcW w:w="826" w:type="dxa"/>
            <w:noWrap/>
            <w:hideMark/>
          </w:tcPr>
          <w:p w14:paraId="239554AC"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0D050E4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150,000</w:t>
            </w:r>
          </w:p>
        </w:tc>
        <w:tc>
          <w:tcPr>
            <w:tcW w:w="1191" w:type="dxa"/>
            <w:noWrap/>
            <w:hideMark/>
          </w:tcPr>
          <w:p w14:paraId="16012BB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14,250</w:t>
            </w:r>
          </w:p>
        </w:tc>
        <w:tc>
          <w:tcPr>
            <w:tcW w:w="1191" w:type="dxa"/>
            <w:noWrap/>
            <w:hideMark/>
          </w:tcPr>
          <w:p w14:paraId="45F692E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1F6E5AB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679B248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r>
      <w:tr w:rsidR="007A7876" w:rsidRPr="007E7514" w14:paraId="3B4CA3EC" w14:textId="77777777" w:rsidTr="007A7876">
        <w:trPr>
          <w:trHeight w:val="600"/>
        </w:trPr>
        <w:tc>
          <w:tcPr>
            <w:tcW w:w="846" w:type="dxa"/>
            <w:noWrap/>
            <w:hideMark/>
          </w:tcPr>
          <w:p w14:paraId="1D4C1AC0"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10631</w:t>
            </w:r>
          </w:p>
        </w:tc>
        <w:tc>
          <w:tcPr>
            <w:tcW w:w="1417" w:type="dxa"/>
            <w:hideMark/>
          </w:tcPr>
          <w:p w14:paraId="0BAAFCD6"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Afghanistan</w:t>
            </w:r>
          </w:p>
        </w:tc>
        <w:tc>
          <w:tcPr>
            <w:tcW w:w="3852" w:type="dxa"/>
            <w:hideMark/>
          </w:tcPr>
          <w:p w14:paraId="39B2635A" w14:textId="43B4EB24"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Initial Assessment and National Action Plan for the Artisanal and Small-scale Gold Mining Sector in Afghanistan</w:t>
            </w:r>
          </w:p>
        </w:tc>
        <w:tc>
          <w:tcPr>
            <w:tcW w:w="826" w:type="dxa"/>
            <w:noWrap/>
            <w:hideMark/>
          </w:tcPr>
          <w:p w14:paraId="0B9A43B9" w14:textId="77777777" w:rsidR="007A7876" w:rsidRPr="007E7514" w:rsidRDefault="007A7876">
            <w:pPr>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UNIDO</w:t>
            </w:r>
            <w:proofErr w:type="spellEnd"/>
          </w:p>
        </w:tc>
        <w:tc>
          <w:tcPr>
            <w:tcW w:w="1190" w:type="dxa"/>
            <w:noWrap/>
            <w:hideMark/>
          </w:tcPr>
          <w:p w14:paraId="756862C3"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700,000</w:t>
            </w:r>
          </w:p>
        </w:tc>
        <w:tc>
          <w:tcPr>
            <w:tcW w:w="1191" w:type="dxa"/>
            <w:noWrap/>
            <w:hideMark/>
          </w:tcPr>
          <w:p w14:paraId="40A1BCB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66,500</w:t>
            </w:r>
          </w:p>
        </w:tc>
        <w:tc>
          <w:tcPr>
            <w:tcW w:w="1191" w:type="dxa"/>
            <w:noWrap/>
            <w:hideMark/>
          </w:tcPr>
          <w:p w14:paraId="17D1854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5BF2FBF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13B9004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30,000</w:t>
            </w:r>
          </w:p>
        </w:tc>
      </w:tr>
      <w:tr w:rsidR="007A7876" w:rsidRPr="007E7514" w14:paraId="3F5621F0" w14:textId="77777777" w:rsidTr="007A7876">
        <w:trPr>
          <w:trHeight w:val="400"/>
        </w:trPr>
        <w:tc>
          <w:tcPr>
            <w:tcW w:w="846" w:type="dxa"/>
            <w:noWrap/>
            <w:hideMark/>
          </w:tcPr>
          <w:p w14:paraId="06395F7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10652</w:t>
            </w:r>
          </w:p>
        </w:tc>
        <w:tc>
          <w:tcPr>
            <w:tcW w:w="1417" w:type="dxa"/>
            <w:hideMark/>
          </w:tcPr>
          <w:p w14:paraId="620F2932"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Cuba</w:t>
            </w:r>
          </w:p>
        </w:tc>
        <w:tc>
          <w:tcPr>
            <w:tcW w:w="3852" w:type="dxa"/>
            <w:hideMark/>
          </w:tcPr>
          <w:p w14:paraId="7AAC5760" w14:textId="77777777"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Cuba</w:t>
            </w:r>
          </w:p>
        </w:tc>
        <w:tc>
          <w:tcPr>
            <w:tcW w:w="826" w:type="dxa"/>
            <w:noWrap/>
            <w:hideMark/>
          </w:tcPr>
          <w:p w14:paraId="40A0F383"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27FA3BBD"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210,000</w:t>
            </w:r>
          </w:p>
        </w:tc>
        <w:tc>
          <w:tcPr>
            <w:tcW w:w="1191" w:type="dxa"/>
            <w:noWrap/>
            <w:hideMark/>
          </w:tcPr>
          <w:p w14:paraId="45D2795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19,950</w:t>
            </w:r>
          </w:p>
        </w:tc>
        <w:tc>
          <w:tcPr>
            <w:tcW w:w="1191" w:type="dxa"/>
            <w:noWrap/>
            <w:hideMark/>
          </w:tcPr>
          <w:p w14:paraId="36858A2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3C11863B"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075768A4"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r>
      <w:tr w:rsidR="007A7876" w:rsidRPr="007E7514" w14:paraId="1EEF3654" w14:textId="77777777" w:rsidTr="007A7876">
        <w:trPr>
          <w:trHeight w:val="400"/>
        </w:trPr>
        <w:tc>
          <w:tcPr>
            <w:tcW w:w="846" w:type="dxa"/>
            <w:noWrap/>
            <w:hideMark/>
          </w:tcPr>
          <w:p w14:paraId="6660BD2A"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10811</w:t>
            </w:r>
          </w:p>
        </w:tc>
        <w:tc>
          <w:tcPr>
            <w:tcW w:w="1417" w:type="dxa"/>
            <w:hideMark/>
          </w:tcPr>
          <w:p w14:paraId="2845F151"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Oman</w:t>
            </w:r>
          </w:p>
        </w:tc>
        <w:tc>
          <w:tcPr>
            <w:tcW w:w="3852" w:type="dxa"/>
            <w:hideMark/>
          </w:tcPr>
          <w:p w14:paraId="1E4769F9" w14:textId="0F835D07"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Convention Initial Assessment for the Sultanate of Oman</w:t>
            </w:r>
          </w:p>
        </w:tc>
        <w:tc>
          <w:tcPr>
            <w:tcW w:w="826" w:type="dxa"/>
            <w:noWrap/>
            <w:hideMark/>
          </w:tcPr>
          <w:p w14:paraId="34B93C1E"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6A29078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200,000</w:t>
            </w:r>
          </w:p>
        </w:tc>
        <w:tc>
          <w:tcPr>
            <w:tcW w:w="1191" w:type="dxa"/>
            <w:noWrap/>
            <w:hideMark/>
          </w:tcPr>
          <w:p w14:paraId="4312F42D"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19,000</w:t>
            </w:r>
          </w:p>
        </w:tc>
        <w:tc>
          <w:tcPr>
            <w:tcW w:w="1191" w:type="dxa"/>
            <w:noWrap/>
            <w:hideMark/>
          </w:tcPr>
          <w:p w14:paraId="492E414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0E8B4652"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10155F2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r>
      <w:tr w:rsidR="00D46FD9" w:rsidRPr="007E7514" w14:paraId="6A6235EE" w14:textId="77777777" w:rsidTr="00D46FD9">
        <w:trPr>
          <w:trHeight w:val="209"/>
        </w:trPr>
        <w:tc>
          <w:tcPr>
            <w:tcW w:w="13036" w:type="dxa"/>
            <w:gridSpan w:val="9"/>
            <w:noWrap/>
          </w:tcPr>
          <w:p w14:paraId="6A5C1A1A" w14:textId="035EA5FD" w:rsidR="00D46FD9" w:rsidRPr="007E7514" w:rsidRDefault="00D46FD9" w:rsidP="00FB2BBA">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Full-sized projects</w:t>
            </w:r>
          </w:p>
        </w:tc>
      </w:tr>
      <w:tr w:rsidR="007A7876" w:rsidRPr="007E7514" w14:paraId="6E61153E" w14:textId="77777777" w:rsidTr="007A7876">
        <w:trPr>
          <w:trHeight w:val="1000"/>
        </w:trPr>
        <w:tc>
          <w:tcPr>
            <w:tcW w:w="846" w:type="dxa"/>
            <w:noWrap/>
            <w:hideMark/>
          </w:tcPr>
          <w:p w14:paraId="5A03F6FA"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10349</w:t>
            </w:r>
          </w:p>
        </w:tc>
        <w:tc>
          <w:tcPr>
            <w:tcW w:w="1417" w:type="dxa"/>
            <w:hideMark/>
          </w:tcPr>
          <w:p w14:paraId="6526B314"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China</w:t>
            </w:r>
          </w:p>
        </w:tc>
        <w:tc>
          <w:tcPr>
            <w:tcW w:w="3852" w:type="dxa"/>
            <w:hideMark/>
          </w:tcPr>
          <w:p w14:paraId="18B0F370" w14:textId="66EFD6CE"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Demonstration of Production Phase-out of Mercury-containing Medical Thermometers and Sphygmomanometers and Promoting the Application of Mercury-free Alternatives in Medical Facilities in China</w:t>
            </w:r>
          </w:p>
        </w:tc>
        <w:tc>
          <w:tcPr>
            <w:tcW w:w="826" w:type="dxa"/>
            <w:noWrap/>
            <w:hideMark/>
          </w:tcPr>
          <w:p w14:paraId="5777DC1D"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1190" w:type="dxa"/>
            <w:noWrap/>
            <w:hideMark/>
          </w:tcPr>
          <w:p w14:paraId="4DE0887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16,000,000</w:t>
            </w:r>
          </w:p>
        </w:tc>
        <w:tc>
          <w:tcPr>
            <w:tcW w:w="1191" w:type="dxa"/>
            <w:noWrap/>
            <w:hideMark/>
          </w:tcPr>
          <w:p w14:paraId="39DF2EF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1,440,000</w:t>
            </w:r>
          </w:p>
        </w:tc>
        <w:tc>
          <w:tcPr>
            <w:tcW w:w="1191" w:type="dxa"/>
            <w:noWrap/>
            <w:hideMark/>
          </w:tcPr>
          <w:p w14:paraId="4218AFDD"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300,000</w:t>
            </w:r>
          </w:p>
        </w:tc>
        <w:tc>
          <w:tcPr>
            <w:tcW w:w="1191" w:type="dxa"/>
            <w:noWrap/>
            <w:hideMark/>
          </w:tcPr>
          <w:p w14:paraId="481F82BB"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27,000</w:t>
            </w:r>
          </w:p>
        </w:tc>
        <w:tc>
          <w:tcPr>
            <w:tcW w:w="1332" w:type="dxa"/>
            <w:noWrap/>
            <w:hideMark/>
          </w:tcPr>
          <w:p w14:paraId="7BE72AC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112,000,000</w:t>
            </w:r>
          </w:p>
        </w:tc>
      </w:tr>
      <w:tr w:rsidR="007A7876" w:rsidRPr="007E7514" w14:paraId="5CCAD91A" w14:textId="77777777" w:rsidTr="007A7876">
        <w:trPr>
          <w:trHeight w:val="1000"/>
        </w:trPr>
        <w:tc>
          <w:tcPr>
            <w:tcW w:w="846" w:type="dxa"/>
            <w:noWrap/>
            <w:hideMark/>
          </w:tcPr>
          <w:p w14:paraId="1D78DC9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10353</w:t>
            </w:r>
          </w:p>
        </w:tc>
        <w:tc>
          <w:tcPr>
            <w:tcW w:w="1417" w:type="dxa"/>
            <w:hideMark/>
          </w:tcPr>
          <w:p w14:paraId="40B36A71" w14:textId="1D88569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Global  (Indonesia, Jordan, Peru, Serbia, Uganda, Ukraine)</w:t>
            </w:r>
          </w:p>
        </w:tc>
        <w:tc>
          <w:tcPr>
            <w:tcW w:w="3852" w:type="dxa"/>
            <w:hideMark/>
          </w:tcPr>
          <w:p w14:paraId="3E0745DF" w14:textId="77777777"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The Global </w:t>
            </w:r>
            <w:proofErr w:type="spellStart"/>
            <w:r w:rsidRPr="007E7514">
              <w:rPr>
                <w:rFonts w:asciiTheme="minorHAnsi" w:hAnsiTheme="minorHAnsi" w:cstheme="minorHAnsi"/>
                <w:i/>
                <w:iCs/>
                <w:sz w:val="20"/>
                <w:szCs w:val="20"/>
                <w:lang w:val="en-GB"/>
              </w:rPr>
              <w:t>Greenchem</w:t>
            </w:r>
            <w:proofErr w:type="spellEnd"/>
            <w:r w:rsidRPr="007E7514">
              <w:rPr>
                <w:rFonts w:asciiTheme="minorHAnsi" w:hAnsiTheme="minorHAnsi" w:cstheme="minorHAnsi"/>
                <w:i/>
                <w:iCs/>
                <w:sz w:val="20"/>
                <w:szCs w:val="20"/>
                <w:lang w:val="en-GB"/>
              </w:rPr>
              <w:t xml:space="preserve"> Innovation and Network Programme </w:t>
            </w:r>
          </w:p>
        </w:tc>
        <w:tc>
          <w:tcPr>
            <w:tcW w:w="826" w:type="dxa"/>
            <w:noWrap/>
            <w:hideMark/>
          </w:tcPr>
          <w:p w14:paraId="3810472A" w14:textId="77777777" w:rsidR="007A7876" w:rsidRPr="007E7514" w:rsidRDefault="007A7876">
            <w:pPr>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UNIDO</w:t>
            </w:r>
            <w:proofErr w:type="spellEnd"/>
          </w:p>
        </w:tc>
        <w:tc>
          <w:tcPr>
            <w:tcW w:w="1190" w:type="dxa"/>
            <w:noWrap/>
            <w:hideMark/>
          </w:tcPr>
          <w:p w14:paraId="4BC6D47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2,000,000</w:t>
            </w:r>
          </w:p>
        </w:tc>
        <w:tc>
          <w:tcPr>
            <w:tcW w:w="1191" w:type="dxa"/>
            <w:noWrap/>
            <w:hideMark/>
          </w:tcPr>
          <w:p w14:paraId="25D1D11E"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180,000</w:t>
            </w:r>
          </w:p>
        </w:tc>
        <w:tc>
          <w:tcPr>
            <w:tcW w:w="1191" w:type="dxa"/>
            <w:noWrap/>
            <w:hideMark/>
          </w:tcPr>
          <w:p w14:paraId="7D50375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09684E2B"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018B6C6A"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89,697,521</w:t>
            </w:r>
          </w:p>
        </w:tc>
      </w:tr>
      <w:tr w:rsidR="007A7876" w:rsidRPr="007E7514" w14:paraId="38ECD1F5" w14:textId="77777777" w:rsidTr="007A7876">
        <w:trPr>
          <w:trHeight w:val="600"/>
        </w:trPr>
        <w:tc>
          <w:tcPr>
            <w:tcW w:w="846" w:type="dxa"/>
            <w:noWrap/>
            <w:hideMark/>
          </w:tcPr>
          <w:p w14:paraId="6CF795EE"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10373</w:t>
            </w:r>
          </w:p>
        </w:tc>
        <w:tc>
          <w:tcPr>
            <w:tcW w:w="1417" w:type="dxa"/>
            <w:hideMark/>
          </w:tcPr>
          <w:p w14:paraId="713FCECF"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Rwanda</w:t>
            </w:r>
          </w:p>
        </w:tc>
        <w:tc>
          <w:tcPr>
            <w:tcW w:w="3852" w:type="dxa"/>
            <w:hideMark/>
          </w:tcPr>
          <w:p w14:paraId="37EDC513" w14:textId="77777777"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Supporting a Green Economy - Decoupling Hazardous Waste Generation from Economic Growth in Rwanda</w:t>
            </w:r>
          </w:p>
        </w:tc>
        <w:tc>
          <w:tcPr>
            <w:tcW w:w="826" w:type="dxa"/>
            <w:noWrap/>
            <w:hideMark/>
          </w:tcPr>
          <w:p w14:paraId="37AE36B4"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1190" w:type="dxa"/>
            <w:noWrap/>
            <w:hideMark/>
          </w:tcPr>
          <w:p w14:paraId="02910A1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1,260,000</w:t>
            </w:r>
          </w:p>
        </w:tc>
        <w:tc>
          <w:tcPr>
            <w:tcW w:w="1191" w:type="dxa"/>
            <w:noWrap/>
            <w:hideMark/>
          </w:tcPr>
          <w:p w14:paraId="113C7B0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119,700</w:t>
            </w:r>
          </w:p>
        </w:tc>
        <w:tc>
          <w:tcPr>
            <w:tcW w:w="1191" w:type="dxa"/>
            <w:noWrap/>
            <w:hideMark/>
          </w:tcPr>
          <w:p w14:paraId="5848AC9C"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32,000</w:t>
            </w:r>
          </w:p>
        </w:tc>
        <w:tc>
          <w:tcPr>
            <w:tcW w:w="1191" w:type="dxa"/>
            <w:noWrap/>
            <w:hideMark/>
          </w:tcPr>
          <w:p w14:paraId="7712D12F"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3,040</w:t>
            </w:r>
          </w:p>
        </w:tc>
        <w:tc>
          <w:tcPr>
            <w:tcW w:w="1332" w:type="dxa"/>
            <w:noWrap/>
            <w:hideMark/>
          </w:tcPr>
          <w:p w14:paraId="27EFE33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30,744,580</w:t>
            </w:r>
          </w:p>
        </w:tc>
      </w:tr>
      <w:tr w:rsidR="007A7876" w:rsidRPr="007E7514" w14:paraId="561FE114" w14:textId="77777777" w:rsidTr="007A7876">
        <w:trPr>
          <w:trHeight w:val="400"/>
        </w:trPr>
        <w:tc>
          <w:tcPr>
            <w:tcW w:w="846" w:type="dxa"/>
            <w:noWrap/>
            <w:hideMark/>
          </w:tcPr>
          <w:p w14:paraId="703F6C1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10419</w:t>
            </w:r>
          </w:p>
        </w:tc>
        <w:tc>
          <w:tcPr>
            <w:tcW w:w="1417" w:type="dxa"/>
            <w:hideMark/>
          </w:tcPr>
          <w:p w14:paraId="4C2257CA"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Peru</w:t>
            </w:r>
          </w:p>
        </w:tc>
        <w:tc>
          <w:tcPr>
            <w:tcW w:w="3852" w:type="dxa"/>
            <w:hideMark/>
          </w:tcPr>
          <w:p w14:paraId="5C8ECB74" w14:textId="7555F780" w:rsidR="007A7876" w:rsidRPr="007E7514" w:rsidRDefault="007A7876">
            <w:pPr>
              <w:rPr>
                <w:lang w:val="en-GB"/>
              </w:rPr>
            </w:pPr>
            <w:r w:rsidRPr="007E7514">
              <w:rPr>
                <w:rFonts w:asciiTheme="minorHAnsi" w:hAnsiTheme="minorHAnsi" w:cstheme="minorHAnsi"/>
                <w:i/>
                <w:iCs/>
                <w:sz w:val="20"/>
                <w:szCs w:val="20"/>
                <w:lang w:val="en-GB"/>
              </w:rPr>
              <w:t xml:space="preserve">Environmentally Sound Management of Polychlorinated Biphenyls (PCBs), Mercury and Other Toxic Chemicals in Peru  </w:t>
            </w:r>
          </w:p>
        </w:tc>
        <w:tc>
          <w:tcPr>
            <w:tcW w:w="826" w:type="dxa"/>
            <w:noWrap/>
            <w:hideMark/>
          </w:tcPr>
          <w:p w14:paraId="6D2010A2"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1190" w:type="dxa"/>
            <w:noWrap/>
            <w:hideMark/>
          </w:tcPr>
          <w:p w14:paraId="45FE756D"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1,200,000</w:t>
            </w:r>
          </w:p>
        </w:tc>
        <w:tc>
          <w:tcPr>
            <w:tcW w:w="1191" w:type="dxa"/>
            <w:noWrap/>
            <w:hideMark/>
          </w:tcPr>
          <w:p w14:paraId="4DEBA4F9"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114,000</w:t>
            </w:r>
          </w:p>
        </w:tc>
        <w:tc>
          <w:tcPr>
            <w:tcW w:w="1191" w:type="dxa"/>
            <w:noWrap/>
            <w:hideMark/>
          </w:tcPr>
          <w:p w14:paraId="6424D526"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191" w:type="dxa"/>
            <w:noWrap/>
            <w:hideMark/>
          </w:tcPr>
          <w:p w14:paraId="7411F3D5"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w:t>
            </w:r>
          </w:p>
        </w:tc>
        <w:tc>
          <w:tcPr>
            <w:tcW w:w="1332" w:type="dxa"/>
            <w:noWrap/>
            <w:hideMark/>
          </w:tcPr>
          <w:p w14:paraId="6FC43B32"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23,750,000</w:t>
            </w:r>
          </w:p>
        </w:tc>
      </w:tr>
      <w:tr w:rsidR="007A7876" w:rsidRPr="007E7514" w14:paraId="7A7E7D0F" w14:textId="77777777" w:rsidTr="007A7876">
        <w:trPr>
          <w:trHeight w:val="600"/>
        </w:trPr>
        <w:tc>
          <w:tcPr>
            <w:tcW w:w="846" w:type="dxa"/>
            <w:noWrap/>
            <w:hideMark/>
          </w:tcPr>
          <w:p w14:paraId="200A961B"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10519</w:t>
            </w:r>
          </w:p>
        </w:tc>
        <w:tc>
          <w:tcPr>
            <w:tcW w:w="1417" w:type="dxa"/>
            <w:hideMark/>
          </w:tcPr>
          <w:p w14:paraId="512D5B7B"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Viet Nam</w:t>
            </w:r>
          </w:p>
        </w:tc>
        <w:tc>
          <w:tcPr>
            <w:tcW w:w="3852" w:type="dxa"/>
            <w:hideMark/>
          </w:tcPr>
          <w:p w14:paraId="541B5712" w14:textId="3F890FB4"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Reducing the Impact and Release of Mercury and </w:t>
            </w:r>
            <w:proofErr w:type="spellStart"/>
            <w:r w:rsidRPr="007E7514">
              <w:rPr>
                <w:rFonts w:asciiTheme="minorHAnsi" w:hAnsiTheme="minorHAnsi" w:cstheme="minorHAnsi"/>
                <w:i/>
                <w:iCs/>
                <w:sz w:val="20"/>
                <w:szCs w:val="20"/>
                <w:lang w:val="en-GB"/>
              </w:rPr>
              <w:t>POPs</w:t>
            </w:r>
            <w:proofErr w:type="spellEnd"/>
            <w:r w:rsidRPr="007E7514">
              <w:rPr>
                <w:rFonts w:asciiTheme="minorHAnsi" w:hAnsiTheme="minorHAnsi" w:cstheme="minorHAnsi"/>
                <w:i/>
                <w:iCs/>
                <w:sz w:val="20"/>
                <w:szCs w:val="20"/>
                <w:lang w:val="en-GB"/>
              </w:rPr>
              <w:t xml:space="preserve"> in Viet Nam through Lifecycle Approach and Ecolabelling </w:t>
            </w:r>
          </w:p>
        </w:tc>
        <w:tc>
          <w:tcPr>
            <w:tcW w:w="826" w:type="dxa"/>
            <w:noWrap/>
            <w:hideMark/>
          </w:tcPr>
          <w:p w14:paraId="37E84221"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1190" w:type="dxa"/>
            <w:noWrap/>
            <w:hideMark/>
          </w:tcPr>
          <w:p w14:paraId="2EBEC00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1,600,050</w:t>
            </w:r>
          </w:p>
        </w:tc>
        <w:tc>
          <w:tcPr>
            <w:tcW w:w="1191" w:type="dxa"/>
            <w:noWrap/>
            <w:hideMark/>
          </w:tcPr>
          <w:p w14:paraId="66D8A0E1"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152,005</w:t>
            </w:r>
          </w:p>
        </w:tc>
        <w:tc>
          <w:tcPr>
            <w:tcW w:w="1191" w:type="dxa"/>
            <w:noWrap/>
            <w:hideMark/>
          </w:tcPr>
          <w:p w14:paraId="1FA0D29F"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191" w:type="dxa"/>
            <w:noWrap/>
            <w:hideMark/>
          </w:tcPr>
          <w:p w14:paraId="77BCF367"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4,750</w:t>
            </w:r>
          </w:p>
        </w:tc>
        <w:tc>
          <w:tcPr>
            <w:tcW w:w="1332" w:type="dxa"/>
            <w:noWrap/>
            <w:hideMark/>
          </w:tcPr>
          <w:p w14:paraId="26D2A7DC"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28,550,000</w:t>
            </w:r>
          </w:p>
        </w:tc>
      </w:tr>
      <w:tr w:rsidR="007A7876" w:rsidRPr="007E7514" w14:paraId="75E2520A" w14:textId="77777777" w:rsidTr="007A7876">
        <w:trPr>
          <w:trHeight w:val="600"/>
        </w:trPr>
        <w:tc>
          <w:tcPr>
            <w:tcW w:w="846" w:type="dxa"/>
            <w:noWrap/>
            <w:hideMark/>
          </w:tcPr>
          <w:p w14:paraId="619095FE"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10526</w:t>
            </w:r>
          </w:p>
        </w:tc>
        <w:tc>
          <w:tcPr>
            <w:tcW w:w="1417" w:type="dxa"/>
            <w:hideMark/>
          </w:tcPr>
          <w:p w14:paraId="02D720B2"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Mexico</w:t>
            </w:r>
          </w:p>
        </w:tc>
        <w:tc>
          <w:tcPr>
            <w:tcW w:w="3852" w:type="dxa"/>
            <w:hideMark/>
          </w:tcPr>
          <w:p w14:paraId="120E03F7" w14:textId="3CA1EB46" w:rsidR="007A7876" w:rsidRPr="007E7514" w:rsidRDefault="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Eliminating Mercury Use and Adequately Managing Mercury and Mercury Waste in the </w:t>
            </w:r>
            <w:proofErr w:type="spellStart"/>
            <w:r w:rsidRPr="007E7514">
              <w:rPr>
                <w:rFonts w:asciiTheme="minorHAnsi" w:hAnsiTheme="minorHAnsi" w:cstheme="minorHAnsi"/>
                <w:i/>
                <w:iCs/>
                <w:sz w:val="20"/>
                <w:szCs w:val="20"/>
                <w:lang w:val="en-GB"/>
              </w:rPr>
              <w:t>Chlor</w:t>
            </w:r>
            <w:proofErr w:type="spellEnd"/>
            <w:r w:rsidR="007A194C" w:rsidRPr="007E7514">
              <w:rPr>
                <w:rFonts w:asciiTheme="minorHAnsi" w:hAnsiTheme="minorHAnsi" w:cstheme="minorHAnsi"/>
                <w:i/>
                <w:iCs/>
                <w:sz w:val="20"/>
                <w:szCs w:val="20"/>
                <w:lang w:val="en-GB"/>
              </w:rPr>
              <w:t xml:space="preserve"> A</w:t>
            </w:r>
            <w:r w:rsidRPr="007E7514">
              <w:rPr>
                <w:rFonts w:asciiTheme="minorHAnsi" w:hAnsiTheme="minorHAnsi" w:cstheme="minorHAnsi"/>
                <w:i/>
                <w:iCs/>
                <w:sz w:val="20"/>
                <w:szCs w:val="20"/>
                <w:lang w:val="en-GB"/>
              </w:rPr>
              <w:t>lkali Sector in Mexico</w:t>
            </w:r>
          </w:p>
        </w:tc>
        <w:tc>
          <w:tcPr>
            <w:tcW w:w="826" w:type="dxa"/>
            <w:noWrap/>
            <w:hideMark/>
          </w:tcPr>
          <w:p w14:paraId="3EBAD028" w14:textId="77777777" w:rsidR="007A7876" w:rsidRPr="007E7514" w:rsidRDefault="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19E1CEF2"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12,000,000</w:t>
            </w:r>
          </w:p>
        </w:tc>
        <w:tc>
          <w:tcPr>
            <w:tcW w:w="1191" w:type="dxa"/>
            <w:noWrap/>
            <w:hideMark/>
          </w:tcPr>
          <w:p w14:paraId="06CCCC58"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1,080,000</w:t>
            </w:r>
          </w:p>
        </w:tc>
        <w:tc>
          <w:tcPr>
            <w:tcW w:w="1191" w:type="dxa"/>
            <w:noWrap/>
            <w:hideMark/>
          </w:tcPr>
          <w:p w14:paraId="79C808CF"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300,000</w:t>
            </w:r>
          </w:p>
        </w:tc>
        <w:tc>
          <w:tcPr>
            <w:tcW w:w="1191" w:type="dxa"/>
            <w:noWrap/>
            <w:hideMark/>
          </w:tcPr>
          <w:p w14:paraId="0A06D9EC"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27,000</w:t>
            </w:r>
          </w:p>
        </w:tc>
        <w:tc>
          <w:tcPr>
            <w:tcW w:w="1332" w:type="dxa"/>
            <w:noWrap/>
            <w:hideMark/>
          </w:tcPr>
          <w:p w14:paraId="43E2FBCA" w14:textId="77777777" w:rsidR="007A7876" w:rsidRPr="007E7514" w:rsidRDefault="007A7876" w:rsidP="00FB2BBA">
            <w:pPr>
              <w:rPr>
                <w:rFonts w:asciiTheme="minorHAnsi" w:hAnsiTheme="minorHAnsi" w:cstheme="minorHAnsi"/>
                <w:sz w:val="20"/>
                <w:szCs w:val="20"/>
                <w:lang w:val="en-GB"/>
              </w:rPr>
            </w:pPr>
            <w:r w:rsidRPr="007E7514">
              <w:rPr>
                <w:rFonts w:asciiTheme="minorHAnsi" w:hAnsiTheme="minorHAnsi" w:cstheme="minorHAnsi"/>
                <w:sz w:val="20"/>
                <w:szCs w:val="20"/>
                <w:lang w:val="en-GB"/>
              </w:rPr>
              <w:t>129,700,000</w:t>
            </w:r>
          </w:p>
        </w:tc>
      </w:tr>
      <w:tr w:rsidR="007A7876" w:rsidRPr="007E7514" w14:paraId="6A56E86F" w14:textId="77777777" w:rsidTr="007A7876">
        <w:trPr>
          <w:trHeight w:val="600"/>
        </w:trPr>
        <w:tc>
          <w:tcPr>
            <w:tcW w:w="846" w:type="dxa"/>
            <w:noWrap/>
          </w:tcPr>
          <w:p w14:paraId="4688A3C8" w14:textId="6A771E4C"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10531</w:t>
            </w:r>
          </w:p>
        </w:tc>
        <w:tc>
          <w:tcPr>
            <w:tcW w:w="1417" w:type="dxa"/>
          </w:tcPr>
          <w:p w14:paraId="03001C3B" w14:textId="76D24B02"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(Brazil, Colombia, Ecuador, Peru)</w:t>
            </w:r>
          </w:p>
        </w:tc>
        <w:tc>
          <w:tcPr>
            <w:tcW w:w="3852" w:type="dxa"/>
          </w:tcPr>
          <w:p w14:paraId="3647BE7A" w14:textId="7C948029"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Integrated Watershed Management of the Putumayo-</w:t>
            </w:r>
            <w:proofErr w:type="spellStart"/>
            <w:r w:rsidRPr="007E7514">
              <w:rPr>
                <w:rFonts w:asciiTheme="minorHAnsi" w:hAnsiTheme="minorHAnsi" w:cstheme="minorHAnsi"/>
                <w:i/>
                <w:iCs/>
                <w:sz w:val="20"/>
                <w:szCs w:val="20"/>
                <w:lang w:val="en-GB"/>
              </w:rPr>
              <w:t>Içá</w:t>
            </w:r>
            <w:proofErr w:type="spellEnd"/>
            <w:r w:rsidRPr="007E7514">
              <w:rPr>
                <w:rFonts w:asciiTheme="minorHAnsi" w:hAnsiTheme="minorHAnsi" w:cstheme="minorHAnsi"/>
                <w:i/>
                <w:iCs/>
                <w:sz w:val="20"/>
                <w:szCs w:val="20"/>
                <w:lang w:val="en-GB"/>
              </w:rPr>
              <w:t xml:space="preserve"> River Basin</w:t>
            </w:r>
          </w:p>
        </w:tc>
        <w:tc>
          <w:tcPr>
            <w:tcW w:w="826" w:type="dxa"/>
            <w:noWrap/>
          </w:tcPr>
          <w:p w14:paraId="79632D41" w14:textId="6805AF96"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World Bank</w:t>
            </w:r>
          </w:p>
        </w:tc>
        <w:tc>
          <w:tcPr>
            <w:tcW w:w="1190" w:type="dxa"/>
            <w:noWrap/>
          </w:tcPr>
          <w:p w14:paraId="6B12F300" w14:textId="26526B11"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3,669,725</w:t>
            </w:r>
          </w:p>
        </w:tc>
        <w:tc>
          <w:tcPr>
            <w:tcW w:w="1191" w:type="dxa"/>
            <w:noWrap/>
          </w:tcPr>
          <w:p w14:paraId="51013691" w14:textId="42E2435E"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330,275</w:t>
            </w:r>
          </w:p>
        </w:tc>
        <w:tc>
          <w:tcPr>
            <w:tcW w:w="1191" w:type="dxa"/>
            <w:noWrap/>
          </w:tcPr>
          <w:p w14:paraId="36974459" w14:textId="7D3F3EF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tcPr>
          <w:p w14:paraId="6425E4D8" w14:textId="7E5F976B"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tcPr>
          <w:p w14:paraId="1CC91C7F" w14:textId="3440D04B"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117,250,000</w:t>
            </w:r>
          </w:p>
        </w:tc>
      </w:tr>
      <w:tr w:rsidR="007A7876" w:rsidRPr="007E7514" w14:paraId="6DC24BFC" w14:textId="77777777" w:rsidTr="007A7876">
        <w:trPr>
          <w:trHeight w:val="600"/>
        </w:trPr>
        <w:tc>
          <w:tcPr>
            <w:tcW w:w="846" w:type="dxa"/>
            <w:noWrap/>
            <w:hideMark/>
          </w:tcPr>
          <w:p w14:paraId="06724BC9"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10682</w:t>
            </w:r>
          </w:p>
        </w:tc>
        <w:tc>
          <w:tcPr>
            <w:tcW w:w="1417" w:type="dxa"/>
            <w:hideMark/>
          </w:tcPr>
          <w:p w14:paraId="69D22520"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Paraguay</w:t>
            </w:r>
          </w:p>
        </w:tc>
        <w:tc>
          <w:tcPr>
            <w:tcW w:w="3852" w:type="dxa"/>
            <w:hideMark/>
          </w:tcPr>
          <w:p w14:paraId="3DE724ED" w14:textId="21E23ED5" w:rsidR="007A7876" w:rsidRPr="007E7514" w:rsidRDefault="007A7876" w:rsidP="007A7876">
            <w:pPr>
              <w:rPr>
                <w:rFonts w:asciiTheme="minorHAnsi" w:hAnsiTheme="minorHAnsi" w:cstheme="minorHAnsi"/>
                <w:i/>
                <w:iCs/>
                <w:sz w:val="20"/>
                <w:szCs w:val="20"/>
                <w:lang w:val="en-GB"/>
              </w:rPr>
            </w:pPr>
            <w:proofErr w:type="spellStart"/>
            <w:r w:rsidRPr="007E7514">
              <w:rPr>
                <w:rFonts w:asciiTheme="minorHAnsi" w:hAnsiTheme="minorHAnsi" w:cstheme="minorHAnsi"/>
                <w:i/>
                <w:iCs/>
                <w:sz w:val="20"/>
                <w:szCs w:val="20"/>
                <w:lang w:val="en-GB"/>
              </w:rPr>
              <w:t>POPs</w:t>
            </w:r>
            <w:proofErr w:type="spellEnd"/>
            <w:r w:rsidRPr="007E7514">
              <w:rPr>
                <w:rFonts w:asciiTheme="minorHAnsi" w:hAnsiTheme="minorHAnsi" w:cstheme="minorHAnsi"/>
                <w:i/>
                <w:iCs/>
                <w:sz w:val="20"/>
                <w:szCs w:val="20"/>
                <w:lang w:val="en-GB"/>
              </w:rPr>
              <w:t xml:space="preserve"> and Mercury-free Solutions for Environmentally Sound Waste Management in Paraguay</w:t>
            </w:r>
          </w:p>
        </w:tc>
        <w:tc>
          <w:tcPr>
            <w:tcW w:w="826" w:type="dxa"/>
            <w:noWrap/>
            <w:hideMark/>
          </w:tcPr>
          <w:p w14:paraId="67806BF1" w14:textId="77777777" w:rsidR="007A7876" w:rsidRPr="007E7514" w:rsidRDefault="007A7876" w:rsidP="007A7876">
            <w:pPr>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UNIDO</w:t>
            </w:r>
            <w:proofErr w:type="spellEnd"/>
          </w:p>
        </w:tc>
        <w:tc>
          <w:tcPr>
            <w:tcW w:w="1190" w:type="dxa"/>
            <w:noWrap/>
            <w:hideMark/>
          </w:tcPr>
          <w:p w14:paraId="29DB1B0F"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1,000,000</w:t>
            </w:r>
          </w:p>
        </w:tc>
        <w:tc>
          <w:tcPr>
            <w:tcW w:w="1191" w:type="dxa"/>
            <w:noWrap/>
            <w:hideMark/>
          </w:tcPr>
          <w:p w14:paraId="55A9E511"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95,000</w:t>
            </w:r>
          </w:p>
        </w:tc>
        <w:tc>
          <w:tcPr>
            <w:tcW w:w="1191" w:type="dxa"/>
            <w:noWrap/>
            <w:hideMark/>
          </w:tcPr>
          <w:p w14:paraId="71C5961D"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30,000</w:t>
            </w:r>
          </w:p>
        </w:tc>
        <w:tc>
          <w:tcPr>
            <w:tcW w:w="1191" w:type="dxa"/>
            <w:noWrap/>
            <w:hideMark/>
          </w:tcPr>
          <w:p w14:paraId="441CC7AD"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2,850</w:t>
            </w:r>
          </w:p>
        </w:tc>
        <w:tc>
          <w:tcPr>
            <w:tcW w:w="1332" w:type="dxa"/>
            <w:noWrap/>
            <w:hideMark/>
          </w:tcPr>
          <w:p w14:paraId="1F251C7B"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27,830,000</w:t>
            </w:r>
          </w:p>
        </w:tc>
      </w:tr>
      <w:tr w:rsidR="007A7876" w:rsidRPr="007E7514" w14:paraId="70BEF0A0" w14:textId="77777777" w:rsidTr="007A7876">
        <w:trPr>
          <w:trHeight w:val="1000"/>
        </w:trPr>
        <w:tc>
          <w:tcPr>
            <w:tcW w:w="846" w:type="dxa"/>
            <w:noWrap/>
            <w:hideMark/>
          </w:tcPr>
          <w:p w14:paraId="51E9F051"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10716</w:t>
            </w:r>
          </w:p>
        </w:tc>
        <w:tc>
          <w:tcPr>
            <w:tcW w:w="1417" w:type="dxa"/>
            <w:hideMark/>
          </w:tcPr>
          <w:p w14:paraId="16B53150" w14:textId="126E994D"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Global  (Albania, Burkina Faso, India, Montenegro, Uganda)</w:t>
            </w:r>
          </w:p>
        </w:tc>
        <w:tc>
          <w:tcPr>
            <w:tcW w:w="3852" w:type="dxa"/>
            <w:hideMark/>
          </w:tcPr>
          <w:p w14:paraId="40319464" w14:textId="3599E03E"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Phasing Out Mercury Measuring Devices in Healthcare  </w:t>
            </w:r>
          </w:p>
        </w:tc>
        <w:tc>
          <w:tcPr>
            <w:tcW w:w="826" w:type="dxa"/>
            <w:noWrap/>
            <w:hideMark/>
          </w:tcPr>
          <w:p w14:paraId="4916A15C"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1FE20D24"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7,980,000</w:t>
            </w:r>
          </w:p>
        </w:tc>
        <w:tc>
          <w:tcPr>
            <w:tcW w:w="1191" w:type="dxa"/>
            <w:noWrap/>
            <w:hideMark/>
          </w:tcPr>
          <w:p w14:paraId="3E1EE9E8"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758,100</w:t>
            </w:r>
          </w:p>
        </w:tc>
        <w:tc>
          <w:tcPr>
            <w:tcW w:w="1191" w:type="dxa"/>
            <w:noWrap/>
            <w:hideMark/>
          </w:tcPr>
          <w:p w14:paraId="43003C3A"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200,000</w:t>
            </w:r>
          </w:p>
        </w:tc>
        <w:tc>
          <w:tcPr>
            <w:tcW w:w="1191" w:type="dxa"/>
            <w:noWrap/>
            <w:hideMark/>
          </w:tcPr>
          <w:p w14:paraId="7B1359D4"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19,000</w:t>
            </w:r>
          </w:p>
        </w:tc>
        <w:tc>
          <w:tcPr>
            <w:tcW w:w="1332" w:type="dxa"/>
            <w:noWrap/>
            <w:hideMark/>
          </w:tcPr>
          <w:p w14:paraId="306A1546"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56,280,000</w:t>
            </w:r>
          </w:p>
        </w:tc>
      </w:tr>
      <w:tr w:rsidR="007A7876" w:rsidRPr="007E7514" w14:paraId="31F28F23" w14:textId="77777777" w:rsidTr="007A7876">
        <w:trPr>
          <w:trHeight w:val="600"/>
        </w:trPr>
        <w:tc>
          <w:tcPr>
            <w:tcW w:w="846" w:type="dxa"/>
            <w:noWrap/>
            <w:hideMark/>
          </w:tcPr>
          <w:p w14:paraId="68220DED"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10721</w:t>
            </w:r>
          </w:p>
        </w:tc>
        <w:tc>
          <w:tcPr>
            <w:tcW w:w="1417" w:type="dxa"/>
            <w:hideMark/>
          </w:tcPr>
          <w:p w14:paraId="7D7D3B33"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Panama</w:t>
            </w:r>
          </w:p>
        </w:tc>
        <w:tc>
          <w:tcPr>
            <w:tcW w:w="3852" w:type="dxa"/>
            <w:hideMark/>
          </w:tcPr>
          <w:p w14:paraId="48550844" w14:textId="2ACBB1ED"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Environmentally Sound Management of Hazardous Waste Containing </w:t>
            </w:r>
            <w:proofErr w:type="spellStart"/>
            <w:r w:rsidRPr="007E7514">
              <w:rPr>
                <w:rFonts w:asciiTheme="minorHAnsi" w:hAnsiTheme="minorHAnsi" w:cstheme="minorHAnsi"/>
                <w:i/>
                <w:iCs/>
                <w:sz w:val="20"/>
                <w:szCs w:val="20"/>
                <w:lang w:val="en-GB"/>
              </w:rPr>
              <w:t>POPs</w:t>
            </w:r>
            <w:proofErr w:type="spellEnd"/>
            <w:r w:rsidRPr="007E7514">
              <w:rPr>
                <w:rFonts w:asciiTheme="minorHAnsi" w:hAnsiTheme="minorHAnsi" w:cstheme="minorHAnsi"/>
                <w:i/>
                <w:iCs/>
                <w:sz w:val="20"/>
                <w:szCs w:val="20"/>
                <w:lang w:val="en-GB"/>
              </w:rPr>
              <w:t xml:space="preserve"> and Mercury</w:t>
            </w:r>
          </w:p>
        </w:tc>
        <w:tc>
          <w:tcPr>
            <w:tcW w:w="826" w:type="dxa"/>
            <w:noWrap/>
            <w:hideMark/>
          </w:tcPr>
          <w:p w14:paraId="012AF28C"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1190" w:type="dxa"/>
            <w:noWrap/>
            <w:hideMark/>
          </w:tcPr>
          <w:p w14:paraId="22529B04"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1,010,000</w:t>
            </w:r>
          </w:p>
        </w:tc>
        <w:tc>
          <w:tcPr>
            <w:tcW w:w="1191" w:type="dxa"/>
            <w:noWrap/>
            <w:hideMark/>
          </w:tcPr>
          <w:p w14:paraId="56119BC7"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95,950</w:t>
            </w:r>
          </w:p>
        </w:tc>
        <w:tc>
          <w:tcPr>
            <w:tcW w:w="1191" w:type="dxa"/>
            <w:noWrap/>
            <w:hideMark/>
          </w:tcPr>
          <w:p w14:paraId="7C920B63"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hideMark/>
          </w:tcPr>
          <w:p w14:paraId="09CBDCF7"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hideMark/>
          </w:tcPr>
          <w:p w14:paraId="6CE896EA"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19,000,000</w:t>
            </w:r>
          </w:p>
        </w:tc>
      </w:tr>
      <w:tr w:rsidR="00D46FD9" w:rsidRPr="007E7514" w14:paraId="71B6E5D7" w14:textId="77777777" w:rsidTr="007A7876">
        <w:trPr>
          <w:trHeight w:val="600"/>
        </w:trPr>
        <w:tc>
          <w:tcPr>
            <w:tcW w:w="846" w:type="dxa"/>
            <w:noWrap/>
          </w:tcPr>
          <w:p w14:paraId="2A0D34AB" w14:textId="31185C40" w:rsidR="00D46FD9" w:rsidRPr="007E7514" w:rsidRDefault="00D46FD9"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10798</w:t>
            </w:r>
          </w:p>
        </w:tc>
        <w:tc>
          <w:tcPr>
            <w:tcW w:w="1417" w:type="dxa"/>
          </w:tcPr>
          <w:p w14:paraId="57AA45AF" w14:textId="4F3EA6E9" w:rsidR="00D46FD9" w:rsidRPr="007E7514" w:rsidRDefault="00D37192"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Philippines</w:t>
            </w:r>
          </w:p>
        </w:tc>
        <w:tc>
          <w:tcPr>
            <w:tcW w:w="3852" w:type="dxa"/>
          </w:tcPr>
          <w:p w14:paraId="3A4021F1" w14:textId="63758E3D" w:rsidR="00D46FD9" w:rsidRPr="007E7514" w:rsidRDefault="00D46FD9"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Reduction of Unintentionally-produced Persistent Organic Pollutants and Mercury Through an </w:t>
            </w:r>
            <w:r w:rsidR="00D37192" w:rsidRPr="007E7514">
              <w:rPr>
                <w:rFonts w:asciiTheme="minorHAnsi" w:hAnsiTheme="minorHAnsi" w:cstheme="minorHAnsi"/>
                <w:i/>
                <w:iCs/>
                <w:sz w:val="20"/>
                <w:szCs w:val="20"/>
                <w:lang w:val="en-GB"/>
              </w:rPr>
              <w:t>Environmentally</w:t>
            </w:r>
            <w:r w:rsidRPr="007E7514">
              <w:rPr>
                <w:rFonts w:asciiTheme="minorHAnsi" w:hAnsiTheme="minorHAnsi" w:cstheme="minorHAnsi"/>
                <w:i/>
                <w:iCs/>
                <w:sz w:val="20"/>
                <w:szCs w:val="20"/>
                <w:lang w:val="en-GB"/>
              </w:rPr>
              <w:t xml:space="preserve"> Sound Approach on Health Care Waste Management in the Philippines with a Focus on the Pandemic</w:t>
            </w:r>
          </w:p>
        </w:tc>
        <w:tc>
          <w:tcPr>
            <w:tcW w:w="826" w:type="dxa"/>
            <w:noWrap/>
          </w:tcPr>
          <w:p w14:paraId="4962EC72" w14:textId="2A314065" w:rsidR="00D46FD9" w:rsidRPr="007E7514" w:rsidRDefault="00E547AF" w:rsidP="007A7876">
            <w:pPr>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UNIDO</w:t>
            </w:r>
            <w:proofErr w:type="spellEnd"/>
          </w:p>
        </w:tc>
        <w:tc>
          <w:tcPr>
            <w:tcW w:w="1190" w:type="dxa"/>
            <w:noWrap/>
          </w:tcPr>
          <w:p w14:paraId="7315BFB5" w14:textId="66F09719" w:rsidR="00D46FD9" w:rsidRPr="007E7514" w:rsidRDefault="00E547AF"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2,190,000</w:t>
            </w:r>
          </w:p>
        </w:tc>
        <w:tc>
          <w:tcPr>
            <w:tcW w:w="1191" w:type="dxa"/>
            <w:noWrap/>
          </w:tcPr>
          <w:p w14:paraId="24686AFB" w14:textId="1208C006" w:rsidR="00D46FD9" w:rsidRPr="007E7514" w:rsidRDefault="00E547AF"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208,050</w:t>
            </w:r>
          </w:p>
        </w:tc>
        <w:tc>
          <w:tcPr>
            <w:tcW w:w="1191" w:type="dxa"/>
            <w:noWrap/>
          </w:tcPr>
          <w:p w14:paraId="54DCEC22" w14:textId="7A806752" w:rsidR="00D46FD9" w:rsidRPr="007E7514" w:rsidRDefault="00E547AF"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67,500</w:t>
            </w:r>
          </w:p>
        </w:tc>
        <w:tc>
          <w:tcPr>
            <w:tcW w:w="1191" w:type="dxa"/>
            <w:noWrap/>
          </w:tcPr>
          <w:p w14:paraId="3A5BC319" w14:textId="1F5C0A40" w:rsidR="00D46FD9" w:rsidRPr="007E7514" w:rsidRDefault="00E547AF"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6,412</w:t>
            </w:r>
          </w:p>
        </w:tc>
        <w:tc>
          <w:tcPr>
            <w:tcW w:w="1332" w:type="dxa"/>
            <w:noWrap/>
          </w:tcPr>
          <w:p w14:paraId="6D585B63" w14:textId="7AA4101F" w:rsidR="00D46FD9" w:rsidRPr="007E7514" w:rsidRDefault="00E547AF"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34,700,000</w:t>
            </w:r>
          </w:p>
        </w:tc>
      </w:tr>
      <w:tr w:rsidR="00D46FD9" w:rsidRPr="007E7514" w14:paraId="2C58AC19" w14:textId="77777777" w:rsidTr="00BD09CF">
        <w:trPr>
          <w:trHeight w:val="205"/>
        </w:trPr>
        <w:tc>
          <w:tcPr>
            <w:tcW w:w="13036" w:type="dxa"/>
            <w:gridSpan w:val="9"/>
            <w:noWrap/>
          </w:tcPr>
          <w:p w14:paraId="3C7D41F8" w14:textId="79C86F03" w:rsidR="00D46FD9" w:rsidRPr="007E7514" w:rsidRDefault="00D46FD9" w:rsidP="007A7876">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Medium-sized projects</w:t>
            </w:r>
          </w:p>
        </w:tc>
      </w:tr>
      <w:tr w:rsidR="007A7876" w:rsidRPr="007E7514" w14:paraId="7607563B" w14:textId="77777777" w:rsidTr="007A7876">
        <w:trPr>
          <w:trHeight w:val="800"/>
        </w:trPr>
        <w:tc>
          <w:tcPr>
            <w:tcW w:w="846" w:type="dxa"/>
            <w:noWrap/>
          </w:tcPr>
          <w:p w14:paraId="5CBFD09F" w14:textId="38AC61AE"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10569</w:t>
            </w:r>
          </w:p>
        </w:tc>
        <w:tc>
          <w:tcPr>
            <w:tcW w:w="1417" w:type="dxa"/>
          </w:tcPr>
          <w:p w14:paraId="45B3441F" w14:textId="482C33A4"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Global (Bolivia (</w:t>
            </w:r>
            <w:r w:rsidRPr="007E7514">
              <w:rPr>
                <w:rFonts w:asciiTheme="minorHAnsi" w:hAnsiTheme="minorHAnsi" w:cstheme="minorHAnsi"/>
                <w:color w:val="000000"/>
                <w:sz w:val="20"/>
                <w:szCs w:val="20"/>
                <w:lang w:val="en-GB"/>
              </w:rPr>
              <w:t>Plurinational State of)</w:t>
            </w:r>
            <w:r w:rsidRPr="007E7514">
              <w:rPr>
                <w:rFonts w:asciiTheme="minorHAnsi" w:hAnsiTheme="minorHAnsi" w:cstheme="minorHAnsi"/>
                <w:sz w:val="20"/>
                <w:szCs w:val="20"/>
                <w:lang w:val="en-GB"/>
              </w:rPr>
              <w:t>, Congo, Ghana, Honduras, Madagascar, Nigeria, Suriname, Uganda)</w:t>
            </w:r>
          </w:p>
        </w:tc>
        <w:tc>
          <w:tcPr>
            <w:tcW w:w="3852" w:type="dxa"/>
          </w:tcPr>
          <w:p w14:paraId="0949235F" w14:textId="0A228731"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Global Opportunities for Long-term Development of Artisanal and Small-scale Gold Mining Sector Plus - </w:t>
            </w:r>
            <w:proofErr w:type="spellStart"/>
            <w:r w:rsidRPr="007E7514">
              <w:rPr>
                <w:rFonts w:asciiTheme="minorHAnsi" w:hAnsiTheme="minorHAnsi" w:cstheme="minorHAnsi"/>
                <w:i/>
                <w:iCs/>
                <w:sz w:val="20"/>
                <w:szCs w:val="20"/>
                <w:lang w:val="en-GB"/>
              </w:rPr>
              <w:t>GEF</w:t>
            </w:r>
            <w:proofErr w:type="spellEnd"/>
            <w:r w:rsidRPr="007E7514">
              <w:rPr>
                <w:rFonts w:asciiTheme="minorHAnsi" w:hAnsiTheme="minorHAnsi" w:cstheme="minorHAnsi"/>
                <w:i/>
                <w:iCs/>
                <w:sz w:val="20"/>
                <w:szCs w:val="20"/>
                <w:lang w:val="en-GB"/>
              </w:rPr>
              <w:t xml:space="preserve"> </w:t>
            </w:r>
            <w:r w:rsidR="00BC4C86"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GOLD+</w:t>
            </w:r>
          </w:p>
        </w:tc>
        <w:tc>
          <w:tcPr>
            <w:tcW w:w="826" w:type="dxa"/>
            <w:noWrap/>
          </w:tcPr>
          <w:p w14:paraId="55DE9946" w14:textId="5F751C16"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CI</w:t>
            </w:r>
          </w:p>
        </w:tc>
        <w:tc>
          <w:tcPr>
            <w:tcW w:w="1190" w:type="dxa"/>
            <w:noWrap/>
          </w:tcPr>
          <w:p w14:paraId="565BC087" w14:textId="21D98D8B"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43,832,830</w:t>
            </w:r>
          </w:p>
        </w:tc>
        <w:tc>
          <w:tcPr>
            <w:tcW w:w="1191" w:type="dxa"/>
            <w:noWrap/>
          </w:tcPr>
          <w:p w14:paraId="18F5D170" w14:textId="3217E311"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3,944,955</w:t>
            </w:r>
          </w:p>
        </w:tc>
        <w:tc>
          <w:tcPr>
            <w:tcW w:w="1191" w:type="dxa"/>
            <w:noWrap/>
          </w:tcPr>
          <w:p w14:paraId="297079B9" w14:textId="596EC749"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tcPr>
          <w:p w14:paraId="5AFA8559" w14:textId="09E019A2"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tcPr>
          <w:p w14:paraId="57DA8AB0" w14:textId="754414B8"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202,668,755</w:t>
            </w:r>
          </w:p>
        </w:tc>
      </w:tr>
      <w:tr w:rsidR="007A7876" w:rsidRPr="007E7514" w14:paraId="4F301D25" w14:textId="77777777" w:rsidTr="007B22F6">
        <w:trPr>
          <w:trHeight w:val="707"/>
        </w:trPr>
        <w:tc>
          <w:tcPr>
            <w:tcW w:w="846" w:type="dxa"/>
            <w:noWrap/>
          </w:tcPr>
          <w:p w14:paraId="4B0D3EFA" w14:textId="0D314CC6"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10658</w:t>
            </w:r>
          </w:p>
        </w:tc>
        <w:tc>
          <w:tcPr>
            <w:tcW w:w="1417" w:type="dxa"/>
          </w:tcPr>
          <w:p w14:paraId="5635DA08" w14:textId="375B0AB1"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Global</w:t>
            </w:r>
          </w:p>
        </w:tc>
        <w:tc>
          <w:tcPr>
            <w:tcW w:w="3852" w:type="dxa"/>
          </w:tcPr>
          <w:p w14:paraId="6AFA3D3F" w14:textId="3AB5FC12"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Transforming the Fashion Sector to Drive Positive Outcomes for Biodiversity, Climate and Oceans</w:t>
            </w:r>
          </w:p>
        </w:tc>
        <w:tc>
          <w:tcPr>
            <w:tcW w:w="826" w:type="dxa"/>
            <w:noWrap/>
          </w:tcPr>
          <w:p w14:paraId="1D0C79A6" w14:textId="72941B39"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CI</w:t>
            </w:r>
          </w:p>
        </w:tc>
        <w:tc>
          <w:tcPr>
            <w:tcW w:w="1190" w:type="dxa"/>
            <w:noWrap/>
          </w:tcPr>
          <w:p w14:paraId="57922904" w14:textId="15EE05E2"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1,000,000</w:t>
            </w:r>
          </w:p>
        </w:tc>
        <w:tc>
          <w:tcPr>
            <w:tcW w:w="1191" w:type="dxa"/>
            <w:noWrap/>
          </w:tcPr>
          <w:p w14:paraId="1D3C620A" w14:textId="67646533"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90,000</w:t>
            </w:r>
          </w:p>
        </w:tc>
        <w:tc>
          <w:tcPr>
            <w:tcW w:w="1191" w:type="dxa"/>
            <w:noWrap/>
          </w:tcPr>
          <w:p w14:paraId="3089CD1C" w14:textId="118B34EA"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25,000</w:t>
            </w:r>
          </w:p>
        </w:tc>
        <w:tc>
          <w:tcPr>
            <w:tcW w:w="1191" w:type="dxa"/>
            <w:noWrap/>
          </w:tcPr>
          <w:p w14:paraId="318E7CD8" w14:textId="2479B141"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2,250</w:t>
            </w:r>
          </w:p>
        </w:tc>
        <w:tc>
          <w:tcPr>
            <w:tcW w:w="1332" w:type="dxa"/>
            <w:noWrap/>
          </w:tcPr>
          <w:p w14:paraId="425843DC" w14:textId="6B91BF96"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4,790,893</w:t>
            </w:r>
          </w:p>
        </w:tc>
      </w:tr>
      <w:tr w:rsidR="007A7876" w:rsidRPr="007E7514" w14:paraId="0BBA50AF" w14:textId="77777777" w:rsidTr="007A7876">
        <w:trPr>
          <w:trHeight w:val="800"/>
        </w:trPr>
        <w:tc>
          <w:tcPr>
            <w:tcW w:w="846" w:type="dxa"/>
            <w:noWrap/>
            <w:hideMark/>
          </w:tcPr>
          <w:p w14:paraId="60F4F479"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10748</w:t>
            </w:r>
          </w:p>
        </w:tc>
        <w:tc>
          <w:tcPr>
            <w:tcW w:w="1417" w:type="dxa"/>
            <w:hideMark/>
          </w:tcPr>
          <w:p w14:paraId="3053B574"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Global</w:t>
            </w:r>
          </w:p>
        </w:tc>
        <w:tc>
          <w:tcPr>
            <w:tcW w:w="3852" w:type="dxa"/>
            <w:hideMark/>
          </w:tcPr>
          <w:p w14:paraId="1664E169" w14:textId="336C2125"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Assessment of Existing and Future Emission Reduction</w:t>
            </w:r>
            <w:r w:rsidR="001421E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 from the Coal Sector toward the Implementation of the Minamata and Stockholm Conventions</w:t>
            </w:r>
          </w:p>
        </w:tc>
        <w:tc>
          <w:tcPr>
            <w:tcW w:w="826" w:type="dxa"/>
            <w:noWrap/>
            <w:hideMark/>
          </w:tcPr>
          <w:p w14:paraId="37282A73"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34F7F9E3"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500,000</w:t>
            </w:r>
          </w:p>
        </w:tc>
        <w:tc>
          <w:tcPr>
            <w:tcW w:w="1191" w:type="dxa"/>
            <w:noWrap/>
            <w:hideMark/>
          </w:tcPr>
          <w:p w14:paraId="283A3CD4"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47,500</w:t>
            </w:r>
          </w:p>
        </w:tc>
        <w:tc>
          <w:tcPr>
            <w:tcW w:w="1191" w:type="dxa"/>
            <w:noWrap/>
            <w:hideMark/>
          </w:tcPr>
          <w:p w14:paraId="5D3C4FCE"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32,000</w:t>
            </w:r>
          </w:p>
        </w:tc>
        <w:tc>
          <w:tcPr>
            <w:tcW w:w="1191" w:type="dxa"/>
            <w:noWrap/>
            <w:hideMark/>
          </w:tcPr>
          <w:p w14:paraId="6DCE73EA"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3,040</w:t>
            </w:r>
          </w:p>
        </w:tc>
        <w:tc>
          <w:tcPr>
            <w:tcW w:w="1332" w:type="dxa"/>
            <w:noWrap/>
            <w:hideMark/>
          </w:tcPr>
          <w:p w14:paraId="2441CF4C"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652,000</w:t>
            </w:r>
          </w:p>
        </w:tc>
      </w:tr>
      <w:tr w:rsidR="007A7876" w:rsidRPr="007E7514" w14:paraId="0ECC80BC" w14:textId="77777777" w:rsidTr="007A7876">
        <w:trPr>
          <w:trHeight w:val="600"/>
        </w:trPr>
        <w:tc>
          <w:tcPr>
            <w:tcW w:w="846" w:type="dxa"/>
            <w:noWrap/>
          </w:tcPr>
          <w:p w14:paraId="345E2DEC" w14:textId="2D8DF6CC"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10786</w:t>
            </w:r>
          </w:p>
        </w:tc>
        <w:tc>
          <w:tcPr>
            <w:tcW w:w="1417" w:type="dxa"/>
          </w:tcPr>
          <w:p w14:paraId="1C147EF8" w14:textId="3A41CCF2"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(Cabo Verde, Guinea-Bissau, Sao Tome and Principe)</w:t>
            </w:r>
          </w:p>
        </w:tc>
        <w:tc>
          <w:tcPr>
            <w:tcW w:w="3852" w:type="dxa"/>
          </w:tcPr>
          <w:p w14:paraId="5957A777" w14:textId="09603BC8"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Implementing Sustainable Low and </w:t>
            </w:r>
            <w:r w:rsidRPr="007E7514">
              <w:rPr>
                <w:rFonts w:asciiTheme="minorHAnsi" w:hAnsiTheme="minorHAnsi" w:cstheme="minorHAnsi"/>
                <w:i/>
                <w:iCs/>
                <w:sz w:val="20"/>
                <w:szCs w:val="20"/>
                <w:lang w:val="en-GB"/>
              </w:rPr>
              <w:br/>
              <w:t>Non-chemical Development in SIDS (ISLANDS)</w:t>
            </w:r>
          </w:p>
        </w:tc>
        <w:tc>
          <w:tcPr>
            <w:tcW w:w="826" w:type="dxa"/>
            <w:noWrap/>
          </w:tcPr>
          <w:p w14:paraId="12C062FD" w14:textId="4BE20F4B"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tcPr>
          <w:p w14:paraId="6183C7FE" w14:textId="314C99D8"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3,000,000</w:t>
            </w:r>
          </w:p>
        </w:tc>
        <w:tc>
          <w:tcPr>
            <w:tcW w:w="1191" w:type="dxa"/>
            <w:noWrap/>
          </w:tcPr>
          <w:p w14:paraId="179C5615" w14:textId="62B6D33A"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270,000</w:t>
            </w:r>
          </w:p>
        </w:tc>
        <w:tc>
          <w:tcPr>
            <w:tcW w:w="1191" w:type="dxa"/>
            <w:noWrap/>
          </w:tcPr>
          <w:p w14:paraId="639F324D" w14:textId="1AD23728"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tcPr>
          <w:p w14:paraId="6D59A988" w14:textId="0D9AC044"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tcPr>
          <w:p w14:paraId="23C9C663" w14:textId="04CEB62A"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23,000,000</w:t>
            </w:r>
          </w:p>
        </w:tc>
      </w:tr>
      <w:tr w:rsidR="007A7876" w:rsidRPr="007E7514" w14:paraId="26B1EEBB" w14:textId="77777777" w:rsidTr="007A7876">
        <w:trPr>
          <w:trHeight w:val="600"/>
        </w:trPr>
        <w:tc>
          <w:tcPr>
            <w:tcW w:w="846" w:type="dxa"/>
            <w:noWrap/>
          </w:tcPr>
          <w:p w14:paraId="1FCA850C" w14:textId="2F93C54C"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10802</w:t>
            </w:r>
          </w:p>
        </w:tc>
        <w:tc>
          <w:tcPr>
            <w:tcW w:w="1417" w:type="dxa"/>
          </w:tcPr>
          <w:p w14:paraId="375EEEBB" w14:textId="28F55C07" w:rsidR="007A7876" w:rsidRPr="00D53BF9" w:rsidRDefault="007A7876" w:rsidP="007A7876">
            <w:pPr>
              <w:rPr>
                <w:rFonts w:asciiTheme="minorHAnsi" w:hAnsiTheme="minorHAnsi" w:cstheme="minorHAnsi"/>
                <w:sz w:val="20"/>
                <w:szCs w:val="20"/>
                <w:lang w:val="fr-CA"/>
              </w:rPr>
            </w:pPr>
            <w:r w:rsidRPr="00D53BF9">
              <w:rPr>
                <w:rFonts w:asciiTheme="minorHAnsi" w:hAnsiTheme="minorHAnsi" w:cstheme="minorHAnsi"/>
                <w:sz w:val="20"/>
                <w:szCs w:val="20"/>
                <w:lang w:val="fr-CA"/>
              </w:rPr>
              <w:t>Global (C</w:t>
            </w:r>
            <w:r w:rsidRPr="00D53BF9">
              <w:rPr>
                <w:rFonts w:ascii="Calibri" w:hAnsi="Calibri" w:cs="Calibri"/>
                <w:sz w:val="20"/>
                <w:szCs w:val="20"/>
                <w:lang w:val="fr-CA"/>
              </w:rPr>
              <w:t>ô</w:t>
            </w:r>
            <w:r w:rsidRPr="00D53BF9">
              <w:rPr>
                <w:rFonts w:asciiTheme="minorHAnsi" w:hAnsiTheme="minorHAnsi" w:cstheme="minorHAnsi"/>
                <w:sz w:val="20"/>
                <w:szCs w:val="20"/>
                <w:lang w:val="fr-CA"/>
              </w:rPr>
              <w:t xml:space="preserve">te D'Ivoire, </w:t>
            </w:r>
            <w:proofErr w:type="spellStart"/>
            <w:r w:rsidRPr="00D53BF9">
              <w:rPr>
                <w:rFonts w:asciiTheme="minorHAnsi" w:hAnsiTheme="minorHAnsi" w:cstheme="minorHAnsi"/>
                <w:sz w:val="20"/>
                <w:szCs w:val="20"/>
                <w:lang w:val="fr-CA"/>
              </w:rPr>
              <w:t>Ecuador</w:t>
            </w:r>
            <w:proofErr w:type="spellEnd"/>
            <w:r w:rsidRPr="00D53BF9">
              <w:rPr>
                <w:rFonts w:asciiTheme="minorHAnsi" w:hAnsiTheme="minorHAnsi" w:cstheme="minorHAnsi"/>
                <w:sz w:val="20"/>
                <w:szCs w:val="20"/>
                <w:lang w:val="fr-CA"/>
              </w:rPr>
              <w:t xml:space="preserve">, </w:t>
            </w:r>
            <w:proofErr w:type="spellStart"/>
            <w:r w:rsidRPr="00D53BF9">
              <w:rPr>
                <w:rFonts w:asciiTheme="minorHAnsi" w:hAnsiTheme="minorHAnsi" w:cstheme="minorHAnsi"/>
                <w:sz w:val="20"/>
                <w:szCs w:val="20"/>
                <w:lang w:val="fr-CA"/>
              </w:rPr>
              <w:t>Guinea</w:t>
            </w:r>
            <w:proofErr w:type="spellEnd"/>
            <w:r w:rsidRPr="00D53BF9">
              <w:rPr>
                <w:rFonts w:asciiTheme="minorHAnsi" w:hAnsiTheme="minorHAnsi" w:cstheme="minorHAnsi"/>
                <w:sz w:val="20"/>
                <w:szCs w:val="20"/>
                <w:lang w:val="fr-CA"/>
              </w:rPr>
              <w:t xml:space="preserve">, Mali, Nicaragua, Sierra Leone, </w:t>
            </w:r>
            <w:proofErr w:type="spellStart"/>
            <w:r w:rsidRPr="00D53BF9">
              <w:rPr>
                <w:rFonts w:asciiTheme="minorHAnsi" w:hAnsiTheme="minorHAnsi" w:cstheme="minorHAnsi"/>
                <w:sz w:val="20"/>
                <w:szCs w:val="20"/>
                <w:lang w:val="fr-CA"/>
              </w:rPr>
              <w:t>Zambia</w:t>
            </w:r>
            <w:proofErr w:type="spellEnd"/>
            <w:r w:rsidRPr="00D53BF9">
              <w:rPr>
                <w:rFonts w:asciiTheme="minorHAnsi" w:hAnsiTheme="minorHAnsi" w:cstheme="minorHAnsi"/>
                <w:sz w:val="20"/>
                <w:szCs w:val="20"/>
                <w:lang w:val="fr-CA"/>
              </w:rPr>
              <w:t>)</w:t>
            </w:r>
          </w:p>
        </w:tc>
        <w:tc>
          <w:tcPr>
            <w:tcW w:w="3852" w:type="dxa"/>
          </w:tcPr>
          <w:p w14:paraId="4FF95FD0" w14:textId="6DE38D8B"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Global Opportunities for Long-term Development of Artisanal and Small-scale Gold Mining Sector Plus - </w:t>
            </w:r>
            <w:proofErr w:type="spellStart"/>
            <w:r w:rsidRPr="007E7514">
              <w:rPr>
                <w:rFonts w:asciiTheme="minorHAnsi" w:hAnsiTheme="minorHAnsi" w:cstheme="minorHAnsi"/>
                <w:i/>
                <w:iCs/>
                <w:sz w:val="20"/>
                <w:szCs w:val="20"/>
                <w:lang w:val="en-GB"/>
              </w:rPr>
              <w:t>GEF</w:t>
            </w:r>
            <w:proofErr w:type="spellEnd"/>
            <w:r w:rsidRPr="007E7514">
              <w:rPr>
                <w:rFonts w:asciiTheme="minorHAnsi" w:hAnsiTheme="minorHAnsi" w:cstheme="minorHAnsi"/>
                <w:i/>
                <w:iCs/>
                <w:sz w:val="20"/>
                <w:szCs w:val="20"/>
                <w:lang w:val="en-GB"/>
              </w:rPr>
              <w:t xml:space="preserve"> </w:t>
            </w:r>
            <w:r w:rsidR="00BC4C86"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 xml:space="preserve">GOLD+ (addendum)  </w:t>
            </w:r>
          </w:p>
        </w:tc>
        <w:tc>
          <w:tcPr>
            <w:tcW w:w="826" w:type="dxa"/>
            <w:noWrap/>
          </w:tcPr>
          <w:p w14:paraId="2CDD8D46" w14:textId="24EA053A"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CI</w:t>
            </w:r>
          </w:p>
        </w:tc>
        <w:tc>
          <w:tcPr>
            <w:tcW w:w="1190" w:type="dxa"/>
            <w:noWrap/>
          </w:tcPr>
          <w:p w14:paraId="653293A3" w14:textId="1C30C1E5"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30,485,696</w:t>
            </w:r>
          </w:p>
        </w:tc>
        <w:tc>
          <w:tcPr>
            <w:tcW w:w="1191" w:type="dxa"/>
            <w:noWrap/>
          </w:tcPr>
          <w:p w14:paraId="6056BACA" w14:textId="158B2DF5"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2,743,714</w:t>
            </w:r>
          </w:p>
        </w:tc>
        <w:tc>
          <w:tcPr>
            <w:tcW w:w="1191" w:type="dxa"/>
            <w:noWrap/>
          </w:tcPr>
          <w:p w14:paraId="7A48CAC5" w14:textId="176ED996"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191" w:type="dxa"/>
            <w:noWrap/>
          </w:tcPr>
          <w:p w14:paraId="5597DD47" w14:textId="129E1135"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0</w:t>
            </w:r>
          </w:p>
        </w:tc>
        <w:tc>
          <w:tcPr>
            <w:tcW w:w="1332" w:type="dxa"/>
            <w:noWrap/>
          </w:tcPr>
          <w:p w14:paraId="3E10D46B" w14:textId="5506DD31"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139,654,570</w:t>
            </w:r>
          </w:p>
        </w:tc>
      </w:tr>
      <w:tr w:rsidR="007A7876" w:rsidRPr="007E7514" w14:paraId="522CBAE2" w14:textId="77777777" w:rsidTr="007A7876">
        <w:trPr>
          <w:trHeight w:val="600"/>
        </w:trPr>
        <w:tc>
          <w:tcPr>
            <w:tcW w:w="846" w:type="dxa"/>
            <w:noWrap/>
            <w:hideMark/>
          </w:tcPr>
          <w:p w14:paraId="05B5F44A"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10810</w:t>
            </w:r>
          </w:p>
        </w:tc>
        <w:tc>
          <w:tcPr>
            <w:tcW w:w="1417" w:type="dxa"/>
            <w:hideMark/>
          </w:tcPr>
          <w:p w14:paraId="30695C87" w14:textId="56ADAA71"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Global  (Gabon, Sri Lanka, Thailand)</w:t>
            </w:r>
          </w:p>
        </w:tc>
        <w:tc>
          <w:tcPr>
            <w:tcW w:w="3852" w:type="dxa"/>
            <w:hideMark/>
          </w:tcPr>
          <w:p w14:paraId="550F6FDF" w14:textId="2721A676" w:rsidR="007A7876" w:rsidRPr="007E7514" w:rsidRDefault="007A7876" w:rsidP="007A7876">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Eliminating Mercury Skin-lightening Products</w:t>
            </w:r>
          </w:p>
        </w:tc>
        <w:tc>
          <w:tcPr>
            <w:tcW w:w="826" w:type="dxa"/>
            <w:noWrap/>
            <w:hideMark/>
          </w:tcPr>
          <w:p w14:paraId="4C43AD21"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1190" w:type="dxa"/>
            <w:noWrap/>
            <w:hideMark/>
          </w:tcPr>
          <w:p w14:paraId="01C631FE"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2,000,000</w:t>
            </w:r>
          </w:p>
        </w:tc>
        <w:tc>
          <w:tcPr>
            <w:tcW w:w="1191" w:type="dxa"/>
            <w:noWrap/>
            <w:hideMark/>
          </w:tcPr>
          <w:p w14:paraId="2B787C72"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190,000</w:t>
            </w:r>
          </w:p>
        </w:tc>
        <w:tc>
          <w:tcPr>
            <w:tcW w:w="1191" w:type="dxa"/>
            <w:noWrap/>
            <w:hideMark/>
          </w:tcPr>
          <w:p w14:paraId="484AEA79"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191" w:type="dxa"/>
            <w:noWrap/>
            <w:hideMark/>
          </w:tcPr>
          <w:p w14:paraId="7D11F241"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4,750</w:t>
            </w:r>
          </w:p>
        </w:tc>
        <w:tc>
          <w:tcPr>
            <w:tcW w:w="1332" w:type="dxa"/>
            <w:noWrap/>
            <w:hideMark/>
          </w:tcPr>
          <w:p w14:paraId="3487A0B3" w14:textId="77777777" w:rsidR="007A7876" w:rsidRPr="007E7514" w:rsidRDefault="007A7876" w:rsidP="007A7876">
            <w:pPr>
              <w:rPr>
                <w:rFonts w:asciiTheme="minorHAnsi" w:hAnsiTheme="minorHAnsi" w:cstheme="minorHAnsi"/>
                <w:sz w:val="20"/>
                <w:szCs w:val="20"/>
                <w:lang w:val="en-GB"/>
              </w:rPr>
            </w:pPr>
            <w:r w:rsidRPr="007E7514">
              <w:rPr>
                <w:rFonts w:asciiTheme="minorHAnsi" w:hAnsiTheme="minorHAnsi" w:cstheme="minorHAnsi"/>
                <w:sz w:val="20"/>
                <w:szCs w:val="20"/>
                <w:lang w:val="en-GB"/>
              </w:rPr>
              <w:t>14,808,401</w:t>
            </w:r>
          </w:p>
        </w:tc>
      </w:tr>
    </w:tbl>
    <w:p w14:paraId="0447AC3C" w14:textId="52B02064" w:rsidR="004B13CB" w:rsidRPr="007E7514" w:rsidRDefault="00FB2BBA">
      <w:pPr>
        <w:rPr>
          <w:lang w:val="en-GB"/>
        </w:rPr>
      </w:pPr>
      <w:r w:rsidRPr="007E7514">
        <w:rPr>
          <w:rFonts w:asciiTheme="minorHAnsi" w:hAnsiTheme="minorHAnsi"/>
          <w:lang w:val="en-GB"/>
        </w:rPr>
        <w:fldChar w:fldCharType="end"/>
      </w:r>
      <w:r w:rsidR="004B13CB" w:rsidRPr="007E7514">
        <w:rPr>
          <w:rFonts w:asciiTheme="minorHAnsi" w:hAnsiTheme="minorHAnsi"/>
          <w:lang w:val="en-GB"/>
        </w:rPr>
        <w:br w:type="page"/>
      </w:r>
    </w:p>
    <w:p w14:paraId="4CA71F8F" w14:textId="18DC0305" w:rsidR="0000292F" w:rsidRPr="007E7514" w:rsidRDefault="001E19D2" w:rsidP="005D7C1E">
      <w:pPr>
        <w:pStyle w:val="Heading1"/>
        <w:rPr>
          <w:sz w:val="24"/>
          <w:szCs w:val="24"/>
          <w:lang w:val="en-GB"/>
        </w:rPr>
      </w:pPr>
      <w:bookmarkStart w:id="82" w:name="_bookmark52"/>
      <w:bookmarkStart w:id="83" w:name="_Hlk10034803"/>
      <w:bookmarkStart w:id="84" w:name="_Toc76405387"/>
      <w:bookmarkStart w:id="85" w:name="_Hlk10034827"/>
      <w:bookmarkEnd w:id="82"/>
      <w:r w:rsidRPr="007E7514">
        <w:rPr>
          <w:sz w:val="24"/>
          <w:szCs w:val="24"/>
          <w:lang w:val="en-GB"/>
        </w:rPr>
        <w:lastRenderedPageBreak/>
        <w:t xml:space="preserve">Annex </w:t>
      </w:r>
      <w:r w:rsidR="000B7F26" w:rsidRPr="007E7514">
        <w:rPr>
          <w:sz w:val="24"/>
          <w:szCs w:val="24"/>
          <w:lang w:val="en-GB"/>
        </w:rPr>
        <w:t>2</w:t>
      </w:r>
      <w:r w:rsidRPr="007E7514">
        <w:rPr>
          <w:sz w:val="24"/>
          <w:szCs w:val="24"/>
          <w:lang w:val="en-GB"/>
        </w:rPr>
        <w:t>:</w:t>
      </w:r>
      <w:r w:rsidR="00732426" w:rsidRPr="007E7514">
        <w:rPr>
          <w:sz w:val="24"/>
          <w:szCs w:val="24"/>
          <w:lang w:val="en-GB"/>
        </w:rPr>
        <w:t xml:space="preserve"> </w:t>
      </w:r>
      <w:bookmarkEnd w:id="83"/>
      <w:r w:rsidRPr="007E7514">
        <w:rPr>
          <w:sz w:val="24"/>
          <w:szCs w:val="24"/>
          <w:lang w:val="en-GB"/>
        </w:rPr>
        <w:t xml:space="preserve">List of Mercury Projects Supported by </w:t>
      </w:r>
      <w:r w:rsidR="0078490E" w:rsidRPr="007E7514">
        <w:rPr>
          <w:sz w:val="24"/>
          <w:szCs w:val="24"/>
          <w:lang w:val="en-GB"/>
        </w:rPr>
        <w:t xml:space="preserve">the </w:t>
      </w:r>
      <w:r w:rsidR="00B4136E" w:rsidRPr="007E7514">
        <w:rPr>
          <w:sz w:val="24"/>
          <w:szCs w:val="24"/>
          <w:lang w:val="en-GB"/>
        </w:rPr>
        <w:t xml:space="preserve">Small Grants Programme </w:t>
      </w:r>
      <w:r w:rsidRPr="007E7514">
        <w:rPr>
          <w:sz w:val="24"/>
          <w:szCs w:val="24"/>
          <w:lang w:val="en-GB"/>
        </w:rPr>
        <w:t>in</w:t>
      </w:r>
      <w:r w:rsidR="000B7F26" w:rsidRPr="007E7514">
        <w:rPr>
          <w:sz w:val="24"/>
          <w:szCs w:val="24"/>
          <w:lang w:val="en-GB"/>
        </w:rPr>
        <w:t xml:space="preserve"> the Reporting Period </w:t>
      </w:r>
      <w:r w:rsidR="004F1B55" w:rsidRPr="007E7514">
        <w:rPr>
          <w:sz w:val="24"/>
          <w:szCs w:val="24"/>
          <w:lang w:val="en-GB"/>
        </w:rPr>
        <w:br/>
      </w:r>
      <w:r w:rsidR="000B7F26" w:rsidRPr="007E7514">
        <w:rPr>
          <w:sz w:val="24"/>
          <w:szCs w:val="24"/>
          <w:lang w:val="en-GB"/>
        </w:rPr>
        <w:t>(July 1, 201</w:t>
      </w:r>
      <w:r w:rsidR="00283C21" w:rsidRPr="007E7514">
        <w:rPr>
          <w:sz w:val="24"/>
          <w:szCs w:val="24"/>
          <w:lang w:val="en-GB"/>
        </w:rPr>
        <w:t>9</w:t>
      </w:r>
      <w:r w:rsidR="000B7F26" w:rsidRPr="007E7514">
        <w:rPr>
          <w:sz w:val="24"/>
          <w:szCs w:val="24"/>
          <w:lang w:val="en-GB"/>
        </w:rPr>
        <w:t xml:space="preserve"> to June 30, 20</w:t>
      </w:r>
      <w:r w:rsidR="00283C21" w:rsidRPr="007E7514">
        <w:rPr>
          <w:sz w:val="24"/>
          <w:szCs w:val="24"/>
          <w:lang w:val="en-GB"/>
        </w:rPr>
        <w:t>21</w:t>
      </w:r>
      <w:r w:rsidR="000B7F26" w:rsidRPr="007E7514">
        <w:rPr>
          <w:sz w:val="24"/>
          <w:szCs w:val="24"/>
          <w:lang w:val="en-GB"/>
        </w:rPr>
        <w:t>)</w:t>
      </w:r>
      <w:bookmarkEnd w:id="84"/>
    </w:p>
    <w:bookmarkEnd w:id="85"/>
    <w:p w14:paraId="42729FC5" w14:textId="77777777" w:rsidR="0000292F" w:rsidRPr="007E7514" w:rsidRDefault="0000292F">
      <w:pPr>
        <w:pStyle w:val="BodyText"/>
        <w:spacing w:before="5"/>
        <w:rPr>
          <w:rFonts w:asciiTheme="minorHAnsi" w:hAnsiTheme="minorHAnsi" w:cstheme="minorHAnsi"/>
          <w:b/>
          <w:lang w:val="en-GB"/>
        </w:rPr>
      </w:pPr>
    </w:p>
    <w:tbl>
      <w:tblPr>
        <w:tblW w:w="0" w:type="auto"/>
        <w:tblInd w:w="-5" w:type="dxa"/>
        <w:tblLook w:val="04A0" w:firstRow="1" w:lastRow="0" w:firstColumn="1" w:lastColumn="0" w:noHBand="0" w:noVBand="1"/>
      </w:tblPr>
      <w:tblGrid>
        <w:gridCol w:w="897"/>
        <w:gridCol w:w="1341"/>
        <w:gridCol w:w="1994"/>
        <w:gridCol w:w="4340"/>
        <w:gridCol w:w="1275"/>
        <w:gridCol w:w="1236"/>
        <w:gridCol w:w="1425"/>
      </w:tblGrid>
      <w:tr w:rsidR="00AD0AFD" w:rsidRPr="007E7514" w14:paraId="59087DCD" w14:textId="77777777" w:rsidTr="00743955">
        <w:trPr>
          <w:trHeight w:val="552"/>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EB4A8" w14:textId="777746E4" w:rsidR="00AD0AFD" w:rsidRPr="007E7514" w:rsidRDefault="00AD0AFD" w:rsidP="004C42D1">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Number</w:t>
            </w:r>
          </w:p>
        </w:tc>
        <w:tc>
          <w:tcPr>
            <w:tcW w:w="1341" w:type="dxa"/>
            <w:tcBorders>
              <w:top w:val="single" w:sz="4" w:space="0" w:color="auto"/>
              <w:left w:val="nil"/>
              <w:bottom w:val="single" w:sz="4" w:space="0" w:color="auto"/>
              <w:right w:val="single" w:sz="4" w:space="0" w:color="auto"/>
            </w:tcBorders>
            <w:shd w:val="clear" w:color="auto" w:fill="auto"/>
            <w:hideMark/>
          </w:tcPr>
          <w:p w14:paraId="4015756F" w14:textId="77777777" w:rsidR="00AD0AFD" w:rsidRPr="007E7514" w:rsidRDefault="00AD0AFD" w:rsidP="004C42D1">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Country</w:t>
            </w:r>
          </w:p>
        </w:tc>
        <w:tc>
          <w:tcPr>
            <w:tcW w:w="1994" w:type="dxa"/>
            <w:tcBorders>
              <w:top w:val="single" w:sz="4" w:space="0" w:color="auto"/>
              <w:left w:val="nil"/>
              <w:bottom w:val="single" w:sz="4" w:space="0" w:color="auto"/>
              <w:right w:val="single" w:sz="4" w:space="0" w:color="auto"/>
            </w:tcBorders>
            <w:shd w:val="clear" w:color="auto" w:fill="auto"/>
            <w:hideMark/>
          </w:tcPr>
          <w:p w14:paraId="12470C74" w14:textId="535E9044" w:rsidR="00AD0AFD" w:rsidRPr="007E7514" w:rsidRDefault="00AD0AFD" w:rsidP="004C42D1">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 xml:space="preserve">Grantee </w:t>
            </w:r>
            <w:r w:rsidR="006E3ADF" w:rsidRPr="007E7514">
              <w:rPr>
                <w:rFonts w:asciiTheme="minorHAnsi" w:hAnsiTheme="minorHAnsi" w:cstheme="minorHAnsi"/>
                <w:b/>
                <w:bCs/>
                <w:sz w:val="20"/>
                <w:szCs w:val="20"/>
                <w:lang w:val="en-GB"/>
              </w:rPr>
              <w:t>N</w:t>
            </w:r>
            <w:r w:rsidRPr="007E7514">
              <w:rPr>
                <w:rFonts w:asciiTheme="minorHAnsi" w:hAnsiTheme="minorHAnsi" w:cstheme="minorHAnsi"/>
                <w:b/>
                <w:bCs/>
                <w:sz w:val="20"/>
                <w:szCs w:val="20"/>
                <w:lang w:val="en-GB"/>
              </w:rPr>
              <w:t>ame</w:t>
            </w:r>
          </w:p>
        </w:tc>
        <w:tc>
          <w:tcPr>
            <w:tcW w:w="4340" w:type="dxa"/>
            <w:tcBorders>
              <w:top w:val="single" w:sz="4" w:space="0" w:color="auto"/>
              <w:left w:val="nil"/>
              <w:bottom w:val="single" w:sz="4" w:space="0" w:color="auto"/>
              <w:right w:val="single" w:sz="4" w:space="0" w:color="auto"/>
            </w:tcBorders>
            <w:shd w:val="clear" w:color="auto" w:fill="auto"/>
            <w:hideMark/>
          </w:tcPr>
          <w:p w14:paraId="4AB56B8C" w14:textId="5C9CE73E" w:rsidR="00AD0AFD" w:rsidRPr="007E7514" w:rsidRDefault="00AD0AFD" w:rsidP="004C42D1">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 xml:space="preserve">Project </w:t>
            </w:r>
            <w:r w:rsidR="006E3ADF" w:rsidRPr="007E7514">
              <w:rPr>
                <w:rFonts w:asciiTheme="minorHAnsi" w:hAnsiTheme="minorHAnsi" w:cstheme="minorHAnsi"/>
                <w:b/>
                <w:bCs/>
                <w:sz w:val="20"/>
                <w:szCs w:val="20"/>
                <w:lang w:val="en-GB"/>
              </w:rPr>
              <w:t>T</w:t>
            </w:r>
            <w:r w:rsidRPr="007E7514">
              <w:rPr>
                <w:rFonts w:asciiTheme="minorHAnsi" w:hAnsiTheme="minorHAnsi" w:cstheme="minorHAnsi"/>
                <w:b/>
                <w:bCs/>
                <w:sz w:val="20"/>
                <w:szCs w:val="20"/>
                <w:lang w:val="en-GB"/>
              </w:rPr>
              <w:t>itle</w:t>
            </w:r>
          </w:p>
        </w:tc>
        <w:tc>
          <w:tcPr>
            <w:tcW w:w="1275" w:type="dxa"/>
            <w:tcBorders>
              <w:top w:val="single" w:sz="4" w:space="0" w:color="auto"/>
              <w:left w:val="nil"/>
              <w:bottom w:val="single" w:sz="4" w:space="0" w:color="auto"/>
              <w:right w:val="single" w:sz="4" w:space="0" w:color="auto"/>
            </w:tcBorders>
            <w:shd w:val="clear" w:color="auto" w:fill="auto"/>
            <w:hideMark/>
          </w:tcPr>
          <w:p w14:paraId="2CEBB68C" w14:textId="77777777" w:rsidR="00AD0AFD" w:rsidRPr="007E7514" w:rsidRDefault="00AD0AFD" w:rsidP="004C42D1">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Duration</w:t>
            </w:r>
          </w:p>
        </w:tc>
        <w:tc>
          <w:tcPr>
            <w:tcW w:w="1236" w:type="dxa"/>
            <w:tcBorders>
              <w:top w:val="single" w:sz="4" w:space="0" w:color="auto"/>
              <w:left w:val="nil"/>
              <w:bottom w:val="single" w:sz="4" w:space="0" w:color="auto"/>
              <w:right w:val="single" w:sz="4" w:space="0" w:color="auto"/>
            </w:tcBorders>
            <w:shd w:val="clear" w:color="auto" w:fill="auto"/>
            <w:hideMark/>
          </w:tcPr>
          <w:p w14:paraId="69C6E6C8" w14:textId="6EBD7B6E" w:rsidR="00AD0AFD" w:rsidRPr="007E7514" w:rsidRDefault="00AD0AFD" w:rsidP="004C42D1">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 xml:space="preserve">SGP </w:t>
            </w:r>
            <w:r w:rsidR="006E3ADF" w:rsidRPr="007E7514">
              <w:rPr>
                <w:rFonts w:asciiTheme="minorHAnsi" w:hAnsiTheme="minorHAnsi" w:cstheme="minorHAnsi"/>
                <w:b/>
                <w:bCs/>
                <w:sz w:val="20"/>
                <w:szCs w:val="20"/>
                <w:lang w:val="en-GB"/>
              </w:rPr>
              <w:t>G</w:t>
            </w:r>
            <w:r w:rsidRPr="007E7514">
              <w:rPr>
                <w:rFonts w:asciiTheme="minorHAnsi" w:hAnsiTheme="minorHAnsi" w:cstheme="minorHAnsi"/>
                <w:b/>
                <w:bCs/>
                <w:sz w:val="20"/>
                <w:szCs w:val="20"/>
                <w:lang w:val="en-GB"/>
              </w:rPr>
              <w:t>rant ($)</w:t>
            </w:r>
          </w:p>
        </w:tc>
        <w:tc>
          <w:tcPr>
            <w:tcW w:w="1425" w:type="dxa"/>
            <w:tcBorders>
              <w:top w:val="single" w:sz="4" w:space="0" w:color="auto"/>
              <w:left w:val="nil"/>
              <w:bottom w:val="single" w:sz="4" w:space="0" w:color="auto"/>
              <w:right w:val="single" w:sz="4" w:space="0" w:color="auto"/>
            </w:tcBorders>
            <w:shd w:val="clear" w:color="auto" w:fill="auto"/>
            <w:hideMark/>
          </w:tcPr>
          <w:p w14:paraId="0E908344" w14:textId="1BB2527D" w:rsidR="00AD0AFD" w:rsidRPr="007E7514" w:rsidRDefault="00AD0AFD" w:rsidP="004C42D1">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Co-financing ($)</w:t>
            </w:r>
          </w:p>
        </w:tc>
      </w:tr>
      <w:tr w:rsidR="00AD0AFD" w:rsidRPr="007E7514" w14:paraId="10EC65B0" w14:textId="77777777" w:rsidTr="00743955">
        <w:trPr>
          <w:trHeight w:val="525"/>
        </w:trPr>
        <w:tc>
          <w:tcPr>
            <w:tcW w:w="0" w:type="auto"/>
            <w:tcBorders>
              <w:top w:val="nil"/>
              <w:left w:val="single" w:sz="4" w:space="0" w:color="auto"/>
              <w:bottom w:val="single" w:sz="4" w:space="0" w:color="auto"/>
              <w:right w:val="single" w:sz="4" w:space="0" w:color="auto"/>
            </w:tcBorders>
          </w:tcPr>
          <w:p w14:paraId="3A7517C8" w14:textId="21D982F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w:t>
            </w:r>
          </w:p>
        </w:tc>
        <w:tc>
          <w:tcPr>
            <w:tcW w:w="1341" w:type="dxa"/>
            <w:tcBorders>
              <w:top w:val="nil"/>
              <w:left w:val="nil"/>
              <w:bottom w:val="single" w:sz="4" w:space="0" w:color="auto"/>
              <w:right w:val="single" w:sz="4" w:space="0" w:color="auto"/>
            </w:tcBorders>
          </w:tcPr>
          <w:p w14:paraId="391E1C1D" w14:textId="66E128A2"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Antigua and Barbuda</w:t>
            </w:r>
          </w:p>
        </w:tc>
        <w:tc>
          <w:tcPr>
            <w:tcW w:w="1994" w:type="dxa"/>
            <w:tcBorders>
              <w:top w:val="nil"/>
              <w:left w:val="nil"/>
              <w:bottom w:val="single" w:sz="4" w:space="0" w:color="auto"/>
              <w:right w:val="single" w:sz="4" w:space="0" w:color="auto"/>
            </w:tcBorders>
          </w:tcPr>
          <w:p w14:paraId="532950D0" w14:textId="66E0C84F"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Zero Waste Antigua Barbuda (ZWAB)</w:t>
            </w:r>
          </w:p>
        </w:tc>
        <w:tc>
          <w:tcPr>
            <w:tcW w:w="4340" w:type="dxa"/>
            <w:tcBorders>
              <w:top w:val="nil"/>
              <w:left w:val="nil"/>
              <w:bottom w:val="single" w:sz="4" w:space="0" w:color="auto"/>
              <w:right w:val="single" w:sz="4" w:space="0" w:color="auto"/>
            </w:tcBorders>
          </w:tcPr>
          <w:p w14:paraId="730E11F4" w14:textId="58716965"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Pathways to Phase Down and Phase Out Mercury</w:t>
            </w:r>
          </w:p>
        </w:tc>
        <w:tc>
          <w:tcPr>
            <w:tcW w:w="1275" w:type="dxa"/>
            <w:tcBorders>
              <w:top w:val="nil"/>
              <w:left w:val="nil"/>
              <w:bottom w:val="single" w:sz="4" w:space="0" w:color="auto"/>
              <w:right w:val="single" w:sz="4" w:space="0" w:color="auto"/>
            </w:tcBorders>
          </w:tcPr>
          <w:p w14:paraId="7DD3A809" w14:textId="11E53AB6"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8/2019 - 10/2021</w:t>
            </w:r>
          </w:p>
        </w:tc>
        <w:tc>
          <w:tcPr>
            <w:tcW w:w="1236" w:type="dxa"/>
            <w:tcBorders>
              <w:top w:val="nil"/>
              <w:left w:val="nil"/>
              <w:bottom w:val="single" w:sz="4" w:space="0" w:color="auto"/>
              <w:right w:val="single" w:sz="4" w:space="0" w:color="auto"/>
            </w:tcBorders>
          </w:tcPr>
          <w:p w14:paraId="3BE25EC6" w14:textId="220A04A0"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nil"/>
              <w:left w:val="nil"/>
              <w:bottom w:val="single" w:sz="4" w:space="0" w:color="auto"/>
              <w:right w:val="single" w:sz="4" w:space="0" w:color="auto"/>
            </w:tcBorders>
          </w:tcPr>
          <w:p w14:paraId="756043E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765AB55B" w14:textId="091A676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36,800</w:t>
            </w:r>
          </w:p>
        </w:tc>
      </w:tr>
      <w:tr w:rsidR="00AD0AFD" w:rsidRPr="007E7514" w14:paraId="4855B981" w14:textId="77777777" w:rsidTr="00743955">
        <w:trPr>
          <w:trHeight w:val="467"/>
        </w:trPr>
        <w:tc>
          <w:tcPr>
            <w:tcW w:w="0" w:type="auto"/>
            <w:tcBorders>
              <w:top w:val="nil"/>
              <w:left w:val="single" w:sz="4" w:space="0" w:color="auto"/>
              <w:bottom w:val="single" w:sz="4" w:space="0" w:color="auto"/>
              <w:right w:val="single" w:sz="4" w:space="0" w:color="auto"/>
            </w:tcBorders>
          </w:tcPr>
          <w:p w14:paraId="3C78B538" w14:textId="780543F2"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w:t>
            </w:r>
          </w:p>
        </w:tc>
        <w:tc>
          <w:tcPr>
            <w:tcW w:w="1341" w:type="dxa"/>
            <w:tcBorders>
              <w:top w:val="nil"/>
              <w:left w:val="nil"/>
              <w:bottom w:val="single" w:sz="4" w:space="0" w:color="auto"/>
              <w:right w:val="single" w:sz="4" w:space="0" w:color="auto"/>
            </w:tcBorders>
          </w:tcPr>
          <w:p w14:paraId="7DCCFE5B" w14:textId="0AF85CF5"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Antigua and Barbuda</w:t>
            </w:r>
          </w:p>
        </w:tc>
        <w:tc>
          <w:tcPr>
            <w:tcW w:w="1994" w:type="dxa"/>
            <w:tcBorders>
              <w:top w:val="nil"/>
              <w:left w:val="nil"/>
              <w:bottom w:val="single" w:sz="4" w:space="0" w:color="auto"/>
              <w:right w:val="single" w:sz="4" w:space="0" w:color="auto"/>
            </w:tcBorders>
          </w:tcPr>
          <w:p w14:paraId="3C46E12B" w14:textId="7512D65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Clare Hall Christian Union (CHCU)</w:t>
            </w:r>
          </w:p>
        </w:tc>
        <w:tc>
          <w:tcPr>
            <w:tcW w:w="4340" w:type="dxa"/>
            <w:tcBorders>
              <w:top w:val="nil"/>
              <w:left w:val="nil"/>
              <w:bottom w:val="single" w:sz="4" w:space="0" w:color="auto"/>
              <w:right w:val="single" w:sz="4" w:space="0" w:color="auto"/>
            </w:tcBorders>
          </w:tcPr>
          <w:p w14:paraId="06390F0F" w14:textId="6EB53E9D"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Pathways to Reduce and Phase out Mercury</w:t>
            </w:r>
          </w:p>
        </w:tc>
        <w:tc>
          <w:tcPr>
            <w:tcW w:w="1275" w:type="dxa"/>
            <w:tcBorders>
              <w:top w:val="nil"/>
              <w:left w:val="nil"/>
              <w:bottom w:val="single" w:sz="4" w:space="0" w:color="auto"/>
              <w:right w:val="single" w:sz="4" w:space="0" w:color="auto"/>
            </w:tcBorders>
          </w:tcPr>
          <w:p w14:paraId="56035D28" w14:textId="3A2FEEAB"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1/2020 - 10/2021</w:t>
            </w:r>
          </w:p>
        </w:tc>
        <w:tc>
          <w:tcPr>
            <w:tcW w:w="1236" w:type="dxa"/>
            <w:tcBorders>
              <w:top w:val="nil"/>
              <w:left w:val="nil"/>
              <w:bottom w:val="single" w:sz="4" w:space="0" w:color="auto"/>
              <w:right w:val="single" w:sz="4" w:space="0" w:color="auto"/>
            </w:tcBorders>
          </w:tcPr>
          <w:p w14:paraId="5A19B5E6" w14:textId="5BE3E3AC"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nil"/>
              <w:left w:val="nil"/>
              <w:bottom w:val="single" w:sz="4" w:space="0" w:color="auto"/>
              <w:right w:val="single" w:sz="4" w:space="0" w:color="auto"/>
            </w:tcBorders>
          </w:tcPr>
          <w:p w14:paraId="50A2173F"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276427C0" w14:textId="7562BCF3"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11,500</w:t>
            </w:r>
          </w:p>
        </w:tc>
      </w:tr>
      <w:tr w:rsidR="00AD0AFD" w:rsidRPr="007E7514" w14:paraId="4546CC03" w14:textId="77777777" w:rsidTr="00743955">
        <w:trPr>
          <w:trHeight w:val="369"/>
        </w:trPr>
        <w:tc>
          <w:tcPr>
            <w:tcW w:w="0" w:type="auto"/>
            <w:tcBorders>
              <w:top w:val="nil"/>
              <w:left w:val="single" w:sz="4" w:space="0" w:color="auto"/>
              <w:bottom w:val="single" w:sz="4" w:space="0" w:color="auto"/>
              <w:right w:val="single" w:sz="4" w:space="0" w:color="auto"/>
            </w:tcBorders>
          </w:tcPr>
          <w:p w14:paraId="1BBA7204" w14:textId="62467BB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3</w:t>
            </w:r>
          </w:p>
        </w:tc>
        <w:tc>
          <w:tcPr>
            <w:tcW w:w="1341" w:type="dxa"/>
            <w:tcBorders>
              <w:top w:val="nil"/>
              <w:left w:val="nil"/>
              <w:bottom w:val="single" w:sz="4" w:space="0" w:color="auto"/>
              <w:right w:val="single" w:sz="4" w:space="0" w:color="auto"/>
            </w:tcBorders>
          </w:tcPr>
          <w:p w14:paraId="5AB4C95C" w14:textId="58988ABE"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Antigua and Barbuda </w:t>
            </w:r>
          </w:p>
        </w:tc>
        <w:tc>
          <w:tcPr>
            <w:tcW w:w="1994" w:type="dxa"/>
            <w:tcBorders>
              <w:top w:val="nil"/>
              <w:left w:val="nil"/>
              <w:bottom w:val="single" w:sz="4" w:space="0" w:color="auto"/>
              <w:right w:val="single" w:sz="4" w:space="0" w:color="auto"/>
            </w:tcBorders>
          </w:tcPr>
          <w:p w14:paraId="649DBA51" w14:textId="23134B78"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Marine Ecosystems Protected Areas (MEPA) Trust</w:t>
            </w:r>
          </w:p>
        </w:tc>
        <w:tc>
          <w:tcPr>
            <w:tcW w:w="4340" w:type="dxa"/>
            <w:tcBorders>
              <w:top w:val="nil"/>
              <w:left w:val="nil"/>
              <w:bottom w:val="single" w:sz="4" w:space="0" w:color="auto"/>
              <w:right w:val="single" w:sz="4" w:space="0" w:color="auto"/>
            </w:tcBorders>
          </w:tcPr>
          <w:p w14:paraId="3EE37561"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Pathways to Reduce and Phase Out Mercury</w:t>
            </w:r>
          </w:p>
          <w:p w14:paraId="1201A4D9" w14:textId="371AEAAC"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ab/>
            </w:r>
          </w:p>
        </w:tc>
        <w:tc>
          <w:tcPr>
            <w:tcW w:w="1275" w:type="dxa"/>
            <w:tcBorders>
              <w:top w:val="nil"/>
              <w:left w:val="nil"/>
              <w:bottom w:val="single" w:sz="4" w:space="0" w:color="auto"/>
              <w:right w:val="single" w:sz="4" w:space="0" w:color="auto"/>
            </w:tcBorders>
          </w:tcPr>
          <w:p w14:paraId="641DD021" w14:textId="1EA9998F"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1/2020 - 10/2021</w:t>
            </w:r>
          </w:p>
        </w:tc>
        <w:tc>
          <w:tcPr>
            <w:tcW w:w="1236" w:type="dxa"/>
            <w:tcBorders>
              <w:top w:val="nil"/>
              <w:left w:val="nil"/>
              <w:bottom w:val="single" w:sz="4" w:space="0" w:color="auto"/>
              <w:right w:val="single" w:sz="4" w:space="0" w:color="auto"/>
            </w:tcBorders>
          </w:tcPr>
          <w:p w14:paraId="66C65DC6" w14:textId="6B74CAF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45,000</w:t>
            </w:r>
          </w:p>
        </w:tc>
        <w:tc>
          <w:tcPr>
            <w:tcW w:w="1425" w:type="dxa"/>
            <w:tcBorders>
              <w:top w:val="nil"/>
              <w:left w:val="nil"/>
              <w:bottom w:val="single" w:sz="4" w:space="0" w:color="auto"/>
              <w:right w:val="single" w:sz="4" w:space="0" w:color="auto"/>
            </w:tcBorders>
          </w:tcPr>
          <w:p w14:paraId="53B0EB7C" w14:textId="27F582C2" w:rsidR="00AD0AFD" w:rsidRPr="007E7514" w:rsidRDefault="006610A2"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w:t>
            </w:r>
          </w:p>
        </w:tc>
      </w:tr>
      <w:tr w:rsidR="00AD0AFD" w:rsidRPr="007E7514" w14:paraId="2E66190E" w14:textId="77777777" w:rsidTr="00743955">
        <w:trPr>
          <w:trHeight w:val="864"/>
        </w:trPr>
        <w:tc>
          <w:tcPr>
            <w:tcW w:w="0" w:type="auto"/>
            <w:tcBorders>
              <w:top w:val="nil"/>
              <w:left w:val="single" w:sz="4" w:space="0" w:color="auto"/>
              <w:bottom w:val="single" w:sz="4" w:space="0" w:color="auto"/>
              <w:right w:val="single" w:sz="4" w:space="0" w:color="auto"/>
            </w:tcBorders>
          </w:tcPr>
          <w:p w14:paraId="6750C72A" w14:textId="0F18121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w:t>
            </w:r>
          </w:p>
        </w:tc>
        <w:tc>
          <w:tcPr>
            <w:tcW w:w="1341" w:type="dxa"/>
            <w:tcBorders>
              <w:top w:val="nil"/>
              <w:left w:val="nil"/>
              <w:bottom w:val="single" w:sz="4" w:space="0" w:color="auto"/>
              <w:right w:val="single" w:sz="4" w:space="0" w:color="auto"/>
            </w:tcBorders>
          </w:tcPr>
          <w:p w14:paraId="20F57711"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Antigua and Barbuda</w:t>
            </w:r>
          </w:p>
        </w:tc>
        <w:tc>
          <w:tcPr>
            <w:tcW w:w="1994" w:type="dxa"/>
            <w:tcBorders>
              <w:top w:val="nil"/>
              <w:left w:val="nil"/>
              <w:bottom w:val="single" w:sz="4" w:space="0" w:color="auto"/>
              <w:right w:val="single" w:sz="4" w:space="0" w:color="auto"/>
            </w:tcBorders>
          </w:tcPr>
          <w:p w14:paraId="03E594BB"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Medical Association of Antigua and Barbuda (MAAB)</w:t>
            </w:r>
          </w:p>
        </w:tc>
        <w:tc>
          <w:tcPr>
            <w:tcW w:w="4340" w:type="dxa"/>
            <w:tcBorders>
              <w:top w:val="nil"/>
              <w:left w:val="nil"/>
              <w:bottom w:val="single" w:sz="4" w:space="0" w:color="auto"/>
              <w:right w:val="single" w:sz="4" w:space="0" w:color="auto"/>
            </w:tcBorders>
          </w:tcPr>
          <w:p w14:paraId="19877D56"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Contribution towards Implementation of the Minamata Convention on Mercury and towards Phasing Out of Mercury-added Products in the Healthcare and Dental Sectors in Antigua and Barbuda</w:t>
            </w:r>
          </w:p>
        </w:tc>
        <w:tc>
          <w:tcPr>
            <w:tcW w:w="1275" w:type="dxa"/>
            <w:tcBorders>
              <w:top w:val="nil"/>
              <w:left w:val="nil"/>
              <w:bottom w:val="single" w:sz="4" w:space="0" w:color="auto"/>
              <w:right w:val="single" w:sz="4" w:space="0" w:color="auto"/>
            </w:tcBorders>
          </w:tcPr>
          <w:p w14:paraId="7DE016F1"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1/2020 - 10/2021</w:t>
            </w:r>
          </w:p>
        </w:tc>
        <w:tc>
          <w:tcPr>
            <w:tcW w:w="1236" w:type="dxa"/>
            <w:tcBorders>
              <w:top w:val="nil"/>
              <w:left w:val="nil"/>
              <w:bottom w:val="single" w:sz="4" w:space="0" w:color="auto"/>
              <w:right w:val="single" w:sz="4" w:space="0" w:color="auto"/>
            </w:tcBorders>
          </w:tcPr>
          <w:p w14:paraId="18DD1F6D"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nil"/>
              <w:left w:val="nil"/>
              <w:bottom w:val="single" w:sz="4" w:space="0" w:color="auto"/>
              <w:right w:val="single" w:sz="4" w:space="0" w:color="auto"/>
            </w:tcBorders>
          </w:tcPr>
          <w:p w14:paraId="760B6672" w14:textId="54629975" w:rsidR="00AD0AFD" w:rsidRPr="007E7514" w:rsidRDefault="006610A2"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w:t>
            </w:r>
          </w:p>
        </w:tc>
      </w:tr>
      <w:tr w:rsidR="00AD0AFD" w:rsidRPr="007E7514" w14:paraId="5817B563" w14:textId="77777777" w:rsidTr="00743955">
        <w:trPr>
          <w:trHeight w:val="864"/>
        </w:trPr>
        <w:tc>
          <w:tcPr>
            <w:tcW w:w="0" w:type="auto"/>
            <w:tcBorders>
              <w:top w:val="single" w:sz="4" w:space="0" w:color="auto"/>
              <w:left w:val="single" w:sz="4" w:space="0" w:color="auto"/>
              <w:bottom w:val="single" w:sz="4" w:space="0" w:color="auto"/>
              <w:right w:val="single" w:sz="4" w:space="0" w:color="auto"/>
            </w:tcBorders>
          </w:tcPr>
          <w:p w14:paraId="1DDBE875" w14:textId="4FFDA7C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w:t>
            </w:r>
          </w:p>
        </w:tc>
        <w:tc>
          <w:tcPr>
            <w:tcW w:w="1341" w:type="dxa"/>
            <w:tcBorders>
              <w:top w:val="single" w:sz="4" w:space="0" w:color="auto"/>
              <w:left w:val="nil"/>
              <w:bottom w:val="single" w:sz="4" w:space="0" w:color="auto"/>
              <w:right w:val="single" w:sz="4" w:space="0" w:color="auto"/>
            </w:tcBorders>
          </w:tcPr>
          <w:p w14:paraId="18719717" w14:textId="79DC0559"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Antigua and Barbuda </w:t>
            </w:r>
          </w:p>
        </w:tc>
        <w:tc>
          <w:tcPr>
            <w:tcW w:w="1994" w:type="dxa"/>
            <w:tcBorders>
              <w:top w:val="single" w:sz="4" w:space="0" w:color="auto"/>
              <w:left w:val="nil"/>
              <w:bottom w:val="single" w:sz="4" w:space="0" w:color="auto"/>
              <w:right w:val="single" w:sz="4" w:space="0" w:color="auto"/>
            </w:tcBorders>
          </w:tcPr>
          <w:p w14:paraId="58BE04E0" w14:textId="08C61721"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Another Chance Ministries (ACM)</w:t>
            </w:r>
          </w:p>
        </w:tc>
        <w:tc>
          <w:tcPr>
            <w:tcW w:w="4340" w:type="dxa"/>
            <w:tcBorders>
              <w:top w:val="single" w:sz="4" w:space="0" w:color="auto"/>
              <w:left w:val="nil"/>
              <w:bottom w:val="single" w:sz="4" w:space="0" w:color="auto"/>
              <w:right w:val="single" w:sz="4" w:space="0" w:color="auto"/>
            </w:tcBorders>
          </w:tcPr>
          <w:p w14:paraId="5465CB35" w14:textId="327200C4"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Recycling E-waste Reduces Mercury Contamination for Human and Environmental Health and Provides a Pathway Towards the Rehabilitation of Prisoners</w:t>
            </w:r>
          </w:p>
        </w:tc>
        <w:tc>
          <w:tcPr>
            <w:tcW w:w="1275" w:type="dxa"/>
            <w:tcBorders>
              <w:top w:val="single" w:sz="4" w:space="0" w:color="auto"/>
              <w:left w:val="nil"/>
              <w:bottom w:val="single" w:sz="4" w:space="0" w:color="auto"/>
              <w:right w:val="single" w:sz="4" w:space="0" w:color="auto"/>
            </w:tcBorders>
          </w:tcPr>
          <w:p w14:paraId="603192B5" w14:textId="5A942662"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12/2020 - 4/2021</w:t>
            </w:r>
          </w:p>
        </w:tc>
        <w:tc>
          <w:tcPr>
            <w:tcW w:w="1236" w:type="dxa"/>
            <w:tcBorders>
              <w:top w:val="single" w:sz="4" w:space="0" w:color="auto"/>
              <w:left w:val="nil"/>
              <w:bottom w:val="single" w:sz="4" w:space="0" w:color="auto"/>
              <w:right w:val="single" w:sz="4" w:space="0" w:color="auto"/>
            </w:tcBorders>
          </w:tcPr>
          <w:p w14:paraId="68D61D84" w14:textId="00916CE0"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w:t>
            </w:r>
          </w:p>
        </w:tc>
        <w:tc>
          <w:tcPr>
            <w:tcW w:w="1425" w:type="dxa"/>
            <w:tcBorders>
              <w:top w:val="single" w:sz="4" w:space="0" w:color="auto"/>
              <w:left w:val="nil"/>
              <w:bottom w:val="single" w:sz="4" w:space="0" w:color="auto"/>
              <w:right w:val="single" w:sz="4" w:space="0" w:color="auto"/>
            </w:tcBorders>
          </w:tcPr>
          <w:p w14:paraId="79374324" w14:textId="660A76BC"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w:t>
            </w:r>
          </w:p>
        </w:tc>
      </w:tr>
      <w:tr w:rsidR="00AD0AFD" w:rsidRPr="007E7514" w14:paraId="63C10193" w14:textId="77777777" w:rsidTr="00743955">
        <w:trPr>
          <w:trHeight w:val="857"/>
        </w:trPr>
        <w:tc>
          <w:tcPr>
            <w:tcW w:w="0" w:type="auto"/>
            <w:tcBorders>
              <w:top w:val="nil"/>
              <w:left w:val="single" w:sz="4" w:space="0" w:color="auto"/>
              <w:bottom w:val="single" w:sz="4" w:space="0" w:color="auto"/>
              <w:right w:val="single" w:sz="4" w:space="0" w:color="auto"/>
            </w:tcBorders>
          </w:tcPr>
          <w:p w14:paraId="209673CE" w14:textId="07614B1D"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6</w:t>
            </w:r>
          </w:p>
        </w:tc>
        <w:tc>
          <w:tcPr>
            <w:tcW w:w="1341" w:type="dxa"/>
            <w:tcBorders>
              <w:top w:val="nil"/>
              <w:left w:val="nil"/>
              <w:bottom w:val="single" w:sz="4" w:space="0" w:color="auto"/>
              <w:right w:val="single" w:sz="4" w:space="0" w:color="auto"/>
            </w:tcBorders>
          </w:tcPr>
          <w:p w14:paraId="46E55B56"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Kenya</w:t>
            </w:r>
          </w:p>
        </w:tc>
        <w:tc>
          <w:tcPr>
            <w:tcW w:w="1994" w:type="dxa"/>
            <w:tcBorders>
              <w:top w:val="nil"/>
              <w:left w:val="nil"/>
              <w:bottom w:val="single" w:sz="4" w:space="0" w:color="auto"/>
              <w:right w:val="single" w:sz="4" w:space="0" w:color="auto"/>
            </w:tcBorders>
          </w:tcPr>
          <w:p w14:paraId="67EDC03E" w14:textId="36430E11"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Migori County Artisanal Miners Cooperative Society Ltd (MICA)</w:t>
            </w:r>
          </w:p>
        </w:tc>
        <w:tc>
          <w:tcPr>
            <w:tcW w:w="4340" w:type="dxa"/>
            <w:tcBorders>
              <w:top w:val="nil"/>
              <w:left w:val="nil"/>
              <w:bottom w:val="single" w:sz="4" w:space="0" w:color="auto"/>
              <w:right w:val="single" w:sz="4" w:space="0" w:color="auto"/>
            </w:tcBorders>
          </w:tcPr>
          <w:p w14:paraId="26F4E7BC"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Reducing Pollution Hazard for Vulnerable Population and Promoting Sustainable Land Management</w:t>
            </w:r>
          </w:p>
        </w:tc>
        <w:tc>
          <w:tcPr>
            <w:tcW w:w="1275" w:type="dxa"/>
            <w:tcBorders>
              <w:top w:val="nil"/>
              <w:left w:val="nil"/>
              <w:bottom w:val="single" w:sz="4" w:space="0" w:color="auto"/>
              <w:right w:val="single" w:sz="4" w:space="0" w:color="auto"/>
            </w:tcBorders>
          </w:tcPr>
          <w:p w14:paraId="1C6AEFA4"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7/2019 - 8/2021</w:t>
            </w:r>
          </w:p>
        </w:tc>
        <w:tc>
          <w:tcPr>
            <w:tcW w:w="1236" w:type="dxa"/>
            <w:tcBorders>
              <w:top w:val="nil"/>
              <w:left w:val="nil"/>
              <w:bottom w:val="single" w:sz="4" w:space="0" w:color="auto"/>
              <w:right w:val="single" w:sz="4" w:space="0" w:color="auto"/>
            </w:tcBorders>
          </w:tcPr>
          <w:p w14:paraId="4D781FF9"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41,500</w:t>
            </w:r>
          </w:p>
        </w:tc>
        <w:tc>
          <w:tcPr>
            <w:tcW w:w="1425" w:type="dxa"/>
            <w:tcBorders>
              <w:top w:val="nil"/>
              <w:left w:val="nil"/>
              <w:bottom w:val="single" w:sz="4" w:space="0" w:color="auto"/>
              <w:right w:val="single" w:sz="4" w:space="0" w:color="auto"/>
            </w:tcBorders>
          </w:tcPr>
          <w:p w14:paraId="146F728B"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cash:</w:t>
            </w:r>
          </w:p>
          <w:p w14:paraId="128A053B"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1,000</w:t>
            </w:r>
          </w:p>
          <w:p w14:paraId="53F76DE4"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563FAC47"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47,600</w:t>
            </w:r>
          </w:p>
        </w:tc>
      </w:tr>
      <w:tr w:rsidR="00AD0AFD" w:rsidRPr="007E7514" w14:paraId="5120B345" w14:textId="77777777" w:rsidTr="00743955">
        <w:trPr>
          <w:trHeight w:val="708"/>
        </w:trPr>
        <w:tc>
          <w:tcPr>
            <w:tcW w:w="0" w:type="auto"/>
            <w:tcBorders>
              <w:top w:val="nil"/>
              <w:left w:val="single" w:sz="4" w:space="0" w:color="auto"/>
              <w:bottom w:val="single" w:sz="4" w:space="0" w:color="auto"/>
              <w:right w:val="single" w:sz="4" w:space="0" w:color="auto"/>
            </w:tcBorders>
          </w:tcPr>
          <w:p w14:paraId="7E663FD0" w14:textId="0A20426A"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7</w:t>
            </w:r>
          </w:p>
        </w:tc>
        <w:tc>
          <w:tcPr>
            <w:tcW w:w="1341" w:type="dxa"/>
            <w:tcBorders>
              <w:top w:val="nil"/>
              <w:left w:val="nil"/>
              <w:bottom w:val="single" w:sz="4" w:space="0" w:color="auto"/>
              <w:right w:val="single" w:sz="4" w:space="0" w:color="auto"/>
            </w:tcBorders>
          </w:tcPr>
          <w:p w14:paraId="33AAFF7B"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4217E155" w14:textId="77777777" w:rsidR="00AD0AFD" w:rsidRPr="007E7514" w:rsidRDefault="00AD0AFD" w:rsidP="00AD0AFD">
            <w:pPr>
              <w:pStyle w:val="BodyText"/>
              <w:spacing w:before="5"/>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Syanyonja</w:t>
            </w:r>
            <w:proofErr w:type="spellEnd"/>
            <w:r w:rsidRPr="007E7514">
              <w:rPr>
                <w:rFonts w:asciiTheme="minorHAnsi" w:hAnsiTheme="minorHAnsi" w:cstheme="minorHAnsi"/>
                <w:sz w:val="20"/>
                <w:szCs w:val="20"/>
                <w:lang w:val="en-GB"/>
              </w:rPr>
              <w:t xml:space="preserve"> Artisan Small Scale Association (SAMA)</w:t>
            </w:r>
          </w:p>
        </w:tc>
        <w:tc>
          <w:tcPr>
            <w:tcW w:w="4340" w:type="dxa"/>
            <w:tcBorders>
              <w:top w:val="nil"/>
              <w:left w:val="nil"/>
              <w:bottom w:val="single" w:sz="4" w:space="0" w:color="auto"/>
              <w:right w:val="single" w:sz="4" w:space="0" w:color="auto"/>
            </w:tcBorders>
          </w:tcPr>
          <w:p w14:paraId="292C56F1"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Sama Reducing Mercury Use</w:t>
            </w:r>
          </w:p>
        </w:tc>
        <w:tc>
          <w:tcPr>
            <w:tcW w:w="1275" w:type="dxa"/>
            <w:tcBorders>
              <w:top w:val="nil"/>
              <w:left w:val="nil"/>
              <w:bottom w:val="single" w:sz="4" w:space="0" w:color="auto"/>
              <w:right w:val="single" w:sz="4" w:space="0" w:color="auto"/>
            </w:tcBorders>
          </w:tcPr>
          <w:p w14:paraId="251025F5"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11/2019 - 10/2021</w:t>
            </w:r>
          </w:p>
        </w:tc>
        <w:tc>
          <w:tcPr>
            <w:tcW w:w="1236" w:type="dxa"/>
            <w:tcBorders>
              <w:top w:val="nil"/>
              <w:left w:val="nil"/>
              <w:bottom w:val="single" w:sz="4" w:space="0" w:color="auto"/>
              <w:right w:val="single" w:sz="4" w:space="0" w:color="auto"/>
            </w:tcBorders>
          </w:tcPr>
          <w:p w14:paraId="778CE9A3"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45,000</w:t>
            </w:r>
          </w:p>
        </w:tc>
        <w:tc>
          <w:tcPr>
            <w:tcW w:w="1425" w:type="dxa"/>
            <w:tcBorders>
              <w:top w:val="nil"/>
              <w:left w:val="nil"/>
              <w:bottom w:val="single" w:sz="4" w:space="0" w:color="auto"/>
              <w:right w:val="single" w:sz="4" w:space="0" w:color="auto"/>
            </w:tcBorders>
          </w:tcPr>
          <w:p w14:paraId="73EC16E9"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4337DCDC"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7,730</w:t>
            </w:r>
          </w:p>
        </w:tc>
      </w:tr>
      <w:tr w:rsidR="00AD0AFD" w:rsidRPr="007E7514" w14:paraId="7F48B27C" w14:textId="77777777" w:rsidTr="00743955">
        <w:trPr>
          <w:trHeight w:val="864"/>
        </w:trPr>
        <w:tc>
          <w:tcPr>
            <w:tcW w:w="0" w:type="auto"/>
            <w:tcBorders>
              <w:top w:val="nil"/>
              <w:left w:val="single" w:sz="4" w:space="0" w:color="auto"/>
              <w:bottom w:val="single" w:sz="4" w:space="0" w:color="auto"/>
              <w:right w:val="single" w:sz="4" w:space="0" w:color="auto"/>
            </w:tcBorders>
          </w:tcPr>
          <w:p w14:paraId="6E8A459D" w14:textId="3752CA9B"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8</w:t>
            </w:r>
          </w:p>
        </w:tc>
        <w:tc>
          <w:tcPr>
            <w:tcW w:w="1341" w:type="dxa"/>
            <w:tcBorders>
              <w:top w:val="nil"/>
              <w:left w:val="nil"/>
              <w:bottom w:val="single" w:sz="4" w:space="0" w:color="auto"/>
              <w:right w:val="single" w:sz="4" w:space="0" w:color="auto"/>
            </w:tcBorders>
          </w:tcPr>
          <w:p w14:paraId="499D9949"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3E0E6C19"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Busia United Community Based Organisation </w:t>
            </w:r>
            <w:r w:rsidRPr="007E7514">
              <w:rPr>
                <w:rFonts w:asciiTheme="minorHAnsi" w:hAnsiTheme="minorHAnsi" w:cstheme="minorHAnsi"/>
                <w:sz w:val="20"/>
                <w:szCs w:val="20"/>
                <w:lang w:val="en-GB"/>
              </w:rPr>
              <w:br/>
              <w:t>(BU-CBO)</w:t>
            </w:r>
          </w:p>
        </w:tc>
        <w:tc>
          <w:tcPr>
            <w:tcW w:w="4340" w:type="dxa"/>
            <w:tcBorders>
              <w:top w:val="nil"/>
              <w:left w:val="nil"/>
              <w:bottom w:val="single" w:sz="4" w:space="0" w:color="auto"/>
              <w:right w:val="single" w:sz="4" w:space="0" w:color="auto"/>
            </w:tcBorders>
          </w:tcPr>
          <w:p w14:paraId="4A55C81C"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BU-CBO Mercury-free Centre in Busia</w:t>
            </w:r>
          </w:p>
        </w:tc>
        <w:tc>
          <w:tcPr>
            <w:tcW w:w="1275" w:type="dxa"/>
            <w:tcBorders>
              <w:top w:val="nil"/>
              <w:left w:val="nil"/>
              <w:bottom w:val="single" w:sz="4" w:space="0" w:color="auto"/>
              <w:right w:val="single" w:sz="4" w:space="0" w:color="auto"/>
            </w:tcBorders>
          </w:tcPr>
          <w:p w14:paraId="57EAA985"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11/2019 - 10/2021</w:t>
            </w:r>
          </w:p>
        </w:tc>
        <w:tc>
          <w:tcPr>
            <w:tcW w:w="1236" w:type="dxa"/>
            <w:tcBorders>
              <w:top w:val="nil"/>
              <w:left w:val="nil"/>
              <w:bottom w:val="single" w:sz="4" w:space="0" w:color="auto"/>
              <w:right w:val="single" w:sz="4" w:space="0" w:color="auto"/>
            </w:tcBorders>
          </w:tcPr>
          <w:p w14:paraId="60763ADE"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45,000</w:t>
            </w:r>
          </w:p>
        </w:tc>
        <w:tc>
          <w:tcPr>
            <w:tcW w:w="1425" w:type="dxa"/>
            <w:tcBorders>
              <w:top w:val="nil"/>
              <w:left w:val="nil"/>
              <w:bottom w:val="single" w:sz="4" w:space="0" w:color="auto"/>
              <w:right w:val="single" w:sz="4" w:space="0" w:color="auto"/>
            </w:tcBorders>
          </w:tcPr>
          <w:p w14:paraId="32BD318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1F223B46"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17,150</w:t>
            </w:r>
          </w:p>
        </w:tc>
      </w:tr>
      <w:tr w:rsidR="00AD0AFD" w:rsidRPr="007E7514" w14:paraId="422C7013" w14:textId="77777777" w:rsidTr="00743955">
        <w:trPr>
          <w:trHeight w:val="663"/>
        </w:trPr>
        <w:tc>
          <w:tcPr>
            <w:tcW w:w="0" w:type="auto"/>
            <w:tcBorders>
              <w:top w:val="nil"/>
              <w:left w:val="single" w:sz="4" w:space="0" w:color="auto"/>
              <w:bottom w:val="single" w:sz="4" w:space="0" w:color="auto"/>
              <w:right w:val="single" w:sz="4" w:space="0" w:color="auto"/>
            </w:tcBorders>
          </w:tcPr>
          <w:p w14:paraId="22F438E2" w14:textId="13C4A9F5"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9</w:t>
            </w:r>
          </w:p>
        </w:tc>
        <w:tc>
          <w:tcPr>
            <w:tcW w:w="1341" w:type="dxa"/>
            <w:tcBorders>
              <w:top w:val="nil"/>
              <w:left w:val="nil"/>
              <w:bottom w:val="single" w:sz="4" w:space="0" w:color="auto"/>
              <w:right w:val="single" w:sz="4" w:space="0" w:color="auto"/>
            </w:tcBorders>
          </w:tcPr>
          <w:p w14:paraId="0E36F711"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6DB10D28"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Rays of Hope Development Initiative (RHODI)</w:t>
            </w:r>
          </w:p>
        </w:tc>
        <w:tc>
          <w:tcPr>
            <w:tcW w:w="4340" w:type="dxa"/>
            <w:tcBorders>
              <w:top w:val="nil"/>
              <w:left w:val="nil"/>
              <w:bottom w:val="single" w:sz="4" w:space="0" w:color="auto"/>
              <w:right w:val="single" w:sz="4" w:space="0" w:color="auto"/>
            </w:tcBorders>
          </w:tcPr>
          <w:p w14:paraId="3C52AA66"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RHODI Mercury-free Technologies</w:t>
            </w:r>
          </w:p>
        </w:tc>
        <w:tc>
          <w:tcPr>
            <w:tcW w:w="1275" w:type="dxa"/>
            <w:tcBorders>
              <w:top w:val="nil"/>
              <w:left w:val="nil"/>
              <w:bottom w:val="single" w:sz="4" w:space="0" w:color="auto"/>
              <w:right w:val="single" w:sz="4" w:space="0" w:color="auto"/>
            </w:tcBorders>
          </w:tcPr>
          <w:p w14:paraId="4A5FD010"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11/2019 - 2/2020</w:t>
            </w:r>
          </w:p>
        </w:tc>
        <w:tc>
          <w:tcPr>
            <w:tcW w:w="1236" w:type="dxa"/>
            <w:tcBorders>
              <w:top w:val="nil"/>
              <w:left w:val="nil"/>
              <w:bottom w:val="single" w:sz="4" w:space="0" w:color="auto"/>
              <w:right w:val="single" w:sz="4" w:space="0" w:color="auto"/>
            </w:tcBorders>
          </w:tcPr>
          <w:p w14:paraId="58BDDAD1"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w:t>
            </w:r>
          </w:p>
        </w:tc>
        <w:tc>
          <w:tcPr>
            <w:tcW w:w="1425" w:type="dxa"/>
            <w:tcBorders>
              <w:top w:val="nil"/>
              <w:left w:val="nil"/>
              <w:bottom w:val="single" w:sz="4" w:space="0" w:color="auto"/>
              <w:right w:val="single" w:sz="4" w:space="0" w:color="auto"/>
            </w:tcBorders>
          </w:tcPr>
          <w:p w14:paraId="06805813"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04BF83B5"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23,889</w:t>
            </w:r>
          </w:p>
        </w:tc>
      </w:tr>
      <w:tr w:rsidR="00AD0AFD" w:rsidRPr="007E7514" w14:paraId="37E0B717" w14:textId="77777777" w:rsidTr="00743955">
        <w:trPr>
          <w:trHeight w:val="864"/>
        </w:trPr>
        <w:tc>
          <w:tcPr>
            <w:tcW w:w="0" w:type="auto"/>
            <w:tcBorders>
              <w:top w:val="nil"/>
              <w:left w:val="single" w:sz="4" w:space="0" w:color="auto"/>
              <w:bottom w:val="single" w:sz="4" w:space="0" w:color="auto"/>
              <w:right w:val="single" w:sz="4" w:space="0" w:color="auto"/>
            </w:tcBorders>
          </w:tcPr>
          <w:p w14:paraId="3DD46105" w14:textId="1840251E"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10</w:t>
            </w:r>
          </w:p>
        </w:tc>
        <w:tc>
          <w:tcPr>
            <w:tcW w:w="1341" w:type="dxa"/>
            <w:tcBorders>
              <w:top w:val="nil"/>
              <w:left w:val="nil"/>
              <w:bottom w:val="single" w:sz="4" w:space="0" w:color="auto"/>
              <w:right w:val="single" w:sz="4" w:space="0" w:color="auto"/>
            </w:tcBorders>
          </w:tcPr>
          <w:p w14:paraId="179AC7AC"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27EAD692"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National Association of Professional Environmentalists (NAPE)</w:t>
            </w:r>
          </w:p>
        </w:tc>
        <w:tc>
          <w:tcPr>
            <w:tcW w:w="4340" w:type="dxa"/>
            <w:tcBorders>
              <w:top w:val="nil"/>
              <w:left w:val="nil"/>
              <w:bottom w:val="single" w:sz="4" w:space="0" w:color="auto"/>
              <w:right w:val="single" w:sz="4" w:space="0" w:color="auto"/>
            </w:tcBorders>
          </w:tcPr>
          <w:p w14:paraId="773664A5"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NAPE - Promoting Mercury-free Gold</w:t>
            </w:r>
          </w:p>
        </w:tc>
        <w:tc>
          <w:tcPr>
            <w:tcW w:w="1275" w:type="dxa"/>
            <w:tcBorders>
              <w:top w:val="nil"/>
              <w:left w:val="nil"/>
              <w:bottom w:val="single" w:sz="4" w:space="0" w:color="auto"/>
              <w:right w:val="single" w:sz="4" w:space="0" w:color="auto"/>
            </w:tcBorders>
          </w:tcPr>
          <w:p w14:paraId="7CC00453"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11/2019 - 10/2021</w:t>
            </w:r>
          </w:p>
        </w:tc>
        <w:tc>
          <w:tcPr>
            <w:tcW w:w="1236" w:type="dxa"/>
            <w:tcBorders>
              <w:top w:val="nil"/>
              <w:left w:val="nil"/>
              <w:bottom w:val="single" w:sz="4" w:space="0" w:color="auto"/>
              <w:right w:val="single" w:sz="4" w:space="0" w:color="auto"/>
            </w:tcBorders>
          </w:tcPr>
          <w:p w14:paraId="6D72E40D"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20,000</w:t>
            </w:r>
          </w:p>
        </w:tc>
        <w:tc>
          <w:tcPr>
            <w:tcW w:w="1425" w:type="dxa"/>
            <w:tcBorders>
              <w:top w:val="nil"/>
              <w:left w:val="nil"/>
              <w:bottom w:val="single" w:sz="4" w:space="0" w:color="auto"/>
              <w:right w:val="single" w:sz="4" w:space="0" w:color="auto"/>
            </w:tcBorders>
          </w:tcPr>
          <w:p w14:paraId="6BA3C952"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cash:</w:t>
            </w:r>
          </w:p>
          <w:p w14:paraId="056F3FB6"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6,923</w:t>
            </w:r>
          </w:p>
          <w:p w14:paraId="17EBD268"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4CF3967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2,725</w:t>
            </w:r>
          </w:p>
        </w:tc>
      </w:tr>
      <w:tr w:rsidR="00AD0AFD" w:rsidRPr="007E7514" w14:paraId="682C275C" w14:textId="77777777" w:rsidTr="00743955">
        <w:trPr>
          <w:trHeight w:val="864"/>
        </w:trPr>
        <w:tc>
          <w:tcPr>
            <w:tcW w:w="0" w:type="auto"/>
            <w:tcBorders>
              <w:top w:val="nil"/>
              <w:left w:val="single" w:sz="4" w:space="0" w:color="auto"/>
              <w:bottom w:val="single" w:sz="4" w:space="0" w:color="auto"/>
              <w:right w:val="single" w:sz="4" w:space="0" w:color="auto"/>
            </w:tcBorders>
          </w:tcPr>
          <w:p w14:paraId="42DCAEFE" w14:textId="40DA6E93"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11</w:t>
            </w:r>
          </w:p>
        </w:tc>
        <w:tc>
          <w:tcPr>
            <w:tcW w:w="1341" w:type="dxa"/>
            <w:tcBorders>
              <w:top w:val="nil"/>
              <w:left w:val="nil"/>
              <w:bottom w:val="single" w:sz="4" w:space="0" w:color="auto"/>
              <w:right w:val="single" w:sz="4" w:space="0" w:color="auto"/>
            </w:tcBorders>
          </w:tcPr>
          <w:p w14:paraId="2732249C"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49B34272"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Pro-Biodiversity Conservationists of Uganda (PROBICOU)</w:t>
            </w:r>
          </w:p>
        </w:tc>
        <w:tc>
          <w:tcPr>
            <w:tcW w:w="4340" w:type="dxa"/>
            <w:tcBorders>
              <w:top w:val="nil"/>
              <w:left w:val="nil"/>
              <w:bottom w:val="single" w:sz="4" w:space="0" w:color="auto"/>
              <w:right w:val="single" w:sz="4" w:space="0" w:color="auto"/>
            </w:tcBorders>
          </w:tcPr>
          <w:p w14:paraId="7D08FE14"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PROBICOU Mercury-free Gold Mining</w:t>
            </w:r>
          </w:p>
        </w:tc>
        <w:tc>
          <w:tcPr>
            <w:tcW w:w="1275" w:type="dxa"/>
            <w:tcBorders>
              <w:top w:val="nil"/>
              <w:left w:val="nil"/>
              <w:bottom w:val="single" w:sz="4" w:space="0" w:color="auto"/>
              <w:right w:val="single" w:sz="4" w:space="0" w:color="auto"/>
            </w:tcBorders>
          </w:tcPr>
          <w:p w14:paraId="5D085055"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11/2019 - 10/2021</w:t>
            </w:r>
          </w:p>
        </w:tc>
        <w:tc>
          <w:tcPr>
            <w:tcW w:w="1236" w:type="dxa"/>
            <w:tcBorders>
              <w:top w:val="nil"/>
              <w:left w:val="nil"/>
              <w:bottom w:val="single" w:sz="4" w:space="0" w:color="auto"/>
              <w:right w:val="single" w:sz="4" w:space="0" w:color="auto"/>
            </w:tcBorders>
          </w:tcPr>
          <w:p w14:paraId="22FEAB84"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nil"/>
              <w:left w:val="nil"/>
              <w:bottom w:val="single" w:sz="4" w:space="0" w:color="auto"/>
              <w:right w:val="single" w:sz="4" w:space="0" w:color="auto"/>
            </w:tcBorders>
          </w:tcPr>
          <w:p w14:paraId="1F06AA3E"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cash:</w:t>
            </w:r>
          </w:p>
          <w:p w14:paraId="5DBDC458"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10,000</w:t>
            </w:r>
          </w:p>
          <w:p w14:paraId="54224A2C"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42844A88"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10,000</w:t>
            </w:r>
          </w:p>
        </w:tc>
      </w:tr>
      <w:tr w:rsidR="00AD0AFD" w:rsidRPr="007E7514" w14:paraId="1860DE24" w14:textId="77777777" w:rsidTr="00743955">
        <w:trPr>
          <w:trHeight w:val="864"/>
        </w:trPr>
        <w:tc>
          <w:tcPr>
            <w:tcW w:w="0" w:type="auto"/>
            <w:tcBorders>
              <w:top w:val="nil"/>
              <w:left w:val="single" w:sz="4" w:space="0" w:color="auto"/>
              <w:bottom w:val="single" w:sz="4" w:space="0" w:color="auto"/>
              <w:right w:val="single" w:sz="4" w:space="0" w:color="auto"/>
            </w:tcBorders>
          </w:tcPr>
          <w:p w14:paraId="00EEDA1B" w14:textId="6320C23E"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12</w:t>
            </w:r>
          </w:p>
        </w:tc>
        <w:tc>
          <w:tcPr>
            <w:tcW w:w="1341" w:type="dxa"/>
            <w:tcBorders>
              <w:top w:val="nil"/>
              <w:left w:val="nil"/>
              <w:bottom w:val="single" w:sz="4" w:space="0" w:color="auto"/>
              <w:right w:val="single" w:sz="4" w:space="0" w:color="auto"/>
            </w:tcBorders>
          </w:tcPr>
          <w:p w14:paraId="6631DD94"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220E5135"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Supporting  Development Initiatives and Actions (SUDIA)</w:t>
            </w:r>
          </w:p>
        </w:tc>
        <w:tc>
          <w:tcPr>
            <w:tcW w:w="4340" w:type="dxa"/>
            <w:tcBorders>
              <w:top w:val="nil"/>
              <w:left w:val="nil"/>
              <w:bottom w:val="single" w:sz="4" w:space="0" w:color="auto"/>
              <w:right w:val="single" w:sz="4" w:space="0" w:color="auto"/>
            </w:tcBorders>
          </w:tcPr>
          <w:p w14:paraId="1A4E266A" w14:textId="77777777" w:rsidR="00AD0AFD" w:rsidRPr="007E7514" w:rsidRDefault="00AD0AFD" w:rsidP="00AD0AFD">
            <w:pPr>
              <w:pStyle w:val="BodyText"/>
              <w:spacing w:before="5"/>
              <w:rPr>
                <w:rFonts w:asciiTheme="minorHAnsi" w:hAnsiTheme="minorHAnsi" w:cstheme="minorHAnsi"/>
                <w:i/>
                <w:iCs/>
                <w:sz w:val="20"/>
                <w:szCs w:val="20"/>
                <w:lang w:val="en-GB"/>
              </w:rPr>
            </w:pPr>
            <w:proofErr w:type="spellStart"/>
            <w:r w:rsidRPr="007E7514">
              <w:rPr>
                <w:rFonts w:asciiTheme="minorHAnsi" w:hAnsiTheme="minorHAnsi" w:cstheme="minorHAnsi"/>
                <w:i/>
                <w:iCs/>
                <w:sz w:val="20"/>
                <w:szCs w:val="20"/>
                <w:lang w:val="en-GB"/>
              </w:rPr>
              <w:t>Sudia</w:t>
            </w:r>
            <w:proofErr w:type="spellEnd"/>
            <w:r w:rsidRPr="007E7514">
              <w:rPr>
                <w:rFonts w:asciiTheme="minorHAnsi" w:hAnsiTheme="minorHAnsi" w:cstheme="minorHAnsi"/>
                <w:i/>
                <w:iCs/>
                <w:sz w:val="20"/>
                <w:szCs w:val="20"/>
                <w:lang w:val="en-GB"/>
              </w:rPr>
              <w:t xml:space="preserve"> Mercury Use Control in </w:t>
            </w:r>
            <w:proofErr w:type="spellStart"/>
            <w:r w:rsidRPr="007E7514">
              <w:rPr>
                <w:rFonts w:asciiTheme="minorHAnsi" w:hAnsiTheme="minorHAnsi" w:cstheme="minorHAnsi"/>
                <w:i/>
                <w:iCs/>
                <w:sz w:val="20"/>
                <w:szCs w:val="20"/>
                <w:lang w:val="en-GB"/>
              </w:rPr>
              <w:t>Namayingo</w:t>
            </w:r>
            <w:proofErr w:type="spellEnd"/>
          </w:p>
        </w:tc>
        <w:tc>
          <w:tcPr>
            <w:tcW w:w="1275" w:type="dxa"/>
            <w:tcBorders>
              <w:top w:val="nil"/>
              <w:left w:val="nil"/>
              <w:bottom w:val="single" w:sz="4" w:space="0" w:color="auto"/>
              <w:right w:val="single" w:sz="4" w:space="0" w:color="auto"/>
            </w:tcBorders>
          </w:tcPr>
          <w:p w14:paraId="432460E9"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4/2020 - 3/2022</w:t>
            </w:r>
          </w:p>
        </w:tc>
        <w:tc>
          <w:tcPr>
            <w:tcW w:w="1236" w:type="dxa"/>
            <w:tcBorders>
              <w:top w:val="nil"/>
              <w:left w:val="nil"/>
              <w:bottom w:val="single" w:sz="4" w:space="0" w:color="auto"/>
              <w:right w:val="single" w:sz="4" w:space="0" w:color="auto"/>
            </w:tcBorders>
          </w:tcPr>
          <w:p w14:paraId="65A6B185"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20,000</w:t>
            </w:r>
          </w:p>
        </w:tc>
        <w:tc>
          <w:tcPr>
            <w:tcW w:w="1425" w:type="dxa"/>
            <w:tcBorders>
              <w:top w:val="nil"/>
              <w:left w:val="nil"/>
              <w:bottom w:val="single" w:sz="4" w:space="0" w:color="auto"/>
              <w:right w:val="single" w:sz="4" w:space="0" w:color="auto"/>
            </w:tcBorders>
          </w:tcPr>
          <w:p w14:paraId="46F52437"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cash: 3,055</w:t>
            </w:r>
          </w:p>
          <w:p w14:paraId="457B3735"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2301D54E"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1,500</w:t>
            </w:r>
          </w:p>
        </w:tc>
      </w:tr>
      <w:tr w:rsidR="00AD0AFD" w:rsidRPr="007E7514" w14:paraId="7A9A7888" w14:textId="77777777" w:rsidTr="00743955">
        <w:trPr>
          <w:trHeight w:val="864"/>
        </w:trPr>
        <w:tc>
          <w:tcPr>
            <w:tcW w:w="0" w:type="auto"/>
            <w:tcBorders>
              <w:top w:val="nil"/>
              <w:left w:val="single" w:sz="4" w:space="0" w:color="auto"/>
              <w:bottom w:val="single" w:sz="4" w:space="0" w:color="auto"/>
              <w:right w:val="single" w:sz="4" w:space="0" w:color="auto"/>
            </w:tcBorders>
          </w:tcPr>
          <w:p w14:paraId="5736C585" w14:textId="7FC04CD0"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13</w:t>
            </w:r>
          </w:p>
        </w:tc>
        <w:tc>
          <w:tcPr>
            <w:tcW w:w="1341" w:type="dxa"/>
            <w:tcBorders>
              <w:top w:val="nil"/>
              <w:left w:val="nil"/>
              <w:bottom w:val="single" w:sz="4" w:space="0" w:color="auto"/>
              <w:right w:val="single" w:sz="4" w:space="0" w:color="auto"/>
            </w:tcBorders>
          </w:tcPr>
          <w:p w14:paraId="6B44733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3C057833"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Vision Care Foundation (VCF)</w:t>
            </w:r>
          </w:p>
        </w:tc>
        <w:tc>
          <w:tcPr>
            <w:tcW w:w="4340" w:type="dxa"/>
            <w:tcBorders>
              <w:top w:val="nil"/>
              <w:left w:val="nil"/>
              <w:bottom w:val="single" w:sz="4" w:space="0" w:color="auto"/>
              <w:right w:val="single" w:sz="4" w:space="0" w:color="auto"/>
            </w:tcBorders>
          </w:tcPr>
          <w:p w14:paraId="38E10762"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VCF Advancing Zero-mercury Gold</w:t>
            </w:r>
          </w:p>
        </w:tc>
        <w:tc>
          <w:tcPr>
            <w:tcW w:w="1275" w:type="dxa"/>
            <w:tcBorders>
              <w:top w:val="nil"/>
              <w:left w:val="nil"/>
              <w:bottom w:val="single" w:sz="4" w:space="0" w:color="auto"/>
              <w:right w:val="single" w:sz="4" w:space="0" w:color="auto"/>
            </w:tcBorders>
          </w:tcPr>
          <w:p w14:paraId="2BE4FFB0"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4/2020 - 3/2022</w:t>
            </w:r>
          </w:p>
        </w:tc>
        <w:tc>
          <w:tcPr>
            <w:tcW w:w="1236" w:type="dxa"/>
            <w:tcBorders>
              <w:top w:val="nil"/>
              <w:left w:val="nil"/>
              <w:bottom w:val="single" w:sz="4" w:space="0" w:color="auto"/>
              <w:right w:val="single" w:sz="4" w:space="0" w:color="auto"/>
            </w:tcBorders>
          </w:tcPr>
          <w:p w14:paraId="0B31C88D"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20,000</w:t>
            </w:r>
          </w:p>
        </w:tc>
        <w:tc>
          <w:tcPr>
            <w:tcW w:w="1425" w:type="dxa"/>
            <w:tcBorders>
              <w:top w:val="nil"/>
              <w:left w:val="nil"/>
              <w:bottom w:val="single" w:sz="4" w:space="0" w:color="auto"/>
              <w:right w:val="single" w:sz="4" w:space="0" w:color="auto"/>
            </w:tcBorders>
          </w:tcPr>
          <w:p w14:paraId="0FE772E3"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cash: 2,850</w:t>
            </w:r>
          </w:p>
          <w:p w14:paraId="3D2F21A4"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542A6CBD"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2,171</w:t>
            </w:r>
          </w:p>
        </w:tc>
      </w:tr>
      <w:tr w:rsidR="00AD0AFD" w:rsidRPr="007E7514" w14:paraId="513CE7BF" w14:textId="77777777" w:rsidTr="00743955">
        <w:trPr>
          <w:trHeight w:val="893"/>
        </w:trPr>
        <w:tc>
          <w:tcPr>
            <w:tcW w:w="0" w:type="auto"/>
            <w:tcBorders>
              <w:top w:val="nil"/>
              <w:left w:val="single" w:sz="4" w:space="0" w:color="auto"/>
              <w:bottom w:val="single" w:sz="4" w:space="0" w:color="auto"/>
              <w:right w:val="single" w:sz="4" w:space="0" w:color="auto"/>
            </w:tcBorders>
          </w:tcPr>
          <w:p w14:paraId="130EEC80" w14:textId="01E0854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14</w:t>
            </w:r>
          </w:p>
        </w:tc>
        <w:tc>
          <w:tcPr>
            <w:tcW w:w="1341" w:type="dxa"/>
            <w:tcBorders>
              <w:top w:val="nil"/>
              <w:left w:val="nil"/>
              <w:bottom w:val="single" w:sz="4" w:space="0" w:color="auto"/>
              <w:right w:val="single" w:sz="4" w:space="0" w:color="auto"/>
            </w:tcBorders>
          </w:tcPr>
          <w:p w14:paraId="3E939DF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4020517E"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Support for Women in Agriculture and Environment (SWAGEN)</w:t>
            </w:r>
          </w:p>
        </w:tc>
        <w:tc>
          <w:tcPr>
            <w:tcW w:w="4340" w:type="dxa"/>
            <w:tcBorders>
              <w:top w:val="nil"/>
              <w:left w:val="nil"/>
              <w:bottom w:val="single" w:sz="4" w:space="0" w:color="auto"/>
              <w:right w:val="single" w:sz="4" w:space="0" w:color="auto"/>
            </w:tcBorders>
          </w:tcPr>
          <w:p w14:paraId="32E3282A"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SWAGEN Safe Artisanal Gold Mining</w:t>
            </w:r>
          </w:p>
        </w:tc>
        <w:tc>
          <w:tcPr>
            <w:tcW w:w="1275" w:type="dxa"/>
            <w:tcBorders>
              <w:top w:val="nil"/>
              <w:left w:val="nil"/>
              <w:bottom w:val="single" w:sz="4" w:space="0" w:color="auto"/>
              <w:right w:val="single" w:sz="4" w:space="0" w:color="auto"/>
            </w:tcBorders>
          </w:tcPr>
          <w:p w14:paraId="4F88A17B"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4/2020 - 6/2020</w:t>
            </w:r>
          </w:p>
        </w:tc>
        <w:tc>
          <w:tcPr>
            <w:tcW w:w="1236" w:type="dxa"/>
            <w:tcBorders>
              <w:top w:val="nil"/>
              <w:left w:val="nil"/>
              <w:bottom w:val="single" w:sz="4" w:space="0" w:color="auto"/>
              <w:right w:val="single" w:sz="4" w:space="0" w:color="auto"/>
            </w:tcBorders>
          </w:tcPr>
          <w:p w14:paraId="47A7DDCD"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w:t>
            </w:r>
          </w:p>
        </w:tc>
        <w:tc>
          <w:tcPr>
            <w:tcW w:w="1425" w:type="dxa"/>
            <w:tcBorders>
              <w:top w:val="nil"/>
              <w:left w:val="nil"/>
              <w:bottom w:val="single" w:sz="4" w:space="0" w:color="auto"/>
              <w:right w:val="single" w:sz="4" w:space="0" w:color="auto"/>
            </w:tcBorders>
          </w:tcPr>
          <w:p w14:paraId="0DF4CD74"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cash:</w:t>
            </w:r>
          </w:p>
          <w:p w14:paraId="037A95A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12,000</w:t>
            </w:r>
          </w:p>
          <w:p w14:paraId="10CC48EB"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08160EA8"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20,500</w:t>
            </w:r>
          </w:p>
        </w:tc>
      </w:tr>
      <w:tr w:rsidR="00AD0AFD" w:rsidRPr="007E7514" w14:paraId="5E31887F" w14:textId="77777777" w:rsidTr="00743955">
        <w:trPr>
          <w:trHeight w:val="677"/>
        </w:trPr>
        <w:tc>
          <w:tcPr>
            <w:tcW w:w="0" w:type="auto"/>
            <w:tcBorders>
              <w:top w:val="nil"/>
              <w:left w:val="single" w:sz="4" w:space="0" w:color="auto"/>
              <w:bottom w:val="single" w:sz="4" w:space="0" w:color="auto"/>
              <w:right w:val="single" w:sz="4" w:space="0" w:color="auto"/>
            </w:tcBorders>
          </w:tcPr>
          <w:p w14:paraId="28936461" w14:textId="4E291DB9"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15</w:t>
            </w:r>
          </w:p>
        </w:tc>
        <w:tc>
          <w:tcPr>
            <w:tcW w:w="1341" w:type="dxa"/>
            <w:tcBorders>
              <w:top w:val="nil"/>
              <w:left w:val="nil"/>
              <w:bottom w:val="single" w:sz="4" w:space="0" w:color="auto"/>
              <w:right w:val="single" w:sz="4" w:space="0" w:color="auto"/>
            </w:tcBorders>
          </w:tcPr>
          <w:p w14:paraId="397E967C"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w:t>
            </w:r>
          </w:p>
        </w:tc>
        <w:tc>
          <w:tcPr>
            <w:tcW w:w="1994" w:type="dxa"/>
            <w:tcBorders>
              <w:top w:val="nil"/>
              <w:left w:val="nil"/>
              <w:bottom w:val="single" w:sz="4" w:space="0" w:color="auto"/>
              <w:right w:val="single" w:sz="4" w:space="0" w:color="auto"/>
            </w:tcBorders>
          </w:tcPr>
          <w:p w14:paraId="485FE432"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Uganda National Association of Community and Occupational Health (UNACOH)</w:t>
            </w:r>
          </w:p>
        </w:tc>
        <w:tc>
          <w:tcPr>
            <w:tcW w:w="4340" w:type="dxa"/>
            <w:tcBorders>
              <w:top w:val="nil"/>
              <w:left w:val="nil"/>
              <w:bottom w:val="single" w:sz="4" w:space="0" w:color="auto"/>
              <w:right w:val="single" w:sz="4" w:space="0" w:color="auto"/>
            </w:tcBorders>
          </w:tcPr>
          <w:p w14:paraId="21C22124" w14:textId="77777777"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UNACOH Reducing Mercury Use in Gold Mining</w:t>
            </w:r>
          </w:p>
        </w:tc>
        <w:tc>
          <w:tcPr>
            <w:tcW w:w="1275" w:type="dxa"/>
            <w:tcBorders>
              <w:top w:val="nil"/>
              <w:left w:val="nil"/>
              <w:bottom w:val="single" w:sz="4" w:space="0" w:color="auto"/>
              <w:right w:val="single" w:sz="4" w:space="0" w:color="auto"/>
            </w:tcBorders>
          </w:tcPr>
          <w:p w14:paraId="2F7E26C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4/2020 - 3/2022</w:t>
            </w:r>
          </w:p>
        </w:tc>
        <w:tc>
          <w:tcPr>
            <w:tcW w:w="1236" w:type="dxa"/>
            <w:tcBorders>
              <w:top w:val="nil"/>
              <w:left w:val="nil"/>
              <w:bottom w:val="single" w:sz="4" w:space="0" w:color="auto"/>
              <w:right w:val="single" w:sz="4" w:space="0" w:color="auto"/>
            </w:tcBorders>
          </w:tcPr>
          <w:p w14:paraId="15A2DC84"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nil"/>
              <w:left w:val="nil"/>
              <w:bottom w:val="single" w:sz="4" w:space="0" w:color="auto"/>
              <w:right w:val="single" w:sz="4" w:space="0" w:color="auto"/>
            </w:tcBorders>
          </w:tcPr>
          <w:p w14:paraId="23F27238"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2714A603"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23,400</w:t>
            </w:r>
          </w:p>
        </w:tc>
      </w:tr>
      <w:tr w:rsidR="00AD0AFD" w:rsidRPr="007E7514" w14:paraId="3A87CECA" w14:textId="77777777" w:rsidTr="00743955">
        <w:trPr>
          <w:trHeight w:val="864"/>
        </w:trPr>
        <w:tc>
          <w:tcPr>
            <w:tcW w:w="0" w:type="auto"/>
            <w:tcBorders>
              <w:top w:val="single" w:sz="4" w:space="0" w:color="auto"/>
              <w:left w:val="single" w:sz="4" w:space="0" w:color="auto"/>
              <w:bottom w:val="single" w:sz="4" w:space="0" w:color="auto"/>
              <w:right w:val="single" w:sz="4" w:space="0" w:color="auto"/>
            </w:tcBorders>
          </w:tcPr>
          <w:p w14:paraId="5CF16A23" w14:textId="597453DC"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16</w:t>
            </w:r>
          </w:p>
        </w:tc>
        <w:tc>
          <w:tcPr>
            <w:tcW w:w="1341" w:type="dxa"/>
            <w:tcBorders>
              <w:top w:val="single" w:sz="4" w:space="0" w:color="auto"/>
              <w:left w:val="nil"/>
              <w:bottom w:val="single" w:sz="4" w:space="0" w:color="auto"/>
              <w:right w:val="single" w:sz="4" w:space="0" w:color="auto"/>
            </w:tcBorders>
          </w:tcPr>
          <w:p w14:paraId="3481A1AC" w14:textId="272D89CE"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Zimbabwe</w:t>
            </w:r>
          </w:p>
        </w:tc>
        <w:tc>
          <w:tcPr>
            <w:tcW w:w="1994" w:type="dxa"/>
            <w:tcBorders>
              <w:top w:val="single" w:sz="4" w:space="0" w:color="auto"/>
              <w:left w:val="nil"/>
              <w:bottom w:val="single" w:sz="4" w:space="0" w:color="auto"/>
              <w:right w:val="single" w:sz="4" w:space="0" w:color="auto"/>
            </w:tcBorders>
          </w:tcPr>
          <w:p w14:paraId="6C241EF8" w14:textId="190C62B4" w:rsidR="00AD0AFD" w:rsidRPr="007E7514" w:rsidRDefault="00AD0AFD" w:rsidP="00AD0AFD">
            <w:pPr>
              <w:pStyle w:val="BodyText"/>
              <w:spacing w:before="5"/>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Mthandazo</w:t>
            </w:r>
            <w:proofErr w:type="spellEnd"/>
            <w:r w:rsidRPr="007E7514">
              <w:rPr>
                <w:rFonts w:asciiTheme="minorHAnsi" w:hAnsiTheme="minorHAnsi" w:cstheme="minorHAnsi"/>
                <w:sz w:val="20"/>
                <w:szCs w:val="20"/>
                <w:lang w:val="en-GB"/>
              </w:rPr>
              <w:t xml:space="preserve"> Women Miners Association Trust (MWNAT)</w:t>
            </w:r>
          </w:p>
        </w:tc>
        <w:tc>
          <w:tcPr>
            <w:tcW w:w="4340" w:type="dxa"/>
            <w:tcBorders>
              <w:top w:val="single" w:sz="4" w:space="0" w:color="auto"/>
              <w:left w:val="nil"/>
              <w:bottom w:val="single" w:sz="4" w:space="0" w:color="auto"/>
              <w:right w:val="single" w:sz="4" w:space="0" w:color="auto"/>
            </w:tcBorders>
          </w:tcPr>
          <w:p w14:paraId="40C507FB" w14:textId="0B335615"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Empowered Women in Artisanal and Small-scale Gold Mining Benefiting from Mining in a Sustainable and Environmentally Friendly Manner in </w:t>
            </w:r>
            <w:proofErr w:type="spellStart"/>
            <w:r w:rsidRPr="007E7514">
              <w:rPr>
                <w:rFonts w:asciiTheme="minorHAnsi" w:hAnsiTheme="minorHAnsi" w:cstheme="minorHAnsi"/>
                <w:i/>
                <w:iCs/>
                <w:sz w:val="20"/>
                <w:szCs w:val="20"/>
                <w:lang w:val="en-GB"/>
              </w:rPr>
              <w:t>Gwanda</w:t>
            </w:r>
            <w:proofErr w:type="spellEnd"/>
          </w:p>
        </w:tc>
        <w:tc>
          <w:tcPr>
            <w:tcW w:w="1275" w:type="dxa"/>
            <w:tcBorders>
              <w:top w:val="single" w:sz="4" w:space="0" w:color="auto"/>
              <w:left w:val="nil"/>
              <w:bottom w:val="single" w:sz="4" w:space="0" w:color="auto"/>
              <w:right w:val="single" w:sz="4" w:space="0" w:color="auto"/>
            </w:tcBorders>
          </w:tcPr>
          <w:p w14:paraId="61CFF3A2" w14:textId="4B7A0A11"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3/2020 - 12/2022</w:t>
            </w:r>
          </w:p>
        </w:tc>
        <w:tc>
          <w:tcPr>
            <w:tcW w:w="1236" w:type="dxa"/>
            <w:tcBorders>
              <w:top w:val="single" w:sz="4" w:space="0" w:color="auto"/>
              <w:left w:val="nil"/>
              <w:bottom w:val="single" w:sz="4" w:space="0" w:color="auto"/>
              <w:right w:val="single" w:sz="4" w:space="0" w:color="auto"/>
            </w:tcBorders>
          </w:tcPr>
          <w:p w14:paraId="01C28AB0" w14:textId="23E10EFC"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single" w:sz="4" w:space="0" w:color="auto"/>
              <w:left w:val="nil"/>
              <w:bottom w:val="single" w:sz="4" w:space="0" w:color="auto"/>
              <w:right w:val="single" w:sz="4" w:space="0" w:color="auto"/>
            </w:tcBorders>
          </w:tcPr>
          <w:p w14:paraId="0C08A71A"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1F4F2694" w14:textId="42FF43D9"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184,200</w:t>
            </w:r>
          </w:p>
        </w:tc>
      </w:tr>
      <w:tr w:rsidR="00AD0AFD" w:rsidRPr="007E7514" w14:paraId="2DE344A1" w14:textId="77777777" w:rsidTr="00743955">
        <w:trPr>
          <w:trHeight w:val="510"/>
        </w:trPr>
        <w:tc>
          <w:tcPr>
            <w:tcW w:w="0" w:type="auto"/>
            <w:tcBorders>
              <w:top w:val="single" w:sz="4" w:space="0" w:color="auto"/>
              <w:left w:val="single" w:sz="4" w:space="0" w:color="auto"/>
              <w:bottom w:val="single" w:sz="4" w:space="0" w:color="auto"/>
              <w:right w:val="single" w:sz="4" w:space="0" w:color="auto"/>
            </w:tcBorders>
          </w:tcPr>
          <w:p w14:paraId="6CD31530" w14:textId="5351586C"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17</w:t>
            </w:r>
          </w:p>
        </w:tc>
        <w:tc>
          <w:tcPr>
            <w:tcW w:w="1341" w:type="dxa"/>
            <w:tcBorders>
              <w:top w:val="single" w:sz="4" w:space="0" w:color="auto"/>
              <w:left w:val="nil"/>
              <w:bottom w:val="single" w:sz="4" w:space="0" w:color="auto"/>
              <w:right w:val="single" w:sz="4" w:space="0" w:color="auto"/>
            </w:tcBorders>
          </w:tcPr>
          <w:p w14:paraId="78E0B9FC" w14:textId="4033B348"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Zimbabwe</w:t>
            </w:r>
          </w:p>
        </w:tc>
        <w:tc>
          <w:tcPr>
            <w:tcW w:w="1994" w:type="dxa"/>
            <w:tcBorders>
              <w:top w:val="single" w:sz="4" w:space="0" w:color="auto"/>
              <w:left w:val="nil"/>
              <w:bottom w:val="single" w:sz="4" w:space="0" w:color="auto"/>
              <w:right w:val="single" w:sz="4" w:space="0" w:color="auto"/>
            </w:tcBorders>
          </w:tcPr>
          <w:p w14:paraId="604BF9F2" w14:textId="1A719F02"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Prospect Mining Syndicate (PMS)</w:t>
            </w:r>
          </w:p>
        </w:tc>
        <w:tc>
          <w:tcPr>
            <w:tcW w:w="4340" w:type="dxa"/>
            <w:tcBorders>
              <w:top w:val="single" w:sz="4" w:space="0" w:color="auto"/>
              <w:left w:val="nil"/>
              <w:bottom w:val="single" w:sz="4" w:space="0" w:color="auto"/>
              <w:right w:val="single" w:sz="4" w:space="0" w:color="auto"/>
            </w:tcBorders>
          </w:tcPr>
          <w:p w14:paraId="5DC0AD6D" w14:textId="3924B590"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Promotion of Alternatives to Mercury Use in Artisanal and Small-</w:t>
            </w:r>
            <w:r w:rsidR="009A03B1"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Mining</w:t>
            </w:r>
          </w:p>
        </w:tc>
        <w:tc>
          <w:tcPr>
            <w:tcW w:w="1275" w:type="dxa"/>
            <w:tcBorders>
              <w:top w:val="single" w:sz="4" w:space="0" w:color="auto"/>
              <w:left w:val="nil"/>
              <w:bottom w:val="single" w:sz="4" w:space="0" w:color="auto"/>
              <w:right w:val="single" w:sz="4" w:space="0" w:color="auto"/>
            </w:tcBorders>
          </w:tcPr>
          <w:p w14:paraId="43CA19BF" w14:textId="2790E396"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3/2020 - 12/2022</w:t>
            </w:r>
          </w:p>
        </w:tc>
        <w:tc>
          <w:tcPr>
            <w:tcW w:w="1236" w:type="dxa"/>
            <w:tcBorders>
              <w:top w:val="single" w:sz="4" w:space="0" w:color="auto"/>
              <w:left w:val="nil"/>
              <w:bottom w:val="single" w:sz="4" w:space="0" w:color="auto"/>
              <w:right w:val="single" w:sz="4" w:space="0" w:color="auto"/>
            </w:tcBorders>
          </w:tcPr>
          <w:p w14:paraId="3B4A847C" w14:textId="7C77AA22"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single" w:sz="4" w:space="0" w:color="auto"/>
              <w:left w:val="nil"/>
              <w:bottom w:val="single" w:sz="4" w:space="0" w:color="auto"/>
              <w:right w:val="single" w:sz="4" w:space="0" w:color="auto"/>
            </w:tcBorders>
          </w:tcPr>
          <w:p w14:paraId="15C6E6D8"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34C9698E" w14:textId="0A92B620"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106,145</w:t>
            </w:r>
          </w:p>
        </w:tc>
      </w:tr>
      <w:tr w:rsidR="00AD0AFD" w:rsidRPr="007E7514" w14:paraId="02095DB5" w14:textId="77777777" w:rsidTr="00743955">
        <w:trPr>
          <w:trHeight w:val="702"/>
        </w:trPr>
        <w:tc>
          <w:tcPr>
            <w:tcW w:w="0" w:type="auto"/>
            <w:tcBorders>
              <w:top w:val="nil"/>
              <w:left w:val="single" w:sz="4" w:space="0" w:color="auto"/>
              <w:bottom w:val="single" w:sz="4" w:space="0" w:color="auto"/>
              <w:right w:val="single" w:sz="4" w:space="0" w:color="auto"/>
            </w:tcBorders>
          </w:tcPr>
          <w:p w14:paraId="2D4E4DF3" w14:textId="4EA879D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18</w:t>
            </w:r>
          </w:p>
        </w:tc>
        <w:tc>
          <w:tcPr>
            <w:tcW w:w="1341" w:type="dxa"/>
            <w:tcBorders>
              <w:top w:val="nil"/>
              <w:left w:val="nil"/>
              <w:bottom w:val="single" w:sz="4" w:space="0" w:color="auto"/>
              <w:right w:val="single" w:sz="4" w:space="0" w:color="auto"/>
            </w:tcBorders>
          </w:tcPr>
          <w:p w14:paraId="301126A4" w14:textId="0C2F20D2"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Zimbabwe</w:t>
            </w:r>
          </w:p>
        </w:tc>
        <w:tc>
          <w:tcPr>
            <w:tcW w:w="1994" w:type="dxa"/>
            <w:tcBorders>
              <w:top w:val="nil"/>
              <w:left w:val="nil"/>
              <w:bottom w:val="single" w:sz="4" w:space="0" w:color="auto"/>
              <w:right w:val="single" w:sz="4" w:space="0" w:color="auto"/>
            </w:tcBorders>
          </w:tcPr>
          <w:p w14:paraId="1D04205F" w14:textId="070AE0C0"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Institute of Mining Research (IMR)</w:t>
            </w:r>
          </w:p>
        </w:tc>
        <w:tc>
          <w:tcPr>
            <w:tcW w:w="4340" w:type="dxa"/>
            <w:tcBorders>
              <w:top w:val="nil"/>
              <w:left w:val="nil"/>
              <w:bottom w:val="single" w:sz="4" w:space="0" w:color="auto"/>
              <w:right w:val="single" w:sz="4" w:space="0" w:color="auto"/>
            </w:tcBorders>
          </w:tcPr>
          <w:p w14:paraId="425A983B" w14:textId="475CCBAA"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Introduction of Borax as a Substitute for Mercury in Gold Extraction (</w:t>
            </w:r>
            <w:proofErr w:type="spellStart"/>
            <w:r w:rsidRPr="007E7514">
              <w:rPr>
                <w:rFonts w:asciiTheme="minorHAnsi" w:hAnsiTheme="minorHAnsi" w:cstheme="minorHAnsi"/>
                <w:i/>
                <w:iCs/>
                <w:sz w:val="20"/>
                <w:szCs w:val="20"/>
                <w:lang w:val="en-GB"/>
              </w:rPr>
              <w:t>BSMGE</w:t>
            </w:r>
            <w:proofErr w:type="spellEnd"/>
            <w:r w:rsidRPr="007E7514">
              <w:rPr>
                <w:rFonts w:asciiTheme="minorHAnsi" w:hAnsiTheme="minorHAnsi" w:cstheme="minorHAnsi"/>
                <w:i/>
                <w:iCs/>
                <w:sz w:val="20"/>
                <w:szCs w:val="20"/>
                <w:lang w:val="en-GB"/>
              </w:rPr>
              <w:t>) in Kadoma-</w:t>
            </w:r>
            <w:proofErr w:type="spellStart"/>
            <w:r w:rsidRPr="007E7514">
              <w:rPr>
                <w:rFonts w:asciiTheme="minorHAnsi" w:hAnsiTheme="minorHAnsi" w:cstheme="minorHAnsi"/>
                <w:i/>
                <w:iCs/>
                <w:sz w:val="20"/>
                <w:szCs w:val="20"/>
                <w:lang w:val="en-GB"/>
              </w:rPr>
              <w:t>Chakari</w:t>
            </w:r>
            <w:proofErr w:type="spellEnd"/>
            <w:r w:rsidRPr="007E7514">
              <w:rPr>
                <w:rFonts w:asciiTheme="minorHAnsi" w:hAnsiTheme="minorHAnsi" w:cstheme="minorHAnsi"/>
                <w:i/>
                <w:iCs/>
                <w:sz w:val="20"/>
                <w:szCs w:val="20"/>
                <w:lang w:val="en-GB"/>
              </w:rPr>
              <w:t xml:space="preserve"> Area</w:t>
            </w:r>
          </w:p>
        </w:tc>
        <w:tc>
          <w:tcPr>
            <w:tcW w:w="1275" w:type="dxa"/>
            <w:tcBorders>
              <w:top w:val="nil"/>
              <w:left w:val="nil"/>
              <w:bottom w:val="single" w:sz="4" w:space="0" w:color="auto"/>
              <w:right w:val="single" w:sz="4" w:space="0" w:color="auto"/>
            </w:tcBorders>
          </w:tcPr>
          <w:p w14:paraId="288EE05C" w14:textId="4DFE0F26"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8/2020 - 12/2022</w:t>
            </w:r>
          </w:p>
        </w:tc>
        <w:tc>
          <w:tcPr>
            <w:tcW w:w="1236" w:type="dxa"/>
            <w:tcBorders>
              <w:top w:val="nil"/>
              <w:left w:val="nil"/>
              <w:bottom w:val="single" w:sz="4" w:space="0" w:color="auto"/>
              <w:right w:val="single" w:sz="4" w:space="0" w:color="auto"/>
            </w:tcBorders>
          </w:tcPr>
          <w:p w14:paraId="0C41E37F" w14:textId="26980F34"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nil"/>
              <w:left w:val="nil"/>
              <w:bottom w:val="single" w:sz="4" w:space="0" w:color="auto"/>
              <w:right w:val="single" w:sz="4" w:space="0" w:color="auto"/>
            </w:tcBorders>
          </w:tcPr>
          <w:p w14:paraId="328C1509"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090438F2" w14:textId="430FB743"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41,950</w:t>
            </w:r>
          </w:p>
        </w:tc>
      </w:tr>
      <w:tr w:rsidR="00AD0AFD" w:rsidRPr="007E7514" w14:paraId="46C712AE" w14:textId="77777777" w:rsidTr="00743955">
        <w:trPr>
          <w:trHeight w:val="795"/>
        </w:trPr>
        <w:tc>
          <w:tcPr>
            <w:tcW w:w="0" w:type="auto"/>
            <w:tcBorders>
              <w:top w:val="nil"/>
              <w:left w:val="single" w:sz="4" w:space="0" w:color="auto"/>
              <w:bottom w:val="single" w:sz="4" w:space="0" w:color="auto"/>
              <w:right w:val="single" w:sz="4" w:space="0" w:color="auto"/>
            </w:tcBorders>
          </w:tcPr>
          <w:p w14:paraId="18F28AC8" w14:textId="7D7D12CE"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19</w:t>
            </w:r>
          </w:p>
        </w:tc>
        <w:tc>
          <w:tcPr>
            <w:tcW w:w="1341" w:type="dxa"/>
            <w:tcBorders>
              <w:top w:val="nil"/>
              <w:left w:val="nil"/>
              <w:bottom w:val="single" w:sz="4" w:space="0" w:color="auto"/>
              <w:right w:val="single" w:sz="4" w:space="0" w:color="auto"/>
            </w:tcBorders>
          </w:tcPr>
          <w:p w14:paraId="2BC2D28E" w14:textId="2437FE73"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Zimbabwe</w:t>
            </w:r>
          </w:p>
        </w:tc>
        <w:tc>
          <w:tcPr>
            <w:tcW w:w="1994" w:type="dxa"/>
            <w:tcBorders>
              <w:top w:val="nil"/>
              <w:left w:val="nil"/>
              <w:bottom w:val="single" w:sz="4" w:space="0" w:color="auto"/>
              <w:right w:val="single" w:sz="4" w:space="0" w:color="auto"/>
            </w:tcBorders>
          </w:tcPr>
          <w:p w14:paraId="6C145864" w14:textId="13293FF9" w:rsidR="00AD0AFD" w:rsidRPr="007E7514" w:rsidRDefault="00AD0AFD" w:rsidP="00AD0AFD">
            <w:pPr>
              <w:pStyle w:val="BodyText"/>
              <w:spacing w:before="5"/>
              <w:rPr>
                <w:rFonts w:asciiTheme="minorHAnsi" w:hAnsiTheme="minorHAnsi" w:cstheme="minorHAnsi"/>
                <w:sz w:val="20"/>
                <w:szCs w:val="20"/>
                <w:lang w:val="en-GB"/>
              </w:rPr>
            </w:pPr>
            <w:proofErr w:type="spellStart"/>
            <w:r w:rsidRPr="007E7514">
              <w:rPr>
                <w:rFonts w:asciiTheme="minorHAnsi" w:hAnsiTheme="minorHAnsi" w:cstheme="minorHAnsi"/>
                <w:sz w:val="20"/>
                <w:szCs w:val="20"/>
                <w:lang w:val="en-GB"/>
              </w:rPr>
              <w:t>Gingie</w:t>
            </w:r>
            <w:proofErr w:type="spellEnd"/>
            <w:r w:rsidRPr="007E7514">
              <w:rPr>
                <w:rFonts w:asciiTheme="minorHAnsi" w:hAnsiTheme="minorHAnsi" w:cstheme="minorHAnsi"/>
                <w:sz w:val="20"/>
                <w:szCs w:val="20"/>
                <w:lang w:val="en-GB"/>
              </w:rPr>
              <w:t xml:space="preserve"> West Mining Syndicate (GWMS)</w:t>
            </w:r>
          </w:p>
        </w:tc>
        <w:tc>
          <w:tcPr>
            <w:tcW w:w="4340" w:type="dxa"/>
            <w:tcBorders>
              <w:top w:val="nil"/>
              <w:left w:val="nil"/>
              <w:bottom w:val="single" w:sz="4" w:space="0" w:color="auto"/>
              <w:right w:val="single" w:sz="4" w:space="0" w:color="auto"/>
            </w:tcBorders>
          </w:tcPr>
          <w:p w14:paraId="638FE71E" w14:textId="3087DDCB" w:rsidR="00AD0AFD" w:rsidRPr="007E7514" w:rsidRDefault="00AD0AFD" w:rsidP="00AD0AFD">
            <w:pPr>
              <w:pStyle w:val="BodyText"/>
              <w:spacing w:before="5"/>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Awareness, Knowledge Sharing and Implementation of Alternatives to Mercury Use through On-site Demonstrations and Documentation of Mercury-free Technology</w:t>
            </w:r>
          </w:p>
        </w:tc>
        <w:tc>
          <w:tcPr>
            <w:tcW w:w="1275" w:type="dxa"/>
            <w:tcBorders>
              <w:top w:val="nil"/>
              <w:left w:val="nil"/>
              <w:bottom w:val="single" w:sz="4" w:space="0" w:color="auto"/>
              <w:right w:val="single" w:sz="4" w:space="0" w:color="auto"/>
            </w:tcBorders>
          </w:tcPr>
          <w:p w14:paraId="22A24E3B" w14:textId="67548046"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12/2020 - 12/2023</w:t>
            </w:r>
          </w:p>
        </w:tc>
        <w:tc>
          <w:tcPr>
            <w:tcW w:w="1236" w:type="dxa"/>
            <w:tcBorders>
              <w:top w:val="nil"/>
              <w:left w:val="nil"/>
              <w:bottom w:val="single" w:sz="4" w:space="0" w:color="auto"/>
              <w:right w:val="single" w:sz="4" w:space="0" w:color="auto"/>
            </w:tcBorders>
          </w:tcPr>
          <w:p w14:paraId="479FE93A" w14:textId="2FC9DADE"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50,000</w:t>
            </w:r>
          </w:p>
        </w:tc>
        <w:tc>
          <w:tcPr>
            <w:tcW w:w="1425" w:type="dxa"/>
            <w:tcBorders>
              <w:top w:val="nil"/>
              <w:left w:val="nil"/>
              <w:bottom w:val="single" w:sz="4" w:space="0" w:color="auto"/>
              <w:right w:val="single" w:sz="4" w:space="0" w:color="auto"/>
            </w:tcBorders>
          </w:tcPr>
          <w:p w14:paraId="6DDE3D87"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cash:</w:t>
            </w:r>
          </w:p>
          <w:p w14:paraId="01EB5DCE"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1,500</w:t>
            </w:r>
          </w:p>
          <w:p w14:paraId="3D7A61C2"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In kind:</w:t>
            </w:r>
          </w:p>
          <w:p w14:paraId="5CC32DF6" w14:textId="1B05129E"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sz w:val="20"/>
                <w:szCs w:val="20"/>
                <w:lang w:val="en-GB"/>
              </w:rPr>
              <w:t>23,520</w:t>
            </w:r>
          </w:p>
        </w:tc>
      </w:tr>
      <w:tr w:rsidR="00AD0AFD" w:rsidRPr="007E7514" w14:paraId="2DE2E727" w14:textId="77777777" w:rsidTr="00743955">
        <w:trPr>
          <w:trHeight w:val="864"/>
        </w:trPr>
        <w:tc>
          <w:tcPr>
            <w:tcW w:w="9849" w:type="dxa"/>
            <w:gridSpan w:val="5"/>
            <w:tcBorders>
              <w:top w:val="single" w:sz="4" w:space="0" w:color="auto"/>
              <w:left w:val="single" w:sz="4" w:space="0" w:color="auto"/>
              <w:bottom w:val="single" w:sz="4" w:space="0" w:color="auto"/>
              <w:right w:val="single" w:sz="4" w:space="0" w:color="auto"/>
            </w:tcBorders>
          </w:tcPr>
          <w:p w14:paraId="6A7EBA1B"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b/>
                <w:bCs/>
                <w:sz w:val="20"/>
                <w:szCs w:val="20"/>
                <w:lang w:val="en-GB"/>
              </w:rPr>
              <w:t>TOTAL</w:t>
            </w:r>
          </w:p>
        </w:tc>
        <w:tc>
          <w:tcPr>
            <w:tcW w:w="1236" w:type="dxa"/>
            <w:tcBorders>
              <w:top w:val="single" w:sz="4" w:space="0" w:color="auto"/>
              <w:left w:val="nil"/>
              <w:bottom w:val="single" w:sz="4" w:space="0" w:color="auto"/>
              <w:right w:val="single" w:sz="4" w:space="0" w:color="auto"/>
            </w:tcBorders>
          </w:tcPr>
          <w:p w14:paraId="1AB68570"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b/>
                <w:bCs/>
                <w:sz w:val="20"/>
                <w:szCs w:val="20"/>
                <w:lang w:val="en-GB"/>
              </w:rPr>
              <w:t>701,500</w:t>
            </w:r>
          </w:p>
        </w:tc>
        <w:tc>
          <w:tcPr>
            <w:tcW w:w="1425" w:type="dxa"/>
            <w:tcBorders>
              <w:top w:val="single" w:sz="4" w:space="0" w:color="auto"/>
              <w:left w:val="nil"/>
              <w:bottom w:val="single" w:sz="4" w:space="0" w:color="auto"/>
              <w:right w:val="single" w:sz="4" w:space="0" w:color="auto"/>
            </w:tcBorders>
          </w:tcPr>
          <w:p w14:paraId="43A2D787" w14:textId="77777777" w:rsidR="00585A9E" w:rsidRPr="007E7514" w:rsidRDefault="00585A9E" w:rsidP="00AD0AFD">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598,108</w:t>
            </w:r>
          </w:p>
          <w:p w14:paraId="6729D52E" w14:textId="17877BBE" w:rsidR="00AD0AFD" w:rsidRPr="007E7514" w:rsidRDefault="00AD0AFD" w:rsidP="00AD0AFD">
            <w:pPr>
              <w:pStyle w:val="BodyText"/>
              <w:spacing w:before="5"/>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In cash: 37,328</w:t>
            </w:r>
          </w:p>
          <w:p w14:paraId="4AE42817" w14:textId="77777777" w:rsidR="00AD0AFD" w:rsidRPr="007E7514" w:rsidRDefault="00AD0AFD" w:rsidP="00AD0AFD">
            <w:pPr>
              <w:pStyle w:val="BodyText"/>
              <w:spacing w:before="5"/>
              <w:rPr>
                <w:rFonts w:asciiTheme="minorHAnsi" w:hAnsiTheme="minorHAnsi" w:cstheme="minorHAnsi"/>
                <w:sz w:val="20"/>
                <w:szCs w:val="20"/>
                <w:lang w:val="en-GB"/>
              </w:rPr>
            </w:pPr>
            <w:r w:rsidRPr="007E7514">
              <w:rPr>
                <w:rFonts w:asciiTheme="minorHAnsi" w:hAnsiTheme="minorHAnsi" w:cstheme="minorHAnsi"/>
                <w:b/>
                <w:bCs/>
                <w:sz w:val="20"/>
                <w:szCs w:val="20"/>
                <w:lang w:val="en-GB"/>
              </w:rPr>
              <w:t>In kind: 560,780</w:t>
            </w:r>
          </w:p>
        </w:tc>
      </w:tr>
    </w:tbl>
    <w:p w14:paraId="025F6D1F" w14:textId="77777777" w:rsidR="004B5F8D" w:rsidRPr="007E7514" w:rsidRDefault="004B5F8D" w:rsidP="005D7C1E">
      <w:pPr>
        <w:pStyle w:val="Heading1"/>
        <w:rPr>
          <w:lang w:val="en-GB"/>
        </w:rPr>
        <w:sectPr w:rsidR="004B5F8D" w:rsidRPr="007E7514" w:rsidSect="00BD7490">
          <w:headerReference w:type="even" r:id="rId37"/>
          <w:headerReference w:type="default" r:id="rId38"/>
          <w:headerReference w:type="first" r:id="rId39"/>
          <w:pgSz w:w="15840" w:h="12240" w:orient="landscape"/>
          <w:pgMar w:top="1440" w:right="1440" w:bottom="1440" w:left="1440" w:header="0" w:footer="1365" w:gutter="0"/>
          <w:cols w:space="720"/>
          <w:docGrid w:linePitch="326"/>
        </w:sectPr>
      </w:pPr>
    </w:p>
    <w:p w14:paraId="6E626ED5" w14:textId="6EC478E9" w:rsidR="000B7F26" w:rsidRPr="007E7514" w:rsidRDefault="000B7F26" w:rsidP="005D7C1E">
      <w:pPr>
        <w:pStyle w:val="Heading1"/>
        <w:rPr>
          <w:sz w:val="24"/>
          <w:szCs w:val="24"/>
          <w:lang w:val="en-GB"/>
        </w:rPr>
      </w:pPr>
      <w:bookmarkStart w:id="86" w:name="_Toc76405388"/>
      <w:r w:rsidRPr="007E7514">
        <w:rPr>
          <w:sz w:val="24"/>
          <w:szCs w:val="24"/>
          <w:lang w:val="en-GB"/>
        </w:rPr>
        <w:lastRenderedPageBreak/>
        <w:t>Annex 3: List of Countries that Received GEF Support for Enabling Activities</w:t>
      </w:r>
      <w:bookmarkEnd w:id="86"/>
    </w:p>
    <w:p w14:paraId="2FFDF04D" w14:textId="77777777" w:rsidR="0066238C" w:rsidRPr="007E7514" w:rsidRDefault="0066238C" w:rsidP="005D7C1E">
      <w:pPr>
        <w:pStyle w:val="Heading1"/>
        <w:rPr>
          <w:sz w:val="24"/>
          <w:szCs w:val="24"/>
          <w:lang w:val="en-GB"/>
        </w:rPr>
      </w:pPr>
    </w:p>
    <w:p w14:paraId="64FC1541" w14:textId="05BB7494" w:rsidR="0066238C" w:rsidRPr="007E7514" w:rsidRDefault="00A042C6" w:rsidP="009F391A">
      <w:pPr>
        <w:rPr>
          <w:rFonts w:asciiTheme="minorHAnsi" w:hAnsiTheme="minorHAnsi" w:cstheme="minorHAnsi"/>
          <w:b/>
          <w:lang w:val="en-GB"/>
        </w:rPr>
      </w:pPr>
      <w:r w:rsidRPr="007E7514">
        <w:rPr>
          <w:rFonts w:asciiTheme="minorHAnsi" w:hAnsiTheme="minorHAnsi" w:cstheme="minorHAnsi"/>
          <w:lang w:val="en-GB"/>
        </w:rPr>
        <w:t>In order t</w:t>
      </w:r>
      <w:r w:rsidR="0066238C" w:rsidRPr="007E7514">
        <w:rPr>
          <w:rFonts w:asciiTheme="minorHAnsi" w:hAnsiTheme="minorHAnsi" w:cstheme="minorHAnsi"/>
          <w:lang w:val="en-GB"/>
        </w:rPr>
        <w:t xml:space="preserve">o support </w:t>
      </w:r>
      <w:r w:rsidRPr="007E7514">
        <w:rPr>
          <w:rFonts w:asciiTheme="minorHAnsi" w:hAnsiTheme="minorHAnsi" w:cstheme="minorHAnsi"/>
          <w:lang w:val="en-GB"/>
        </w:rPr>
        <w:t xml:space="preserve">the </w:t>
      </w:r>
      <w:r w:rsidR="0066238C" w:rsidRPr="007E7514">
        <w:rPr>
          <w:rFonts w:asciiTheme="minorHAnsi" w:hAnsiTheme="minorHAnsi" w:cstheme="minorHAnsi"/>
          <w:lang w:val="en-GB"/>
        </w:rPr>
        <w:t xml:space="preserve">ratification of the </w:t>
      </w:r>
      <w:r w:rsidRPr="007E7514">
        <w:rPr>
          <w:rFonts w:asciiTheme="minorHAnsi" w:hAnsiTheme="minorHAnsi" w:cstheme="minorHAnsi"/>
          <w:lang w:val="en-GB"/>
        </w:rPr>
        <w:t>C</w:t>
      </w:r>
      <w:r w:rsidR="0066238C" w:rsidRPr="007E7514">
        <w:rPr>
          <w:rFonts w:asciiTheme="minorHAnsi" w:hAnsiTheme="minorHAnsi" w:cstheme="minorHAnsi"/>
          <w:lang w:val="en-GB"/>
        </w:rPr>
        <w:t xml:space="preserve">onvention, the GEF prioritized funding </w:t>
      </w:r>
      <w:r w:rsidRPr="007E7514">
        <w:rPr>
          <w:rFonts w:asciiTheme="minorHAnsi" w:hAnsiTheme="minorHAnsi" w:cstheme="minorHAnsi"/>
          <w:lang w:val="en-GB"/>
        </w:rPr>
        <w:t>EAs</w:t>
      </w:r>
      <w:r w:rsidR="0066238C" w:rsidRPr="007E7514">
        <w:rPr>
          <w:rFonts w:asciiTheme="minorHAnsi" w:hAnsiTheme="minorHAnsi" w:cstheme="minorHAnsi"/>
          <w:lang w:val="en-GB"/>
        </w:rPr>
        <w:t xml:space="preserve">. </w:t>
      </w:r>
      <w:r w:rsidR="009A03B1" w:rsidRPr="007E7514">
        <w:rPr>
          <w:rFonts w:asciiTheme="minorHAnsi" w:hAnsiTheme="minorHAnsi" w:cstheme="minorHAnsi"/>
          <w:lang w:val="en-GB"/>
        </w:rPr>
        <w:t>As at June 30, 2021</w:t>
      </w:r>
      <w:r w:rsidR="0066238C" w:rsidRPr="007E7514">
        <w:rPr>
          <w:rFonts w:asciiTheme="minorHAnsi" w:hAnsiTheme="minorHAnsi" w:cstheme="minorHAnsi"/>
          <w:lang w:val="en-GB"/>
        </w:rPr>
        <w:t>, the GEF has funded MIAs for 11</w:t>
      </w:r>
      <w:r w:rsidR="006E276C" w:rsidRPr="007E7514">
        <w:rPr>
          <w:rFonts w:asciiTheme="minorHAnsi" w:hAnsiTheme="minorHAnsi" w:cstheme="minorHAnsi"/>
          <w:lang w:val="en-GB"/>
        </w:rPr>
        <w:t>7</w:t>
      </w:r>
      <w:r w:rsidR="0066238C" w:rsidRPr="007E7514">
        <w:rPr>
          <w:rFonts w:asciiTheme="minorHAnsi" w:hAnsiTheme="minorHAnsi" w:cstheme="minorHAnsi"/>
          <w:lang w:val="en-GB"/>
        </w:rPr>
        <w:t xml:space="preserve"> countries and </w:t>
      </w:r>
      <w:r w:rsidR="00DB2DA6" w:rsidRPr="007E7514">
        <w:rPr>
          <w:rFonts w:asciiTheme="minorHAnsi" w:hAnsiTheme="minorHAnsi" w:cstheme="minorHAnsi"/>
          <w:lang w:val="en-GB"/>
        </w:rPr>
        <w:t>4</w:t>
      </w:r>
      <w:r w:rsidR="006E276C" w:rsidRPr="007E7514">
        <w:rPr>
          <w:rFonts w:asciiTheme="minorHAnsi" w:hAnsiTheme="minorHAnsi" w:cstheme="minorHAnsi"/>
          <w:lang w:val="en-GB"/>
        </w:rPr>
        <w:t>3</w:t>
      </w:r>
      <w:r w:rsidR="0066238C" w:rsidRPr="007E7514">
        <w:rPr>
          <w:rFonts w:asciiTheme="minorHAnsi" w:hAnsiTheme="minorHAnsi" w:cstheme="minorHAnsi"/>
          <w:lang w:val="en-GB"/>
        </w:rPr>
        <w:t xml:space="preserve"> ASGM NAPs.</w:t>
      </w:r>
      <w:r w:rsidR="0066238C" w:rsidRPr="007E7514">
        <w:rPr>
          <w:rStyle w:val="FootnoteReference"/>
          <w:rFonts w:asciiTheme="minorHAnsi" w:hAnsiTheme="minorHAnsi" w:cstheme="minorHAnsi"/>
          <w:lang w:val="en-GB"/>
        </w:rPr>
        <w:footnoteReference w:id="37"/>
      </w:r>
      <w:r w:rsidR="0066238C" w:rsidRPr="007E7514">
        <w:rPr>
          <w:rFonts w:asciiTheme="minorHAnsi" w:hAnsiTheme="minorHAnsi" w:cstheme="minorHAnsi"/>
          <w:lang w:val="en-GB"/>
        </w:rPr>
        <w:t xml:space="preserve"> The</w:t>
      </w:r>
      <w:r w:rsidR="00625428" w:rsidRPr="007E7514">
        <w:rPr>
          <w:rFonts w:asciiTheme="minorHAnsi" w:hAnsiTheme="minorHAnsi" w:cstheme="minorHAnsi"/>
          <w:lang w:val="en-GB"/>
        </w:rPr>
        <w:t xml:space="preserve">y </w:t>
      </w:r>
      <w:r w:rsidR="0066238C" w:rsidRPr="007E7514">
        <w:rPr>
          <w:rFonts w:asciiTheme="minorHAnsi" w:hAnsiTheme="minorHAnsi" w:cstheme="minorHAnsi"/>
          <w:lang w:val="en-GB"/>
        </w:rPr>
        <w:t>are presented in the following table.</w:t>
      </w:r>
    </w:p>
    <w:p w14:paraId="51684866" w14:textId="1AC75358" w:rsidR="00336E31" w:rsidRPr="007E7514" w:rsidRDefault="00336E31" w:rsidP="00336E31">
      <w:pPr>
        <w:rPr>
          <w:lang w:val="en-GB"/>
        </w:rPr>
      </w:pPr>
      <w:bookmarkStart w:id="87" w:name="_bookmark16"/>
      <w:bookmarkStart w:id="88" w:name="_bookmark17"/>
      <w:bookmarkEnd w:id="87"/>
      <w:bookmarkEnd w:id="88"/>
    </w:p>
    <w:tbl>
      <w:tblPr>
        <w:tblW w:w="9776" w:type="dxa"/>
        <w:tblLook w:val="04A0" w:firstRow="1" w:lastRow="0" w:firstColumn="1" w:lastColumn="0" w:noHBand="0" w:noVBand="1"/>
      </w:tblPr>
      <w:tblGrid>
        <w:gridCol w:w="2405"/>
        <w:gridCol w:w="2552"/>
        <w:gridCol w:w="2283"/>
        <w:gridCol w:w="2536"/>
      </w:tblGrid>
      <w:tr w:rsidR="00336E31" w:rsidRPr="007E7514" w14:paraId="59FDBD35" w14:textId="77777777" w:rsidTr="00A1689A">
        <w:trPr>
          <w:trHeight w:val="310"/>
          <w:tblHead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A6DE03" w14:textId="6BD50A11" w:rsidR="00336E31" w:rsidRPr="007E7514" w:rsidRDefault="00336E31">
            <w:pPr>
              <w:jc w:val="cente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Minamata Initial Assessment</w:t>
            </w:r>
          </w:p>
        </w:tc>
        <w:tc>
          <w:tcPr>
            <w:tcW w:w="4819" w:type="dxa"/>
            <w:gridSpan w:val="2"/>
            <w:tcBorders>
              <w:top w:val="single" w:sz="4" w:space="0" w:color="auto"/>
              <w:left w:val="nil"/>
              <w:bottom w:val="single" w:sz="4" w:space="0" w:color="auto"/>
              <w:right w:val="single" w:sz="4" w:space="0" w:color="auto"/>
            </w:tcBorders>
            <w:shd w:val="clear" w:color="auto" w:fill="auto"/>
            <w:vAlign w:val="center"/>
            <w:hideMark/>
          </w:tcPr>
          <w:p w14:paraId="7E9FF818" w14:textId="66F029BB" w:rsidR="00336E31" w:rsidRPr="007E7514" w:rsidRDefault="00336E31">
            <w:pPr>
              <w:jc w:val="cente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ASGM National Action Plan</w:t>
            </w:r>
          </w:p>
        </w:tc>
      </w:tr>
      <w:tr w:rsidR="00336E31" w:rsidRPr="007E7514" w14:paraId="6C3E974B" w14:textId="77777777" w:rsidTr="00A1689A">
        <w:trPr>
          <w:trHeight w:val="310"/>
          <w:tblHead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6508A45" w14:textId="77777777" w:rsidR="00336E31" w:rsidRPr="007E7514" w:rsidRDefault="00336E31">
            <w:pPr>
              <w:jc w:val="cente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Parties</w:t>
            </w:r>
          </w:p>
        </w:tc>
        <w:tc>
          <w:tcPr>
            <w:tcW w:w="2552" w:type="dxa"/>
            <w:tcBorders>
              <w:top w:val="nil"/>
              <w:left w:val="nil"/>
              <w:bottom w:val="single" w:sz="4" w:space="0" w:color="auto"/>
              <w:right w:val="single" w:sz="4" w:space="0" w:color="auto"/>
            </w:tcBorders>
            <w:shd w:val="clear" w:color="auto" w:fill="auto"/>
            <w:vAlign w:val="center"/>
            <w:hideMark/>
          </w:tcPr>
          <w:p w14:paraId="0AD5681D" w14:textId="24A293A8" w:rsidR="00336E31" w:rsidRPr="007E7514" w:rsidRDefault="00336E31">
            <w:pPr>
              <w:jc w:val="cente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Non-Parties</w:t>
            </w:r>
            <w:r w:rsidR="00D424A6" w:rsidRPr="007E7514">
              <w:rPr>
                <w:rStyle w:val="FootnoteReference"/>
                <w:rFonts w:asciiTheme="minorHAnsi" w:hAnsiTheme="minorHAnsi" w:cstheme="minorHAnsi"/>
                <w:b/>
                <w:bCs/>
                <w:color w:val="000000"/>
                <w:sz w:val="20"/>
                <w:szCs w:val="20"/>
                <w:lang w:val="en-GB"/>
              </w:rPr>
              <w:footnoteReference w:id="38"/>
            </w:r>
          </w:p>
        </w:tc>
        <w:tc>
          <w:tcPr>
            <w:tcW w:w="2283" w:type="dxa"/>
            <w:tcBorders>
              <w:top w:val="nil"/>
              <w:left w:val="nil"/>
              <w:bottom w:val="single" w:sz="4" w:space="0" w:color="auto"/>
              <w:right w:val="single" w:sz="4" w:space="0" w:color="auto"/>
            </w:tcBorders>
            <w:shd w:val="clear" w:color="auto" w:fill="auto"/>
            <w:vAlign w:val="center"/>
            <w:hideMark/>
          </w:tcPr>
          <w:p w14:paraId="3807DB81" w14:textId="77777777" w:rsidR="00336E31" w:rsidRPr="007E7514" w:rsidRDefault="00336E31">
            <w:pPr>
              <w:jc w:val="cente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Parties</w:t>
            </w:r>
          </w:p>
        </w:tc>
        <w:tc>
          <w:tcPr>
            <w:tcW w:w="2536" w:type="dxa"/>
            <w:tcBorders>
              <w:top w:val="nil"/>
              <w:left w:val="nil"/>
              <w:bottom w:val="single" w:sz="4" w:space="0" w:color="auto"/>
              <w:right w:val="single" w:sz="4" w:space="0" w:color="auto"/>
            </w:tcBorders>
            <w:shd w:val="clear" w:color="auto" w:fill="auto"/>
            <w:vAlign w:val="center"/>
            <w:hideMark/>
          </w:tcPr>
          <w:p w14:paraId="207CBBD5" w14:textId="64D7E8D0" w:rsidR="00336E31" w:rsidRPr="007E7514" w:rsidRDefault="00336E31">
            <w:pPr>
              <w:jc w:val="center"/>
              <w:rPr>
                <w:rFonts w:ascii="Calibri" w:hAnsi="Calibri" w:cs="Calibri"/>
                <w:b/>
                <w:bCs/>
                <w:color w:val="000000"/>
                <w:sz w:val="20"/>
                <w:szCs w:val="20"/>
                <w:lang w:val="en-GB"/>
              </w:rPr>
            </w:pPr>
            <w:r w:rsidRPr="007E7514">
              <w:rPr>
                <w:rFonts w:ascii="Calibri" w:hAnsi="Calibri" w:cs="Calibri"/>
                <w:b/>
                <w:bCs/>
                <w:color w:val="000000"/>
                <w:sz w:val="20"/>
                <w:szCs w:val="20"/>
                <w:lang w:val="en-GB"/>
              </w:rPr>
              <w:t>Non-Parties</w:t>
            </w:r>
            <w:r w:rsidR="00DF7C1C" w:rsidRPr="007E7514">
              <w:rPr>
                <w:rFonts w:ascii="Calibri" w:hAnsi="Calibri" w:cs="Calibri"/>
                <w:b/>
                <w:bCs/>
                <w:color w:val="000000"/>
                <w:sz w:val="20"/>
                <w:szCs w:val="20"/>
                <w:vertAlign w:val="superscript"/>
                <w:lang w:val="en-GB"/>
              </w:rPr>
              <w:t>36</w:t>
            </w:r>
          </w:p>
        </w:tc>
      </w:tr>
      <w:tr w:rsidR="00336E31" w:rsidRPr="007E7514" w14:paraId="2BA10AF7" w14:textId="77777777" w:rsidTr="00A168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83F0BF0" w14:textId="77777777" w:rsidR="00336E31" w:rsidRPr="007E7514" w:rsidRDefault="00336E31" w:rsidP="00A168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Afghanistan</w:t>
            </w:r>
          </w:p>
        </w:tc>
        <w:tc>
          <w:tcPr>
            <w:tcW w:w="2552" w:type="dxa"/>
            <w:tcBorders>
              <w:top w:val="nil"/>
              <w:left w:val="nil"/>
              <w:bottom w:val="single" w:sz="4" w:space="0" w:color="auto"/>
              <w:right w:val="single" w:sz="4" w:space="0" w:color="auto"/>
            </w:tcBorders>
            <w:shd w:val="clear" w:color="auto" w:fill="auto"/>
            <w:vAlign w:val="center"/>
            <w:hideMark/>
          </w:tcPr>
          <w:p w14:paraId="65B9BB0B"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Albania*</w:t>
            </w:r>
          </w:p>
        </w:tc>
        <w:tc>
          <w:tcPr>
            <w:tcW w:w="2283" w:type="dxa"/>
            <w:tcBorders>
              <w:top w:val="nil"/>
              <w:left w:val="nil"/>
              <w:bottom w:val="single" w:sz="4" w:space="0" w:color="auto"/>
              <w:right w:val="single" w:sz="4" w:space="0" w:color="auto"/>
            </w:tcBorders>
            <w:shd w:val="clear" w:color="auto" w:fill="auto"/>
            <w:vAlign w:val="center"/>
            <w:hideMark/>
          </w:tcPr>
          <w:p w14:paraId="2149926E" w14:textId="77777777" w:rsidR="00336E31" w:rsidRPr="007E7514" w:rsidRDefault="00336E31" w:rsidP="00A168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Afghanistan</w:t>
            </w:r>
          </w:p>
        </w:tc>
        <w:tc>
          <w:tcPr>
            <w:tcW w:w="2536" w:type="dxa"/>
            <w:tcBorders>
              <w:top w:val="nil"/>
              <w:left w:val="nil"/>
              <w:bottom w:val="single" w:sz="4" w:space="0" w:color="auto"/>
              <w:right w:val="single" w:sz="4" w:space="0" w:color="auto"/>
            </w:tcBorders>
            <w:shd w:val="clear" w:color="auto" w:fill="auto"/>
            <w:vAlign w:val="center"/>
            <w:hideMark/>
          </w:tcPr>
          <w:p w14:paraId="1E833BFD" w14:textId="7777777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lang w:val="en-GB"/>
              </w:rPr>
              <w:t>Angola</w:t>
            </w:r>
          </w:p>
        </w:tc>
      </w:tr>
      <w:tr w:rsidR="00336E31" w:rsidRPr="007E7514" w14:paraId="3543094E" w14:textId="77777777" w:rsidTr="00A1689A">
        <w:trPr>
          <w:trHeight w:val="391"/>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C2E6618"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Antigua and Barbuda</w:t>
            </w:r>
          </w:p>
        </w:tc>
        <w:tc>
          <w:tcPr>
            <w:tcW w:w="2552" w:type="dxa"/>
            <w:tcBorders>
              <w:top w:val="nil"/>
              <w:left w:val="nil"/>
              <w:bottom w:val="single" w:sz="4" w:space="0" w:color="auto"/>
              <w:right w:val="single" w:sz="4" w:space="0" w:color="auto"/>
            </w:tcBorders>
            <w:shd w:val="clear" w:color="auto" w:fill="auto"/>
            <w:vAlign w:val="center"/>
            <w:hideMark/>
          </w:tcPr>
          <w:p w14:paraId="7B0F81AE"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Angola</w:t>
            </w:r>
          </w:p>
        </w:tc>
        <w:tc>
          <w:tcPr>
            <w:tcW w:w="2283" w:type="dxa"/>
            <w:tcBorders>
              <w:top w:val="nil"/>
              <w:left w:val="nil"/>
              <w:bottom w:val="single" w:sz="4" w:space="0" w:color="auto"/>
              <w:right w:val="single" w:sz="4" w:space="0" w:color="auto"/>
            </w:tcBorders>
            <w:shd w:val="clear" w:color="auto" w:fill="auto"/>
            <w:vAlign w:val="center"/>
            <w:hideMark/>
          </w:tcPr>
          <w:p w14:paraId="1CEEDDAF" w14:textId="33B7D750"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Bolivia</w:t>
            </w:r>
            <w:r w:rsidR="002D5DE6" w:rsidRPr="007E7514">
              <w:rPr>
                <w:rFonts w:asciiTheme="minorHAnsi" w:hAnsiTheme="minorHAnsi" w:cstheme="minorHAnsi"/>
                <w:color w:val="000000"/>
                <w:sz w:val="20"/>
                <w:szCs w:val="20"/>
                <w:lang w:val="en-GB"/>
              </w:rPr>
              <w:t xml:space="preserve"> (Plurinational State of)</w:t>
            </w:r>
          </w:p>
        </w:tc>
        <w:tc>
          <w:tcPr>
            <w:tcW w:w="2536" w:type="dxa"/>
            <w:tcBorders>
              <w:top w:val="nil"/>
              <w:left w:val="nil"/>
              <w:bottom w:val="single" w:sz="4" w:space="0" w:color="auto"/>
              <w:right w:val="single" w:sz="4" w:space="0" w:color="auto"/>
            </w:tcBorders>
            <w:shd w:val="clear" w:color="auto" w:fill="auto"/>
            <w:vAlign w:val="center"/>
            <w:hideMark/>
          </w:tcPr>
          <w:p w14:paraId="12BB4497" w14:textId="7777777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highlight w:val="lightGray"/>
                <w:lang w:val="en-GB"/>
              </w:rPr>
              <w:t>Burundi*</w:t>
            </w:r>
          </w:p>
        </w:tc>
      </w:tr>
      <w:tr w:rsidR="00336E31" w:rsidRPr="007E7514" w14:paraId="52807D7B" w14:textId="77777777" w:rsidTr="00A168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7C8D4DE"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Argentina*</w:t>
            </w:r>
          </w:p>
        </w:tc>
        <w:tc>
          <w:tcPr>
            <w:tcW w:w="2552" w:type="dxa"/>
            <w:tcBorders>
              <w:top w:val="nil"/>
              <w:left w:val="nil"/>
              <w:bottom w:val="single" w:sz="4" w:space="0" w:color="auto"/>
              <w:right w:val="single" w:sz="4" w:space="0" w:color="auto"/>
            </w:tcBorders>
            <w:shd w:val="clear" w:color="auto" w:fill="auto"/>
            <w:vAlign w:val="center"/>
            <w:hideMark/>
          </w:tcPr>
          <w:p w14:paraId="1E9B3931"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Azerbaijan*</w:t>
            </w:r>
          </w:p>
        </w:tc>
        <w:tc>
          <w:tcPr>
            <w:tcW w:w="2283" w:type="dxa"/>
            <w:tcBorders>
              <w:top w:val="nil"/>
              <w:left w:val="nil"/>
              <w:bottom w:val="single" w:sz="4" w:space="0" w:color="auto"/>
              <w:right w:val="single" w:sz="4" w:space="0" w:color="auto"/>
            </w:tcBorders>
            <w:shd w:val="clear" w:color="auto" w:fill="auto"/>
            <w:vAlign w:val="bottom"/>
            <w:hideMark/>
          </w:tcPr>
          <w:p w14:paraId="43EDDFE5" w14:textId="77777777" w:rsidR="00336E31" w:rsidRPr="007E7514" w:rsidRDefault="00336E31">
            <w:pPr>
              <w:rPr>
                <w:rFonts w:asciiTheme="minorHAnsi" w:hAnsiTheme="minorHAnsi" w:cstheme="minorHAnsi"/>
                <w:sz w:val="20"/>
                <w:szCs w:val="20"/>
                <w:lang w:val="en-GB"/>
              </w:rPr>
            </w:pPr>
            <w:r w:rsidRPr="007E7514">
              <w:rPr>
                <w:rFonts w:asciiTheme="minorHAnsi" w:hAnsiTheme="minorHAnsi" w:cstheme="minorHAnsi"/>
                <w:sz w:val="20"/>
                <w:szCs w:val="20"/>
                <w:lang w:val="en-GB"/>
              </w:rPr>
              <w:t>Burkina Faso*</w:t>
            </w:r>
          </w:p>
        </w:tc>
        <w:tc>
          <w:tcPr>
            <w:tcW w:w="2536" w:type="dxa"/>
            <w:tcBorders>
              <w:top w:val="nil"/>
              <w:left w:val="nil"/>
              <w:bottom w:val="single" w:sz="4" w:space="0" w:color="auto"/>
              <w:right w:val="single" w:sz="4" w:space="0" w:color="auto"/>
            </w:tcBorders>
            <w:shd w:val="clear" w:color="auto" w:fill="auto"/>
            <w:vAlign w:val="center"/>
            <w:hideMark/>
          </w:tcPr>
          <w:p w14:paraId="17B33EE4" w14:textId="7777777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highlight w:val="lightGray"/>
                <w:lang w:val="en-GB"/>
              </w:rPr>
              <w:t>Central African Republic*</w:t>
            </w:r>
          </w:p>
        </w:tc>
      </w:tr>
      <w:tr w:rsidR="00336E31" w:rsidRPr="007E7514" w14:paraId="091DE9C9" w14:textId="77777777" w:rsidTr="00A168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65AAA8E"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Armenia*</w:t>
            </w:r>
          </w:p>
        </w:tc>
        <w:tc>
          <w:tcPr>
            <w:tcW w:w="2552" w:type="dxa"/>
            <w:tcBorders>
              <w:top w:val="nil"/>
              <w:left w:val="nil"/>
              <w:bottom w:val="single" w:sz="4" w:space="0" w:color="auto"/>
              <w:right w:val="single" w:sz="4" w:space="0" w:color="auto"/>
            </w:tcBorders>
            <w:shd w:val="clear" w:color="auto" w:fill="auto"/>
            <w:vAlign w:val="center"/>
            <w:hideMark/>
          </w:tcPr>
          <w:p w14:paraId="7F4DDF60"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Bangladesh*</w:t>
            </w:r>
          </w:p>
        </w:tc>
        <w:tc>
          <w:tcPr>
            <w:tcW w:w="2283" w:type="dxa"/>
            <w:tcBorders>
              <w:top w:val="nil"/>
              <w:left w:val="nil"/>
              <w:bottom w:val="single" w:sz="4" w:space="0" w:color="auto"/>
              <w:right w:val="single" w:sz="4" w:space="0" w:color="auto"/>
            </w:tcBorders>
            <w:shd w:val="clear" w:color="auto" w:fill="auto"/>
            <w:vAlign w:val="bottom"/>
            <w:hideMark/>
          </w:tcPr>
          <w:p w14:paraId="697F6540" w14:textId="77777777" w:rsidR="00336E31" w:rsidRPr="007E7514" w:rsidRDefault="00336E31">
            <w:pPr>
              <w:rPr>
                <w:rFonts w:asciiTheme="minorHAnsi" w:hAnsiTheme="minorHAnsi" w:cstheme="minorHAnsi"/>
                <w:sz w:val="20"/>
                <w:szCs w:val="20"/>
                <w:lang w:val="en-GB"/>
              </w:rPr>
            </w:pPr>
            <w:r w:rsidRPr="007E7514">
              <w:rPr>
                <w:rFonts w:asciiTheme="minorHAnsi" w:hAnsiTheme="minorHAnsi" w:cstheme="minorHAnsi"/>
                <w:sz w:val="20"/>
                <w:szCs w:val="20"/>
                <w:lang w:val="en-GB"/>
              </w:rPr>
              <w:t>Cameroon</w:t>
            </w:r>
          </w:p>
        </w:tc>
        <w:tc>
          <w:tcPr>
            <w:tcW w:w="2536" w:type="dxa"/>
            <w:tcBorders>
              <w:top w:val="nil"/>
              <w:left w:val="nil"/>
              <w:bottom w:val="single" w:sz="4" w:space="0" w:color="auto"/>
              <w:right w:val="single" w:sz="4" w:space="0" w:color="auto"/>
            </w:tcBorders>
            <w:shd w:val="clear" w:color="auto" w:fill="auto"/>
            <w:vAlign w:val="center"/>
            <w:hideMark/>
          </w:tcPr>
          <w:p w14:paraId="575C405C" w14:textId="433164B8"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highlight w:val="lightGray"/>
                <w:lang w:val="en-GB"/>
              </w:rPr>
              <w:t>Congo</w:t>
            </w:r>
            <w:r w:rsidR="00FE0AF9" w:rsidRPr="007E7514">
              <w:rPr>
                <w:rFonts w:ascii="Calibri" w:hAnsi="Calibri" w:cs="Calibri"/>
                <w:color w:val="000000"/>
                <w:sz w:val="20"/>
                <w:szCs w:val="20"/>
                <w:lang w:val="en-GB"/>
              </w:rPr>
              <w:t>*</w:t>
            </w:r>
          </w:p>
        </w:tc>
      </w:tr>
      <w:tr w:rsidR="00336E31" w:rsidRPr="007E7514" w14:paraId="56374B0B" w14:textId="77777777" w:rsidTr="00A1689A">
        <w:trPr>
          <w:trHeight w:val="332"/>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B9E67C2"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Bahamas</w:t>
            </w:r>
          </w:p>
        </w:tc>
        <w:tc>
          <w:tcPr>
            <w:tcW w:w="2552" w:type="dxa"/>
            <w:tcBorders>
              <w:top w:val="nil"/>
              <w:left w:val="nil"/>
              <w:bottom w:val="single" w:sz="4" w:space="0" w:color="auto"/>
              <w:right w:val="single" w:sz="4" w:space="0" w:color="auto"/>
            </w:tcBorders>
            <w:shd w:val="clear" w:color="auto" w:fill="auto"/>
            <w:vAlign w:val="center"/>
            <w:hideMark/>
          </w:tcPr>
          <w:p w14:paraId="66FF6FF7"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Belarus</w:t>
            </w:r>
          </w:p>
        </w:tc>
        <w:tc>
          <w:tcPr>
            <w:tcW w:w="2283" w:type="dxa"/>
            <w:tcBorders>
              <w:top w:val="nil"/>
              <w:left w:val="nil"/>
              <w:bottom w:val="single" w:sz="4" w:space="0" w:color="auto"/>
              <w:right w:val="single" w:sz="4" w:space="0" w:color="auto"/>
            </w:tcBorders>
            <w:shd w:val="clear" w:color="auto" w:fill="auto"/>
            <w:vAlign w:val="center"/>
            <w:hideMark/>
          </w:tcPr>
          <w:p w14:paraId="7077458C" w14:textId="77777777" w:rsidR="00336E31" w:rsidRPr="007E7514" w:rsidRDefault="00336E31" w:rsidP="00A1689A">
            <w:pPr>
              <w:rPr>
                <w:rFonts w:asciiTheme="minorHAnsi" w:hAnsiTheme="minorHAnsi" w:cstheme="minorHAnsi"/>
                <w:sz w:val="20"/>
                <w:szCs w:val="20"/>
                <w:lang w:val="en-GB"/>
              </w:rPr>
            </w:pPr>
            <w:r w:rsidRPr="007E7514">
              <w:rPr>
                <w:rFonts w:asciiTheme="minorHAnsi" w:hAnsiTheme="minorHAnsi" w:cstheme="minorHAnsi"/>
                <w:sz w:val="20"/>
                <w:szCs w:val="20"/>
                <w:lang w:val="en-GB"/>
              </w:rPr>
              <w:t>Chad</w:t>
            </w:r>
          </w:p>
        </w:tc>
        <w:tc>
          <w:tcPr>
            <w:tcW w:w="2536" w:type="dxa"/>
            <w:tcBorders>
              <w:top w:val="nil"/>
              <w:left w:val="nil"/>
              <w:bottom w:val="single" w:sz="4" w:space="0" w:color="auto"/>
              <w:right w:val="single" w:sz="4" w:space="0" w:color="auto"/>
            </w:tcBorders>
            <w:shd w:val="clear" w:color="auto" w:fill="auto"/>
            <w:vAlign w:val="center"/>
            <w:hideMark/>
          </w:tcPr>
          <w:p w14:paraId="2AB3FE80" w14:textId="4A0B5A3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lang w:val="en-GB"/>
              </w:rPr>
              <w:t>Democratic Republic of the Congo</w:t>
            </w:r>
          </w:p>
        </w:tc>
      </w:tr>
      <w:tr w:rsidR="00336E31" w:rsidRPr="007E7514" w14:paraId="30A5DFAA" w14:textId="77777777" w:rsidTr="00A168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246B6F8"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Benin*</w:t>
            </w:r>
          </w:p>
        </w:tc>
        <w:tc>
          <w:tcPr>
            <w:tcW w:w="2552" w:type="dxa"/>
            <w:tcBorders>
              <w:top w:val="nil"/>
              <w:left w:val="nil"/>
              <w:bottom w:val="single" w:sz="4" w:space="0" w:color="auto"/>
              <w:right w:val="single" w:sz="4" w:space="0" w:color="auto"/>
            </w:tcBorders>
            <w:shd w:val="clear" w:color="auto" w:fill="auto"/>
            <w:vAlign w:val="center"/>
            <w:hideMark/>
          </w:tcPr>
          <w:p w14:paraId="0DE616FF"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Belize</w:t>
            </w:r>
          </w:p>
        </w:tc>
        <w:tc>
          <w:tcPr>
            <w:tcW w:w="2283" w:type="dxa"/>
            <w:tcBorders>
              <w:top w:val="nil"/>
              <w:left w:val="nil"/>
              <w:bottom w:val="single" w:sz="4" w:space="0" w:color="auto"/>
              <w:right w:val="single" w:sz="4" w:space="0" w:color="auto"/>
            </w:tcBorders>
            <w:shd w:val="clear" w:color="auto" w:fill="auto"/>
            <w:vAlign w:val="bottom"/>
            <w:hideMark/>
          </w:tcPr>
          <w:p w14:paraId="4F0CF261" w14:textId="77777777" w:rsidR="00336E31" w:rsidRPr="007E7514" w:rsidRDefault="00336E31">
            <w:pPr>
              <w:rPr>
                <w:rFonts w:asciiTheme="minorHAnsi" w:hAnsiTheme="minorHAnsi" w:cstheme="minorHAnsi"/>
                <w:sz w:val="20"/>
                <w:szCs w:val="20"/>
                <w:lang w:val="en-GB"/>
              </w:rPr>
            </w:pPr>
            <w:r w:rsidRPr="007E7514">
              <w:rPr>
                <w:rFonts w:asciiTheme="minorHAnsi" w:hAnsiTheme="minorHAnsi" w:cstheme="minorHAnsi"/>
                <w:sz w:val="20"/>
                <w:szCs w:val="20"/>
                <w:lang w:val="en-GB"/>
              </w:rPr>
              <w:t>Costa Rica</w:t>
            </w:r>
          </w:p>
        </w:tc>
        <w:tc>
          <w:tcPr>
            <w:tcW w:w="2536" w:type="dxa"/>
            <w:tcBorders>
              <w:top w:val="nil"/>
              <w:left w:val="nil"/>
              <w:bottom w:val="single" w:sz="4" w:space="0" w:color="auto"/>
              <w:right w:val="single" w:sz="4" w:space="0" w:color="auto"/>
            </w:tcBorders>
            <w:shd w:val="clear" w:color="auto" w:fill="auto"/>
            <w:vAlign w:val="center"/>
            <w:hideMark/>
          </w:tcPr>
          <w:p w14:paraId="3EBB407D" w14:textId="7777777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lang w:val="en-GB"/>
              </w:rPr>
              <w:t>Eritrea</w:t>
            </w:r>
          </w:p>
        </w:tc>
      </w:tr>
      <w:tr w:rsidR="00336E31" w:rsidRPr="007E7514" w14:paraId="3083B540" w14:textId="77777777" w:rsidTr="00A168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68257F2" w14:textId="26BBFD02"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Bolivia</w:t>
            </w:r>
            <w:r w:rsidR="00A5776C" w:rsidRPr="007E7514">
              <w:rPr>
                <w:rFonts w:asciiTheme="minorHAnsi" w:hAnsiTheme="minorHAnsi" w:cstheme="minorHAnsi"/>
                <w:color w:val="000000"/>
                <w:sz w:val="20"/>
                <w:szCs w:val="20"/>
                <w:lang w:val="en-GB"/>
              </w:rPr>
              <w:t xml:space="preserve"> (Plurinational State of)</w:t>
            </w:r>
            <w:r w:rsidR="00293440" w:rsidRPr="007E7514">
              <w:rPr>
                <w:rFonts w:asciiTheme="minorHAnsi" w:hAnsiTheme="minorHAnsi" w:cstheme="minorHAnsi"/>
                <w:color w:val="000000"/>
                <w:sz w:val="20"/>
                <w:szCs w:val="20"/>
                <w:lang w:val="en-GB"/>
              </w:rPr>
              <w:t>*</w:t>
            </w:r>
          </w:p>
        </w:tc>
        <w:tc>
          <w:tcPr>
            <w:tcW w:w="2552" w:type="dxa"/>
            <w:tcBorders>
              <w:top w:val="nil"/>
              <w:left w:val="nil"/>
              <w:bottom w:val="single" w:sz="4" w:space="0" w:color="auto"/>
              <w:right w:val="single" w:sz="4" w:space="0" w:color="auto"/>
            </w:tcBorders>
            <w:shd w:val="clear" w:color="auto" w:fill="auto"/>
            <w:vAlign w:val="center"/>
            <w:hideMark/>
          </w:tcPr>
          <w:p w14:paraId="3174BAED" w14:textId="3090C3FA"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xml:space="preserve">Bosnia </w:t>
            </w:r>
            <w:r w:rsidR="0038406A" w:rsidRPr="007E7514">
              <w:rPr>
                <w:rFonts w:asciiTheme="minorHAnsi" w:hAnsiTheme="minorHAnsi" w:cstheme="minorHAnsi"/>
                <w:color w:val="000000"/>
                <w:sz w:val="20"/>
                <w:szCs w:val="20"/>
                <w:lang w:val="en-GB"/>
              </w:rPr>
              <w:t>and</w:t>
            </w:r>
            <w:r w:rsidRPr="007E7514">
              <w:rPr>
                <w:rFonts w:asciiTheme="minorHAnsi" w:hAnsiTheme="minorHAnsi" w:cstheme="minorHAnsi"/>
                <w:color w:val="000000"/>
                <w:sz w:val="20"/>
                <w:szCs w:val="20"/>
                <w:lang w:val="en-GB"/>
              </w:rPr>
              <w:t xml:space="preserve"> Herzegovina</w:t>
            </w:r>
          </w:p>
        </w:tc>
        <w:tc>
          <w:tcPr>
            <w:tcW w:w="2283" w:type="dxa"/>
            <w:tcBorders>
              <w:top w:val="nil"/>
              <w:left w:val="nil"/>
              <w:bottom w:val="single" w:sz="4" w:space="0" w:color="auto"/>
              <w:right w:val="single" w:sz="4" w:space="0" w:color="auto"/>
            </w:tcBorders>
            <w:shd w:val="clear" w:color="auto" w:fill="auto"/>
            <w:vAlign w:val="center"/>
            <w:hideMark/>
          </w:tcPr>
          <w:p w14:paraId="6633F208" w14:textId="70BCC948"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w:t>
            </w:r>
            <w:r w:rsidR="002D5DE6" w:rsidRPr="007E7514">
              <w:rPr>
                <w:rFonts w:ascii="Calibri" w:hAnsi="Calibri" w:cs="Calibri"/>
                <w:color w:val="000000"/>
                <w:sz w:val="20"/>
                <w:szCs w:val="20"/>
                <w:lang w:val="en-GB"/>
              </w:rPr>
              <w:t>ô</w:t>
            </w:r>
            <w:r w:rsidRPr="007E7514">
              <w:rPr>
                <w:rFonts w:asciiTheme="minorHAnsi" w:hAnsiTheme="minorHAnsi" w:cstheme="minorHAnsi"/>
                <w:color w:val="000000"/>
                <w:sz w:val="20"/>
                <w:szCs w:val="20"/>
                <w:lang w:val="en-GB"/>
              </w:rPr>
              <w:t xml:space="preserve">te </w:t>
            </w:r>
            <w:r w:rsidR="002D5DE6" w:rsidRPr="007E7514">
              <w:rPr>
                <w:rFonts w:asciiTheme="minorHAnsi" w:hAnsiTheme="minorHAnsi" w:cstheme="minorHAnsi"/>
                <w:color w:val="000000"/>
                <w:sz w:val="20"/>
                <w:szCs w:val="20"/>
                <w:lang w:val="en-GB"/>
              </w:rPr>
              <w:t>D</w:t>
            </w:r>
            <w:r w:rsidRPr="007E7514">
              <w:rPr>
                <w:rFonts w:asciiTheme="minorHAnsi" w:hAnsiTheme="minorHAnsi" w:cstheme="minorHAnsi"/>
                <w:color w:val="000000"/>
                <w:sz w:val="20"/>
                <w:szCs w:val="20"/>
                <w:lang w:val="en-GB"/>
              </w:rPr>
              <w:t>'Ivoire</w:t>
            </w:r>
          </w:p>
        </w:tc>
        <w:tc>
          <w:tcPr>
            <w:tcW w:w="2536" w:type="dxa"/>
            <w:tcBorders>
              <w:top w:val="nil"/>
              <w:left w:val="nil"/>
              <w:bottom w:val="single" w:sz="4" w:space="0" w:color="auto"/>
              <w:right w:val="single" w:sz="4" w:space="0" w:color="auto"/>
            </w:tcBorders>
            <w:shd w:val="clear" w:color="auto" w:fill="auto"/>
            <w:vAlign w:val="center"/>
            <w:hideMark/>
          </w:tcPr>
          <w:p w14:paraId="71D9183C" w14:textId="7777777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lang w:val="en-GB"/>
              </w:rPr>
              <w:t>Kenya</w:t>
            </w:r>
          </w:p>
        </w:tc>
      </w:tr>
      <w:tr w:rsidR="00336E31" w:rsidRPr="007E7514" w14:paraId="6795AD75" w14:textId="77777777" w:rsidTr="00A168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7CD310A"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Botswana*</w:t>
            </w:r>
          </w:p>
        </w:tc>
        <w:tc>
          <w:tcPr>
            <w:tcW w:w="2552" w:type="dxa"/>
            <w:tcBorders>
              <w:top w:val="nil"/>
              <w:left w:val="nil"/>
              <w:bottom w:val="single" w:sz="4" w:space="0" w:color="auto"/>
              <w:right w:val="single" w:sz="4" w:space="0" w:color="auto"/>
            </w:tcBorders>
            <w:shd w:val="clear" w:color="auto" w:fill="auto"/>
            <w:vAlign w:val="center"/>
            <w:hideMark/>
          </w:tcPr>
          <w:p w14:paraId="25DF2FD7"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Burundi</w:t>
            </w:r>
          </w:p>
        </w:tc>
        <w:tc>
          <w:tcPr>
            <w:tcW w:w="2283" w:type="dxa"/>
            <w:tcBorders>
              <w:top w:val="nil"/>
              <w:left w:val="nil"/>
              <w:bottom w:val="single" w:sz="4" w:space="0" w:color="auto"/>
              <w:right w:val="single" w:sz="4" w:space="0" w:color="auto"/>
            </w:tcBorders>
            <w:shd w:val="clear" w:color="auto" w:fill="auto"/>
            <w:vAlign w:val="center"/>
            <w:hideMark/>
          </w:tcPr>
          <w:p w14:paraId="7E3B1176"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Ecuador*</w:t>
            </w:r>
          </w:p>
        </w:tc>
        <w:tc>
          <w:tcPr>
            <w:tcW w:w="2536" w:type="dxa"/>
            <w:tcBorders>
              <w:top w:val="nil"/>
              <w:left w:val="nil"/>
              <w:bottom w:val="single" w:sz="4" w:space="0" w:color="auto"/>
              <w:right w:val="single" w:sz="4" w:space="0" w:color="auto"/>
            </w:tcBorders>
            <w:shd w:val="clear" w:color="auto" w:fill="auto"/>
            <w:vAlign w:val="center"/>
            <w:hideMark/>
          </w:tcPr>
          <w:p w14:paraId="3B19CB36" w14:textId="7777777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lang w:val="en-GB"/>
              </w:rPr>
              <w:t>Kyrgyzstan</w:t>
            </w:r>
          </w:p>
        </w:tc>
      </w:tr>
      <w:tr w:rsidR="00336E31" w:rsidRPr="007E7514" w14:paraId="735832F4"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42C4F59"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Brazil</w:t>
            </w:r>
          </w:p>
        </w:tc>
        <w:tc>
          <w:tcPr>
            <w:tcW w:w="2552" w:type="dxa"/>
            <w:tcBorders>
              <w:top w:val="nil"/>
              <w:left w:val="nil"/>
              <w:bottom w:val="single" w:sz="4" w:space="0" w:color="auto"/>
              <w:right w:val="single" w:sz="4" w:space="0" w:color="auto"/>
            </w:tcBorders>
            <w:shd w:val="clear" w:color="auto" w:fill="auto"/>
            <w:vAlign w:val="center"/>
            <w:hideMark/>
          </w:tcPr>
          <w:p w14:paraId="62ECEE1C" w14:textId="77777777" w:rsidR="00336E31" w:rsidRPr="007E7514" w:rsidRDefault="00336E31">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Cabo Verde*</w:t>
            </w:r>
          </w:p>
        </w:tc>
        <w:tc>
          <w:tcPr>
            <w:tcW w:w="2283" w:type="dxa"/>
            <w:tcBorders>
              <w:top w:val="nil"/>
              <w:left w:val="nil"/>
              <w:bottom w:val="single" w:sz="4" w:space="0" w:color="auto"/>
              <w:right w:val="single" w:sz="4" w:space="0" w:color="auto"/>
            </w:tcBorders>
            <w:shd w:val="clear" w:color="auto" w:fill="auto"/>
            <w:vAlign w:val="center"/>
          </w:tcPr>
          <w:p w14:paraId="36778DDA" w14:textId="4C95498B" w:rsidR="00336E31" w:rsidRPr="007E7514" w:rsidRDefault="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Eswatini</w:t>
            </w:r>
          </w:p>
        </w:tc>
        <w:tc>
          <w:tcPr>
            <w:tcW w:w="2536" w:type="dxa"/>
            <w:tcBorders>
              <w:top w:val="nil"/>
              <w:left w:val="nil"/>
              <w:bottom w:val="single" w:sz="4" w:space="0" w:color="auto"/>
              <w:right w:val="single" w:sz="4" w:space="0" w:color="auto"/>
            </w:tcBorders>
            <w:shd w:val="clear" w:color="auto" w:fill="auto"/>
            <w:vAlign w:val="center"/>
            <w:hideMark/>
          </w:tcPr>
          <w:p w14:paraId="2389AA55" w14:textId="77777777" w:rsidR="00336E31" w:rsidRPr="007E7514" w:rsidRDefault="00336E31">
            <w:pPr>
              <w:rPr>
                <w:rFonts w:ascii="Calibri" w:hAnsi="Calibri" w:cs="Calibri"/>
                <w:color w:val="000000"/>
                <w:sz w:val="20"/>
                <w:szCs w:val="20"/>
                <w:lang w:val="en-GB"/>
              </w:rPr>
            </w:pPr>
            <w:r w:rsidRPr="007E7514">
              <w:rPr>
                <w:rFonts w:ascii="Calibri" w:hAnsi="Calibri" w:cs="Calibri"/>
                <w:color w:val="000000"/>
                <w:sz w:val="20"/>
                <w:szCs w:val="20"/>
                <w:lang w:val="en-GB"/>
              </w:rPr>
              <w:t>Mozambique</w:t>
            </w:r>
          </w:p>
        </w:tc>
      </w:tr>
      <w:tr w:rsidR="008C009A" w:rsidRPr="007E7514" w14:paraId="09A21EE9"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9A79DB3"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Burkina Faso*</w:t>
            </w:r>
          </w:p>
        </w:tc>
        <w:tc>
          <w:tcPr>
            <w:tcW w:w="2552" w:type="dxa"/>
            <w:tcBorders>
              <w:top w:val="nil"/>
              <w:left w:val="nil"/>
              <w:bottom w:val="single" w:sz="4" w:space="0" w:color="auto"/>
              <w:right w:val="single" w:sz="4" w:space="0" w:color="auto"/>
            </w:tcBorders>
            <w:shd w:val="clear" w:color="auto" w:fill="auto"/>
            <w:vAlign w:val="center"/>
            <w:hideMark/>
          </w:tcPr>
          <w:p w14:paraId="4E599499"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Cambodia</w:t>
            </w:r>
          </w:p>
        </w:tc>
        <w:tc>
          <w:tcPr>
            <w:tcW w:w="2283" w:type="dxa"/>
            <w:tcBorders>
              <w:top w:val="nil"/>
              <w:left w:val="nil"/>
              <w:bottom w:val="single" w:sz="4" w:space="0" w:color="auto"/>
              <w:right w:val="single" w:sz="4" w:space="0" w:color="auto"/>
            </w:tcBorders>
            <w:shd w:val="clear" w:color="auto" w:fill="auto"/>
            <w:vAlign w:val="center"/>
          </w:tcPr>
          <w:p w14:paraId="5DA690BD" w14:textId="6EE7A7AC"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Gabon</w:t>
            </w:r>
          </w:p>
        </w:tc>
        <w:tc>
          <w:tcPr>
            <w:tcW w:w="2536" w:type="dxa"/>
            <w:tcBorders>
              <w:top w:val="nil"/>
              <w:left w:val="nil"/>
              <w:bottom w:val="single" w:sz="4" w:space="0" w:color="auto"/>
              <w:right w:val="single" w:sz="4" w:space="0" w:color="auto"/>
            </w:tcBorders>
            <w:shd w:val="clear" w:color="auto" w:fill="auto"/>
            <w:vAlign w:val="center"/>
            <w:hideMark/>
          </w:tcPr>
          <w:p w14:paraId="5A0B96B9"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lang w:val="en-GB"/>
              </w:rPr>
              <w:t>Myanmar</w:t>
            </w:r>
          </w:p>
        </w:tc>
      </w:tr>
      <w:tr w:rsidR="008C009A" w:rsidRPr="007E7514" w14:paraId="40F8E6CE"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B88931C"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Chad*</w:t>
            </w:r>
          </w:p>
        </w:tc>
        <w:tc>
          <w:tcPr>
            <w:tcW w:w="2552" w:type="dxa"/>
            <w:tcBorders>
              <w:top w:val="nil"/>
              <w:left w:val="nil"/>
              <w:bottom w:val="single" w:sz="4" w:space="0" w:color="auto"/>
              <w:right w:val="single" w:sz="4" w:space="0" w:color="auto"/>
            </w:tcBorders>
            <w:shd w:val="clear" w:color="auto" w:fill="auto"/>
            <w:vAlign w:val="center"/>
            <w:hideMark/>
          </w:tcPr>
          <w:p w14:paraId="31805112"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Cameroon*</w:t>
            </w:r>
          </w:p>
        </w:tc>
        <w:tc>
          <w:tcPr>
            <w:tcW w:w="2283" w:type="dxa"/>
            <w:tcBorders>
              <w:top w:val="nil"/>
              <w:left w:val="nil"/>
              <w:bottom w:val="single" w:sz="4" w:space="0" w:color="auto"/>
              <w:right w:val="single" w:sz="4" w:space="0" w:color="auto"/>
            </w:tcBorders>
            <w:shd w:val="clear" w:color="auto" w:fill="auto"/>
            <w:vAlign w:val="center"/>
          </w:tcPr>
          <w:p w14:paraId="22B2E659" w14:textId="48185870"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Ghana</w:t>
            </w:r>
          </w:p>
        </w:tc>
        <w:tc>
          <w:tcPr>
            <w:tcW w:w="2536" w:type="dxa"/>
            <w:tcBorders>
              <w:top w:val="nil"/>
              <w:left w:val="nil"/>
              <w:bottom w:val="single" w:sz="4" w:space="0" w:color="auto"/>
              <w:right w:val="single" w:sz="4" w:space="0" w:color="auto"/>
            </w:tcBorders>
            <w:shd w:val="clear" w:color="auto" w:fill="auto"/>
            <w:vAlign w:val="center"/>
            <w:hideMark/>
          </w:tcPr>
          <w:p w14:paraId="443BB0C2" w14:textId="0BB6B472"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highlight w:val="lightGray"/>
                <w:lang w:val="en-GB"/>
              </w:rPr>
              <w:t>United Republic of Tanzania</w:t>
            </w:r>
          </w:p>
        </w:tc>
      </w:tr>
      <w:tr w:rsidR="008C009A" w:rsidRPr="007E7514" w14:paraId="2D85FEE5"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7BB4EFE"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Chile</w:t>
            </w:r>
          </w:p>
        </w:tc>
        <w:tc>
          <w:tcPr>
            <w:tcW w:w="2552" w:type="dxa"/>
            <w:tcBorders>
              <w:top w:val="nil"/>
              <w:left w:val="nil"/>
              <w:bottom w:val="single" w:sz="4" w:space="0" w:color="auto"/>
              <w:right w:val="single" w:sz="4" w:space="0" w:color="auto"/>
            </w:tcBorders>
            <w:shd w:val="clear" w:color="auto" w:fill="auto"/>
            <w:vAlign w:val="center"/>
            <w:hideMark/>
          </w:tcPr>
          <w:p w14:paraId="57D23E2A"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Central African Republic*</w:t>
            </w:r>
          </w:p>
        </w:tc>
        <w:tc>
          <w:tcPr>
            <w:tcW w:w="2283" w:type="dxa"/>
            <w:tcBorders>
              <w:top w:val="nil"/>
              <w:left w:val="nil"/>
              <w:bottom w:val="single" w:sz="4" w:space="0" w:color="auto"/>
              <w:right w:val="single" w:sz="4" w:space="0" w:color="auto"/>
            </w:tcBorders>
            <w:shd w:val="clear" w:color="auto" w:fill="auto"/>
            <w:vAlign w:val="center"/>
          </w:tcPr>
          <w:p w14:paraId="37A7AD92" w14:textId="69058A5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Guinea*</w:t>
            </w:r>
          </w:p>
        </w:tc>
        <w:tc>
          <w:tcPr>
            <w:tcW w:w="2536" w:type="dxa"/>
            <w:tcBorders>
              <w:top w:val="nil"/>
              <w:left w:val="nil"/>
              <w:bottom w:val="single" w:sz="4" w:space="0" w:color="auto"/>
              <w:right w:val="single" w:sz="4" w:space="0" w:color="auto"/>
            </w:tcBorders>
            <w:shd w:val="clear" w:color="auto" w:fill="auto"/>
            <w:vAlign w:val="center"/>
            <w:hideMark/>
          </w:tcPr>
          <w:p w14:paraId="36BA8B7D"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highlight w:val="lightGray"/>
                <w:lang w:val="en-GB"/>
              </w:rPr>
              <w:t>Uganda*</w:t>
            </w:r>
          </w:p>
        </w:tc>
      </w:tr>
      <w:tr w:rsidR="008C009A" w:rsidRPr="007E7514" w14:paraId="63033811"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9071C9"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China</w:t>
            </w:r>
          </w:p>
        </w:tc>
        <w:tc>
          <w:tcPr>
            <w:tcW w:w="2552" w:type="dxa"/>
            <w:tcBorders>
              <w:top w:val="nil"/>
              <w:left w:val="nil"/>
              <w:bottom w:val="single" w:sz="4" w:space="0" w:color="auto"/>
              <w:right w:val="single" w:sz="4" w:space="0" w:color="auto"/>
            </w:tcBorders>
            <w:shd w:val="clear" w:color="auto" w:fill="auto"/>
            <w:vAlign w:val="center"/>
            <w:hideMark/>
          </w:tcPr>
          <w:p w14:paraId="2869D049"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Colombia*</w:t>
            </w:r>
          </w:p>
        </w:tc>
        <w:tc>
          <w:tcPr>
            <w:tcW w:w="2283" w:type="dxa"/>
            <w:tcBorders>
              <w:top w:val="nil"/>
              <w:left w:val="nil"/>
              <w:bottom w:val="single" w:sz="4" w:space="0" w:color="auto"/>
              <w:right w:val="single" w:sz="4" w:space="0" w:color="auto"/>
            </w:tcBorders>
            <w:shd w:val="clear" w:color="auto" w:fill="auto"/>
            <w:vAlign w:val="center"/>
          </w:tcPr>
          <w:p w14:paraId="7E68570F" w14:textId="14991AA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Guyana</w:t>
            </w:r>
          </w:p>
        </w:tc>
        <w:tc>
          <w:tcPr>
            <w:tcW w:w="2536" w:type="dxa"/>
            <w:tcBorders>
              <w:top w:val="nil"/>
              <w:left w:val="nil"/>
              <w:bottom w:val="single" w:sz="4" w:space="0" w:color="auto"/>
              <w:right w:val="single" w:sz="4" w:space="0" w:color="auto"/>
            </w:tcBorders>
            <w:shd w:val="clear" w:color="auto" w:fill="auto"/>
            <w:vAlign w:val="center"/>
            <w:hideMark/>
          </w:tcPr>
          <w:p w14:paraId="03E0D2CA"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lang w:val="en-GB"/>
              </w:rPr>
              <w:t>Zimbabwe*</w:t>
            </w:r>
          </w:p>
        </w:tc>
      </w:tr>
      <w:tr w:rsidR="008C009A" w:rsidRPr="007E7514" w14:paraId="007CC827"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D8AD638"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Costa Rica*</w:t>
            </w:r>
          </w:p>
        </w:tc>
        <w:tc>
          <w:tcPr>
            <w:tcW w:w="2552" w:type="dxa"/>
            <w:tcBorders>
              <w:top w:val="nil"/>
              <w:left w:val="nil"/>
              <w:bottom w:val="single" w:sz="4" w:space="0" w:color="auto"/>
              <w:right w:val="single" w:sz="4" w:space="0" w:color="auto"/>
            </w:tcBorders>
            <w:shd w:val="clear" w:color="auto" w:fill="auto"/>
            <w:vAlign w:val="center"/>
            <w:hideMark/>
          </w:tcPr>
          <w:p w14:paraId="2248E75B"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Comoros*</w:t>
            </w:r>
          </w:p>
        </w:tc>
        <w:tc>
          <w:tcPr>
            <w:tcW w:w="2283" w:type="dxa"/>
            <w:tcBorders>
              <w:top w:val="nil"/>
              <w:left w:val="nil"/>
              <w:bottom w:val="single" w:sz="4" w:space="0" w:color="auto"/>
              <w:right w:val="single" w:sz="4" w:space="0" w:color="auto"/>
            </w:tcBorders>
            <w:shd w:val="clear" w:color="auto" w:fill="auto"/>
            <w:vAlign w:val="center"/>
          </w:tcPr>
          <w:p w14:paraId="61E04CB2" w14:textId="50A0337C"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Honduras</w:t>
            </w:r>
          </w:p>
        </w:tc>
        <w:tc>
          <w:tcPr>
            <w:tcW w:w="2536" w:type="dxa"/>
            <w:tcBorders>
              <w:top w:val="nil"/>
              <w:left w:val="nil"/>
              <w:bottom w:val="single" w:sz="4" w:space="0" w:color="auto"/>
              <w:right w:val="single" w:sz="4" w:space="0" w:color="auto"/>
            </w:tcBorders>
            <w:shd w:val="clear" w:color="auto" w:fill="auto"/>
            <w:vAlign w:val="center"/>
            <w:hideMark/>
          </w:tcPr>
          <w:p w14:paraId="74EB432B"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lang w:val="en-GB"/>
              </w:rPr>
              <w:t> </w:t>
            </w:r>
          </w:p>
        </w:tc>
      </w:tr>
      <w:tr w:rsidR="008C009A" w:rsidRPr="007E7514" w14:paraId="708B3202"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E1739A3"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Cuba</w:t>
            </w:r>
          </w:p>
        </w:tc>
        <w:tc>
          <w:tcPr>
            <w:tcW w:w="2552" w:type="dxa"/>
            <w:tcBorders>
              <w:top w:val="nil"/>
              <w:left w:val="nil"/>
              <w:bottom w:val="single" w:sz="4" w:space="0" w:color="auto"/>
              <w:right w:val="single" w:sz="4" w:space="0" w:color="auto"/>
            </w:tcBorders>
            <w:shd w:val="clear" w:color="auto" w:fill="auto"/>
            <w:vAlign w:val="center"/>
            <w:hideMark/>
          </w:tcPr>
          <w:p w14:paraId="6C0B0844"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Congo</w:t>
            </w:r>
          </w:p>
        </w:tc>
        <w:tc>
          <w:tcPr>
            <w:tcW w:w="2283" w:type="dxa"/>
            <w:tcBorders>
              <w:top w:val="nil"/>
              <w:left w:val="nil"/>
              <w:bottom w:val="single" w:sz="4" w:space="0" w:color="auto"/>
              <w:right w:val="single" w:sz="4" w:space="0" w:color="auto"/>
            </w:tcBorders>
            <w:shd w:val="clear" w:color="auto" w:fill="auto"/>
            <w:vAlign w:val="center"/>
          </w:tcPr>
          <w:p w14:paraId="7E490D23" w14:textId="2CE40C7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Indonesia</w:t>
            </w:r>
          </w:p>
        </w:tc>
        <w:tc>
          <w:tcPr>
            <w:tcW w:w="2536" w:type="dxa"/>
            <w:tcBorders>
              <w:top w:val="nil"/>
              <w:left w:val="nil"/>
              <w:bottom w:val="single" w:sz="4" w:space="0" w:color="auto"/>
              <w:right w:val="single" w:sz="4" w:space="0" w:color="auto"/>
            </w:tcBorders>
            <w:shd w:val="clear" w:color="auto" w:fill="auto"/>
            <w:vAlign w:val="center"/>
            <w:hideMark/>
          </w:tcPr>
          <w:p w14:paraId="538A0268"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lang w:val="en-GB"/>
              </w:rPr>
              <w:t> </w:t>
            </w:r>
          </w:p>
        </w:tc>
      </w:tr>
      <w:tr w:rsidR="008C009A" w:rsidRPr="007E7514" w14:paraId="1D2A2735"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70A7BF3"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Djibouti</w:t>
            </w:r>
          </w:p>
        </w:tc>
        <w:tc>
          <w:tcPr>
            <w:tcW w:w="2552" w:type="dxa"/>
            <w:tcBorders>
              <w:top w:val="nil"/>
              <w:left w:val="nil"/>
              <w:bottom w:val="single" w:sz="4" w:space="0" w:color="auto"/>
              <w:right w:val="single" w:sz="4" w:space="0" w:color="auto"/>
            </w:tcBorders>
            <w:shd w:val="clear" w:color="auto" w:fill="auto"/>
            <w:vAlign w:val="center"/>
            <w:hideMark/>
          </w:tcPr>
          <w:p w14:paraId="5841F19E"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Cook Islands</w:t>
            </w:r>
          </w:p>
        </w:tc>
        <w:tc>
          <w:tcPr>
            <w:tcW w:w="2283" w:type="dxa"/>
            <w:tcBorders>
              <w:top w:val="nil"/>
              <w:left w:val="nil"/>
              <w:bottom w:val="single" w:sz="4" w:space="0" w:color="auto"/>
              <w:right w:val="single" w:sz="4" w:space="0" w:color="auto"/>
            </w:tcBorders>
            <w:shd w:val="clear" w:color="auto" w:fill="auto"/>
            <w:vAlign w:val="center"/>
          </w:tcPr>
          <w:p w14:paraId="74DF1A27" w14:textId="1582CCE4"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Lao People’s Democratic Republic</w:t>
            </w:r>
          </w:p>
        </w:tc>
        <w:tc>
          <w:tcPr>
            <w:tcW w:w="2536" w:type="dxa"/>
            <w:tcBorders>
              <w:top w:val="nil"/>
              <w:left w:val="nil"/>
              <w:bottom w:val="single" w:sz="4" w:space="0" w:color="auto"/>
              <w:right w:val="single" w:sz="4" w:space="0" w:color="auto"/>
            </w:tcBorders>
            <w:shd w:val="clear" w:color="auto" w:fill="auto"/>
            <w:vAlign w:val="center"/>
          </w:tcPr>
          <w:p w14:paraId="2DFB4F9E" w14:textId="6BA7B01B" w:rsidR="008C009A" w:rsidRPr="007E7514" w:rsidRDefault="008C009A" w:rsidP="008C009A">
            <w:pPr>
              <w:rPr>
                <w:rFonts w:ascii="Calibri" w:hAnsi="Calibri" w:cs="Calibri"/>
                <w:color w:val="000000"/>
                <w:sz w:val="20"/>
                <w:szCs w:val="20"/>
                <w:lang w:val="en-GB"/>
              </w:rPr>
            </w:pPr>
          </w:p>
        </w:tc>
      </w:tr>
      <w:tr w:rsidR="008C009A" w:rsidRPr="007E7514" w14:paraId="0B7EB349" w14:textId="77777777" w:rsidTr="008C009A">
        <w:trPr>
          <w:trHeight w:val="27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52EE8AE"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Dominican Republic*</w:t>
            </w:r>
          </w:p>
        </w:tc>
        <w:tc>
          <w:tcPr>
            <w:tcW w:w="2552" w:type="dxa"/>
            <w:tcBorders>
              <w:top w:val="nil"/>
              <w:left w:val="nil"/>
              <w:bottom w:val="single" w:sz="4" w:space="0" w:color="auto"/>
              <w:right w:val="single" w:sz="4" w:space="0" w:color="auto"/>
            </w:tcBorders>
            <w:shd w:val="clear" w:color="auto" w:fill="auto"/>
            <w:vAlign w:val="center"/>
            <w:hideMark/>
          </w:tcPr>
          <w:p w14:paraId="23A13F8B" w14:textId="55FAF283"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Côte D'Ivoire*</w:t>
            </w:r>
          </w:p>
        </w:tc>
        <w:tc>
          <w:tcPr>
            <w:tcW w:w="2283" w:type="dxa"/>
            <w:tcBorders>
              <w:top w:val="nil"/>
              <w:left w:val="nil"/>
              <w:bottom w:val="single" w:sz="4" w:space="0" w:color="auto"/>
              <w:right w:val="single" w:sz="4" w:space="0" w:color="auto"/>
            </w:tcBorders>
            <w:shd w:val="clear" w:color="auto" w:fill="auto"/>
            <w:vAlign w:val="center"/>
          </w:tcPr>
          <w:p w14:paraId="7C0F735C" w14:textId="6D80B43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Madagascar*</w:t>
            </w:r>
          </w:p>
        </w:tc>
        <w:tc>
          <w:tcPr>
            <w:tcW w:w="2536" w:type="dxa"/>
            <w:tcBorders>
              <w:top w:val="nil"/>
              <w:left w:val="nil"/>
              <w:bottom w:val="single" w:sz="4" w:space="0" w:color="auto"/>
              <w:right w:val="single" w:sz="4" w:space="0" w:color="auto"/>
            </w:tcBorders>
            <w:shd w:val="clear" w:color="auto" w:fill="auto"/>
            <w:vAlign w:val="center"/>
          </w:tcPr>
          <w:p w14:paraId="77C995A4" w14:textId="1B1BF6FE" w:rsidR="008C009A" w:rsidRPr="007E7514" w:rsidRDefault="008C009A" w:rsidP="008C009A">
            <w:pPr>
              <w:rPr>
                <w:rFonts w:ascii="Calibri" w:hAnsi="Calibri" w:cs="Calibri"/>
                <w:color w:val="000000"/>
                <w:sz w:val="20"/>
                <w:szCs w:val="20"/>
                <w:lang w:val="en-GB"/>
              </w:rPr>
            </w:pPr>
          </w:p>
        </w:tc>
      </w:tr>
      <w:tr w:rsidR="008C009A" w:rsidRPr="007E7514" w14:paraId="14FFCF67"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6B0B0FE"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El Salvador</w:t>
            </w:r>
          </w:p>
        </w:tc>
        <w:tc>
          <w:tcPr>
            <w:tcW w:w="2552" w:type="dxa"/>
            <w:tcBorders>
              <w:top w:val="nil"/>
              <w:left w:val="nil"/>
              <w:bottom w:val="single" w:sz="4" w:space="0" w:color="auto"/>
              <w:right w:val="single" w:sz="4" w:space="0" w:color="auto"/>
            </w:tcBorders>
            <w:shd w:val="clear" w:color="auto" w:fill="auto"/>
            <w:vAlign w:val="center"/>
            <w:hideMark/>
          </w:tcPr>
          <w:p w14:paraId="1382BFF7"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Dominica</w:t>
            </w:r>
          </w:p>
        </w:tc>
        <w:tc>
          <w:tcPr>
            <w:tcW w:w="2283" w:type="dxa"/>
            <w:tcBorders>
              <w:top w:val="nil"/>
              <w:left w:val="nil"/>
              <w:bottom w:val="single" w:sz="4" w:space="0" w:color="auto"/>
              <w:right w:val="single" w:sz="4" w:space="0" w:color="auto"/>
            </w:tcBorders>
            <w:shd w:val="clear" w:color="auto" w:fill="auto"/>
            <w:vAlign w:val="center"/>
          </w:tcPr>
          <w:p w14:paraId="1A0B2958" w14:textId="7D8DAE10"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Mali*</w:t>
            </w:r>
          </w:p>
        </w:tc>
        <w:tc>
          <w:tcPr>
            <w:tcW w:w="2536" w:type="dxa"/>
            <w:tcBorders>
              <w:top w:val="nil"/>
              <w:left w:val="nil"/>
              <w:bottom w:val="single" w:sz="4" w:space="0" w:color="auto"/>
              <w:right w:val="single" w:sz="4" w:space="0" w:color="auto"/>
            </w:tcBorders>
            <w:shd w:val="clear" w:color="auto" w:fill="auto"/>
            <w:vAlign w:val="center"/>
          </w:tcPr>
          <w:p w14:paraId="393DDACD" w14:textId="1ADF396E" w:rsidR="008C009A" w:rsidRPr="007E7514" w:rsidRDefault="008C009A" w:rsidP="008C009A">
            <w:pPr>
              <w:rPr>
                <w:rFonts w:ascii="Calibri" w:hAnsi="Calibri" w:cs="Calibri"/>
                <w:color w:val="000000"/>
                <w:sz w:val="20"/>
                <w:szCs w:val="20"/>
                <w:lang w:val="en-GB"/>
              </w:rPr>
            </w:pPr>
          </w:p>
        </w:tc>
      </w:tr>
      <w:tr w:rsidR="008C009A" w:rsidRPr="007E7514" w14:paraId="242A3645" w14:textId="77777777" w:rsidTr="00A1689A">
        <w:trPr>
          <w:trHeight w:val="498"/>
        </w:trPr>
        <w:tc>
          <w:tcPr>
            <w:tcW w:w="2405" w:type="dxa"/>
            <w:tcBorders>
              <w:top w:val="nil"/>
              <w:left w:val="single" w:sz="4" w:space="0" w:color="auto"/>
              <w:bottom w:val="single" w:sz="4" w:space="0" w:color="auto"/>
              <w:right w:val="single" w:sz="4" w:space="0" w:color="auto"/>
            </w:tcBorders>
            <w:shd w:val="clear" w:color="auto" w:fill="auto"/>
            <w:vAlign w:val="center"/>
          </w:tcPr>
          <w:p w14:paraId="65221122" w14:textId="1BEE639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Eswatini</w:t>
            </w:r>
          </w:p>
        </w:tc>
        <w:tc>
          <w:tcPr>
            <w:tcW w:w="2552" w:type="dxa"/>
            <w:tcBorders>
              <w:top w:val="nil"/>
              <w:left w:val="nil"/>
              <w:bottom w:val="single" w:sz="4" w:space="0" w:color="auto"/>
              <w:right w:val="single" w:sz="4" w:space="0" w:color="auto"/>
            </w:tcBorders>
            <w:shd w:val="clear" w:color="auto" w:fill="auto"/>
            <w:vAlign w:val="center"/>
          </w:tcPr>
          <w:p w14:paraId="66F82795" w14:textId="17366176"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Democratic Republic of the Congo</w:t>
            </w:r>
          </w:p>
        </w:tc>
        <w:tc>
          <w:tcPr>
            <w:tcW w:w="2283" w:type="dxa"/>
            <w:tcBorders>
              <w:top w:val="nil"/>
              <w:left w:val="nil"/>
              <w:bottom w:val="single" w:sz="4" w:space="0" w:color="auto"/>
              <w:right w:val="single" w:sz="4" w:space="0" w:color="auto"/>
            </w:tcBorders>
            <w:shd w:val="clear" w:color="auto" w:fill="auto"/>
            <w:vAlign w:val="center"/>
          </w:tcPr>
          <w:p w14:paraId="59135DFD" w14:textId="3F5B9C2A"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Mexico</w:t>
            </w:r>
          </w:p>
        </w:tc>
        <w:tc>
          <w:tcPr>
            <w:tcW w:w="2536" w:type="dxa"/>
            <w:tcBorders>
              <w:top w:val="nil"/>
              <w:left w:val="nil"/>
              <w:bottom w:val="single" w:sz="4" w:space="0" w:color="auto"/>
              <w:right w:val="single" w:sz="4" w:space="0" w:color="auto"/>
            </w:tcBorders>
            <w:shd w:val="clear" w:color="auto" w:fill="auto"/>
            <w:vAlign w:val="center"/>
          </w:tcPr>
          <w:p w14:paraId="57098B1A" w14:textId="00AAEB8F" w:rsidR="008C009A" w:rsidRPr="007E7514" w:rsidRDefault="008C009A" w:rsidP="008C009A">
            <w:pPr>
              <w:rPr>
                <w:rFonts w:ascii="Calibri" w:hAnsi="Calibri" w:cs="Calibri"/>
                <w:color w:val="000000"/>
                <w:sz w:val="20"/>
                <w:szCs w:val="20"/>
                <w:lang w:val="en-GB"/>
              </w:rPr>
            </w:pPr>
          </w:p>
        </w:tc>
      </w:tr>
      <w:tr w:rsidR="008C009A" w:rsidRPr="007E7514" w14:paraId="3BCE2139" w14:textId="77777777" w:rsidTr="008C009A">
        <w:trPr>
          <w:trHeight w:val="49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4C46F98"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Gabon</w:t>
            </w:r>
          </w:p>
        </w:tc>
        <w:tc>
          <w:tcPr>
            <w:tcW w:w="2552" w:type="dxa"/>
            <w:tcBorders>
              <w:top w:val="nil"/>
              <w:left w:val="nil"/>
              <w:bottom w:val="single" w:sz="4" w:space="0" w:color="auto"/>
              <w:right w:val="single" w:sz="4" w:space="0" w:color="auto"/>
            </w:tcBorders>
            <w:shd w:val="clear" w:color="auto" w:fill="auto"/>
            <w:vAlign w:val="center"/>
          </w:tcPr>
          <w:p w14:paraId="6EF9F780" w14:textId="4916B48E"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Eritrea</w:t>
            </w:r>
          </w:p>
        </w:tc>
        <w:tc>
          <w:tcPr>
            <w:tcW w:w="2283" w:type="dxa"/>
            <w:tcBorders>
              <w:top w:val="nil"/>
              <w:left w:val="nil"/>
              <w:bottom w:val="single" w:sz="4" w:space="0" w:color="auto"/>
              <w:right w:val="single" w:sz="4" w:space="0" w:color="auto"/>
            </w:tcBorders>
            <w:shd w:val="clear" w:color="auto" w:fill="auto"/>
            <w:vAlign w:val="center"/>
          </w:tcPr>
          <w:p w14:paraId="0698EF2D" w14:textId="3882D6F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Mongolia*</w:t>
            </w:r>
          </w:p>
        </w:tc>
        <w:tc>
          <w:tcPr>
            <w:tcW w:w="2536" w:type="dxa"/>
            <w:tcBorders>
              <w:top w:val="nil"/>
              <w:left w:val="nil"/>
              <w:bottom w:val="single" w:sz="4" w:space="0" w:color="auto"/>
              <w:right w:val="single" w:sz="4" w:space="0" w:color="auto"/>
            </w:tcBorders>
            <w:shd w:val="clear" w:color="auto" w:fill="auto"/>
            <w:vAlign w:val="center"/>
          </w:tcPr>
          <w:p w14:paraId="341C469F" w14:textId="381B8213" w:rsidR="008C009A" w:rsidRPr="007E7514" w:rsidRDefault="008C009A" w:rsidP="008C009A">
            <w:pPr>
              <w:rPr>
                <w:rFonts w:ascii="Calibri" w:hAnsi="Calibri" w:cs="Calibri"/>
                <w:color w:val="000000"/>
                <w:sz w:val="20"/>
                <w:szCs w:val="20"/>
                <w:lang w:val="en-GB"/>
              </w:rPr>
            </w:pPr>
          </w:p>
        </w:tc>
      </w:tr>
      <w:tr w:rsidR="008C009A" w:rsidRPr="007E7514" w14:paraId="2A1234B6"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DDD4AEA" w14:textId="331753D6"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Gambia (Republic of The)*</w:t>
            </w:r>
          </w:p>
        </w:tc>
        <w:tc>
          <w:tcPr>
            <w:tcW w:w="2552" w:type="dxa"/>
            <w:tcBorders>
              <w:top w:val="nil"/>
              <w:left w:val="nil"/>
              <w:bottom w:val="single" w:sz="4" w:space="0" w:color="auto"/>
              <w:right w:val="single" w:sz="4" w:space="0" w:color="auto"/>
            </w:tcBorders>
            <w:shd w:val="clear" w:color="auto" w:fill="auto"/>
            <w:vAlign w:val="center"/>
          </w:tcPr>
          <w:p w14:paraId="5D8FF096" w14:textId="07198F6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Ethiopia*</w:t>
            </w:r>
          </w:p>
        </w:tc>
        <w:tc>
          <w:tcPr>
            <w:tcW w:w="2283" w:type="dxa"/>
            <w:tcBorders>
              <w:top w:val="nil"/>
              <w:left w:val="nil"/>
              <w:bottom w:val="single" w:sz="4" w:space="0" w:color="auto"/>
              <w:right w:val="single" w:sz="4" w:space="0" w:color="auto"/>
            </w:tcBorders>
            <w:shd w:val="clear" w:color="auto" w:fill="auto"/>
            <w:vAlign w:val="center"/>
          </w:tcPr>
          <w:p w14:paraId="760D94D0" w14:textId="0E7CB3AB"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Nicaragua</w:t>
            </w:r>
          </w:p>
        </w:tc>
        <w:tc>
          <w:tcPr>
            <w:tcW w:w="2536" w:type="dxa"/>
            <w:tcBorders>
              <w:top w:val="nil"/>
              <w:left w:val="nil"/>
              <w:bottom w:val="single" w:sz="4" w:space="0" w:color="auto"/>
              <w:right w:val="single" w:sz="4" w:space="0" w:color="auto"/>
            </w:tcBorders>
            <w:shd w:val="clear" w:color="auto" w:fill="auto"/>
            <w:vAlign w:val="center"/>
          </w:tcPr>
          <w:p w14:paraId="0212E61A" w14:textId="1259E46E" w:rsidR="008C009A" w:rsidRPr="007E7514" w:rsidRDefault="008C009A" w:rsidP="008C009A">
            <w:pPr>
              <w:rPr>
                <w:rFonts w:ascii="Calibri" w:hAnsi="Calibri" w:cs="Calibri"/>
                <w:color w:val="000000"/>
                <w:sz w:val="20"/>
                <w:szCs w:val="20"/>
                <w:lang w:val="en-GB"/>
              </w:rPr>
            </w:pPr>
          </w:p>
        </w:tc>
      </w:tr>
      <w:tr w:rsidR="008C009A" w:rsidRPr="007E7514" w14:paraId="032B9287"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77CE59E"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Ghana*</w:t>
            </w:r>
          </w:p>
        </w:tc>
        <w:tc>
          <w:tcPr>
            <w:tcW w:w="2552" w:type="dxa"/>
            <w:tcBorders>
              <w:top w:val="nil"/>
              <w:left w:val="nil"/>
              <w:bottom w:val="single" w:sz="4" w:space="0" w:color="auto"/>
              <w:right w:val="single" w:sz="4" w:space="0" w:color="auto"/>
            </w:tcBorders>
            <w:shd w:val="clear" w:color="auto" w:fill="auto"/>
            <w:vAlign w:val="center"/>
          </w:tcPr>
          <w:p w14:paraId="2D818B0F" w14:textId="7A9EC71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Georgia*</w:t>
            </w:r>
          </w:p>
        </w:tc>
        <w:tc>
          <w:tcPr>
            <w:tcW w:w="2283" w:type="dxa"/>
            <w:tcBorders>
              <w:top w:val="nil"/>
              <w:left w:val="nil"/>
              <w:bottom w:val="single" w:sz="4" w:space="0" w:color="auto"/>
              <w:right w:val="single" w:sz="4" w:space="0" w:color="auto"/>
            </w:tcBorders>
            <w:shd w:val="clear" w:color="auto" w:fill="auto"/>
            <w:vAlign w:val="center"/>
          </w:tcPr>
          <w:p w14:paraId="5DC07BD0" w14:textId="610571F9"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Niger</w:t>
            </w:r>
          </w:p>
        </w:tc>
        <w:tc>
          <w:tcPr>
            <w:tcW w:w="2536" w:type="dxa"/>
            <w:tcBorders>
              <w:top w:val="nil"/>
              <w:left w:val="nil"/>
              <w:bottom w:val="single" w:sz="4" w:space="0" w:color="auto"/>
              <w:right w:val="single" w:sz="4" w:space="0" w:color="auto"/>
            </w:tcBorders>
            <w:shd w:val="clear" w:color="auto" w:fill="auto"/>
            <w:vAlign w:val="center"/>
          </w:tcPr>
          <w:p w14:paraId="3C5AD1B3" w14:textId="1D9D0084" w:rsidR="008C009A" w:rsidRPr="007E7514" w:rsidRDefault="008C009A" w:rsidP="008C009A">
            <w:pPr>
              <w:rPr>
                <w:rFonts w:ascii="Calibri" w:hAnsi="Calibri" w:cs="Calibri"/>
                <w:color w:val="000000"/>
                <w:sz w:val="20"/>
                <w:szCs w:val="20"/>
                <w:lang w:val="en-GB"/>
              </w:rPr>
            </w:pPr>
          </w:p>
        </w:tc>
      </w:tr>
      <w:tr w:rsidR="008C009A" w:rsidRPr="007E7514" w14:paraId="4BEAAF13"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9A0F7FF" w14:textId="55C57440"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Guinea</w:t>
            </w:r>
            <w:r w:rsidR="00FE0AF9" w:rsidRPr="007E7514">
              <w:rPr>
                <w:rFonts w:asciiTheme="minorHAnsi" w:hAnsiTheme="minorHAnsi" w:cstheme="minorHAnsi"/>
                <w:color w:val="000000"/>
                <w:sz w:val="20"/>
                <w:szCs w:val="20"/>
                <w:lang w:val="en-GB"/>
              </w:rPr>
              <w:t>*</w:t>
            </w:r>
          </w:p>
        </w:tc>
        <w:tc>
          <w:tcPr>
            <w:tcW w:w="2552" w:type="dxa"/>
            <w:tcBorders>
              <w:top w:val="nil"/>
              <w:left w:val="nil"/>
              <w:bottom w:val="single" w:sz="4" w:space="0" w:color="auto"/>
              <w:right w:val="single" w:sz="4" w:space="0" w:color="auto"/>
            </w:tcBorders>
            <w:shd w:val="clear" w:color="auto" w:fill="auto"/>
            <w:vAlign w:val="center"/>
          </w:tcPr>
          <w:p w14:paraId="6F56B8E5" w14:textId="3847CBEA"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Grenada</w:t>
            </w:r>
          </w:p>
        </w:tc>
        <w:tc>
          <w:tcPr>
            <w:tcW w:w="2283" w:type="dxa"/>
            <w:tcBorders>
              <w:top w:val="nil"/>
              <w:left w:val="nil"/>
              <w:bottom w:val="single" w:sz="4" w:space="0" w:color="auto"/>
              <w:right w:val="single" w:sz="4" w:space="0" w:color="auto"/>
            </w:tcBorders>
            <w:shd w:val="clear" w:color="auto" w:fill="auto"/>
            <w:vAlign w:val="center"/>
          </w:tcPr>
          <w:p w14:paraId="6D001011" w14:textId="3E4DC51C"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Nigeria</w:t>
            </w:r>
            <w:r w:rsidR="001B3B56" w:rsidRPr="007E7514">
              <w:rPr>
                <w:rFonts w:asciiTheme="minorHAnsi" w:hAnsiTheme="minorHAnsi" w:cstheme="minorHAnsi"/>
                <w:color w:val="000000"/>
                <w:sz w:val="20"/>
                <w:szCs w:val="20"/>
                <w:lang w:val="en-GB"/>
              </w:rPr>
              <w:t>*</w:t>
            </w:r>
          </w:p>
        </w:tc>
        <w:tc>
          <w:tcPr>
            <w:tcW w:w="2536" w:type="dxa"/>
            <w:tcBorders>
              <w:top w:val="nil"/>
              <w:left w:val="nil"/>
              <w:bottom w:val="single" w:sz="4" w:space="0" w:color="auto"/>
              <w:right w:val="single" w:sz="4" w:space="0" w:color="auto"/>
            </w:tcBorders>
            <w:shd w:val="clear" w:color="auto" w:fill="auto"/>
            <w:vAlign w:val="center"/>
          </w:tcPr>
          <w:p w14:paraId="36754527" w14:textId="2B299668" w:rsidR="008C009A" w:rsidRPr="007E7514" w:rsidRDefault="008C009A" w:rsidP="008C009A">
            <w:pPr>
              <w:rPr>
                <w:rFonts w:ascii="Calibri" w:hAnsi="Calibri" w:cs="Calibri"/>
                <w:color w:val="000000"/>
                <w:sz w:val="20"/>
                <w:szCs w:val="20"/>
                <w:lang w:val="en-GB"/>
              </w:rPr>
            </w:pPr>
          </w:p>
        </w:tc>
      </w:tr>
      <w:tr w:rsidR="008C009A" w:rsidRPr="007E7514" w14:paraId="600270BE"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54B57CE" w14:textId="07D72DD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Guyana</w:t>
            </w:r>
            <w:r w:rsidR="001B3B56" w:rsidRPr="007E7514">
              <w:rPr>
                <w:rFonts w:asciiTheme="minorHAnsi" w:hAnsiTheme="minorHAnsi" w:cstheme="minorHAnsi"/>
                <w:color w:val="000000"/>
                <w:sz w:val="20"/>
                <w:szCs w:val="20"/>
                <w:lang w:val="en-GB"/>
              </w:rPr>
              <w:t>*</w:t>
            </w:r>
          </w:p>
        </w:tc>
        <w:tc>
          <w:tcPr>
            <w:tcW w:w="2552" w:type="dxa"/>
            <w:tcBorders>
              <w:top w:val="nil"/>
              <w:left w:val="nil"/>
              <w:bottom w:val="single" w:sz="4" w:space="0" w:color="auto"/>
              <w:right w:val="single" w:sz="4" w:space="0" w:color="auto"/>
            </w:tcBorders>
            <w:shd w:val="clear" w:color="auto" w:fill="auto"/>
            <w:vAlign w:val="center"/>
          </w:tcPr>
          <w:p w14:paraId="36741C87" w14:textId="3566A9D9"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Guatemala*</w:t>
            </w:r>
          </w:p>
        </w:tc>
        <w:tc>
          <w:tcPr>
            <w:tcW w:w="2283" w:type="dxa"/>
            <w:tcBorders>
              <w:top w:val="nil"/>
              <w:left w:val="nil"/>
              <w:bottom w:val="single" w:sz="4" w:space="0" w:color="auto"/>
              <w:right w:val="single" w:sz="4" w:space="0" w:color="auto"/>
            </w:tcBorders>
            <w:shd w:val="clear" w:color="auto" w:fill="auto"/>
            <w:vAlign w:val="center"/>
          </w:tcPr>
          <w:p w14:paraId="1F7744B5" w14:textId="71E3B1E3"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Paraguay</w:t>
            </w:r>
          </w:p>
        </w:tc>
        <w:tc>
          <w:tcPr>
            <w:tcW w:w="2536" w:type="dxa"/>
            <w:tcBorders>
              <w:top w:val="nil"/>
              <w:left w:val="nil"/>
              <w:bottom w:val="single" w:sz="4" w:space="0" w:color="auto"/>
              <w:right w:val="single" w:sz="4" w:space="0" w:color="auto"/>
            </w:tcBorders>
            <w:shd w:val="clear" w:color="auto" w:fill="auto"/>
            <w:vAlign w:val="center"/>
          </w:tcPr>
          <w:p w14:paraId="3D93892E" w14:textId="757BCE13" w:rsidR="008C009A" w:rsidRPr="007E7514" w:rsidRDefault="008C009A" w:rsidP="008C009A">
            <w:pPr>
              <w:rPr>
                <w:rFonts w:ascii="Calibri" w:hAnsi="Calibri" w:cs="Calibri"/>
                <w:color w:val="000000"/>
                <w:sz w:val="20"/>
                <w:szCs w:val="20"/>
                <w:lang w:val="en-GB"/>
              </w:rPr>
            </w:pPr>
          </w:p>
        </w:tc>
      </w:tr>
      <w:tr w:rsidR="008C009A" w:rsidRPr="007E7514" w14:paraId="52DDB106"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8AC0A5B"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Honduras</w:t>
            </w:r>
          </w:p>
        </w:tc>
        <w:tc>
          <w:tcPr>
            <w:tcW w:w="2552" w:type="dxa"/>
            <w:tcBorders>
              <w:top w:val="nil"/>
              <w:left w:val="nil"/>
              <w:bottom w:val="single" w:sz="4" w:space="0" w:color="auto"/>
              <w:right w:val="single" w:sz="4" w:space="0" w:color="auto"/>
            </w:tcBorders>
            <w:shd w:val="clear" w:color="auto" w:fill="auto"/>
            <w:vAlign w:val="center"/>
          </w:tcPr>
          <w:p w14:paraId="5B161D06" w14:textId="1309A32E"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Guinea-Bissau</w:t>
            </w:r>
            <w:r w:rsidR="00FE0AF9" w:rsidRPr="007E7514">
              <w:rPr>
                <w:rFonts w:asciiTheme="minorHAnsi" w:hAnsiTheme="minorHAnsi" w:cstheme="minorHAnsi"/>
                <w:color w:val="000000"/>
                <w:sz w:val="20"/>
                <w:szCs w:val="20"/>
                <w:lang w:val="en-GB"/>
              </w:rPr>
              <w:t>*</w:t>
            </w:r>
          </w:p>
        </w:tc>
        <w:tc>
          <w:tcPr>
            <w:tcW w:w="2283" w:type="dxa"/>
            <w:tcBorders>
              <w:top w:val="nil"/>
              <w:left w:val="nil"/>
              <w:bottom w:val="single" w:sz="4" w:space="0" w:color="auto"/>
              <w:right w:val="single" w:sz="4" w:space="0" w:color="auto"/>
            </w:tcBorders>
            <w:shd w:val="clear" w:color="auto" w:fill="auto"/>
            <w:vAlign w:val="center"/>
          </w:tcPr>
          <w:p w14:paraId="7A645275" w14:textId="472C47DA"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Peru</w:t>
            </w:r>
          </w:p>
        </w:tc>
        <w:tc>
          <w:tcPr>
            <w:tcW w:w="2536" w:type="dxa"/>
            <w:tcBorders>
              <w:top w:val="nil"/>
              <w:left w:val="nil"/>
              <w:bottom w:val="single" w:sz="4" w:space="0" w:color="auto"/>
              <w:right w:val="single" w:sz="4" w:space="0" w:color="auto"/>
            </w:tcBorders>
            <w:shd w:val="clear" w:color="auto" w:fill="auto"/>
            <w:vAlign w:val="center"/>
          </w:tcPr>
          <w:p w14:paraId="75BC4631" w14:textId="299D94E2" w:rsidR="008C009A" w:rsidRPr="007E7514" w:rsidRDefault="008C009A" w:rsidP="008C009A">
            <w:pPr>
              <w:rPr>
                <w:rFonts w:ascii="Calibri" w:hAnsi="Calibri" w:cs="Calibri"/>
                <w:color w:val="000000"/>
                <w:sz w:val="20"/>
                <w:szCs w:val="20"/>
                <w:lang w:val="en-GB"/>
              </w:rPr>
            </w:pPr>
          </w:p>
        </w:tc>
      </w:tr>
      <w:tr w:rsidR="008C009A" w:rsidRPr="007E7514" w14:paraId="1E8AA980"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DDD0A53"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India</w:t>
            </w:r>
          </w:p>
        </w:tc>
        <w:tc>
          <w:tcPr>
            <w:tcW w:w="2552" w:type="dxa"/>
            <w:tcBorders>
              <w:top w:val="nil"/>
              <w:left w:val="nil"/>
              <w:bottom w:val="single" w:sz="4" w:space="0" w:color="auto"/>
              <w:right w:val="single" w:sz="4" w:space="0" w:color="auto"/>
            </w:tcBorders>
            <w:shd w:val="clear" w:color="auto" w:fill="auto"/>
            <w:vAlign w:val="center"/>
          </w:tcPr>
          <w:p w14:paraId="43E1CF25" w14:textId="04BC1D42"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Iraq</w:t>
            </w:r>
          </w:p>
        </w:tc>
        <w:tc>
          <w:tcPr>
            <w:tcW w:w="2283" w:type="dxa"/>
            <w:tcBorders>
              <w:top w:val="nil"/>
              <w:left w:val="nil"/>
              <w:bottom w:val="single" w:sz="4" w:space="0" w:color="auto"/>
              <w:right w:val="single" w:sz="4" w:space="0" w:color="auto"/>
            </w:tcBorders>
            <w:shd w:val="clear" w:color="auto" w:fill="auto"/>
            <w:vAlign w:val="center"/>
          </w:tcPr>
          <w:p w14:paraId="48D492BC" w14:textId="08CD4FBD"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Rwanda</w:t>
            </w:r>
          </w:p>
        </w:tc>
        <w:tc>
          <w:tcPr>
            <w:tcW w:w="2536" w:type="dxa"/>
            <w:tcBorders>
              <w:top w:val="nil"/>
              <w:left w:val="nil"/>
              <w:bottom w:val="single" w:sz="4" w:space="0" w:color="auto"/>
              <w:right w:val="single" w:sz="4" w:space="0" w:color="auto"/>
            </w:tcBorders>
            <w:shd w:val="clear" w:color="auto" w:fill="auto"/>
            <w:vAlign w:val="center"/>
          </w:tcPr>
          <w:p w14:paraId="1E0E1D67" w14:textId="1D655DD2" w:rsidR="008C009A" w:rsidRPr="007E7514" w:rsidRDefault="008C009A" w:rsidP="008C009A">
            <w:pPr>
              <w:rPr>
                <w:rFonts w:ascii="Calibri" w:hAnsi="Calibri" w:cs="Calibri"/>
                <w:color w:val="000000"/>
                <w:sz w:val="20"/>
                <w:szCs w:val="20"/>
                <w:lang w:val="en-GB"/>
              </w:rPr>
            </w:pPr>
          </w:p>
        </w:tc>
      </w:tr>
      <w:tr w:rsidR="008C009A" w:rsidRPr="007E7514" w14:paraId="67D6E700"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8954600"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lastRenderedPageBreak/>
              <w:t>Indonesia</w:t>
            </w:r>
          </w:p>
        </w:tc>
        <w:tc>
          <w:tcPr>
            <w:tcW w:w="2552" w:type="dxa"/>
            <w:tcBorders>
              <w:top w:val="nil"/>
              <w:left w:val="nil"/>
              <w:bottom w:val="single" w:sz="4" w:space="0" w:color="auto"/>
              <w:right w:val="single" w:sz="4" w:space="0" w:color="auto"/>
            </w:tcBorders>
            <w:shd w:val="clear" w:color="auto" w:fill="auto"/>
            <w:vAlign w:val="center"/>
          </w:tcPr>
          <w:p w14:paraId="21AB582D" w14:textId="3FBB14D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Kazakhstan*</w:t>
            </w:r>
          </w:p>
        </w:tc>
        <w:tc>
          <w:tcPr>
            <w:tcW w:w="2283" w:type="dxa"/>
            <w:tcBorders>
              <w:top w:val="nil"/>
              <w:left w:val="nil"/>
              <w:bottom w:val="single" w:sz="4" w:space="0" w:color="auto"/>
              <w:right w:val="single" w:sz="4" w:space="0" w:color="auto"/>
            </w:tcBorders>
            <w:shd w:val="clear" w:color="auto" w:fill="auto"/>
            <w:vAlign w:val="center"/>
          </w:tcPr>
          <w:p w14:paraId="45627896" w14:textId="4778BB7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Senegal*</w:t>
            </w:r>
          </w:p>
        </w:tc>
        <w:tc>
          <w:tcPr>
            <w:tcW w:w="2536" w:type="dxa"/>
            <w:tcBorders>
              <w:top w:val="nil"/>
              <w:left w:val="nil"/>
              <w:bottom w:val="single" w:sz="4" w:space="0" w:color="auto"/>
              <w:right w:val="single" w:sz="4" w:space="0" w:color="auto"/>
            </w:tcBorders>
            <w:shd w:val="clear" w:color="auto" w:fill="auto"/>
            <w:vAlign w:val="center"/>
          </w:tcPr>
          <w:p w14:paraId="6DB8DBD8" w14:textId="54CD1236" w:rsidR="008C009A" w:rsidRPr="007E7514" w:rsidRDefault="008C009A" w:rsidP="008C009A">
            <w:pPr>
              <w:rPr>
                <w:rFonts w:ascii="Calibri" w:hAnsi="Calibri" w:cs="Calibri"/>
                <w:color w:val="000000"/>
                <w:sz w:val="20"/>
                <w:szCs w:val="20"/>
                <w:lang w:val="en-GB"/>
              </w:rPr>
            </w:pPr>
          </w:p>
        </w:tc>
      </w:tr>
      <w:tr w:rsidR="008C009A" w:rsidRPr="007E7514" w14:paraId="6E7CB94D"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A68DCD1"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Jamaica*</w:t>
            </w:r>
          </w:p>
        </w:tc>
        <w:tc>
          <w:tcPr>
            <w:tcW w:w="2552" w:type="dxa"/>
            <w:tcBorders>
              <w:top w:val="nil"/>
              <w:left w:val="nil"/>
              <w:bottom w:val="single" w:sz="4" w:space="0" w:color="auto"/>
              <w:right w:val="single" w:sz="4" w:space="0" w:color="auto"/>
            </w:tcBorders>
            <w:shd w:val="clear" w:color="auto" w:fill="auto"/>
            <w:vAlign w:val="center"/>
          </w:tcPr>
          <w:p w14:paraId="63EC1464" w14:textId="071B47DD"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Kenya</w:t>
            </w:r>
          </w:p>
        </w:tc>
        <w:tc>
          <w:tcPr>
            <w:tcW w:w="2283" w:type="dxa"/>
            <w:tcBorders>
              <w:top w:val="nil"/>
              <w:left w:val="nil"/>
              <w:bottom w:val="single" w:sz="4" w:space="0" w:color="auto"/>
              <w:right w:val="single" w:sz="4" w:space="0" w:color="auto"/>
            </w:tcBorders>
            <w:shd w:val="clear" w:color="auto" w:fill="auto"/>
            <w:vAlign w:val="center"/>
          </w:tcPr>
          <w:p w14:paraId="72D731B1" w14:textId="7DBC6160"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Sierra Leone*</w:t>
            </w:r>
          </w:p>
        </w:tc>
        <w:tc>
          <w:tcPr>
            <w:tcW w:w="2536" w:type="dxa"/>
            <w:tcBorders>
              <w:top w:val="nil"/>
              <w:left w:val="nil"/>
              <w:bottom w:val="single" w:sz="4" w:space="0" w:color="auto"/>
              <w:right w:val="single" w:sz="4" w:space="0" w:color="auto"/>
            </w:tcBorders>
            <w:shd w:val="clear" w:color="auto" w:fill="auto"/>
            <w:vAlign w:val="center"/>
          </w:tcPr>
          <w:p w14:paraId="449A4CAF" w14:textId="5A40820C" w:rsidR="008C009A" w:rsidRPr="007E7514" w:rsidRDefault="008C009A" w:rsidP="008C009A">
            <w:pPr>
              <w:rPr>
                <w:rFonts w:ascii="Calibri" w:hAnsi="Calibri" w:cs="Calibri"/>
                <w:color w:val="000000"/>
                <w:sz w:val="20"/>
                <w:szCs w:val="20"/>
                <w:lang w:val="en-GB"/>
              </w:rPr>
            </w:pPr>
          </w:p>
        </w:tc>
      </w:tr>
      <w:tr w:rsidR="008C009A" w:rsidRPr="007E7514" w14:paraId="370111EF"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1DDB61C"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Jordan*</w:t>
            </w:r>
          </w:p>
        </w:tc>
        <w:tc>
          <w:tcPr>
            <w:tcW w:w="2552" w:type="dxa"/>
            <w:tcBorders>
              <w:top w:val="nil"/>
              <w:left w:val="nil"/>
              <w:bottom w:val="single" w:sz="4" w:space="0" w:color="auto"/>
              <w:right w:val="single" w:sz="4" w:space="0" w:color="auto"/>
            </w:tcBorders>
            <w:shd w:val="clear" w:color="auto" w:fill="auto"/>
            <w:vAlign w:val="center"/>
          </w:tcPr>
          <w:p w14:paraId="71A022D1" w14:textId="3CA08EE6"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Kyrgyzstan</w:t>
            </w:r>
          </w:p>
        </w:tc>
        <w:tc>
          <w:tcPr>
            <w:tcW w:w="2283" w:type="dxa"/>
            <w:tcBorders>
              <w:top w:val="nil"/>
              <w:left w:val="nil"/>
              <w:bottom w:val="single" w:sz="4" w:space="0" w:color="auto"/>
              <w:right w:val="single" w:sz="4" w:space="0" w:color="auto"/>
            </w:tcBorders>
            <w:shd w:val="clear" w:color="auto" w:fill="auto"/>
            <w:vAlign w:val="center"/>
          </w:tcPr>
          <w:p w14:paraId="2764932E" w14:textId="3EF092F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Suriname</w:t>
            </w:r>
          </w:p>
        </w:tc>
        <w:tc>
          <w:tcPr>
            <w:tcW w:w="2536" w:type="dxa"/>
            <w:tcBorders>
              <w:top w:val="nil"/>
              <w:left w:val="nil"/>
              <w:bottom w:val="single" w:sz="4" w:space="0" w:color="auto"/>
              <w:right w:val="single" w:sz="4" w:space="0" w:color="auto"/>
            </w:tcBorders>
            <w:shd w:val="clear" w:color="auto" w:fill="auto"/>
            <w:vAlign w:val="center"/>
          </w:tcPr>
          <w:p w14:paraId="586F0AE0" w14:textId="77C9FDCB" w:rsidR="008C009A" w:rsidRPr="007E7514" w:rsidRDefault="008C009A" w:rsidP="008C009A">
            <w:pPr>
              <w:rPr>
                <w:rFonts w:ascii="Calibri" w:hAnsi="Calibri" w:cs="Calibri"/>
                <w:color w:val="000000"/>
                <w:sz w:val="20"/>
                <w:szCs w:val="20"/>
                <w:lang w:val="en-GB"/>
              </w:rPr>
            </w:pPr>
          </w:p>
        </w:tc>
      </w:tr>
      <w:tr w:rsidR="008C009A" w:rsidRPr="007E7514" w14:paraId="52960C07" w14:textId="77777777" w:rsidTr="008C009A">
        <w:trPr>
          <w:trHeight w:val="353"/>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F19E081"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Kiribati</w:t>
            </w:r>
          </w:p>
        </w:tc>
        <w:tc>
          <w:tcPr>
            <w:tcW w:w="2552" w:type="dxa"/>
            <w:tcBorders>
              <w:top w:val="nil"/>
              <w:left w:val="nil"/>
              <w:bottom w:val="single" w:sz="4" w:space="0" w:color="auto"/>
              <w:right w:val="single" w:sz="4" w:space="0" w:color="auto"/>
            </w:tcBorders>
            <w:shd w:val="clear" w:color="auto" w:fill="auto"/>
            <w:vAlign w:val="center"/>
          </w:tcPr>
          <w:p w14:paraId="5EC6972B" w14:textId="127AFBF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Malawi</w:t>
            </w:r>
          </w:p>
        </w:tc>
        <w:tc>
          <w:tcPr>
            <w:tcW w:w="2283" w:type="dxa"/>
            <w:tcBorders>
              <w:top w:val="nil"/>
              <w:left w:val="nil"/>
              <w:bottom w:val="single" w:sz="4" w:space="0" w:color="auto"/>
              <w:right w:val="single" w:sz="4" w:space="0" w:color="auto"/>
            </w:tcBorders>
            <w:shd w:val="clear" w:color="auto" w:fill="auto"/>
            <w:vAlign w:val="center"/>
          </w:tcPr>
          <w:p w14:paraId="03A23274" w14:textId="2E42E792"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Togo</w:t>
            </w:r>
          </w:p>
        </w:tc>
        <w:tc>
          <w:tcPr>
            <w:tcW w:w="2536" w:type="dxa"/>
            <w:tcBorders>
              <w:top w:val="nil"/>
              <w:left w:val="nil"/>
              <w:bottom w:val="single" w:sz="4" w:space="0" w:color="auto"/>
              <w:right w:val="single" w:sz="4" w:space="0" w:color="auto"/>
            </w:tcBorders>
            <w:shd w:val="clear" w:color="auto" w:fill="auto"/>
            <w:vAlign w:val="center"/>
          </w:tcPr>
          <w:p w14:paraId="007639DA" w14:textId="1B1A431E" w:rsidR="008C009A" w:rsidRPr="007E7514" w:rsidRDefault="008C009A" w:rsidP="008C009A">
            <w:pPr>
              <w:rPr>
                <w:rFonts w:ascii="Calibri" w:hAnsi="Calibri" w:cs="Calibri"/>
                <w:color w:val="000000"/>
                <w:sz w:val="20"/>
                <w:szCs w:val="20"/>
                <w:lang w:val="en-GB"/>
              </w:rPr>
            </w:pPr>
          </w:p>
        </w:tc>
      </w:tr>
      <w:tr w:rsidR="008C009A" w:rsidRPr="007E7514" w14:paraId="3383C1CE"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1584C59" w14:textId="1C45A57D"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Lao People’s Democratic Republic</w:t>
            </w:r>
          </w:p>
        </w:tc>
        <w:tc>
          <w:tcPr>
            <w:tcW w:w="2552" w:type="dxa"/>
            <w:tcBorders>
              <w:top w:val="nil"/>
              <w:left w:val="nil"/>
              <w:bottom w:val="single" w:sz="4" w:space="0" w:color="auto"/>
              <w:right w:val="single" w:sz="4" w:space="0" w:color="auto"/>
            </w:tcBorders>
            <w:shd w:val="clear" w:color="auto" w:fill="auto"/>
            <w:vAlign w:val="center"/>
          </w:tcPr>
          <w:p w14:paraId="1375D58A" w14:textId="131FFB4F"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Malaysia*</w:t>
            </w:r>
          </w:p>
        </w:tc>
        <w:tc>
          <w:tcPr>
            <w:tcW w:w="2283" w:type="dxa"/>
            <w:tcBorders>
              <w:top w:val="nil"/>
              <w:left w:val="nil"/>
              <w:bottom w:val="single" w:sz="4" w:space="0" w:color="auto"/>
              <w:right w:val="single" w:sz="4" w:space="0" w:color="auto"/>
            </w:tcBorders>
            <w:shd w:val="clear" w:color="auto" w:fill="auto"/>
            <w:vAlign w:val="center"/>
          </w:tcPr>
          <w:p w14:paraId="2A8DD57E" w14:textId="57BA9DB6"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Zambia</w:t>
            </w:r>
          </w:p>
        </w:tc>
        <w:tc>
          <w:tcPr>
            <w:tcW w:w="2536" w:type="dxa"/>
            <w:tcBorders>
              <w:top w:val="nil"/>
              <w:left w:val="nil"/>
              <w:bottom w:val="single" w:sz="4" w:space="0" w:color="auto"/>
              <w:right w:val="single" w:sz="4" w:space="0" w:color="auto"/>
            </w:tcBorders>
            <w:shd w:val="clear" w:color="auto" w:fill="auto"/>
            <w:vAlign w:val="center"/>
          </w:tcPr>
          <w:p w14:paraId="1E440BC2" w14:textId="598D9ECD" w:rsidR="008C009A" w:rsidRPr="007E7514" w:rsidRDefault="008C009A" w:rsidP="008C009A">
            <w:pPr>
              <w:rPr>
                <w:rFonts w:ascii="Calibri" w:hAnsi="Calibri" w:cs="Calibri"/>
                <w:color w:val="000000"/>
                <w:sz w:val="20"/>
                <w:szCs w:val="20"/>
                <w:lang w:val="en-GB"/>
              </w:rPr>
            </w:pPr>
          </w:p>
        </w:tc>
      </w:tr>
      <w:tr w:rsidR="008C009A" w:rsidRPr="007E7514" w14:paraId="440D80D3"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0AEDBBE"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Lesotho*</w:t>
            </w:r>
          </w:p>
        </w:tc>
        <w:tc>
          <w:tcPr>
            <w:tcW w:w="2552" w:type="dxa"/>
            <w:tcBorders>
              <w:top w:val="nil"/>
              <w:left w:val="nil"/>
              <w:bottom w:val="single" w:sz="4" w:space="0" w:color="auto"/>
              <w:right w:val="single" w:sz="4" w:space="0" w:color="auto"/>
            </w:tcBorders>
            <w:shd w:val="clear" w:color="auto" w:fill="auto"/>
            <w:vAlign w:val="center"/>
          </w:tcPr>
          <w:p w14:paraId="2F30F50C" w14:textId="4CF8C65D"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Maldives</w:t>
            </w:r>
          </w:p>
        </w:tc>
        <w:tc>
          <w:tcPr>
            <w:tcW w:w="2283" w:type="dxa"/>
            <w:tcBorders>
              <w:top w:val="nil"/>
              <w:left w:val="nil"/>
              <w:bottom w:val="single" w:sz="4" w:space="0" w:color="auto"/>
              <w:right w:val="single" w:sz="4" w:space="0" w:color="auto"/>
            </w:tcBorders>
            <w:shd w:val="clear" w:color="auto" w:fill="auto"/>
            <w:vAlign w:val="center"/>
          </w:tcPr>
          <w:p w14:paraId="04358BDB" w14:textId="3C01EE18"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1542F068" w14:textId="29121490" w:rsidR="008C009A" w:rsidRPr="007E7514" w:rsidRDefault="008C009A" w:rsidP="008C009A">
            <w:pPr>
              <w:rPr>
                <w:rFonts w:ascii="Calibri" w:hAnsi="Calibri" w:cs="Calibri"/>
                <w:color w:val="000000"/>
                <w:sz w:val="20"/>
                <w:szCs w:val="20"/>
                <w:lang w:val="en-GB"/>
              </w:rPr>
            </w:pPr>
          </w:p>
        </w:tc>
      </w:tr>
      <w:tr w:rsidR="008C009A" w:rsidRPr="007E7514" w14:paraId="0018F488"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513FD96"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Madagascar*</w:t>
            </w:r>
          </w:p>
        </w:tc>
        <w:tc>
          <w:tcPr>
            <w:tcW w:w="2552" w:type="dxa"/>
            <w:tcBorders>
              <w:top w:val="nil"/>
              <w:left w:val="nil"/>
              <w:bottom w:val="single" w:sz="4" w:space="0" w:color="auto"/>
              <w:right w:val="single" w:sz="4" w:space="0" w:color="auto"/>
            </w:tcBorders>
            <w:shd w:val="clear" w:color="auto" w:fill="auto"/>
            <w:vAlign w:val="center"/>
          </w:tcPr>
          <w:p w14:paraId="7AF442A6" w14:textId="7EDEAE4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Marshall Islands</w:t>
            </w:r>
          </w:p>
        </w:tc>
        <w:tc>
          <w:tcPr>
            <w:tcW w:w="2283" w:type="dxa"/>
            <w:tcBorders>
              <w:top w:val="nil"/>
              <w:left w:val="nil"/>
              <w:bottom w:val="single" w:sz="4" w:space="0" w:color="auto"/>
              <w:right w:val="single" w:sz="4" w:space="0" w:color="auto"/>
            </w:tcBorders>
            <w:shd w:val="clear" w:color="auto" w:fill="auto"/>
            <w:vAlign w:val="center"/>
            <w:hideMark/>
          </w:tcPr>
          <w:p w14:paraId="07ADCE5F"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31D2D3ED" w14:textId="35AB95FB" w:rsidR="008C009A" w:rsidRPr="007E7514" w:rsidRDefault="008C009A" w:rsidP="008C009A">
            <w:pPr>
              <w:rPr>
                <w:rFonts w:ascii="Calibri" w:hAnsi="Calibri" w:cs="Calibri"/>
                <w:color w:val="000000"/>
                <w:sz w:val="20"/>
                <w:szCs w:val="20"/>
                <w:lang w:val="en-GB"/>
              </w:rPr>
            </w:pPr>
          </w:p>
        </w:tc>
      </w:tr>
      <w:tr w:rsidR="008C009A" w:rsidRPr="007E7514" w14:paraId="15DCB2A8"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869B92E"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Mali*</w:t>
            </w:r>
          </w:p>
        </w:tc>
        <w:tc>
          <w:tcPr>
            <w:tcW w:w="2552" w:type="dxa"/>
            <w:tcBorders>
              <w:top w:val="nil"/>
              <w:left w:val="nil"/>
              <w:bottom w:val="single" w:sz="4" w:space="0" w:color="auto"/>
              <w:right w:val="single" w:sz="4" w:space="0" w:color="auto"/>
            </w:tcBorders>
            <w:shd w:val="clear" w:color="auto" w:fill="auto"/>
            <w:vAlign w:val="center"/>
          </w:tcPr>
          <w:p w14:paraId="6AF20741" w14:textId="3FCFF6F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Micronesia (Federated States of)</w:t>
            </w:r>
          </w:p>
        </w:tc>
        <w:tc>
          <w:tcPr>
            <w:tcW w:w="2283" w:type="dxa"/>
            <w:tcBorders>
              <w:top w:val="nil"/>
              <w:left w:val="nil"/>
              <w:bottom w:val="single" w:sz="4" w:space="0" w:color="auto"/>
              <w:right w:val="single" w:sz="4" w:space="0" w:color="auto"/>
            </w:tcBorders>
            <w:shd w:val="clear" w:color="auto" w:fill="auto"/>
            <w:vAlign w:val="center"/>
            <w:hideMark/>
          </w:tcPr>
          <w:p w14:paraId="620D4584"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3230D15D" w14:textId="12A58478" w:rsidR="008C009A" w:rsidRPr="007E7514" w:rsidRDefault="008C009A" w:rsidP="008C009A">
            <w:pPr>
              <w:rPr>
                <w:rFonts w:ascii="Calibri" w:hAnsi="Calibri" w:cs="Calibri"/>
                <w:color w:val="000000"/>
                <w:sz w:val="20"/>
                <w:szCs w:val="20"/>
                <w:lang w:val="en-GB"/>
              </w:rPr>
            </w:pPr>
          </w:p>
        </w:tc>
      </w:tr>
      <w:tr w:rsidR="008C009A" w:rsidRPr="007E7514" w14:paraId="74658CF5"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EBE90A7"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Mauritania</w:t>
            </w:r>
          </w:p>
        </w:tc>
        <w:tc>
          <w:tcPr>
            <w:tcW w:w="2552" w:type="dxa"/>
            <w:tcBorders>
              <w:top w:val="nil"/>
              <w:left w:val="nil"/>
              <w:bottom w:val="single" w:sz="4" w:space="0" w:color="auto"/>
              <w:right w:val="single" w:sz="4" w:space="0" w:color="auto"/>
            </w:tcBorders>
            <w:shd w:val="clear" w:color="auto" w:fill="auto"/>
            <w:vAlign w:val="center"/>
          </w:tcPr>
          <w:p w14:paraId="7FC0244A" w14:textId="2842253E"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Montenegro</w:t>
            </w:r>
          </w:p>
        </w:tc>
        <w:tc>
          <w:tcPr>
            <w:tcW w:w="2283" w:type="dxa"/>
            <w:tcBorders>
              <w:top w:val="nil"/>
              <w:left w:val="nil"/>
              <w:bottom w:val="single" w:sz="4" w:space="0" w:color="auto"/>
              <w:right w:val="single" w:sz="4" w:space="0" w:color="auto"/>
            </w:tcBorders>
            <w:shd w:val="clear" w:color="auto" w:fill="auto"/>
            <w:vAlign w:val="center"/>
            <w:hideMark/>
          </w:tcPr>
          <w:p w14:paraId="093D31FB"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0BB330D8" w14:textId="72D7B19A" w:rsidR="008C009A" w:rsidRPr="007E7514" w:rsidRDefault="008C009A" w:rsidP="008C009A">
            <w:pPr>
              <w:rPr>
                <w:rFonts w:ascii="Calibri" w:hAnsi="Calibri" w:cs="Calibri"/>
                <w:color w:val="000000"/>
                <w:sz w:val="20"/>
                <w:szCs w:val="20"/>
                <w:lang w:val="en-GB"/>
              </w:rPr>
            </w:pPr>
          </w:p>
        </w:tc>
      </w:tr>
      <w:tr w:rsidR="008C009A" w:rsidRPr="007E7514" w14:paraId="738A1F62"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6DD7F92"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Mauritius*</w:t>
            </w:r>
          </w:p>
        </w:tc>
        <w:tc>
          <w:tcPr>
            <w:tcW w:w="2552" w:type="dxa"/>
            <w:tcBorders>
              <w:top w:val="nil"/>
              <w:left w:val="nil"/>
              <w:bottom w:val="single" w:sz="4" w:space="0" w:color="auto"/>
              <w:right w:val="single" w:sz="4" w:space="0" w:color="auto"/>
            </w:tcBorders>
            <w:shd w:val="clear" w:color="auto" w:fill="auto"/>
            <w:vAlign w:val="center"/>
          </w:tcPr>
          <w:p w14:paraId="2A740BE3" w14:textId="0C9B884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Morocco</w:t>
            </w:r>
          </w:p>
        </w:tc>
        <w:tc>
          <w:tcPr>
            <w:tcW w:w="2283" w:type="dxa"/>
            <w:tcBorders>
              <w:top w:val="nil"/>
              <w:left w:val="nil"/>
              <w:bottom w:val="single" w:sz="4" w:space="0" w:color="auto"/>
              <w:right w:val="single" w:sz="4" w:space="0" w:color="auto"/>
            </w:tcBorders>
            <w:shd w:val="clear" w:color="auto" w:fill="auto"/>
            <w:vAlign w:val="center"/>
            <w:hideMark/>
          </w:tcPr>
          <w:p w14:paraId="40F8C314"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2260B846" w14:textId="57C5621F" w:rsidR="008C009A" w:rsidRPr="007E7514" w:rsidRDefault="008C009A" w:rsidP="008C009A">
            <w:pPr>
              <w:rPr>
                <w:rFonts w:ascii="Calibri" w:hAnsi="Calibri" w:cs="Calibri"/>
                <w:color w:val="000000"/>
                <w:sz w:val="20"/>
                <w:szCs w:val="20"/>
                <w:lang w:val="en-GB"/>
              </w:rPr>
            </w:pPr>
          </w:p>
        </w:tc>
      </w:tr>
      <w:tr w:rsidR="008C009A" w:rsidRPr="007E7514" w14:paraId="06CF9C21"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4E2D729"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Mexico*</w:t>
            </w:r>
          </w:p>
        </w:tc>
        <w:tc>
          <w:tcPr>
            <w:tcW w:w="2552" w:type="dxa"/>
            <w:tcBorders>
              <w:top w:val="nil"/>
              <w:left w:val="nil"/>
              <w:bottom w:val="single" w:sz="4" w:space="0" w:color="auto"/>
              <w:right w:val="single" w:sz="4" w:space="0" w:color="auto"/>
            </w:tcBorders>
            <w:shd w:val="clear" w:color="auto" w:fill="auto"/>
            <w:vAlign w:val="center"/>
          </w:tcPr>
          <w:p w14:paraId="5D64EA61" w14:textId="45C6D91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Mozambique</w:t>
            </w:r>
          </w:p>
        </w:tc>
        <w:tc>
          <w:tcPr>
            <w:tcW w:w="2283" w:type="dxa"/>
            <w:tcBorders>
              <w:top w:val="nil"/>
              <w:left w:val="nil"/>
              <w:bottom w:val="single" w:sz="4" w:space="0" w:color="auto"/>
              <w:right w:val="single" w:sz="4" w:space="0" w:color="auto"/>
            </w:tcBorders>
            <w:shd w:val="clear" w:color="auto" w:fill="auto"/>
            <w:vAlign w:val="center"/>
            <w:hideMark/>
          </w:tcPr>
          <w:p w14:paraId="038064B5"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6FA42295" w14:textId="4A521ECC" w:rsidR="008C009A" w:rsidRPr="007E7514" w:rsidRDefault="008C009A" w:rsidP="008C009A">
            <w:pPr>
              <w:rPr>
                <w:rFonts w:ascii="Calibri" w:hAnsi="Calibri" w:cs="Calibri"/>
                <w:color w:val="000000"/>
                <w:sz w:val="20"/>
                <w:szCs w:val="20"/>
                <w:lang w:val="en-GB"/>
              </w:rPr>
            </w:pPr>
          </w:p>
        </w:tc>
      </w:tr>
      <w:tr w:rsidR="008C009A" w:rsidRPr="007E7514" w14:paraId="095B436F" w14:textId="77777777" w:rsidTr="00BB3731">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5A543FA" w14:textId="1E78D71E"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Mongolia</w:t>
            </w:r>
          </w:p>
        </w:tc>
        <w:tc>
          <w:tcPr>
            <w:tcW w:w="2552" w:type="dxa"/>
            <w:tcBorders>
              <w:top w:val="nil"/>
              <w:left w:val="nil"/>
              <w:bottom w:val="single" w:sz="4" w:space="0" w:color="auto"/>
              <w:right w:val="single" w:sz="4" w:space="0" w:color="auto"/>
            </w:tcBorders>
            <w:shd w:val="clear" w:color="auto" w:fill="auto"/>
            <w:vAlign w:val="center"/>
          </w:tcPr>
          <w:p w14:paraId="102DAB2F" w14:textId="78831906"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Myanmar</w:t>
            </w:r>
          </w:p>
        </w:tc>
        <w:tc>
          <w:tcPr>
            <w:tcW w:w="2283" w:type="dxa"/>
            <w:tcBorders>
              <w:top w:val="nil"/>
              <w:left w:val="nil"/>
              <w:bottom w:val="single" w:sz="4" w:space="0" w:color="auto"/>
              <w:right w:val="single" w:sz="4" w:space="0" w:color="auto"/>
            </w:tcBorders>
            <w:shd w:val="clear" w:color="auto" w:fill="auto"/>
            <w:vAlign w:val="center"/>
            <w:hideMark/>
          </w:tcPr>
          <w:p w14:paraId="430CE9FD"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hideMark/>
          </w:tcPr>
          <w:p w14:paraId="6179666D"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lang w:val="en-GB"/>
              </w:rPr>
              <w:t> </w:t>
            </w:r>
          </w:p>
        </w:tc>
      </w:tr>
      <w:tr w:rsidR="008C009A" w:rsidRPr="007E7514" w14:paraId="5A06FE35" w14:textId="77777777" w:rsidTr="00BB3731">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D36B904" w14:textId="1CE1605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Namibia</w:t>
            </w:r>
          </w:p>
        </w:tc>
        <w:tc>
          <w:tcPr>
            <w:tcW w:w="2552" w:type="dxa"/>
            <w:tcBorders>
              <w:top w:val="nil"/>
              <w:left w:val="nil"/>
              <w:bottom w:val="single" w:sz="4" w:space="0" w:color="auto"/>
              <w:right w:val="single" w:sz="4" w:space="0" w:color="auto"/>
            </w:tcBorders>
            <w:shd w:val="clear" w:color="auto" w:fill="auto"/>
            <w:vAlign w:val="center"/>
          </w:tcPr>
          <w:p w14:paraId="07649111" w14:textId="5863FAEE"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Nepal*</w:t>
            </w:r>
          </w:p>
        </w:tc>
        <w:tc>
          <w:tcPr>
            <w:tcW w:w="2283" w:type="dxa"/>
            <w:tcBorders>
              <w:top w:val="nil"/>
              <w:left w:val="nil"/>
              <w:bottom w:val="single" w:sz="4" w:space="0" w:color="auto"/>
              <w:right w:val="single" w:sz="4" w:space="0" w:color="auto"/>
            </w:tcBorders>
            <w:shd w:val="clear" w:color="auto" w:fill="auto"/>
            <w:vAlign w:val="center"/>
            <w:hideMark/>
          </w:tcPr>
          <w:p w14:paraId="381DFF02"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hideMark/>
          </w:tcPr>
          <w:p w14:paraId="71CCD4A7" w14:textId="73FEF76C"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lang w:val="en-GB"/>
              </w:rPr>
              <w:t> </w:t>
            </w:r>
          </w:p>
        </w:tc>
      </w:tr>
      <w:tr w:rsidR="008C009A" w:rsidRPr="007E7514" w14:paraId="262E4D01" w14:textId="77777777" w:rsidTr="00BB3731">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595314B0" w14:textId="0D396CD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Nicaragua</w:t>
            </w:r>
          </w:p>
        </w:tc>
        <w:tc>
          <w:tcPr>
            <w:tcW w:w="2552" w:type="dxa"/>
            <w:tcBorders>
              <w:top w:val="nil"/>
              <w:left w:val="nil"/>
              <w:bottom w:val="single" w:sz="4" w:space="0" w:color="auto"/>
              <w:right w:val="single" w:sz="4" w:space="0" w:color="auto"/>
            </w:tcBorders>
            <w:shd w:val="clear" w:color="auto" w:fill="auto"/>
            <w:vAlign w:val="center"/>
          </w:tcPr>
          <w:p w14:paraId="634D912E" w14:textId="0E9E712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Niue</w:t>
            </w:r>
          </w:p>
        </w:tc>
        <w:tc>
          <w:tcPr>
            <w:tcW w:w="2283" w:type="dxa"/>
            <w:tcBorders>
              <w:top w:val="nil"/>
              <w:left w:val="nil"/>
              <w:bottom w:val="single" w:sz="4" w:space="0" w:color="auto"/>
              <w:right w:val="single" w:sz="4" w:space="0" w:color="auto"/>
            </w:tcBorders>
            <w:shd w:val="clear" w:color="auto" w:fill="auto"/>
            <w:vAlign w:val="center"/>
            <w:hideMark/>
          </w:tcPr>
          <w:p w14:paraId="31C78B78"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hideMark/>
          </w:tcPr>
          <w:p w14:paraId="4F3E5ACD"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lang w:val="en-GB"/>
              </w:rPr>
              <w:t> </w:t>
            </w:r>
          </w:p>
        </w:tc>
      </w:tr>
      <w:tr w:rsidR="008C009A" w:rsidRPr="007E7514" w14:paraId="3D124437"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594CF3BB" w14:textId="7630681C"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Niger*</w:t>
            </w:r>
          </w:p>
        </w:tc>
        <w:tc>
          <w:tcPr>
            <w:tcW w:w="2552" w:type="dxa"/>
            <w:tcBorders>
              <w:top w:val="nil"/>
              <w:left w:val="nil"/>
              <w:bottom w:val="single" w:sz="4" w:space="0" w:color="auto"/>
              <w:right w:val="single" w:sz="4" w:space="0" w:color="auto"/>
            </w:tcBorders>
            <w:shd w:val="clear" w:color="auto" w:fill="auto"/>
            <w:vAlign w:val="center"/>
          </w:tcPr>
          <w:p w14:paraId="782F3B00" w14:textId="6506509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North Macedonia</w:t>
            </w:r>
            <w:r w:rsidR="001B3B56" w:rsidRPr="007E7514">
              <w:rPr>
                <w:rFonts w:asciiTheme="minorHAnsi" w:hAnsiTheme="minorHAnsi" w:cstheme="minorHAnsi"/>
                <w:color w:val="000000"/>
                <w:sz w:val="20"/>
                <w:szCs w:val="20"/>
                <w:lang w:val="en-GB"/>
              </w:rPr>
              <w:t>*</w:t>
            </w:r>
          </w:p>
        </w:tc>
        <w:tc>
          <w:tcPr>
            <w:tcW w:w="2283" w:type="dxa"/>
            <w:tcBorders>
              <w:top w:val="nil"/>
              <w:left w:val="nil"/>
              <w:bottom w:val="single" w:sz="4" w:space="0" w:color="auto"/>
              <w:right w:val="single" w:sz="4" w:space="0" w:color="auto"/>
            </w:tcBorders>
            <w:shd w:val="clear" w:color="auto" w:fill="auto"/>
            <w:vAlign w:val="center"/>
            <w:hideMark/>
          </w:tcPr>
          <w:p w14:paraId="46F768AF"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1C77DAD1" w14:textId="37D47F4D" w:rsidR="008C009A" w:rsidRPr="007E7514" w:rsidRDefault="008C009A" w:rsidP="008C009A">
            <w:pPr>
              <w:rPr>
                <w:rFonts w:ascii="Calibri" w:hAnsi="Calibri" w:cs="Calibri"/>
                <w:color w:val="000000"/>
                <w:sz w:val="20"/>
                <w:szCs w:val="20"/>
                <w:lang w:val="en-GB"/>
              </w:rPr>
            </w:pPr>
          </w:p>
        </w:tc>
      </w:tr>
      <w:tr w:rsidR="008C009A" w:rsidRPr="007E7514" w14:paraId="74F160A6"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0CFC5FB" w14:textId="3A16ECE3"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Nigeria*</w:t>
            </w:r>
          </w:p>
        </w:tc>
        <w:tc>
          <w:tcPr>
            <w:tcW w:w="2552" w:type="dxa"/>
            <w:tcBorders>
              <w:top w:val="nil"/>
              <w:left w:val="nil"/>
              <w:bottom w:val="single" w:sz="4" w:space="0" w:color="auto"/>
              <w:right w:val="single" w:sz="4" w:space="0" w:color="auto"/>
            </w:tcBorders>
            <w:shd w:val="clear" w:color="auto" w:fill="auto"/>
            <w:vAlign w:val="center"/>
          </w:tcPr>
          <w:p w14:paraId="3DEAD30C" w14:textId="07FCF5EB"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Pakistan</w:t>
            </w:r>
          </w:p>
        </w:tc>
        <w:tc>
          <w:tcPr>
            <w:tcW w:w="2283" w:type="dxa"/>
            <w:tcBorders>
              <w:top w:val="nil"/>
              <w:left w:val="nil"/>
              <w:bottom w:val="single" w:sz="4" w:space="0" w:color="auto"/>
              <w:right w:val="single" w:sz="4" w:space="0" w:color="auto"/>
            </w:tcBorders>
            <w:shd w:val="clear" w:color="auto" w:fill="auto"/>
            <w:vAlign w:val="center"/>
            <w:hideMark/>
          </w:tcPr>
          <w:p w14:paraId="74AF5B48"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064DE25B" w14:textId="6E2483F6" w:rsidR="008C009A" w:rsidRPr="007E7514" w:rsidRDefault="008C009A" w:rsidP="008C009A">
            <w:pPr>
              <w:rPr>
                <w:rFonts w:ascii="Calibri" w:hAnsi="Calibri" w:cs="Calibri"/>
                <w:color w:val="000000"/>
                <w:sz w:val="20"/>
                <w:szCs w:val="20"/>
                <w:lang w:val="en-GB"/>
              </w:rPr>
            </w:pPr>
          </w:p>
        </w:tc>
      </w:tr>
      <w:tr w:rsidR="008C009A" w:rsidRPr="007E7514" w14:paraId="35D361F8"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6B15A4DB" w14:textId="1C8A9DE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Oman</w:t>
            </w:r>
          </w:p>
        </w:tc>
        <w:tc>
          <w:tcPr>
            <w:tcW w:w="2552" w:type="dxa"/>
            <w:tcBorders>
              <w:top w:val="nil"/>
              <w:left w:val="nil"/>
              <w:bottom w:val="single" w:sz="4" w:space="0" w:color="auto"/>
              <w:right w:val="single" w:sz="4" w:space="0" w:color="auto"/>
            </w:tcBorders>
            <w:shd w:val="clear" w:color="auto" w:fill="auto"/>
            <w:vAlign w:val="center"/>
          </w:tcPr>
          <w:p w14:paraId="38625CC5" w14:textId="0E72E601" w:rsidR="008C009A" w:rsidRPr="007E7514" w:rsidRDefault="008C009A" w:rsidP="008C009A">
            <w:pPr>
              <w:rPr>
                <w:rFonts w:asciiTheme="minorHAnsi" w:hAnsiTheme="minorHAnsi" w:cstheme="minorHAnsi"/>
                <w:color w:val="000000"/>
                <w:sz w:val="20"/>
                <w:szCs w:val="20"/>
                <w:highlight w:val="lightGray"/>
                <w:lang w:val="en-GB"/>
              </w:rPr>
            </w:pPr>
            <w:r w:rsidRPr="007E7514">
              <w:rPr>
                <w:rFonts w:asciiTheme="minorHAnsi" w:hAnsiTheme="minorHAnsi" w:cstheme="minorHAnsi"/>
                <w:color w:val="000000"/>
                <w:sz w:val="20"/>
                <w:szCs w:val="20"/>
                <w:lang w:val="en-GB"/>
              </w:rPr>
              <w:t>Papua New Guinea</w:t>
            </w:r>
          </w:p>
        </w:tc>
        <w:tc>
          <w:tcPr>
            <w:tcW w:w="2283" w:type="dxa"/>
            <w:tcBorders>
              <w:top w:val="nil"/>
              <w:left w:val="nil"/>
              <w:bottom w:val="single" w:sz="4" w:space="0" w:color="auto"/>
              <w:right w:val="single" w:sz="4" w:space="0" w:color="auto"/>
            </w:tcBorders>
            <w:shd w:val="clear" w:color="auto" w:fill="auto"/>
            <w:vAlign w:val="center"/>
            <w:hideMark/>
          </w:tcPr>
          <w:p w14:paraId="308DCB1B"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4AB5A6F8" w14:textId="09E77027" w:rsidR="008C009A" w:rsidRPr="007E7514" w:rsidRDefault="008C009A" w:rsidP="008C009A">
            <w:pPr>
              <w:rPr>
                <w:rFonts w:ascii="Calibri" w:hAnsi="Calibri" w:cs="Calibri"/>
                <w:color w:val="000000"/>
                <w:sz w:val="20"/>
                <w:szCs w:val="20"/>
                <w:lang w:val="en-GB"/>
              </w:rPr>
            </w:pPr>
          </w:p>
        </w:tc>
      </w:tr>
      <w:tr w:rsidR="008C009A" w:rsidRPr="007E7514" w14:paraId="47184152"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96233D3" w14:textId="55D1F13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Palau</w:t>
            </w:r>
          </w:p>
        </w:tc>
        <w:tc>
          <w:tcPr>
            <w:tcW w:w="2552" w:type="dxa"/>
            <w:tcBorders>
              <w:top w:val="nil"/>
              <w:left w:val="nil"/>
              <w:bottom w:val="single" w:sz="4" w:space="0" w:color="auto"/>
              <w:right w:val="single" w:sz="4" w:space="0" w:color="auto"/>
            </w:tcBorders>
            <w:shd w:val="clear" w:color="auto" w:fill="auto"/>
            <w:vAlign w:val="center"/>
          </w:tcPr>
          <w:p w14:paraId="176AD922" w14:textId="68EE7F9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Philippines</w:t>
            </w:r>
          </w:p>
        </w:tc>
        <w:tc>
          <w:tcPr>
            <w:tcW w:w="2283" w:type="dxa"/>
            <w:tcBorders>
              <w:top w:val="nil"/>
              <w:left w:val="nil"/>
              <w:bottom w:val="single" w:sz="4" w:space="0" w:color="auto"/>
              <w:right w:val="single" w:sz="4" w:space="0" w:color="auto"/>
            </w:tcBorders>
            <w:shd w:val="clear" w:color="auto" w:fill="auto"/>
            <w:vAlign w:val="center"/>
            <w:hideMark/>
          </w:tcPr>
          <w:p w14:paraId="791898A8"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3FA564C9" w14:textId="0EC63E58" w:rsidR="008C009A" w:rsidRPr="007E7514" w:rsidRDefault="008C009A" w:rsidP="008C009A">
            <w:pPr>
              <w:rPr>
                <w:rFonts w:ascii="Calibri" w:hAnsi="Calibri" w:cs="Calibri"/>
                <w:color w:val="000000"/>
                <w:sz w:val="20"/>
                <w:szCs w:val="20"/>
                <w:lang w:val="en-GB"/>
              </w:rPr>
            </w:pPr>
          </w:p>
        </w:tc>
      </w:tr>
      <w:tr w:rsidR="008C009A" w:rsidRPr="007E7514" w14:paraId="13506D16"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88EB983" w14:textId="721F631B"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Panama*</w:t>
            </w:r>
          </w:p>
        </w:tc>
        <w:tc>
          <w:tcPr>
            <w:tcW w:w="2552" w:type="dxa"/>
            <w:tcBorders>
              <w:top w:val="nil"/>
              <w:left w:val="nil"/>
              <w:bottom w:val="single" w:sz="4" w:space="0" w:color="auto"/>
              <w:right w:val="single" w:sz="4" w:space="0" w:color="auto"/>
            </w:tcBorders>
            <w:shd w:val="clear" w:color="auto" w:fill="auto"/>
            <w:vAlign w:val="center"/>
          </w:tcPr>
          <w:p w14:paraId="666F9E72" w14:textId="1C58FBE0"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Saint Lucia*</w:t>
            </w:r>
          </w:p>
        </w:tc>
        <w:tc>
          <w:tcPr>
            <w:tcW w:w="2283" w:type="dxa"/>
            <w:tcBorders>
              <w:top w:val="nil"/>
              <w:left w:val="nil"/>
              <w:bottom w:val="single" w:sz="4" w:space="0" w:color="auto"/>
              <w:right w:val="single" w:sz="4" w:space="0" w:color="auto"/>
            </w:tcBorders>
            <w:shd w:val="clear" w:color="auto" w:fill="auto"/>
            <w:vAlign w:val="center"/>
            <w:hideMark/>
          </w:tcPr>
          <w:p w14:paraId="631E5CAB"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1ED6037C" w14:textId="7FF696D9" w:rsidR="008C009A" w:rsidRPr="007E7514" w:rsidRDefault="008C009A" w:rsidP="008C009A">
            <w:pPr>
              <w:rPr>
                <w:rFonts w:ascii="Calibri" w:hAnsi="Calibri" w:cs="Calibri"/>
                <w:color w:val="000000"/>
                <w:sz w:val="20"/>
                <w:szCs w:val="20"/>
                <w:lang w:val="en-GB"/>
              </w:rPr>
            </w:pPr>
          </w:p>
        </w:tc>
      </w:tr>
      <w:tr w:rsidR="008C009A" w:rsidRPr="007E7514" w14:paraId="684C1A1F"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F75B1F2" w14:textId="3929EF6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Paraguay*</w:t>
            </w:r>
          </w:p>
        </w:tc>
        <w:tc>
          <w:tcPr>
            <w:tcW w:w="2552" w:type="dxa"/>
            <w:tcBorders>
              <w:top w:val="nil"/>
              <w:left w:val="nil"/>
              <w:bottom w:val="single" w:sz="4" w:space="0" w:color="auto"/>
              <w:right w:val="single" w:sz="4" w:space="0" w:color="auto"/>
            </w:tcBorders>
            <w:shd w:val="clear" w:color="auto" w:fill="auto"/>
            <w:vAlign w:val="center"/>
          </w:tcPr>
          <w:p w14:paraId="3138594C" w14:textId="36EA7A09"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Saint Vincent and the Grenadines</w:t>
            </w:r>
          </w:p>
        </w:tc>
        <w:tc>
          <w:tcPr>
            <w:tcW w:w="2283" w:type="dxa"/>
            <w:tcBorders>
              <w:top w:val="nil"/>
              <w:left w:val="nil"/>
              <w:bottom w:val="single" w:sz="4" w:space="0" w:color="auto"/>
              <w:right w:val="single" w:sz="4" w:space="0" w:color="auto"/>
            </w:tcBorders>
            <w:shd w:val="clear" w:color="auto" w:fill="auto"/>
            <w:vAlign w:val="center"/>
            <w:hideMark/>
          </w:tcPr>
          <w:p w14:paraId="59C67DEB"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2ED97AE3" w14:textId="3205FE3D" w:rsidR="008C009A" w:rsidRPr="007E7514" w:rsidRDefault="008C009A" w:rsidP="008C009A">
            <w:pPr>
              <w:rPr>
                <w:rFonts w:ascii="Calibri" w:hAnsi="Calibri" w:cs="Calibri"/>
                <w:color w:val="000000"/>
                <w:sz w:val="20"/>
                <w:szCs w:val="20"/>
                <w:lang w:val="en-GB"/>
              </w:rPr>
            </w:pPr>
          </w:p>
        </w:tc>
      </w:tr>
      <w:tr w:rsidR="008C009A" w:rsidRPr="007E7514" w14:paraId="4C2498E9"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4A93184A" w14:textId="512614E9"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Republic of Moldova*</w:t>
            </w:r>
          </w:p>
        </w:tc>
        <w:tc>
          <w:tcPr>
            <w:tcW w:w="2552" w:type="dxa"/>
            <w:tcBorders>
              <w:top w:val="nil"/>
              <w:left w:val="nil"/>
              <w:bottom w:val="single" w:sz="4" w:space="0" w:color="auto"/>
              <w:right w:val="single" w:sz="4" w:space="0" w:color="auto"/>
            </w:tcBorders>
            <w:shd w:val="clear" w:color="auto" w:fill="auto"/>
            <w:vAlign w:val="center"/>
          </w:tcPr>
          <w:p w14:paraId="0817A07C" w14:textId="220A470A"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Serbia</w:t>
            </w:r>
          </w:p>
        </w:tc>
        <w:tc>
          <w:tcPr>
            <w:tcW w:w="2283" w:type="dxa"/>
            <w:tcBorders>
              <w:top w:val="nil"/>
              <w:left w:val="nil"/>
              <w:bottom w:val="single" w:sz="4" w:space="0" w:color="auto"/>
              <w:right w:val="single" w:sz="4" w:space="0" w:color="auto"/>
            </w:tcBorders>
            <w:shd w:val="clear" w:color="auto" w:fill="auto"/>
            <w:vAlign w:val="center"/>
            <w:hideMark/>
          </w:tcPr>
          <w:p w14:paraId="0D74611C"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44BE1B28" w14:textId="5A5F951F" w:rsidR="008C009A" w:rsidRPr="007E7514" w:rsidRDefault="008C009A" w:rsidP="008C009A">
            <w:pPr>
              <w:rPr>
                <w:rFonts w:ascii="Calibri" w:hAnsi="Calibri" w:cs="Calibri"/>
                <w:color w:val="000000"/>
                <w:sz w:val="20"/>
                <w:szCs w:val="20"/>
                <w:lang w:val="en-GB"/>
              </w:rPr>
            </w:pPr>
          </w:p>
        </w:tc>
      </w:tr>
      <w:tr w:rsidR="008C009A" w:rsidRPr="007E7514" w14:paraId="12AE3B04"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30AF225"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Rwanda</w:t>
            </w:r>
          </w:p>
        </w:tc>
        <w:tc>
          <w:tcPr>
            <w:tcW w:w="2552" w:type="dxa"/>
            <w:tcBorders>
              <w:top w:val="nil"/>
              <w:left w:val="nil"/>
              <w:bottom w:val="single" w:sz="4" w:space="0" w:color="auto"/>
              <w:right w:val="single" w:sz="4" w:space="0" w:color="auto"/>
            </w:tcBorders>
            <w:shd w:val="clear" w:color="auto" w:fill="auto"/>
            <w:vAlign w:val="center"/>
          </w:tcPr>
          <w:p w14:paraId="45F84491" w14:textId="7F54096B"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South Africa</w:t>
            </w:r>
          </w:p>
        </w:tc>
        <w:tc>
          <w:tcPr>
            <w:tcW w:w="2283" w:type="dxa"/>
            <w:tcBorders>
              <w:top w:val="nil"/>
              <w:left w:val="nil"/>
              <w:bottom w:val="single" w:sz="4" w:space="0" w:color="auto"/>
              <w:right w:val="single" w:sz="4" w:space="0" w:color="auto"/>
            </w:tcBorders>
            <w:shd w:val="clear" w:color="auto" w:fill="auto"/>
            <w:vAlign w:val="center"/>
            <w:hideMark/>
          </w:tcPr>
          <w:p w14:paraId="606B4152"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0DB5CE0B" w14:textId="1FE8ACB1" w:rsidR="008C009A" w:rsidRPr="007E7514" w:rsidRDefault="008C009A" w:rsidP="008C009A">
            <w:pPr>
              <w:rPr>
                <w:rFonts w:ascii="Calibri" w:hAnsi="Calibri" w:cs="Calibri"/>
                <w:color w:val="000000"/>
                <w:sz w:val="20"/>
                <w:szCs w:val="20"/>
                <w:lang w:val="en-GB"/>
              </w:rPr>
            </w:pPr>
          </w:p>
        </w:tc>
      </w:tr>
      <w:tr w:rsidR="008C009A" w:rsidRPr="007E7514" w14:paraId="1E3D039E"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411AB2B7" w14:textId="5C588C00"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Saint Kitts and Nevis*</w:t>
            </w:r>
          </w:p>
        </w:tc>
        <w:tc>
          <w:tcPr>
            <w:tcW w:w="2552" w:type="dxa"/>
            <w:tcBorders>
              <w:top w:val="nil"/>
              <w:left w:val="nil"/>
              <w:bottom w:val="single" w:sz="4" w:space="0" w:color="auto"/>
              <w:right w:val="single" w:sz="4" w:space="0" w:color="auto"/>
            </w:tcBorders>
            <w:shd w:val="clear" w:color="auto" w:fill="auto"/>
            <w:vAlign w:val="center"/>
          </w:tcPr>
          <w:p w14:paraId="3846DB0A" w14:textId="5AA6F6EA"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Sudan</w:t>
            </w:r>
          </w:p>
        </w:tc>
        <w:tc>
          <w:tcPr>
            <w:tcW w:w="2283" w:type="dxa"/>
            <w:tcBorders>
              <w:top w:val="nil"/>
              <w:left w:val="nil"/>
              <w:bottom w:val="single" w:sz="4" w:space="0" w:color="auto"/>
              <w:right w:val="single" w:sz="4" w:space="0" w:color="auto"/>
            </w:tcBorders>
            <w:shd w:val="clear" w:color="auto" w:fill="auto"/>
            <w:vAlign w:val="center"/>
          </w:tcPr>
          <w:p w14:paraId="114DF031" w14:textId="785EFA76"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76044E4E" w14:textId="3C35C164" w:rsidR="008C009A" w:rsidRPr="007E7514" w:rsidRDefault="008C009A" w:rsidP="008C009A">
            <w:pPr>
              <w:rPr>
                <w:rFonts w:ascii="Calibri" w:hAnsi="Calibri" w:cs="Calibri"/>
                <w:color w:val="000000"/>
                <w:sz w:val="20"/>
                <w:szCs w:val="20"/>
                <w:lang w:val="en-GB"/>
              </w:rPr>
            </w:pPr>
          </w:p>
        </w:tc>
      </w:tr>
      <w:tr w:rsidR="008C009A" w:rsidRPr="007E7514" w14:paraId="20E0296A" w14:textId="77777777" w:rsidTr="008C009A">
        <w:trPr>
          <w:trHeight w:val="295"/>
        </w:trPr>
        <w:tc>
          <w:tcPr>
            <w:tcW w:w="2405" w:type="dxa"/>
            <w:tcBorders>
              <w:top w:val="nil"/>
              <w:left w:val="single" w:sz="4" w:space="0" w:color="auto"/>
              <w:bottom w:val="single" w:sz="4" w:space="0" w:color="auto"/>
              <w:right w:val="single" w:sz="4" w:space="0" w:color="auto"/>
            </w:tcBorders>
            <w:shd w:val="clear" w:color="auto" w:fill="auto"/>
            <w:vAlign w:val="center"/>
          </w:tcPr>
          <w:p w14:paraId="25C092DA" w14:textId="362D3D8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Samoa*</w:t>
            </w:r>
          </w:p>
        </w:tc>
        <w:tc>
          <w:tcPr>
            <w:tcW w:w="2552" w:type="dxa"/>
            <w:tcBorders>
              <w:top w:val="nil"/>
              <w:left w:val="nil"/>
              <w:bottom w:val="single" w:sz="4" w:space="0" w:color="auto"/>
              <w:right w:val="single" w:sz="4" w:space="0" w:color="auto"/>
            </w:tcBorders>
            <w:shd w:val="clear" w:color="auto" w:fill="auto"/>
            <w:vAlign w:val="center"/>
          </w:tcPr>
          <w:p w14:paraId="67CE6F7D" w14:textId="76E2F06C"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Tonga</w:t>
            </w:r>
          </w:p>
        </w:tc>
        <w:tc>
          <w:tcPr>
            <w:tcW w:w="2283" w:type="dxa"/>
            <w:tcBorders>
              <w:top w:val="nil"/>
              <w:left w:val="nil"/>
              <w:bottom w:val="single" w:sz="4" w:space="0" w:color="auto"/>
              <w:right w:val="single" w:sz="4" w:space="0" w:color="auto"/>
            </w:tcBorders>
            <w:shd w:val="clear" w:color="auto" w:fill="auto"/>
            <w:vAlign w:val="center"/>
          </w:tcPr>
          <w:p w14:paraId="7597F462" w14:textId="6EBB778D"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61875BF8" w14:textId="15ACB48A" w:rsidR="008C009A" w:rsidRPr="007E7514" w:rsidRDefault="008C009A" w:rsidP="008C009A">
            <w:pPr>
              <w:rPr>
                <w:rFonts w:ascii="Calibri" w:hAnsi="Calibri" w:cs="Calibri"/>
                <w:color w:val="000000"/>
                <w:sz w:val="20"/>
                <w:szCs w:val="20"/>
                <w:lang w:val="en-GB"/>
              </w:rPr>
            </w:pPr>
          </w:p>
        </w:tc>
      </w:tr>
      <w:tr w:rsidR="008C009A" w:rsidRPr="007E7514" w14:paraId="3FFD6833"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52A185B3" w14:textId="4BFFC8F2"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Sao Tome and Principe*</w:t>
            </w:r>
          </w:p>
        </w:tc>
        <w:tc>
          <w:tcPr>
            <w:tcW w:w="2552" w:type="dxa"/>
            <w:tcBorders>
              <w:top w:val="nil"/>
              <w:left w:val="nil"/>
              <w:bottom w:val="single" w:sz="4" w:space="0" w:color="auto"/>
              <w:right w:val="single" w:sz="4" w:space="0" w:color="auto"/>
            </w:tcBorders>
            <w:shd w:val="clear" w:color="auto" w:fill="auto"/>
            <w:vAlign w:val="center"/>
          </w:tcPr>
          <w:p w14:paraId="1992F4BA" w14:textId="7B2E58B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Trinidad and Tobago*</w:t>
            </w:r>
          </w:p>
        </w:tc>
        <w:tc>
          <w:tcPr>
            <w:tcW w:w="2283" w:type="dxa"/>
            <w:tcBorders>
              <w:top w:val="nil"/>
              <w:left w:val="nil"/>
              <w:bottom w:val="single" w:sz="4" w:space="0" w:color="auto"/>
              <w:right w:val="single" w:sz="4" w:space="0" w:color="auto"/>
            </w:tcBorders>
            <w:shd w:val="clear" w:color="auto" w:fill="auto"/>
            <w:vAlign w:val="center"/>
          </w:tcPr>
          <w:p w14:paraId="35C34F19" w14:textId="28E651A3"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20BE4F85" w14:textId="50058E1B" w:rsidR="008C009A" w:rsidRPr="007E7514" w:rsidRDefault="008C009A" w:rsidP="008C009A">
            <w:pPr>
              <w:rPr>
                <w:rFonts w:ascii="Calibri" w:hAnsi="Calibri" w:cs="Calibri"/>
                <w:color w:val="000000"/>
                <w:sz w:val="20"/>
                <w:szCs w:val="20"/>
                <w:lang w:val="en-GB"/>
              </w:rPr>
            </w:pPr>
          </w:p>
        </w:tc>
      </w:tr>
      <w:tr w:rsidR="008C009A" w:rsidRPr="007E7514" w14:paraId="119839B6"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77933FEB" w14:textId="2EBBEBC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Senegal*</w:t>
            </w:r>
          </w:p>
        </w:tc>
        <w:tc>
          <w:tcPr>
            <w:tcW w:w="2552" w:type="dxa"/>
            <w:tcBorders>
              <w:top w:val="nil"/>
              <w:left w:val="nil"/>
              <w:bottom w:val="single" w:sz="4" w:space="0" w:color="auto"/>
              <w:right w:val="single" w:sz="4" w:space="0" w:color="auto"/>
            </w:tcBorders>
            <w:shd w:val="clear" w:color="auto" w:fill="auto"/>
            <w:vAlign w:val="center"/>
          </w:tcPr>
          <w:p w14:paraId="670820F1" w14:textId="3C0D6913" w:rsidR="008C009A" w:rsidRPr="007E7514" w:rsidRDefault="008C009A" w:rsidP="008C009A">
            <w:pPr>
              <w:rPr>
                <w:rFonts w:asciiTheme="minorHAnsi" w:hAnsiTheme="minorHAnsi" w:cstheme="minorHAnsi"/>
                <w:color w:val="000000"/>
                <w:sz w:val="20"/>
                <w:szCs w:val="20"/>
                <w:highlight w:val="lightGray"/>
                <w:lang w:val="en-GB"/>
              </w:rPr>
            </w:pPr>
            <w:r w:rsidRPr="007E7514">
              <w:rPr>
                <w:rFonts w:asciiTheme="minorHAnsi" w:hAnsiTheme="minorHAnsi" w:cstheme="minorHAnsi"/>
                <w:color w:val="000000"/>
                <w:sz w:val="20"/>
                <w:szCs w:val="20"/>
                <w:lang w:val="en-GB"/>
              </w:rPr>
              <w:t>Turkey</w:t>
            </w:r>
          </w:p>
        </w:tc>
        <w:tc>
          <w:tcPr>
            <w:tcW w:w="2283" w:type="dxa"/>
            <w:tcBorders>
              <w:top w:val="nil"/>
              <w:left w:val="nil"/>
              <w:bottom w:val="single" w:sz="4" w:space="0" w:color="auto"/>
              <w:right w:val="single" w:sz="4" w:space="0" w:color="auto"/>
            </w:tcBorders>
            <w:shd w:val="clear" w:color="auto" w:fill="auto"/>
            <w:vAlign w:val="center"/>
          </w:tcPr>
          <w:p w14:paraId="3DE4A015" w14:textId="26D6A5F8"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06DE1A01" w14:textId="3FDF388A" w:rsidR="008C009A" w:rsidRPr="007E7514" w:rsidRDefault="008C009A" w:rsidP="008C009A">
            <w:pPr>
              <w:rPr>
                <w:rFonts w:ascii="Calibri" w:hAnsi="Calibri" w:cs="Calibri"/>
                <w:color w:val="000000"/>
                <w:sz w:val="20"/>
                <w:szCs w:val="20"/>
                <w:lang w:val="en-GB"/>
              </w:rPr>
            </w:pPr>
          </w:p>
        </w:tc>
      </w:tr>
      <w:tr w:rsidR="008C009A" w:rsidRPr="007E7514" w14:paraId="3182CFB1"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17EAA814" w14:textId="7A501A03"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Seychelles*</w:t>
            </w:r>
          </w:p>
        </w:tc>
        <w:tc>
          <w:tcPr>
            <w:tcW w:w="2552" w:type="dxa"/>
            <w:tcBorders>
              <w:top w:val="nil"/>
              <w:left w:val="nil"/>
              <w:bottom w:val="single" w:sz="4" w:space="0" w:color="auto"/>
              <w:right w:val="single" w:sz="4" w:space="0" w:color="auto"/>
            </w:tcBorders>
            <w:shd w:val="clear" w:color="auto" w:fill="auto"/>
            <w:vAlign w:val="center"/>
          </w:tcPr>
          <w:p w14:paraId="203EBA25" w14:textId="6984D198"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Uganda*</w:t>
            </w:r>
          </w:p>
        </w:tc>
        <w:tc>
          <w:tcPr>
            <w:tcW w:w="2283" w:type="dxa"/>
            <w:tcBorders>
              <w:top w:val="nil"/>
              <w:left w:val="nil"/>
              <w:bottom w:val="single" w:sz="4" w:space="0" w:color="auto"/>
              <w:right w:val="single" w:sz="4" w:space="0" w:color="auto"/>
            </w:tcBorders>
            <w:shd w:val="clear" w:color="auto" w:fill="auto"/>
            <w:vAlign w:val="center"/>
          </w:tcPr>
          <w:p w14:paraId="2177DDBB" w14:textId="13A9E713"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0E8222EE" w14:textId="7188CA2A" w:rsidR="008C009A" w:rsidRPr="007E7514" w:rsidRDefault="008C009A" w:rsidP="008C009A">
            <w:pPr>
              <w:rPr>
                <w:rFonts w:ascii="Calibri" w:hAnsi="Calibri" w:cs="Calibri"/>
                <w:color w:val="000000"/>
                <w:sz w:val="20"/>
                <w:szCs w:val="20"/>
                <w:lang w:val="en-GB"/>
              </w:rPr>
            </w:pPr>
          </w:p>
        </w:tc>
      </w:tr>
      <w:tr w:rsidR="008C009A" w:rsidRPr="007E7514" w14:paraId="51A7CFD4"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2667ADE" w14:textId="6E02D4B1"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Sierra Leone*</w:t>
            </w:r>
          </w:p>
        </w:tc>
        <w:tc>
          <w:tcPr>
            <w:tcW w:w="2552" w:type="dxa"/>
            <w:tcBorders>
              <w:top w:val="nil"/>
              <w:left w:val="nil"/>
              <w:bottom w:val="single" w:sz="4" w:space="0" w:color="auto"/>
              <w:right w:val="single" w:sz="4" w:space="0" w:color="auto"/>
            </w:tcBorders>
            <w:shd w:val="clear" w:color="auto" w:fill="auto"/>
            <w:vAlign w:val="center"/>
          </w:tcPr>
          <w:p w14:paraId="308447A7" w14:textId="002976B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highlight w:val="lightGray"/>
                <w:lang w:val="en-GB"/>
              </w:rPr>
              <w:t>United Republic of Tanzania*</w:t>
            </w:r>
          </w:p>
        </w:tc>
        <w:tc>
          <w:tcPr>
            <w:tcW w:w="2283" w:type="dxa"/>
            <w:tcBorders>
              <w:top w:val="nil"/>
              <w:left w:val="nil"/>
              <w:bottom w:val="single" w:sz="4" w:space="0" w:color="auto"/>
              <w:right w:val="single" w:sz="4" w:space="0" w:color="auto"/>
            </w:tcBorders>
            <w:shd w:val="clear" w:color="auto" w:fill="auto"/>
            <w:vAlign w:val="center"/>
          </w:tcPr>
          <w:p w14:paraId="5DBDA391" w14:textId="78127E6B"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4F38D09C" w14:textId="27C0AAC4" w:rsidR="008C009A" w:rsidRPr="007E7514" w:rsidRDefault="008C009A" w:rsidP="008C009A">
            <w:pPr>
              <w:rPr>
                <w:rFonts w:ascii="Calibri" w:hAnsi="Calibri" w:cs="Calibri"/>
                <w:color w:val="000000"/>
                <w:sz w:val="20"/>
                <w:szCs w:val="20"/>
                <w:lang w:val="en-GB"/>
              </w:rPr>
            </w:pPr>
          </w:p>
        </w:tc>
      </w:tr>
      <w:tr w:rsidR="008C009A" w:rsidRPr="007E7514" w14:paraId="2AD132CA"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DDCEC15" w14:textId="7DA68C99"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Sri Lanka*</w:t>
            </w:r>
          </w:p>
        </w:tc>
        <w:tc>
          <w:tcPr>
            <w:tcW w:w="2552" w:type="dxa"/>
            <w:tcBorders>
              <w:top w:val="nil"/>
              <w:left w:val="nil"/>
              <w:bottom w:val="single" w:sz="4" w:space="0" w:color="auto"/>
              <w:right w:val="single" w:sz="4" w:space="0" w:color="auto"/>
            </w:tcBorders>
            <w:shd w:val="clear" w:color="auto" w:fill="auto"/>
            <w:vAlign w:val="center"/>
          </w:tcPr>
          <w:p w14:paraId="0F59A2F8" w14:textId="3619E9C0" w:rsidR="008C009A" w:rsidRPr="007E7514" w:rsidRDefault="008C009A" w:rsidP="008C009A">
            <w:pPr>
              <w:rPr>
                <w:rFonts w:asciiTheme="minorHAnsi" w:hAnsiTheme="minorHAnsi" w:cstheme="minorHAnsi"/>
                <w:color w:val="000000"/>
                <w:sz w:val="20"/>
                <w:szCs w:val="20"/>
                <w:highlight w:val="lightGray"/>
                <w:lang w:val="en-GB"/>
              </w:rPr>
            </w:pPr>
            <w:r w:rsidRPr="007E7514">
              <w:rPr>
                <w:rFonts w:asciiTheme="minorHAnsi" w:hAnsiTheme="minorHAnsi" w:cstheme="minorHAnsi"/>
                <w:color w:val="000000"/>
                <w:sz w:val="20"/>
                <w:szCs w:val="20"/>
                <w:highlight w:val="lightGray"/>
                <w:lang w:val="en-GB"/>
              </w:rPr>
              <w:t>Vanuatu</w:t>
            </w:r>
          </w:p>
        </w:tc>
        <w:tc>
          <w:tcPr>
            <w:tcW w:w="2283" w:type="dxa"/>
            <w:tcBorders>
              <w:top w:val="nil"/>
              <w:left w:val="nil"/>
              <w:bottom w:val="single" w:sz="4" w:space="0" w:color="auto"/>
              <w:right w:val="single" w:sz="4" w:space="0" w:color="auto"/>
            </w:tcBorders>
            <w:shd w:val="clear" w:color="auto" w:fill="auto"/>
            <w:vAlign w:val="center"/>
          </w:tcPr>
          <w:p w14:paraId="7CCDC68D" w14:textId="7888C9C0" w:rsidR="008C009A" w:rsidRPr="007E7514" w:rsidRDefault="008C009A" w:rsidP="008C009A">
            <w:pPr>
              <w:rPr>
                <w:rFonts w:asciiTheme="minorHAnsi" w:hAnsiTheme="minorHAnsi" w:cstheme="minorHAnsi"/>
                <w:color w:val="000000"/>
                <w:sz w:val="20"/>
                <w:szCs w:val="20"/>
                <w:lang w:val="en-GB"/>
              </w:rPr>
            </w:pPr>
          </w:p>
        </w:tc>
        <w:tc>
          <w:tcPr>
            <w:tcW w:w="2536" w:type="dxa"/>
            <w:tcBorders>
              <w:top w:val="nil"/>
              <w:left w:val="nil"/>
              <w:bottom w:val="single" w:sz="4" w:space="0" w:color="auto"/>
              <w:right w:val="single" w:sz="4" w:space="0" w:color="auto"/>
            </w:tcBorders>
            <w:shd w:val="clear" w:color="auto" w:fill="auto"/>
            <w:vAlign w:val="center"/>
          </w:tcPr>
          <w:p w14:paraId="7D4713D8" w14:textId="2563DE46" w:rsidR="008C009A" w:rsidRPr="007E7514" w:rsidRDefault="008C009A" w:rsidP="008C009A">
            <w:pPr>
              <w:rPr>
                <w:rFonts w:ascii="Calibri" w:hAnsi="Calibri" w:cs="Calibri"/>
                <w:color w:val="000000"/>
                <w:sz w:val="20"/>
                <w:szCs w:val="20"/>
                <w:lang w:val="en-GB"/>
              </w:rPr>
            </w:pPr>
          </w:p>
        </w:tc>
      </w:tr>
      <w:tr w:rsidR="008C009A" w:rsidRPr="007E7514" w14:paraId="7922C02F"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69649D2" w14:textId="796CC4FC"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Suriname*</w:t>
            </w:r>
          </w:p>
        </w:tc>
        <w:tc>
          <w:tcPr>
            <w:tcW w:w="2552" w:type="dxa"/>
            <w:tcBorders>
              <w:top w:val="nil"/>
              <w:left w:val="nil"/>
              <w:bottom w:val="single" w:sz="4" w:space="0" w:color="auto"/>
              <w:right w:val="single" w:sz="4" w:space="0" w:color="auto"/>
            </w:tcBorders>
            <w:shd w:val="clear" w:color="auto" w:fill="auto"/>
            <w:vAlign w:val="center"/>
          </w:tcPr>
          <w:p w14:paraId="3E9AE058" w14:textId="1B292F3D"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Yemen*</w:t>
            </w:r>
          </w:p>
        </w:tc>
        <w:tc>
          <w:tcPr>
            <w:tcW w:w="2283" w:type="dxa"/>
            <w:tcBorders>
              <w:top w:val="nil"/>
              <w:left w:val="nil"/>
              <w:bottom w:val="single" w:sz="4" w:space="0" w:color="auto"/>
              <w:right w:val="single" w:sz="4" w:space="0" w:color="auto"/>
            </w:tcBorders>
            <w:shd w:val="clear" w:color="auto" w:fill="auto"/>
            <w:vAlign w:val="center"/>
            <w:hideMark/>
          </w:tcPr>
          <w:p w14:paraId="569D6EC1"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70AEB355" w14:textId="0352D855" w:rsidR="008C009A" w:rsidRPr="007E7514" w:rsidRDefault="008C009A" w:rsidP="008C009A">
            <w:pPr>
              <w:rPr>
                <w:rFonts w:ascii="Calibri" w:hAnsi="Calibri" w:cs="Calibri"/>
                <w:color w:val="000000"/>
                <w:sz w:val="20"/>
                <w:szCs w:val="20"/>
                <w:lang w:val="en-GB"/>
              </w:rPr>
            </w:pPr>
          </w:p>
        </w:tc>
      </w:tr>
      <w:tr w:rsidR="008C009A" w:rsidRPr="007E7514" w14:paraId="7AFE389F"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533B21A" w14:textId="0A497E0A"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Togo*</w:t>
            </w:r>
          </w:p>
        </w:tc>
        <w:tc>
          <w:tcPr>
            <w:tcW w:w="2552" w:type="dxa"/>
            <w:tcBorders>
              <w:top w:val="nil"/>
              <w:left w:val="nil"/>
              <w:bottom w:val="single" w:sz="4" w:space="0" w:color="auto"/>
              <w:right w:val="single" w:sz="4" w:space="0" w:color="auto"/>
            </w:tcBorders>
            <w:shd w:val="clear" w:color="auto" w:fill="auto"/>
            <w:vAlign w:val="center"/>
          </w:tcPr>
          <w:p w14:paraId="6B445FFE" w14:textId="1605EB63"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Zimbabwe</w:t>
            </w:r>
          </w:p>
        </w:tc>
        <w:tc>
          <w:tcPr>
            <w:tcW w:w="2283" w:type="dxa"/>
            <w:tcBorders>
              <w:top w:val="nil"/>
              <w:left w:val="nil"/>
              <w:bottom w:val="single" w:sz="4" w:space="0" w:color="auto"/>
              <w:right w:val="single" w:sz="4" w:space="0" w:color="auto"/>
            </w:tcBorders>
            <w:shd w:val="clear" w:color="auto" w:fill="auto"/>
            <w:vAlign w:val="center"/>
            <w:hideMark/>
          </w:tcPr>
          <w:p w14:paraId="3923773B"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20A1D1E6" w14:textId="1C41F180" w:rsidR="008C009A" w:rsidRPr="007E7514" w:rsidRDefault="008C009A" w:rsidP="008C009A">
            <w:pPr>
              <w:rPr>
                <w:rFonts w:ascii="Calibri" w:hAnsi="Calibri" w:cs="Calibri"/>
                <w:color w:val="000000"/>
                <w:sz w:val="20"/>
                <w:szCs w:val="20"/>
                <w:lang w:val="en-GB"/>
              </w:rPr>
            </w:pPr>
          </w:p>
        </w:tc>
      </w:tr>
      <w:tr w:rsidR="008C009A" w:rsidRPr="007E7514" w14:paraId="3ABE14EB" w14:textId="77777777" w:rsidTr="008C009A">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5CF2453" w14:textId="4074EEC5"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Tuvalu</w:t>
            </w:r>
          </w:p>
        </w:tc>
        <w:tc>
          <w:tcPr>
            <w:tcW w:w="2552" w:type="dxa"/>
            <w:tcBorders>
              <w:top w:val="nil"/>
              <w:left w:val="nil"/>
              <w:bottom w:val="single" w:sz="4" w:space="0" w:color="auto"/>
              <w:right w:val="single" w:sz="4" w:space="0" w:color="auto"/>
            </w:tcBorders>
            <w:shd w:val="clear" w:color="auto" w:fill="auto"/>
            <w:vAlign w:val="center"/>
          </w:tcPr>
          <w:p w14:paraId="76B141AA" w14:textId="1CFEE5E3" w:rsidR="008C009A" w:rsidRPr="007E7514" w:rsidRDefault="008C009A" w:rsidP="008C009A">
            <w:pPr>
              <w:rPr>
                <w:rFonts w:asciiTheme="minorHAnsi" w:hAnsiTheme="minorHAnsi" w:cstheme="minorHAnsi"/>
                <w:color w:val="000000"/>
                <w:sz w:val="20"/>
                <w:szCs w:val="20"/>
                <w:lang w:val="en-GB"/>
              </w:rPr>
            </w:pPr>
          </w:p>
        </w:tc>
        <w:tc>
          <w:tcPr>
            <w:tcW w:w="2283" w:type="dxa"/>
            <w:tcBorders>
              <w:top w:val="nil"/>
              <w:left w:val="nil"/>
              <w:bottom w:val="single" w:sz="4" w:space="0" w:color="auto"/>
              <w:right w:val="single" w:sz="4" w:space="0" w:color="auto"/>
            </w:tcBorders>
            <w:shd w:val="clear" w:color="auto" w:fill="auto"/>
            <w:vAlign w:val="center"/>
            <w:hideMark/>
          </w:tcPr>
          <w:p w14:paraId="09311BD6"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tcPr>
          <w:p w14:paraId="3C0584A2" w14:textId="28DA6CF5" w:rsidR="008C009A" w:rsidRPr="007E7514" w:rsidRDefault="008C009A" w:rsidP="008C009A">
            <w:pPr>
              <w:rPr>
                <w:rFonts w:ascii="Calibri" w:hAnsi="Calibri" w:cs="Calibri"/>
                <w:color w:val="000000"/>
                <w:sz w:val="20"/>
                <w:szCs w:val="20"/>
                <w:lang w:val="en-GB"/>
              </w:rPr>
            </w:pPr>
          </w:p>
        </w:tc>
      </w:tr>
      <w:tr w:rsidR="008C009A" w:rsidRPr="007E7514" w14:paraId="310AC176" w14:textId="77777777" w:rsidTr="00BB3731">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29353B96" w14:textId="60F8CAB0"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Viet Nam*</w:t>
            </w:r>
          </w:p>
        </w:tc>
        <w:tc>
          <w:tcPr>
            <w:tcW w:w="2552" w:type="dxa"/>
            <w:tcBorders>
              <w:top w:val="nil"/>
              <w:left w:val="nil"/>
              <w:bottom w:val="single" w:sz="4" w:space="0" w:color="auto"/>
              <w:right w:val="single" w:sz="4" w:space="0" w:color="auto"/>
            </w:tcBorders>
            <w:shd w:val="clear" w:color="auto" w:fill="auto"/>
            <w:vAlign w:val="center"/>
            <w:hideMark/>
          </w:tcPr>
          <w:p w14:paraId="7A3BB684" w14:textId="77777777" w:rsidR="008C009A" w:rsidRPr="007E7514" w:rsidRDefault="008C009A" w:rsidP="008C009A">
            <w:pPr>
              <w:jc w:val="cente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w:t>
            </w:r>
          </w:p>
        </w:tc>
        <w:tc>
          <w:tcPr>
            <w:tcW w:w="2283" w:type="dxa"/>
            <w:tcBorders>
              <w:top w:val="nil"/>
              <w:left w:val="nil"/>
              <w:bottom w:val="single" w:sz="4" w:space="0" w:color="auto"/>
              <w:right w:val="single" w:sz="4" w:space="0" w:color="auto"/>
            </w:tcBorders>
            <w:shd w:val="clear" w:color="auto" w:fill="auto"/>
            <w:vAlign w:val="center"/>
            <w:hideMark/>
          </w:tcPr>
          <w:p w14:paraId="5FD5DBAA" w14:textId="77777777"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hideMark/>
          </w:tcPr>
          <w:p w14:paraId="2A58F063" w14:textId="77777777" w:rsidR="008C009A" w:rsidRPr="007E7514" w:rsidRDefault="008C009A" w:rsidP="008C009A">
            <w:pPr>
              <w:rPr>
                <w:rFonts w:ascii="Calibri" w:hAnsi="Calibri" w:cs="Calibri"/>
                <w:color w:val="000000"/>
                <w:sz w:val="20"/>
                <w:szCs w:val="20"/>
                <w:lang w:val="en-GB"/>
              </w:rPr>
            </w:pPr>
            <w:r w:rsidRPr="007E7514">
              <w:rPr>
                <w:rFonts w:ascii="Calibri" w:hAnsi="Calibri" w:cs="Calibri"/>
                <w:color w:val="000000"/>
                <w:sz w:val="20"/>
                <w:szCs w:val="20"/>
                <w:lang w:val="en-GB"/>
              </w:rPr>
              <w:t> </w:t>
            </w:r>
          </w:p>
        </w:tc>
      </w:tr>
      <w:tr w:rsidR="008C009A" w:rsidRPr="007E7514" w14:paraId="2304959C" w14:textId="77777777" w:rsidTr="00BB3731">
        <w:trPr>
          <w:trHeight w:val="310"/>
        </w:trPr>
        <w:tc>
          <w:tcPr>
            <w:tcW w:w="2405" w:type="dxa"/>
            <w:tcBorders>
              <w:top w:val="nil"/>
              <w:left w:val="single" w:sz="4" w:space="0" w:color="auto"/>
              <w:bottom w:val="single" w:sz="4" w:space="0" w:color="auto"/>
              <w:right w:val="single" w:sz="4" w:space="0" w:color="auto"/>
            </w:tcBorders>
            <w:shd w:val="clear" w:color="auto" w:fill="auto"/>
            <w:vAlign w:val="center"/>
          </w:tcPr>
          <w:p w14:paraId="04AC87E4" w14:textId="4384BAF2"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Zambia*</w:t>
            </w:r>
          </w:p>
        </w:tc>
        <w:tc>
          <w:tcPr>
            <w:tcW w:w="2552" w:type="dxa"/>
            <w:tcBorders>
              <w:top w:val="nil"/>
              <w:left w:val="nil"/>
              <w:bottom w:val="single" w:sz="4" w:space="0" w:color="auto"/>
              <w:right w:val="single" w:sz="4" w:space="0" w:color="auto"/>
            </w:tcBorders>
            <w:shd w:val="clear" w:color="auto" w:fill="auto"/>
            <w:vAlign w:val="center"/>
            <w:hideMark/>
          </w:tcPr>
          <w:p w14:paraId="69E5D5E5" w14:textId="77777777" w:rsidR="008C009A" w:rsidRPr="007E7514" w:rsidRDefault="008C009A" w:rsidP="008C009A">
            <w:pPr>
              <w:jc w:val="cente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w:t>
            </w:r>
          </w:p>
        </w:tc>
        <w:tc>
          <w:tcPr>
            <w:tcW w:w="2283" w:type="dxa"/>
            <w:tcBorders>
              <w:top w:val="nil"/>
              <w:left w:val="nil"/>
              <w:bottom w:val="single" w:sz="4" w:space="0" w:color="auto"/>
              <w:right w:val="single" w:sz="4" w:space="0" w:color="auto"/>
            </w:tcBorders>
            <w:shd w:val="clear" w:color="auto" w:fill="auto"/>
            <w:vAlign w:val="center"/>
            <w:hideMark/>
          </w:tcPr>
          <w:p w14:paraId="314BA881" w14:textId="67FAB91A" w:rsidR="008C009A" w:rsidRPr="007E7514" w:rsidRDefault="008C009A" w:rsidP="008C009A">
            <w:pPr>
              <w:rPr>
                <w:rFonts w:asciiTheme="minorHAnsi" w:hAnsiTheme="minorHAnsi" w:cstheme="minorHAnsi"/>
                <w:color w:val="000000"/>
                <w:sz w:val="20"/>
                <w:szCs w:val="20"/>
                <w:lang w:val="en-GB"/>
              </w:rPr>
            </w:pPr>
            <w:r w:rsidRPr="007E7514">
              <w:rPr>
                <w:rFonts w:asciiTheme="minorHAnsi" w:hAnsiTheme="minorHAnsi" w:cstheme="minorHAnsi"/>
                <w:color w:val="000000"/>
                <w:sz w:val="20"/>
                <w:szCs w:val="20"/>
                <w:lang w:val="en-GB"/>
              </w:rPr>
              <w:t> </w:t>
            </w:r>
          </w:p>
        </w:tc>
        <w:tc>
          <w:tcPr>
            <w:tcW w:w="2536" w:type="dxa"/>
            <w:tcBorders>
              <w:top w:val="nil"/>
              <w:left w:val="nil"/>
              <w:bottom w:val="single" w:sz="4" w:space="0" w:color="auto"/>
              <w:right w:val="single" w:sz="4" w:space="0" w:color="auto"/>
            </w:tcBorders>
            <w:shd w:val="clear" w:color="auto" w:fill="auto"/>
            <w:vAlign w:val="center"/>
            <w:hideMark/>
          </w:tcPr>
          <w:p w14:paraId="3E8C2F6F" w14:textId="77777777" w:rsidR="008C009A" w:rsidRPr="007E7514" w:rsidRDefault="008C009A" w:rsidP="008C009A">
            <w:pPr>
              <w:jc w:val="center"/>
              <w:rPr>
                <w:rFonts w:ascii="Calibri" w:hAnsi="Calibri" w:cs="Calibri"/>
                <w:b/>
                <w:bCs/>
                <w:color w:val="000000"/>
                <w:sz w:val="20"/>
                <w:szCs w:val="20"/>
                <w:lang w:val="en-GB"/>
              </w:rPr>
            </w:pPr>
            <w:r w:rsidRPr="007E7514">
              <w:rPr>
                <w:rFonts w:ascii="Calibri" w:hAnsi="Calibri" w:cs="Calibri"/>
                <w:b/>
                <w:bCs/>
                <w:color w:val="000000"/>
                <w:sz w:val="20"/>
                <w:szCs w:val="20"/>
                <w:lang w:val="en-GB"/>
              </w:rPr>
              <w:t> </w:t>
            </w:r>
          </w:p>
        </w:tc>
      </w:tr>
    </w:tbl>
    <w:p w14:paraId="36F2F7EE" w14:textId="79DCB896" w:rsidR="004B5F8D" w:rsidRPr="007E7514" w:rsidRDefault="004A5AF4" w:rsidP="004A5AF4">
      <w:pPr>
        <w:rPr>
          <w:rFonts w:asciiTheme="minorHAnsi" w:hAnsiTheme="minorHAnsi" w:cstheme="minorHAnsi"/>
          <w:bCs/>
          <w:sz w:val="21"/>
          <w:lang w:val="en-GB"/>
        </w:rPr>
        <w:sectPr w:rsidR="004B5F8D" w:rsidRPr="007E7514" w:rsidSect="004B5F8D">
          <w:pgSz w:w="12240" w:h="15840"/>
          <w:pgMar w:top="1440" w:right="1440" w:bottom="1440" w:left="1440" w:header="0" w:footer="1365" w:gutter="0"/>
          <w:cols w:space="720"/>
          <w:docGrid w:linePitch="326"/>
        </w:sectPr>
      </w:pPr>
      <w:r w:rsidRPr="007E7514">
        <w:rPr>
          <w:rFonts w:asciiTheme="minorHAnsi" w:hAnsiTheme="minorHAnsi" w:cstheme="minorHAnsi"/>
          <w:bCs/>
          <w:sz w:val="21"/>
          <w:lang w:val="en-GB"/>
        </w:rPr>
        <w:t>* Indicates that the report has been submitted to the Minamata Convention</w:t>
      </w:r>
      <w:r w:rsidR="006E3ADF" w:rsidRPr="007E7514">
        <w:rPr>
          <w:rFonts w:asciiTheme="minorHAnsi" w:hAnsiTheme="minorHAnsi" w:cstheme="minorHAnsi"/>
          <w:bCs/>
          <w:sz w:val="21"/>
          <w:lang w:val="en-GB"/>
        </w:rPr>
        <w:t xml:space="preserve"> Secretariat</w:t>
      </w:r>
      <w:r w:rsidRPr="007E7514">
        <w:rPr>
          <w:rFonts w:asciiTheme="minorHAnsi" w:hAnsiTheme="minorHAnsi" w:cstheme="minorHAnsi"/>
          <w:bCs/>
          <w:sz w:val="21"/>
          <w:lang w:val="en-GB"/>
        </w:rPr>
        <w:t xml:space="preserve">. </w:t>
      </w:r>
    </w:p>
    <w:p w14:paraId="6025645D" w14:textId="279269D6" w:rsidR="00DF7C1C" w:rsidRPr="007E7514" w:rsidRDefault="004B5F8D" w:rsidP="004B5F8D">
      <w:pPr>
        <w:tabs>
          <w:tab w:val="center" w:pos="6480"/>
        </w:tabs>
        <w:rPr>
          <w:rFonts w:asciiTheme="minorHAnsi" w:hAnsiTheme="minorHAnsi" w:cstheme="minorHAnsi"/>
          <w:bCs/>
          <w:sz w:val="21"/>
          <w:lang w:val="en-GB"/>
        </w:rPr>
      </w:pPr>
      <w:r w:rsidRPr="007E7514">
        <w:rPr>
          <w:rFonts w:asciiTheme="minorHAnsi" w:hAnsiTheme="minorHAnsi" w:cstheme="minorHAnsi"/>
          <w:bCs/>
          <w:sz w:val="21"/>
          <w:lang w:val="en-GB"/>
        </w:rPr>
        <w:lastRenderedPageBreak/>
        <w:tab/>
      </w:r>
    </w:p>
    <w:p w14:paraId="14FD8C4E" w14:textId="63EA94D3" w:rsidR="00380431" w:rsidRPr="007E7514" w:rsidRDefault="007639E8" w:rsidP="005D7C1E">
      <w:pPr>
        <w:pStyle w:val="Heading1"/>
        <w:rPr>
          <w:sz w:val="24"/>
          <w:szCs w:val="24"/>
          <w:lang w:val="en-GB"/>
        </w:rPr>
      </w:pPr>
      <w:bookmarkStart w:id="89" w:name="_Toc76405389"/>
      <w:r w:rsidRPr="007E7514">
        <w:rPr>
          <w:sz w:val="24"/>
          <w:szCs w:val="24"/>
          <w:lang w:val="en-GB"/>
        </w:rPr>
        <w:t xml:space="preserve">Annex </w:t>
      </w:r>
      <w:r w:rsidR="000D5C12" w:rsidRPr="007E7514">
        <w:rPr>
          <w:sz w:val="24"/>
          <w:szCs w:val="24"/>
          <w:lang w:val="en-GB"/>
        </w:rPr>
        <w:t>4</w:t>
      </w:r>
      <w:r w:rsidRPr="007E7514">
        <w:rPr>
          <w:sz w:val="24"/>
          <w:szCs w:val="24"/>
          <w:lang w:val="en-GB"/>
        </w:rPr>
        <w:t xml:space="preserve">: List of Mercury Projects </w:t>
      </w:r>
      <w:r w:rsidR="004D206F" w:rsidRPr="007E7514">
        <w:rPr>
          <w:sz w:val="24"/>
          <w:szCs w:val="24"/>
          <w:lang w:val="en-GB"/>
        </w:rPr>
        <w:t xml:space="preserve">and Programs </w:t>
      </w:r>
      <w:r w:rsidRPr="007E7514">
        <w:rPr>
          <w:sz w:val="24"/>
          <w:szCs w:val="24"/>
          <w:lang w:val="en-GB"/>
        </w:rPr>
        <w:t>Implemented in the Reporting Period (July 1, 201</w:t>
      </w:r>
      <w:r w:rsidR="0001062E" w:rsidRPr="007E7514">
        <w:rPr>
          <w:sz w:val="24"/>
          <w:szCs w:val="24"/>
          <w:lang w:val="en-GB"/>
        </w:rPr>
        <w:t>9</w:t>
      </w:r>
      <w:r w:rsidRPr="007E7514">
        <w:rPr>
          <w:sz w:val="24"/>
          <w:szCs w:val="24"/>
          <w:lang w:val="en-GB"/>
        </w:rPr>
        <w:t xml:space="preserve"> to June 30, 20</w:t>
      </w:r>
      <w:r w:rsidR="0001062E" w:rsidRPr="007E7514">
        <w:rPr>
          <w:sz w:val="24"/>
          <w:szCs w:val="24"/>
          <w:lang w:val="en-GB"/>
        </w:rPr>
        <w:t>21</w:t>
      </w:r>
      <w:r w:rsidRPr="007E7514">
        <w:rPr>
          <w:sz w:val="24"/>
          <w:szCs w:val="24"/>
          <w:lang w:val="en-GB"/>
        </w:rPr>
        <w:t>)</w:t>
      </w:r>
      <w:bookmarkEnd w:id="89"/>
    </w:p>
    <w:p w14:paraId="379CE3CD" w14:textId="77777777" w:rsidR="004B5F8D" w:rsidRPr="007E7514" w:rsidRDefault="004B5F8D" w:rsidP="005D7C1E">
      <w:pPr>
        <w:pStyle w:val="Heading1"/>
        <w:rPr>
          <w:lang w:val="en-GB"/>
        </w:rPr>
      </w:pPr>
    </w:p>
    <w:tbl>
      <w:tblPr>
        <w:tblW w:w="5143" w:type="pct"/>
        <w:tblLayout w:type="fixed"/>
        <w:tblLook w:val="04A0" w:firstRow="1" w:lastRow="0" w:firstColumn="1" w:lastColumn="0" w:noHBand="0" w:noVBand="1"/>
      </w:tblPr>
      <w:tblGrid>
        <w:gridCol w:w="809"/>
        <w:gridCol w:w="1348"/>
        <w:gridCol w:w="2094"/>
        <w:gridCol w:w="988"/>
        <w:gridCol w:w="850"/>
        <w:gridCol w:w="1135"/>
        <w:gridCol w:w="1135"/>
        <w:gridCol w:w="1135"/>
        <w:gridCol w:w="991"/>
        <w:gridCol w:w="1271"/>
        <w:gridCol w:w="1564"/>
      </w:tblGrid>
      <w:tr w:rsidR="007252BF" w:rsidRPr="007E7514" w14:paraId="615BC133" w14:textId="77777777" w:rsidTr="007252BF">
        <w:trPr>
          <w:trHeight w:val="809"/>
          <w:tblHeader/>
        </w:trPr>
        <w:tc>
          <w:tcPr>
            <w:tcW w:w="304" w:type="pct"/>
            <w:tcBorders>
              <w:top w:val="single" w:sz="4" w:space="0" w:color="auto"/>
              <w:left w:val="single" w:sz="4" w:space="0" w:color="auto"/>
              <w:bottom w:val="single" w:sz="4" w:space="0" w:color="auto"/>
              <w:right w:val="single" w:sz="4" w:space="0" w:color="auto"/>
            </w:tcBorders>
          </w:tcPr>
          <w:p w14:paraId="755B6D38" w14:textId="3B115026"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GEF ID</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36086016" w14:textId="282A2F0A"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xml:space="preserve">Country </w:t>
            </w:r>
          </w:p>
        </w:tc>
        <w:tc>
          <w:tcPr>
            <w:tcW w:w="786" w:type="pct"/>
            <w:tcBorders>
              <w:top w:val="single" w:sz="4" w:space="0" w:color="auto"/>
              <w:left w:val="nil"/>
              <w:bottom w:val="single" w:sz="4" w:space="0" w:color="auto"/>
              <w:right w:val="single" w:sz="4" w:space="0" w:color="auto"/>
            </w:tcBorders>
            <w:shd w:val="clear" w:color="auto" w:fill="auto"/>
            <w:hideMark/>
          </w:tcPr>
          <w:p w14:paraId="7A5B08AD" w14:textId="1567E678"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xml:space="preserve"> Project </w:t>
            </w:r>
            <w:r w:rsidR="006E3ADF" w:rsidRPr="007E7514">
              <w:rPr>
                <w:rFonts w:asciiTheme="minorHAnsi" w:hAnsiTheme="minorHAnsi" w:cstheme="minorHAnsi"/>
                <w:b/>
                <w:bCs/>
                <w:color w:val="000000"/>
                <w:sz w:val="20"/>
                <w:szCs w:val="20"/>
                <w:lang w:val="en-GB"/>
              </w:rPr>
              <w:t>T</w:t>
            </w:r>
            <w:r w:rsidRPr="007E7514">
              <w:rPr>
                <w:rFonts w:asciiTheme="minorHAnsi" w:hAnsiTheme="minorHAnsi" w:cstheme="minorHAnsi"/>
                <w:b/>
                <w:bCs/>
                <w:color w:val="000000"/>
                <w:sz w:val="20"/>
                <w:szCs w:val="20"/>
                <w:lang w:val="en-GB"/>
              </w:rPr>
              <w:t xml:space="preserve">itle </w:t>
            </w:r>
          </w:p>
        </w:tc>
        <w:tc>
          <w:tcPr>
            <w:tcW w:w="371" w:type="pct"/>
            <w:tcBorders>
              <w:top w:val="single" w:sz="4" w:space="0" w:color="auto"/>
              <w:left w:val="nil"/>
              <w:bottom w:val="single" w:sz="4" w:space="0" w:color="auto"/>
              <w:right w:val="single" w:sz="4" w:space="0" w:color="auto"/>
            </w:tcBorders>
            <w:shd w:val="clear" w:color="auto" w:fill="auto"/>
            <w:hideMark/>
          </w:tcPr>
          <w:p w14:paraId="1168C924" w14:textId="77777777"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xml:space="preserve"> Lead Agency </w:t>
            </w:r>
          </w:p>
        </w:tc>
        <w:tc>
          <w:tcPr>
            <w:tcW w:w="319" w:type="pct"/>
            <w:tcBorders>
              <w:top w:val="single" w:sz="4" w:space="0" w:color="auto"/>
              <w:left w:val="nil"/>
              <w:bottom w:val="single" w:sz="4" w:space="0" w:color="auto"/>
              <w:right w:val="single" w:sz="4" w:space="0" w:color="auto"/>
            </w:tcBorders>
            <w:shd w:val="clear" w:color="auto" w:fill="auto"/>
            <w:hideMark/>
          </w:tcPr>
          <w:p w14:paraId="1E65A878" w14:textId="377386E7"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xml:space="preserve">GEF </w:t>
            </w:r>
            <w:r w:rsidR="006E3ADF" w:rsidRPr="007E7514">
              <w:rPr>
                <w:rFonts w:asciiTheme="minorHAnsi" w:hAnsiTheme="minorHAnsi" w:cstheme="minorHAnsi"/>
                <w:b/>
                <w:bCs/>
                <w:color w:val="000000"/>
                <w:sz w:val="20"/>
                <w:szCs w:val="20"/>
                <w:lang w:val="en-GB"/>
              </w:rPr>
              <w:t>P</w:t>
            </w:r>
            <w:r w:rsidRPr="007E7514">
              <w:rPr>
                <w:rFonts w:asciiTheme="minorHAnsi" w:hAnsiTheme="minorHAnsi" w:cstheme="minorHAnsi"/>
                <w:b/>
                <w:bCs/>
                <w:color w:val="000000"/>
                <w:sz w:val="20"/>
                <w:szCs w:val="20"/>
                <w:lang w:val="en-GB"/>
              </w:rPr>
              <w:t xml:space="preserve">hase </w:t>
            </w:r>
          </w:p>
        </w:tc>
        <w:tc>
          <w:tcPr>
            <w:tcW w:w="426" w:type="pct"/>
            <w:tcBorders>
              <w:top w:val="single" w:sz="4" w:space="0" w:color="auto"/>
              <w:left w:val="nil"/>
              <w:bottom w:val="single" w:sz="4" w:space="0" w:color="auto"/>
              <w:right w:val="single" w:sz="4" w:space="0" w:color="auto"/>
            </w:tcBorders>
            <w:shd w:val="clear" w:color="auto" w:fill="auto"/>
            <w:hideMark/>
          </w:tcPr>
          <w:p w14:paraId="3CFCBCC4" w14:textId="70073FAC"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xml:space="preserve">GEF </w:t>
            </w:r>
            <w:r w:rsidR="006E3ADF" w:rsidRPr="007E7514">
              <w:rPr>
                <w:rFonts w:asciiTheme="minorHAnsi" w:hAnsiTheme="minorHAnsi" w:cstheme="minorHAnsi"/>
                <w:b/>
                <w:bCs/>
                <w:color w:val="000000"/>
                <w:sz w:val="20"/>
                <w:szCs w:val="20"/>
                <w:lang w:val="en-GB"/>
              </w:rPr>
              <w:t>G</w:t>
            </w:r>
            <w:r w:rsidRPr="007E7514">
              <w:rPr>
                <w:rFonts w:asciiTheme="minorHAnsi" w:hAnsiTheme="minorHAnsi" w:cstheme="minorHAnsi"/>
                <w:b/>
                <w:bCs/>
                <w:color w:val="000000"/>
                <w:sz w:val="20"/>
                <w:szCs w:val="20"/>
                <w:lang w:val="en-GB"/>
              </w:rPr>
              <w:t xml:space="preserve">rant </w:t>
            </w:r>
            <w:r w:rsidR="006E3ADF" w:rsidRPr="007E7514">
              <w:rPr>
                <w:rFonts w:asciiTheme="minorHAnsi" w:hAnsiTheme="minorHAnsi" w:cstheme="minorHAnsi"/>
                <w:b/>
                <w:bCs/>
                <w:color w:val="000000"/>
                <w:sz w:val="20"/>
                <w:szCs w:val="20"/>
                <w:lang w:val="en-GB"/>
              </w:rPr>
              <w:t>A</w:t>
            </w:r>
            <w:r w:rsidRPr="007E7514">
              <w:rPr>
                <w:rFonts w:asciiTheme="minorHAnsi" w:hAnsiTheme="minorHAnsi" w:cstheme="minorHAnsi"/>
                <w:b/>
                <w:bCs/>
                <w:color w:val="000000"/>
                <w:sz w:val="20"/>
                <w:szCs w:val="20"/>
                <w:lang w:val="en-GB"/>
              </w:rPr>
              <w:t>mount</w:t>
            </w:r>
            <w:r w:rsidRPr="007E7514">
              <w:rPr>
                <w:rStyle w:val="FootnoteReference"/>
                <w:rFonts w:asciiTheme="minorHAnsi" w:hAnsiTheme="minorHAnsi" w:cstheme="minorHAnsi"/>
                <w:b/>
                <w:bCs/>
                <w:color w:val="000000"/>
                <w:sz w:val="20"/>
                <w:szCs w:val="20"/>
                <w:lang w:val="en-GB"/>
              </w:rPr>
              <w:footnoteReference w:id="39"/>
            </w:r>
            <w:r w:rsidRPr="007E7514">
              <w:rPr>
                <w:rFonts w:asciiTheme="minorHAnsi" w:hAnsiTheme="minorHAnsi" w:cstheme="minorHAnsi"/>
                <w:b/>
                <w:bCs/>
                <w:color w:val="000000"/>
                <w:sz w:val="20"/>
                <w:szCs w:val="20"/>
                <w:lang w:val="en-GB"/>
              </w:rPr>
              <w:t xml:space="preserve"> ($)</w:t>
            </w:r>
          </w:p>
        </w:tc>
        <w:tc>
          <w:tcPr>
            <w:tcW w:w="426" w:type="pct"/>
            <w:tcBorders>
              <w:top w:val="single" w:sz="4" w:space="0" w:color="auto"/>
              <w:left w:val="nil"/>
              <w:bottom w:val="single" w:sz="4" w:space="0" w:color="auto"/>
              <w:right w:val="single" w:sz="4" w:space="0" w:color="auto"/>
            </w:tcBorders>
            <w:shd w:val="clear" w:color="auto" w:fill="auto"/>
            <w:hideMark/>
          </w:tcPr>
          <w:p w14:paraId="46E27562" w14:textId="34B9B78A"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xml:space="preserve">Agency </w:t>
            </w:r>
            <w:r w:rsidR="006E3ADF" w:rsidRPr="007E7514">
              <w:rPr>
                <w:rFonts w:asciiTheme="minorHAnsi" w:hAnsiTheme="minorHAnsi" w:cstheme="minorHAnsi"/>
                <w:b/>
                <w:bCs/>
                <w:color w:val="000000"/>
                <w:sz w:val="20"/>
                <w:szCs w:val="20"/>
                <w:lang w:val="en-GB"/>
              </w:rPr>
              <w:t>F</w:t>
            </w:r>
            <w:r w:rsidRPr="007E7514">
              <w:rPr>
                <w:rFonts w:asciiTheme="minorHAnsi" w:hAnsiTheme="minorHAnsi" w:cstheme="minorHAnsi"/>
                <w:b/>
                <w:bCs/>
                <w:color w:val="000000"/>
                <w:sz w:val="20"/>
                <w:szCs w:val="20"/>
                <w:lang w:val="en-GB"/>
              </w:rPr>
              <w:t>ees</w:t>
            </w:r>
            <w:r w:rsidRPr="007E7514">
              <w:rPr>
                <w:rStyle w:val="FootnoteReference"/>
                <w:rFonts w:asciiTheme="minorHAnsi" w:hAnsiTheme="minorHAnsi" w:cstheme="minorHAnsi"/>
                <w:b/>
                <w:bCs/>
                <w:color w:val="000000"/>
                <w:sz w:val="20"/>
                <w:szCs w:val="20"/>
                <w:lang w:val="en-GB"/>
              </w:rPr>
              <w:footnoteReference w:id="40"/>
            </w:r>
            <w:r w:rsidRPr="007E7514">
              <w:rPr>
                <w:rFonts w:asciiTheme="minorHAnsi" w:hAnsiTheme="minorHAnsi" w:cstheme="minorHAnsi"/>
                <w:b/>
                <w:bCs/>
                <w:color w:val="000000"/>
                <w:sz w:val="20"/>
                <w:szCs w:val="20"/>
                <w:lang w:val="en-GB"/>
              </w:rPr>
              <w:t xml:space="preserve"> ($)</w:t>
            </w:r>
          </w:p>
        </w:tc>
        <w:tc>
          <w:tcPr>
            <w:tcW w:w="426" w:type="pct"/>
            <w:tcBorders>
              <w:top w:val="single" w:sz="4" w:space="0" w:color="auto"/>
              <w:left w:val="nil"/>
              <w:bottom w:val="single" w:sz="4" w:space="0" w:color="auto"/>
              <w:right w:val="single" w:sz="4" w:space="0" w:color="auto"/>
            </w:tcBorders>
            <w:shd w:val="clear" w:color="auto" w:fill="auto"/>
            <w:hideMark/>
          </w:tcPr>
          <w:p w14:paraId="78BE03B2" w14:textId="4CFF0FA8"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PPGs ($)</w:t>
            </w:r>
          </w:p>
        </w:tc>
        <w:tc>
          <w:tcPr>
            <w:tcW w:w="372" w:type="pct"/>
            <w:tcBorders>
              <w:top w:val="single" w:sz="4" w:space="0" w:color="auto"/>
              <w:left w:val="nil"/>
              <w:bottom w:val="single" w:sz="4" w:space="0" w:color="auto"/>
              <w:right w:val="single" w:sz="4" w:space="0" w:color="auto"/>
            </w:tcBorders>
            <w:shd w:val="clear" w:color="auto" w:fill="auto"/>
            <w:hideMark/>
          </w:tcPr>
          <w:p w14:paraId="2CA0AE5D" w14:textId="70088F86"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PPG Fees ($)</w:t>
            </w:r>
          </w:p>
        </w:tc>
        <w:tc>
          <w:tcPr>
            <w:tcW w:w="477" w:type="pct"/>
            <w:tcBorders>
              <w:top w:val="single" w:sz="4" w:space="0" w:color="auto"/>
              <w:left w:val="nil"/>
              <w:bottom w:val="single" w:sz="4" w:space="0" w:color="auto"/>
              <w:right w:val="single" w:sz="4" w:space="0" w:color="auto"/>
            </w:tcBorders>
            <w:shd w:val="clear" w:color="auto" w:fill="auto"/>
            <w:hideMark/>
          </w:tcPr>
          <w:p w14:paraId="2B4DF270" w14:textId="54546A70"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Co-financing</w:t>
            </w:r>
            <w:r w:rsidRPr="007E7514">
              <w:rPr>
                <w:rStyle w:val="FootnoteReference"/>
                <w:rFonts w:asciiTheme="minorHAnsi" w:hAnsiTheme="minorHAnsi" w:cstheme="minorHAnsi"/>
                <w:b/>
                <w:bCs/>
                <w:color w:val="000000"/>
                <w:sz w:val="20"/>
                <w:szCs w:val="20"/>
                <w:lang w:val="en-GB"/>
              </w:rPr>
              <w:footnoteReference w:id="41"/>
            </w:r>
            <w:r w:rsidRPr="007E7514">
              <w:rPr>
                <w:rFonts w:asciiTheme="minorHAnsi" w:hAnsiTheme="minorHAnsi" w:cstheme="minorHAnsi"/>
                <w:b/>
                <w:bCs/>
                <w:color w:val="000000"/>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685A858E" w14:textId="63391F4C" w:rsidR="000E404C" w:rsidRPr="007E7514" w:rsidRDefault="000E404C" w:rsidP="009231E2">
            <w:pPr>
              <w:rPr>
                <w:rFonts w:asciiTheme="minorHAnsi" w:hAnsiTheme="minorHAnsi" w:cstheme="minorHAnsi"/>
                <w:b/>
                <w:bCs/>
                <w:color w:val="000000"/>
                <w:sz w:val="20"/>
                <w:szCs w:val="20"/>
                <w:lang w:val="en-GB"/>
              </w:rPr>
            </w:pPr>
            <w:r w:rsidRPr="007E7514">
              <w:rPr>
                <w:rFonts w:asciiTheme="minorHAnsi" w:hAnsiTheme="minorHAnsi" w:cstheme="minorHAnsi"/>
                <w:b/>
                <w:bCs/>
                <w:color w:val="000000"/>
                <w:sz w:val="20"/>
                <w:szCs w:val="20"/>
                <w:lang w:val="en-GB"/>
              </w:rPr>
              <w:t xml:space="preserve"> Project </w:t>
            </w:r>
            <w:r w:rsidR="006E3ADF" w:rsidRPr="007E7514">
              <w:rPr>
                <w:rFonts w:asciiTheme="minorHAnsi" w:hAnsiTheme="minorHAnsi" w:cstheme="minorHAnsi"/>
                <w:b/>
                <w:bCs/>
                <w:color w:val="000000"/>
                <w:sz w:val="20"/>
                <w:szCs w:val="20"/>
                <w:lang w:val="en-GB"/>
              </w:rPr>
              <w:t>S</w:t>
            </w:r>
            <w:r w:rsidRPr="007E7514">
              <w:rPr>
                <w:rFonts w:asciiTheme="minorHAnsi" w:hAnsiTheme="minorHAnsi" w:cstheme="minorHAnsi"/>
                <w:b/>
                <w:bCs/>
                <w:color w:val="000000"/>
                <w:sz w:val="20"/>
                <w:szCs w:val="20"/>
                <w:lang w:val="en-GB"/>
              </w:rPr>
              <w:t xml:space="preserve">tatus </w:t>
            </w:r>
          </w:p>
        </w:tc>
      </w:tr>
      <w:tr w:rsidR="000E404C" w:rsidRPr="007E7514" w14:paraId="6E43DE86" w14:textId="77777777" w:rsidTr="009667F4">
        <w:trPr>
          <w:trHeight w:val="309"/>
        </w:trPr>
        <w:tc>
          <w:tcPr>
            <w:tcW w:w="5000" w:type="pct"/>
            <w:gridSpan w:val="11"/>
            <w:tcBorders>
              <w:top w:val="nil"/>
              <w:left w:val="single" w:sz="4" w:space="0" w:color="auto"/>
              <w:bottom w:val="single" w:sz="4" w:space="0" w:color="auto"/>
              <w:right w:val="single" w:sz="4" w:space="0" w:color="auto"/>
            </w:tcBorders>
          </w:tcPr>
          <w:p w14:paraId="7645C92E" w14:textId="4F79EE56" w:rsidR="000E404C" w:rsidRPr="007E7514" w:rsidRDefault="000E404C" w:rsidP="009231E2">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Enabling activities</w:t>
            </w:r>
          </w:p>
        </w:tc>
      </w:tr>
      <w:tr w:rsidR="007252BF" w:rsidRPr="007E7514" w14:paraId="7BCB3DCC" w14:textId="77777777" w:rsidTr="007252BF">
        <w:trPr>
          <w:trHeight w:val="870"/>
        </w:trPr>
        <w:tc>
          <w:tcPr>
            <w:tcW w:w="304" w:type="pct"/>
            <w:tcBorders>
              <w:top w:val="nil"/>
              <w:left w:val="single" w:sz="4" w:space="0" w:color="auto"/>
              <w:bottom w:val="single" w:sz="4" w:space="0" w:color="auto"/>
              <w:right w:val="single" w:sz="4" w:space="0" w:color="auto"/>
            </w:tcBorders>
          </w:tcPr>
          <w:p w14:paraId="1E84F62D" w14:textId="1042AEE4"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6944</w:t>
            </w:r>
          </w:p>
        </w:tc>
        <w:tc>
          <w:tcPr>
            <w:tcW w:w="506" w:type="pct"/>
            <w:tcBorders>
              <w:top w:val="nil"/>
              <w:left w:val="single" w:sz="4" w:space="0" w:color="auto"/>
              <w:bottom w:val="single" w:sz="4" w:space="0" w:color="auto"/>
              <w:right w:val="single" w:sz="4" w:space="0" w:color="auto"/>
            </w:tcBorders>
            <w:shd w:val="clear" w:color="auto" w:fill="auto"/>
            <w:hideMark/>
          </w:tcPr>
          <w:p w14:paraId="0AD1160B" w14:textId="426B03F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(Angola, Malawi, Zimbabwe)</w:t>
            </w:r>
          </w:p>
        </w:tc>
        <w:tc>
          <w:tcPr>
            <w:tcW w:w="786" w:type="pct"/>
            <w:tcBorders>
              <w:top w:val="nil"/>
              <w:left w:val="nil"/>
              <w:bottom w:val="single" w:sz="4" w:space="0" w:color="auto"/>
              <w:right w:val="single" w:sz="4" w:space="0" w:color="auto"/>
            </w:tcBorders>
            <w:shd w:val="clear" w:color="auto" w:fill="auto"/>
            <w:hideMark/>
          </w:tcPr>
          <w:p w14:paraId="12474F62"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Convention on Mercury Initial Assessment in Africa</w:t>
            </w:r>
          </w:p>
        </w:tc>
        <w:tc>
          <w:tcPr>
            <w:tcW w:w="371" w:type="pct"/>
            <w:tcBorders>
              <w:top w:val="nil"/>
              <w:left w:val="nil"/>
              <w:bottom w:val="single" w:sz="4" w:space="0" w:color="auto"/>
              <w:right w:val="single" w:sz="4" w:space="0" w:color="auto"/>
            </w:tcBorders>
            <w:shd w:val="clear" w:color="auto" w:fill="auto"/>
            <w:hideMark/>
          </w:tcPr>
          <w:p w14:paraId="54BD1C98"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4E71A310" w14:textId="19CAEDB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78898BA1" w14:textId="07FD4A2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547,945</w:t>
            </w:r>
          </w:p>
        </w:tc>
        <w:tc>
          <w:tcPr>
            <w:tcW w:w="426" w:type="pct"/>
            <w:tcBorders>
              <w:top w:val="nil"/>
              <w:left w:val="nil"/>
              <w:bottom w:val="single" w:sz="4" w:space="0" w:color="auto"/>
              <w:right w:val="single" w:sz="4" w:space="0" w:color="auto"/>
            </w:tcBorders>
            <w:shd w:val="clear" w:color="auto" w:fill="auto"/>
            <w:hideMark/>
          </w:tcPr>
          <w:p w14:paraId="4FBE9221" w14:textId="48AFE5F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52,055</w:t>
            </w:r>
          </w:p>
        </w:tc>
        <w:tc>
          <w:tcPr>
            <w:tcW w:w="426" w:type="pct"/>
            <w:tcBorders>
              <w:top w:val="nil"/>
              <w:left w:val="nil"/>
              <w:bottom w:val="single" w:sz="4" w:space="0" w:color="auto"/>
              <w:right w:val="single" w:sz="4" w:space="0" w:color="auto"/>
            </w:tcBorders>
            <w:shd w:val="clear" w:color="auto" w:fill="auto"/>
            <w:hideMark/>
          </w:tcPr>
          <w:p w14:paraId="5CF8D287" w14:textId="1CB53B7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w:t>
            </w:r>
          </w:p>
        </w:tc>
        <w:tc>
          <w:tcPr>
            <w:tcW w:w="372" w:type="pct"/>
            <w:tcBorders>
              <w:top w:val="nil"/>
              <w:left w:val="nil"/>
              <w:bottom w:val="single" w:sz="4" w:space="0" w:color="auto"/>
              <w:right w:val="single" w:sz="4" w:space="0" w:color="auto"/>
            </w:tcBorders>
            <w:shd w:val="clear" w:color="auto" w:fill="auto"/>
            <w:hideMark/>
          </w:tcPr>
          <w:p w14:paraId="50B17D61" w14:textId="395A9C3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w:t>
            </w:r>
          </w:p>
        </w:tc>
        <w:tc>
          <w:tcPr>
            <w:tcW w:w="477" w:type="pct"/>
            <w:tcBorders>
              <w:top w:val="nil"/>
              <w:left w:val="nil"/>
              <w:bottom w:val="single" w:sz="4" w:space="0" w:color="auto"/>
              <w:right w:val="single" w:sz="4" w:space="0" w:color="auto"/>
            </w:tcBorders>
            <w:shd w:val="clear" w:color="auto" w:fill="auto"/>
            <w:hideMark/>
          </w:tcPr>
          <w:p w14:paraId="4423C123" w14:textId="78AF393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505,000</w:t>
            </w:r>
          </w:p>
        </w:tc>
        <w:tc>
          <w:tcPr>
            <w:tcW w:w="587" w:type="pct"/>
            <w:tcBorders>
              <w:top w:val="nil"/>
              <w:left w:val="nil"/>
              <w:bottom w:val="single" w:sz="4" w:space="0" w:color="auto"/>
              <w:right w:val="single" w:sz="4" w:space="0" w:color="auto"/>
            </w:tcBorders>
            <w:shd w:val="clear" w:color="auto" w:fill="auto"/>
            <w:hideMark/>
          </w:tcPr>
          <w:p w14:paraId="2AB53FD2" w14:textId="585666A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FE5EC0"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0959476A" w14:textId="77777777" w:rsidTr="007252BF">
        <w:trPr>
          <w:trHeight w:val="1740"/>
        </w:trPr>
        <w:tc>
          <w:tcPr>
            <w:tcW w:w="304" w:type="pct"/>
            <w:tcBorders>
              <w:top w:val="nil"/>
              <w:left w:val="single" w:sz="4" w:space="0" w:color="auto"/>
              <w:bottom w:val="single" w:sz="4" w:space="0" w:color="auto"/>
              <w:right w:val="single" w:sz="4" w:space="0" w:color="auto"/>
            </w:tcBorders>
          </w:tcPr>
          <w:p w14:paraId="7F8F719A" w14:textId="4832B191"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6959</w:t>
            </w:r>
          </w:p>
        </w:tc>
        <w:tc>
          <w:tcPr>
            <w:tcW w:w="506" w:type="pct"/>
            <w:tcBorders>
              <w:top w:val="nil"/>
              <w:left w:val="single" w:sz="4" w:space="0" w:color="auto"/>
              <w:bottom w:val="single" w:sz="4" w:space="0" w:color="auto"/>
              <w:right w:val="single" w:sz="4" w:space="0" w:color="auto"/>
            </w:tcBorders>
            <w:shd w:val="clear" w:color="auto" w:fill="auto"/>
            <w:hideMark/>
          </w:tcPr>
          <w:p w14:paraId="65461A63" w14:textId="6DE4DA1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Global (Bangladesh, Guinea-Bissau, Mauritania, Mozambique, Samoa)</w:t>
            </w:r>
          </w:p>
        </w:tc>
        <w:tc>
          <w:tcPr>
            <w:tcW w:w="786" w:type="pct"/>
            <w:tcBorders>
              <w:top w:val="nil"/>
              <w:left w:val="nil"/>
              <w:bottom w:val="single" w:sz="4" w:space="0" w:color="auto"/>
              <w:right w:val="single" w:sz="4" w:space="0" w:color="auto"/>
            </w:tcBorders>
            <w:shd w:val="clear" w:color="auto" w:fill="auto"/>
            <w:hideMark/>
          </w:tcPr>
          <w:p w14:paraId="4D6F2327" w14:textId="74978569"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Strengthen</w:t>
            </w:r>
            <w:r w:rsidR="00FE5EC0" w:rsidRPr="007E7514">
              <w:rPr>
                <w:rFonts w:asciiTheme="minorHAnsi" w:hAnsiTheme="minorHAnsi" w:cstheme="minorHAnsi"/>
                <w:i/>
                <w:iCs/>
                <w:sz w:val="20"/>
                <w:szCs w:val="20"/>
                <w:lang w:val="en-GB"/>
              </w:rPr>
              <w:t>ing</w:t>
            </w:r>
            <w:r w:rsidRPr="007E7514">
              <w:rPr>
                <w:rFonts w:asciiTheme="minorHAnsi" w:hAnsiTheme="minorHAnsi" w:cstheme="minorHAnsi"/>
                <w:i/>
                <w:iCs/>
                <w:sz w:val="20"/>
                <w:szCs w:val="20"/>
                <w:lang w:val="en-GB"/>
              </w:rPr>
              <w:t xml:space="preserve"> </w:t>
            </w:r>
            <w:r w:rsidR="00FE5EC0" w:rsidRPr="007E7514">
              <w:rPr>
                <w:rFonts w:asciiTheme="minorHAnsi" w:hAnsiTheme="minorHAnsi" w:cstheme="minorHAnsi"/>
                <w:i/>
                <w:iCs/>
                <w:sz w:val="20"/>
                <w:szCs w:val="20"/>
                <w:lang w:val="en-GB"/>
              </w:rPr>
              <w:t>N</w:t>
            </w:r>
            <w:r w:rsidRPr="007E7514">
              <w:rPr>
                <w:rFonts w:asciiTheme="minorHAnsi" w:hAnsiTheme="minorHAnsi" w:cstheme="minorHAnsi"/>
                <w:i/>
                <w:iCs/>
                <w:sz w:val="20"/>
                <w:szCs w:val="20"/>
                <w:lang w:val="en-GB"/>
              </w:rPr>
              <w:t xml:space="preserve">ational </w:t>
            </w:r>
            <w:r w:rsidR="00FE5EC0" w:rsidRPr="007E7514">
              <w:rPr>
                <w:rFonts w:asciiTheme="minorHAnsi" w:hAnsiTheme="minorHAnsi" w:cstheme="minorHAnsi"/>
                <w:i/>
                <w:iCs/>
                <w:sz w:val="20"/>
                <w:szCs w:val="20"/>
                <w:lang w:val="en-GB"/>
              </w:rPr>
              <w:t>D</w:t>
            </w:r>
            <w:r w:rsidRPr="007E7514">
              <w:rPr>
                <w:rFonts w:asciiTheme="minorHAnsi" w:hAnsiTheme="minorHAnsi" w:cstheme="minorHAnsi"/>
                <w:i/>
                <w:iCs/>
                <w:sz w:val="20"/>
                <w:szCs w:val="20"/>
                <w:lang w:val="en-GB"/>
              </w:rPr>
              <w:t xml:space="preserve">ecision </w:t>
            </w:r>
            <w:r w:rsidR="00FE5EC0"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aking towards </w:t>
            </w:r>
            <w:r w:rsidR="00FE5EC0" w:rsidRPr="007E7514">
              <w:rPr>
                <w:rFonts w:asciiTheme="minorHAnsi" w:hAnsiTheme="minorHAnsi" w:cstheme="minorHAnsi"/>
                <w:i/>
                <w:iCs/>
                <w:sz w:val="20"/>
                <w:szCs w:val="20"/>
                <w:lang w:val="en-GB"/>
              </w:rPr>
              <w:t>R</w:t>
            </w:r>
            <w:r w:rsidRPr="007E7514">
              <w:rPr>
                <w:rFonts w:asciiTheme="minorHAnsi" w:hAnsiTheme="minorHAnsi" w:cstheme="minorHAnsi"/>
                <w:i/>
                <w:iCs/>
                <w:sz w:val="20"/>
                <w:szCs w:val="20"/>
                <w:lang w:val="en-GB"/>
              </w:rPr>
              <w:t xml:space="preserve">atification of the Minamata Convention and </w:t>
            </w:r>
            <w:r w:rsidR="00FE5EC0" w:rsidRPr="007E7514">
              <w:rPr>
                <w:rFonts w:asciiTheme="minorHAnsi" w:hAnsiTheme="minorHAnsi" w:cstheme="minorHAnsi"/>
                <w:i/>
                <w:iCs/>
                <w:sz w:val="20"/>
                <w:szCs w:val="20"/>
                <w:lang w:val="en-GB"/>
              </w:rPr>
              <w:t>B</w:t>
            </w:r>
            <w:r w:rsidRPr="007E7514">
              <w:rPr>
                <w:rFonts w:asciiTheme="minorHAnsi" w:hAnsiTheme="minorHAnsi" w:cstheme="minorHAnsi"/>
                <w:i/>
                <w:iCs/>
                <w:sz w:val="20"/>
                <w:szCs w:val="20"/>
                <w:lang w:val="en-GB"/>
              </w:rPr>
              <w:t>uild</w:t>
            </w:r>
            <w:r w:rsidR="00FE5EC0" w:rsidRPr="007E7514">
              <w:rPr>
                <w:rFonts w:asciiTheme="minorHAnsi" w:hAnsiTheme="minorHAnsi" w:cstheme="minorHAnsi"/>
                <w:i/>
                <w:iCs/>
                <w:sz w:val="20"/>
                <w:szCs w:val="20"/>
                <w:lang w:val="en-GB"/>
              </w:rPr>
              <w:t>ing</w:t>
            </w:r>
            <w:r w:rsidRPr="007E7514">
              <w:rPr>
                <w:rFonts w:asciiTheme="minorHAnsi" w:hAnsiTheme="minorHAnsi" w:cstheme="minorHAnsi"/>
                <w:i/>
                <w:iCs/>
                <w:sz w:val="20"/>
                <w:szCs w:val="20"/>
                <w:lang w:val="en-GB"/>
              </w:rPr>
              <w:t xml:space="preserve"> </w:t>
            </w:r>
            <w:r w:rsidR="00FE5EC0" w:rsidRPr="007E7514">
              <w:rPr>
                <w:rFonts w:asciiTheme="minorHAnsi" w:hAnsiTheme="minorHAnsi" w:cstheme="minorHAnsi"/>
                <w:i/>
                <w:iCs/>
                <w:sz w:val="20"/>
                <w:szCs w:val="20"/>
                <w:lang w:val="en-GB"/>
              </w:rPr>
              <w:t>C</w:t>
            </w:r>
            <w:r w:rsidRPr="007E7514">
              <w:rPr>
                <w:rFonts w:asciiTheme="minorHAnsi" w:hAnsiTheme="minorHAnsi" w:cstheme="minorHAnsi"/>
                <w:i/>
                <w:iCs/>
                <w:sz w:val="20"/>
                <w:szCs w:val="20"/>
                <w:lang w:val="en-GB"/>
              </w:rPr>
              <w:t xml:space="preserve">apacity towards </w:t>
            </w:r>
            <w:r w:rsidR="00FE5EC0" w:rsidRPr="007E7514">
              <w:rPr>
                <w:rFonts w:asciiTheme="minorHAnsi" w:hAnsiTheme="minorHAnsi" w:cstheme="minorHAnsi"/>
                <w:i/>
                <w:iCs/>
                <w:sz w:val="20"/>
                <w:szCs w:val="20"/>
                <w:lang w:val="en-GB"/>
              </w:rPr>
              <w:t>I</w:t>
            </w:r>
            <w:r w:rsidRPr="007E7514">
              <w:rPr>
                <w:rFonts w:asciiTheme="minorHAnsi" w:hAnsiTheme="minorHAnsi" w:cstheme="minorHAnsi"/>
                <w:i/>
                <w:iCs/>
                <w:sz w:val="20"/>
                <w:szCs w:val="20"/>
                <w:lang w:val="en-GB"/>
              </w:rPr>
              <w:t xml:space="preserve">mplementation of </w:t>
            </w:r>
            <w:r w:rsidR="00FE5EC0" w:rsidRPr="007E7514">
              <w:rPr>
                <w:rFonts w:asciiTheme="minorHAnsi" w:hAnsiTheme="minorHAnsi" w:cstheme="minorHAnsi"/>
                <w:i/>
                <w:iCs/>
                <w:sz w:val="20"/>
                <w:szCs w:val="20"/>
                <w:lang w:val="en-GB"/>
              </w:rPr>
              <w:t>F</w:t>
            </w:r>
            <w:r w:rsidRPr="007E7514">
              <w:rPr>
                <w:rFonts w:asciiTheme="minorHAnsi" w:hAnsiTheme="minorHAnsi" w:cstheme="minorHAnsi"/>
                <w:i/>
                <w:iCs/>
                <w:sz w:val="20"/>
                <w:szCs w:val="20"/>
                <w:lang w:val="en-GB"/>
              </w:rPr>
              <w:t xml:space="preserve">uture </w:t>
            </w:r>
            <w:r w:rsidR="00FE5EC0" w:rsidRPr="007E7514">
              <w:rPr>
                <w:rFonts w:asciiTheme="minorHAnsi" w:hAnsiTheme="minorHAnsi" w:cstheme="minorHAnsi"/>
                <w:i/>
                <w:iCs/>
                <w:sz w:val="20"/>
                <w:szCs w:val="20"/>
                <w:lang w:val="en-GB"/>
              </w:rPr>
              <w:t>P</w:t>
            </w:r>
            <w:r w:rsidRPr="007E7514">
              <w:rPr>
                <w:rFonts w:asciiTheme="minorHAnsi" w:hAnsiTheme="minorHAnsi" w:cstheme="minorHAnsi"/>
                <w:i/>
                <w:iCs/>
                <w:sz w:val="20"/>
                <w:szCs w:val="20"/>
                <w:lang w:val="en-GB"/>
              </w:rPr>
              <w:t>rovisions</w:t>
            </w:r>
          </w:p>
        </w:tc>
        <w:tc>
          <w:tcPr>
            <w:tcW w:w="371" w:type="pct"/>
            <w:tcBorders>
              <w:top w:val="nil"/>
              <w:left w:val="nil"/>
              <w:bottom w:val="single" w:sz="4" w:space="0" w:color="auto"/>
              <w:right w:val="single" w:sz="4" w:space="0" w:color="auto"/>
            </w:tcBorders>
            <w:shd w:val="clear" w:color="auto" w:fill="auto"/>
            <w:hideMark/>
          </w:tcPr>
          <w:p w14:paraId="3BA46B2E"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6BE97845" w14:textId="3CF46F4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76B7EE84" w14:textId="683A6FB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nil"/>
              <w:left w:val="nil"/>
              <w:bottom w:val="single" w:sz="4" w:space="0" w:color="auto"/>
              <w:right w:val="single" w:sz="4" w:space="0" w:color="auto"/>
            </w:tcBorders>
            <w:shd w:val="clear" w:color="auto" w:fill="auto"/>
            <w:hideMark/>
          </w:tcPr>
          <w:p w14:paraId="09463D1C" w14:textId="3420D41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95,000 </w:t>
            </w:r>
          </w:p>
        </w:tc>
        <w:tc>
          <w:tcPr>
            <w:tcW w:w="426" w:type="pct"/>
            <w:tcBorders>
              <w:top w:val="nil"/>
              <w:left w:val="nil"/>
              <w:bottom w:val="single" w:sz="4" w:space="0" w:color="auto"/>
              <w:right w:val="single" w:sz="4" w:space="0" w:color="auto"/>
            </w:tcBorders>
            <w:shd w:val="clear" w:color="auto" w:fill="auto"/>
            <w:hideMark/>
          </w:tcPr>
          <w:p w14:paraId="66A31816" w14:textId="3D32631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9DFF7AF" w14:textId="7237953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02DB96F" w14:textId="679F481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352FAE64" w14:textId="40B7BB3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FE5EC0"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3EB6F42" w14:textId="77777777" w:rsidTr="007252BF">
        <w:trPr>
          <w:trHeight w:val="1160"/>
        </w:trPr>
        <w:tc>
          <w:tcPr>
            <w:tcW w:w="304" w:type="pct"/>
            <w:tcBorders>
              <w:top w:val="nil"/>
              <w:left w:val="single" w:sz="4" w:space="0" w:color="auto"/>
              <w:bottom w:val="single" w:sz="4" w:space="0" w:color="auto"/>
              <w:right w:val="single" w:sz="4" w:space="0" w:color="auto"/>
            </w:tcBorders>
          </w:tcPr>
          <w:p w14:paraId="30C4EE72" w14:textId="14EDFD81"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6985</w:t>
            </w:r>
          </w:p>
        </w:tc>
        <w:tc>
          <w:tcPr>
            <w:tcW w:w="506" w:type="pct"/>
            <w:tcBorders>
              <w:top w:val="nil"/>
              <w:left w:val="single" w:sz="4" w:space="0" w:color="auto"/>
              <w:bottom w:val="single" w:sz="4" w:space="0" w:color="auto"/>
              <w:right w:val="single" w:sz="4" w:space="0" w:color="auto"/>
            </w:tcBorders>
            <w:shd w:val="clear" w:color="auto" w:fill="auto"/>
            <w:hideMark/>
          </w:tcPr>
          <w:p w14:paraId="5E3B5AE5" w14:textId="3D062BA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Mozambique</w:t>
            </w:r>
          </w:p>
        </w:tc>
        <w:tc>
          <w:tcPr>
            <w:tcW w:w="786" w:type="pct"/>
            <w:tcBorders>
              <w:top w:val="nil"/>
              <w:left w:val="nil"/>
              <w:bottom w:val="single" w:sz="4" w:space="0" w:color="auto"/>
              <w:right w:val="single" w:sz="4" w:space="0" w:color="auto"/>
            </w:tcBorders>
            <w:shd w:val="clear" w:color="auto" w:fill="auto"/>
            <w:hideMark/>
          </w:tcPr>
          <w:p w14:paraId="261AE9EC" w14:textId="0FB948A3"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National Action Plan on Mercury in the Mozambican Artisanal and Small-</w:t>
            </w:r>
            <w:r w:rsidR="00FB5491"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w:t>
            </w:r>
            <w:r w:rsidR="00FE5EC0"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ector</w:t>
            </w:r>
          </w:p>
        </w:tc>
        <w:tc>
          <w:tcPr>
            <w:tcW w:w="371" w:type="pct"/>
            <w:tcBorders>
              <w:top w:val="nil"/>
              <w:left w:val="nil"/>
              <w:bottom w:val="single" w:sz="4" w:space="0" w:color="auto"/>
              <w:right w:val="single" w:sz="4" w:space="0" w:color="auto"/>
            </w:tcBorders>
            <w:shd w:val="clear" w:color="auto" w:fill="auto"/>
            <w:hideMark/>
          </w:tcPr>
          <w:p w14:paraId="718CC2CC"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3E54F90E" w14:textId="18E4BA4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5CE35C76" w14:textId="7D1AC86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195EF48F" w14:textId="3FB6900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6AD8D5AF" w14:textId="418B60E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B8A7C35" w14:textId="0901BE1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2ACBCACE" w14:textId="457A946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84,000 </w:t>
            </w:r>
          </w:p>
        </w:tc>
        <w:tc>
          <w:tcPr>
            <w:tcW w:w="587" w:type="pct"/>
            <w:tcBorders>
              <w:top w:val="nil"/>
              <w:left w:val="nil"/>
              <w:bottom w:val="single" w:sz="4" w:space="0" w:color="auto"/>
              <w:right w:val="single" w:sz="4" w:space="0" w:color="auto"/>
            </w:tcBorders>
            <w:shd w:val="clear" w:color="auto" w:fill="auto"/>
            <w:hideMark/>
          </w:tcPr>
          <w:p w14:paraId="67301A99" w14:textId="3D026F1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FE5EC0"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84FABAF" w14:textId="77777777" w:rsidTr="007252BF">
        <w:trPr>
          <w:trHeight w:val="427"/>
        </w:trPr>
        <w:tc>
          <w:tcPr>
            <w:tcW w:w="304" w:type="pct"/>
            <w:tcBorders>
              <w:top w:val="nil"/>
              <w:left w:val="single" w:sz="4" w:space="0" w:color="auto"/>
              <w:bottom w:val="single" w:sz="4" w:space="0" w:color="auto"/>
              <w:right w:val="single" w:sz="4" w:space="0" w:color="auto"/>
            </w:tcBorders>
          </w:tcPr>
          <w:p w14:paraId="2785D79F" w14:textId="261D7F64"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8026</w:t>
            </w:r>
          </w:p>
        </w:tc>
        <w:tc>
          <w:tcPr>
            <w:tcW w:w="506" w:type="pct"/>
            <w:tcBorders>
              <w:top w:val="nil"/>
              <w:left w:val="single" w:sz="4" w:space="0" w:color="auto"/>
              <w:bottom w:val="single" w:sz="4" w:space="0" w:color="auto"/>
              <w:right w:val="single" w:sz="4" w:space="0" w:color="auto"/>
            </w:tcBorders>
            <w:shd w:val="clear" w:color="auto" w:fill="auto"/>
            <w:hideMark/>
          </w:tcPr>
          <w:p w14:paraId="3817CDD1" w14:textId="0DFC6A4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Panama</w:t>
            </w:r>
          </w:p>
        </w:tc>
        <w:tc>
          <w:tcPr>
            <w:tcW w:w="786" w:type="pct"/>
            <w:tcBorders>
              <w:top w:val="nil"/>
              <w:left w:val="nil"/>
              <w:bottom w:val="single" w:sz="4" w:space="0" w:color="auto"/>
              <w:right w:val="single" w:sz="4" w:space="0" w:color="auto"/>
            </w:tcBorders>
            <w:shd w:val="clear" w:color="auto" w:fill="auto"/>
            <w:hideMark/>
          </w:tcPr>
          <w:p w14:paraId="043F98C8"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Initial Assessment for Panama</w:t>
            </w:r>
          </w:p>
        </w:tc>
        <w:tc>
          <w:tcPr>
            <w:tcW w:w="371" w:type="pct"/>
            <w:tcBorders>
              <w:top w:val="nil"/>
              <w:left w:val="nil"/>
              <w:bottom w:val="single" w:sz="4" w:space="0" w:color="auto"/>
              <w:right w:val="single" w:sz="4" w:space="0" w:color="auto"/>
            </w:tcBorders>
            <w:shd w:val="clear" w:color="auto" w:fill="auto"/>
            <w:hideMark/>
          </w:tcPr>
          <w:p w14:paraId="16D4D992"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11FE72FD" w14:textId="23E0697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698E13AC" w14:textId="034BFCA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0A959D6E" w14:textId="2DBE749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28C546AD" w14:textId="763F993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33519CA" w14:textId="4E11164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172B240A" w14:textId="08FEC40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6D125C50" w14:textId="296DA83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672E42"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75F6DCB2" w14:textId="77777777" w:rsidTr="007252BF">
        <w:trPr>
          <w:trHeight w:val="580"/>
        </w:trPr>
        <w:tc>
          <w:tcPr>
            <w:tcW w:w="304" w:type="pct"/>
            <w:tcBorders>
              <w:top w:val="nil"/>
              <w:left w:val="single" w:sz="4" w:space="0" w:color="auto"/>
              <w:bottom w:val="single" w:sz="4" w:space="0" w:color="auto"/>
              <w:right w:val="single" w:sz="4" w:space="0" w:color="auto"/>
            </w:tcBorders>
          </w:tcPr>
          <w:p w14:paraId="28C1FB75" w14:textId="33C1E5AD"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9144</w:t>
            </w:r>
          </w:p>
        </w:tc>
        <w:tc>
          <w:tcPr>
            <w:tcW w:w="506" w:type="pct"/>
            <w:tcBorders>
              <w:top w:val="nil"/>
              <w:left w:val="single" w:sz="4" w:space="0" w:color="auto"/>
              <w:bottom w:val="single" w:sz="4" w:space="0" w:color="auto"/>
              <w:right w:val="single" w:sz="4" w:space="0" w:color="auto"/>
            </w:tcBorders>
            <w:shd w:val="clear" w:color="auto" w:fill="auto"/>
            <w:hideMark/>
          </w:tcPr>
          <w:p w14:paraId="79691CFD" w14:textId="54ADC09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Malaysia</w:t>
            </w:r>
          </w:p>
        </w:tc>
        <w:tc>
          <w:tcPr>
            <w:tcW w:w="786" w:type="pct"/>
            <w:tcBorders>
              <w:top w:val="nil"/>
              <w:left w:val="nil"/>
              <w:bottom w:val="single" w:sz="4" w:space="0" w:color="auto"/>
              <w:right w:val="single" w:sz="4" w:space="0" w:color="auto"/>
            </w:tcBorders>
            <w:shd w:val="clear" w:color="auto" w:fill="auto"/>
            <w:hideMark/>
          </w:tcPr>
          <w:p w14:paraId="508A087A"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Convention Initial Assessment in Malaysia</w:t>
            </w:r>
          </w:p>
        </w:tc>
        <w:tc>
          <w:tcPr>
            <w:tcW w:w="371" w:type="pct"/>
            <w:tcBorders>
              <w:top w:val="nil"/>
              <w:left w:val="nil"/>
              <w:bottom w:val="single" w:sz="4" w:space="0" w:color="auto"/>
              <w:right w:val="single" w:sz="4" w:space="0" w:color="auto"/>
            </w:tcBorders>
            <w:shd w:val="clear" w:color="auto" w:fill="auto"/>
            <w:hideMark/>
          </w:tcPr>
          <w:p w14:paraId="5A73FFD1"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7612B727" w14:textId="0B35316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47093A6B" w14:textId="0BB3119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250,000 </w:t>
            </w:r>
          </w:p>
        </w:tc>
        <w:tc>
          <w:tcPr>
            <w:tcW w:w="426" w:type="pct"/>
            <w:tcBorders>
              <w:top w:val="nil"/>
              <w:left w:val="nil"/>
              <w:bottom w:val="single" w:sz="4" w:space="0" w:color="auto"/>
              <w:right w:val="single" w:sz="4" w:space="0" w:color="auto"/>
            </w:tcBorders>
            <w:shd w:val="clear" w:color="auto" w:fill="auto"/>
            <w:hideMark/>
          </w:tcPr>
          <w:p w14:paraId="48130066" w14:textId="72826B9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23,750 </w:t>
            </w:r>
          </w:p>
        </w:tc>
        <w:tc>
          <w:tcPr>
            <w:tcW w:w="426" w:type="pct"/>
            <w:tcBorders>
              <w:top w:val="nil"/>
              <w:left w:val="nil"/>
              <w:bottom w:val="single" w:sz="4" w:space="0" w:color="auto"/>
              <w:right w:val="single" w:sz="4" w:space="0" w:color="auto"/>
            </w:tcBorders>
            <w:shd w:val="clear" w:color="auto" w:fill="auto"/>
            <w:hideMark/>
          </w:tcPr>
          <w:p w14:paraId="1C03279E" w14:textId="5A4EEA3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401394B7" w14:textId="4A4250B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A3D12C9" w14:textId="6DD77F8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250,000 </w:t>
            </w:r>
          </w:p>
        </w:tc>
        <w:tc>
          <w:tcPr>
            <w:tcW w:w="587" w:type="pct"/>
            <w:tcBorders>
              <w:top w:val="nil"/>
              <w:left w:val="nil"/>
              <w:bottom w:val="single" w:sz="4" w:space="0" w:color="auto"/>
              <w:right w:val="single" w:sz="4" w:space="0" w:color="auto"/>
            </w:tcBorders>
            <w:shd w:val="clear" w:color="auto" w:fill="auto"/>
            <w:hideMark/>
          </w:tcPr>
          <w:p w14:paraId="24068ED9" w14:textId="01876D7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061F2859" w14:textId="77777777" w:rsidTr="007252BF">
        <w:trPr>
          <w:trHeight w:val="932"/>
        </w:trPr>
        <w:tc>
          <w:tcPr>
            <w:tcW w:w="304" w:type="pct"/>
            <w:tcBorders>
              <w:top w:val="single" w:sz="4" w:space="0" w:color="auto"/>
              <w:left w:val="single" w:sz="4" w:space="0" w:color="auto"/>
              <w:bottom w:val="single" w:sz="4" w:space="0" w:color="auto"/>
              <w:right w:val="single" w:sz="4" w:space="0" w:color="auto"/>
            </w:tcBorders>
          </w:tcPr>
          <w:p w14:paraId="7052F0E9" w14:textId="5EB9DFC0"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9164</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47B3E61D" w14:textId="34D87D7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Gabon</w:t>
            </w:r>
          </w:p>
        </w:tc>
        <w:tc>
          <w:tcPr>
            <w:tcW w:w="786" w:type="pct"/>
            <w:tcBorders>
              <w:top w:val="single" w:sz="4" w:space="0" w:color="auto"/>
              <w:left w:val="nil"/>
              <w:bottom w:val="single" w:sz="4" w:space="0" w:color="auto"/>
              <w:right w:val="single" w:sz="4" w:space="0" w:color="auto"/>
            </w:tcBorders>
            <w:shd w:val="clear" w:color="auto" w:fill="auto"/>
            <w:hideMark/>
          </w:tcPr>
          <w:p w14:paraId="5B8FCA57" w14:textId="7BC9F712"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Action Plan on Mercury in the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w:t>
            </w:r>
            <w:r w:rsidR="00FB5491"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w:t>
            </w:r>
            <w:r w:rsidR="009154BD"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ector in Gabon</w:t>
            </w:r>
          </w:p>
        </w:tc>
        <w:tc>
          <w:tcPr>
            <w:tcW w:w="371" w:type="pct"/>
            <w:tcBorders>
              <w:top w:val="single" w:sz="4" w:space="0" w:color="auto"/>
              <w:left w:val="nil"/>
              <w:bottom w:val="single" w:sz="4" w:space="0" w:color="auto"/>
              <w:right w:val="single" w:sz="4" w:space="0" w:color="auto"/>
            </w:tcBorders>
            <w:shd w:val="clear" w:color="auto" w:fill="auto"/>
            <w:hideMark/>
          </w:tcPr>
          <w:p w14:paraId="36524359"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340CA872" w14:textId="2412D30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64A6E126" w14:textId="283A390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7118506F" w14:textId="2018C87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4CD2A62A" w14:textId="3FDFB3B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483D6C34" w14:textId="0FC8929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776CE3A6" w14:textId="47126CF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161,000 </w:t>
            </w:r>
          </w:p>
        </w:tc>
        <w:tc>
          <w:tcPr>
            <w:tcW w:w="587" w:type="pct"/>
            <w:tcBorders>
              <w:top w:val="single" w:sz="4" w:space="0" w:color="auto"/>
              <w:left w:val="nil"/>
              <w:bottom w:val="single" w:sz="4" w:space="0" w:color="auto"/>
              <w:right w:val="single" w:sz="4" w:space="0" w:color="auto"/>
            </w:tcBorders>
            <w:shd w:val="clear" w:color="auto" w:fill="auto"/>
            <w:hideMark/>
          </w:tcPr>
          <w:p w14:paraId="27665290" w14:textId="5D11D7F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725D75B0" w14:textId="77777777" w:rsidTr="007252BF">
        <w:trPr>
          <w:trHeight w:val="520"/>
        </w:trPr>
        <w:tc>
          <w:tcPr>
            <w:tcW w:w="304" w:type="pct"/>
            <w:tcBorders>
              <w:top w:val="nil"/>
              <w:left w:val="single" w:sz="4" w:space="0" w:color="auto"/>
              <w:bottom w:val="single" w:sz="4" w:space="0" w:color="auto"/>
              <w:right w:val="single" w:sz="4" w:space="0" w:color="auto"/>
            </w:tcBorders>
          </w:tcPr>
          <w:p w14:paraId="117DCC97" w14:textId="1F6849EB"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9170</w:t>
            </w:r>
          </w:p>
        </w:tc>
        <w:tc>
          <w:tcPr>
            <w:tcW w:w="506" w:type="pct"/>
            <w:tcBorders>
              <w:top w:val="nil"/>
              <w:left w:val="single" w:sz="4" w:space="0" w:color="auto"/>
              <w:bottom w:val="single" w:sz="4" w:space="0" w:color="auto"/>
              <w:right w:val="single" w:sz="4" w:space="0" w:color="auto"/>
            </w:tcBorders>
            <w:shd w:val="clear" w:color="auto" w:fill="auto"/>
            <w:hideMark/>
          </w:tcPr>
          <w:p w14:paraId="39A3CF08" w14:textId="38F105F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India</w:t>
            </w:r>
          </w:p>
        </w:tc>
        <w:tc>
          <w:tcPr>
            <w:tcW w:w="786" w:type="pct"/>
            <w:tcBorders>
              <w:top w:val="nil"/>
              <w:left w:val="nil"/>
              <w:bottom w:val="single" w:sz="4" w:space="0" w:color="auto"/>
              <w:right w:val="single" w:sz="4" w:space="0" w:color="auto"/>
            </w:tcBorders>
            <w:shd w:val="clear" w:color="auto" w:fill="auto"/>
            <w:hideMark/>
          </w:tcPr>
          <w:p w14:paraId="5C4A3DA5" w14:textId="7D821249"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Improv</w:t>
            </w:r>
            <w:r w:rsidR="009154BD" w:rsidRPr="007E7514">
              <w:rPr>
                <w:rFonts w:asciiTheme="minorHAnsi" w:hAnsiTheme="minorHAnsi" w:cstheme="minorHAnsi"/>
                <w:i/>
                <w:iCs/>
                <w:sz w:val="20"/>
                <w:szCs w:val="20"/>
                <w:lang w:val="en-GB"/>
              </w:rPr>
              <w:t>ing</w:t>
            </w:r>
            <w:r w:rsidRPr="007E7514">
              <w:rPr>
                <w:rFonts w:asciiTheme="minorHAnsi" w:hAnsiTheme="minorHAnsi" w:cstheme="minorHAnsi"/>
                <w:i/>
                <w:iCs/>
                <w:sz w:val="20"/>
                <w:szCs w:val="20"/>
                <w:lang w:val="en-GB"/>
              </w:rPr>
              <w:t xml:space="preserve"> Mercury Management in India</w:t>
            </w:r>
          </w:p>
        </w:tc>
        <w:tc>
          <w:tcPr>
            <w:tcW w:w="371" w:type="pct"/>
            <w:tcBorders>
              <w:top w:val="nil"/>
              <w:left w:val="nil"/>
              <w:bottom w:val="single" w:sz="4" w:space="0" w:color="auto"/>
              <w:right w:val="single" w:sz="4" w:space="0" w:color="auto"/>
            </w:tcBorders>
            <w:shd w:val="clear" w:color="auto" w:fill="auto"/>
            <w:hideMark/>
          </w:tcPr>
          <w:p w14:paraId="272BD7AE"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4781ECA7" w14:textId="3C01EF9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5E60A44C" w14:textId="33D89CC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nil"/>
              <w:left w:val="nil"/>
              <w:bottom w:val="single" w:sz="4" w:space="0" w:color="auto"/>
              <w:right w:val="single" w:sz="4" w:space="0" w:color="auto"/>
            </w:tcBorders>
            <w:shd w:val="clear" w:color="auto" w:fill="auto"/>
            <w:hideMark/>
          </w:tcPr>
          <w:p w14:paraId="3C8BEB73" w14:textId="0A7C8BF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95,000 </w:t>
            </w:r>
          </w:p>
        </w:tc>
        <w:tc>
          <w:tcPr>
            <w:tcW w:w="426" w:type="pct"/>
            <w:tcBorders>
              <w:top w:val="nil"/>
              <w:left w:val="nil"/>
              <w:bottom w:val="single" w:sz="4" w:space="0" w:color="auto"/>
              <w:right w:val="single" w:sz="4" w:space="0" w:color="auto"/>
            </w:tcBorders>
            <w:shd w:val="clear" w:color="auto" w:fill="auto"/>
            <w:hideMark/>
          </w:tcPr>
          <w:p w14:paraId="5ED46D92" w14:textId="43DEF55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67C6F3B" w14:textId="48B73A6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3EC3E135" w14:textId="2594376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7BA37F9F" w14:textId="1E329C6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A7A50C7" w14:textId="77777777" w:rsidTr="007252BF">
        <w:trPr>
          <w:trHeight w:val="698"/>
        </w:trPr>
        <w:tc>
          <w:tcPr>
            <w:tcW w:w="304" w:type="pct"/>
            <w:tcBorders>
              <w:top w:val="nil"/>
              <w:left w:val="single" w:sz="4" w:space="0" w:color="auto"/>
              <w:bottom w:val="single" w:sz="4" w:space="0" w:color="auto"/>
              <w:right w:val="single" w:sz="4" w:space="0" w:color="auto"/>
            </w:tcBorders>
          </w:tcPr>
          <w:p w14:paraId="048BE145" w14:textId="25AAA8D9"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9172</w:t>
            </w:r>
          </w:p>
        </w:tc>
        <w:tc>
          <w:tcPr>
            <w:tcW w:w="506" w:type="pct"/>
            <w:tcBorders>
              <w:top w:val="nil"/>
              <w:left w:val="single" w:sz="4" w:space="0" w:color="auto"/>
              <w:bottom w:val="single" w:sz="4" w:space="0" w:color="auto"/>
              <w:right w:val="single" w:sz="4" w:space="0" w:color="auto"/>
            </w:tcBorders>
            <w:shd w:val="clear" w:color="auto" w:fill="auto"/>
            <w:hideMark/>
          </w:tcPr>
          <w:p w14:paraId="79876225" w14:textId="221E6EC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Cameroon</w:t>
            </w:r>
          </w:p>
        </w:tc>
        <w:tc>
          <w:tcPr>
            <w:tcW w:w="786" w:type="pct"/>
            <w:tcBorders>
              <w:top w:val="nil"/>
              <w:left w:val="nil"/>
              <w:bottom w:val="single" w:sz="4" w:space="0" w:color="auto"/>
              <w:right w:val="single" w:sz="4" w:space="0" w:color="auto"/>
            </w:tcBorders>
            <w:shd w:val="clear" w:color="auto" w:fill="auto"/>
            <w:hideMark/>
          </w:tcPr>
          <w:p w14:paraId="59CD1D07"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Cameroon</w:t>
            </w:r>
          </w:p>
        </w:tc>
        <w:tc>
          <w:tcPr>
            <w:tcW w:w="371" w:type="pct"/>
            <w:tcBorders>
              <w:top w:val="nil"/>
              <w:left w:val="nil"/>
              <w:bottom w:val="single" w:sz="4" w:space="0" w:color="auto"/>
              <w:right w:val="single" w:sz="4" w:space="0" w:color="auto"/>
            </w:tcBorders>
            <w:shd w:val="clear" w:color="auto" w:fill="auto"/>
            <w:hideMark/>
          </w:tcPr>
          <w:p w14:paraId="2CDF6B7D"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244ED882" w14:textId="2B269C1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7FD4ADF7" w14:textId="3ADC6AB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1D22EC85" w14:textId="51398A0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5FD873AB" w14:textId="56E1F04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DDA60A8" w14:textId="1B93563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0DBAD856" w14:textId="125E651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540A23C6" w14:textId="00D43EF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E79D869" w14:textId="77777777" w:rsidTr="007252BF">
        <w:trPr>
          <w:trHeight w:val="1740"/>
        </w:trPr>
        <w:tc>
          <w:tcPr>
            <w:tcW w:w="304" w:type="pct"/>
            <w:tcBorders>
              <w:top w:val="nil"/>
              <w:left w:val="single" w:sz="4" w:space="0" w:color="auto"/>
              <w:bottom w:val="single" w:sz="4" w:space="0" w:color="auto"/>
              <w:right w:val="single" w:sz="4" w:space="0" w:color="auto"/>
            </w:tcBorders>
          </w:tcPr>
          <w:p w14:paraId="15544101" w14:textId="28E16AB6"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9173</w:t>
            </w:r>
          </w:p>
        </w:tc>
        <w:tc>
          <w:tcPr>
            <w:tcW w:w="506" w:type="pct"/>
            <w:tcBorders>
              <w:top w:val="nil"/>
              <w:left w:val="single" w:sz="4" w:space="0" w:color="auto"/>
              <w:bottom w:val="single" w:sz="4" w:space="0" w:color="auto"/>
              <w:right w:val="single" w:sz="4" w:space="0" w:color="auto"/>
            </w:tcBorders>
            <w:shd w:val="clear" w:color="auto" w:fill="auto"/>
            <w:hideMark/>
          </w:tcPr>
          <w:p w14:paraId="12FBE655" w14:textId="7D94E30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(Burundi, Central African Republic, Congo, Côte D’Ivoire,</w:t>
            </w:r>
          </w:p>
          <w:p w14:paraId="5D2A2E9E" w14:textId="5154BF7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Gabon)</w:t>
            </w:r>
          </w:p>
        </w:tc>
        <w:tc>
          <w:tcPr>
            <w:tcW w:w="786" w:type="pct"/>
            <w:tcBorders>
              <w:top w:val="nil"/>
              <w:left w:val="nil"/>
              <w:bottom w:val="single" w:sz="4" w:space="0" w:color="auto"/>
              <w:right w:val="single" w:sz="4" w:space="0" w:color="auto"/>
            </w:tcBorders>
            <w:shd w:val="clear" w:color="auto" w:fill="auto"/>
            <w:hideMark/>
          </w:tcPr>
          <w:p w14:paraId="364B4E2C"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Convention Mercury Initial Assessment in Africa</w:t>
            </w:r>
          </w:p>
        </w:tc>
        <w:tc>
          <w:tcPr>
            <w:tcW w:w="371" w:type="pct"/>
            <w:tcBorders>
              <w:top w:val="nil"/>
              <w:left w:val="nil"/>
              <w:bottom w:val="single" w:sz="4" w:space="0" w:color="auto"/>
              <w:right w:val="single" w:sz="4" w:space="0" w:color="auto"/>
            </w:tcBorders>
            <w:shd w:val="clear" w:color="auto" w:fill="auto"/>
            <w:hideMark/>
          </w:tcPr>
          <w:p w14:paraId="0202C19C"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6C22E39E" w14:textId="1711031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118310E6" w14:textId="64F2122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nil"/>
              <w:left w:val="nil"/>
              <w:bottom w:val="single" w:sz="4" w:space="0" w:color="auto"/>
              <w:right w:val="single" w:sz="4" w:space="0" w:color="auto"/>
            </w:tcBorders>
            <w:shd w:val="clear" w:color="auto" w:fill="auto"/>
            <w:hideMark/>
          </w:tcPr>
          <w:p w14:paraId="6C2BFBA1" w14:textId="303A397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95,000 </w:t>
            </w:r>
          </w:p>
        </w:tc>
        <w:tc>
          <w:tcPr>
            <w:tcW w:w="426" w:type="pct"/>
            <w:tcBorders>
              <w:top w:val="nil"/>
              <w:left w:val="nil"/>
              <w:bottom w:val="single" w:sz="4" w:space="0" w:color="auto"/>
              <w:right w:val="single" w:sz="4" w:space="0" w:color="auto"/>
            </w:tcBorders>
            <w:shd w:val="clear" w:color="auto" w:fill="auto"/>
            <w:hideMark/>
          </w:tcPr>
          <w:p w14:paraId="6E61328A" w14:textId="02F640E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21DCDD6F" w14:textId="00D7858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3127A432" w14:textId="6310081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60,000 </w:t>
            </w:r>
          </w:p>
        </w:tc>
        <w:tc>
          <w:tcPr>
            <w:tcW w:w="587" w:type="pct"/>
            <w:tcBorders>
              <w:top w:val="nil"/>
              <w:left w:val="nil"/>
              <w:bottom w:val="single" w:sz="4" w:space="0" w:color="auto"/>
              <w:right w:val="single" w:sz="4" w:space="0" w:color="auto"/>
            </w:tcBorders>
            <w:shd w:val="clear" w:color="auto" w:fill="auto"/>
            <w:hideMark/>
          </w:tcPr>
          <w:p w14:paraId="58D2E6D5" w14:textId="771DB2E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36040C31" w14:textId="77777777" w:rsidTr="007252BF">
        <w:trPr>
          <w:trHeight w:val="580"/>
        </w:trPr>
        <w:tc>
          <w:tcPr>
            <w:tcW w:w="304" w:type="pct"/>
            <w:tcBorders>
              <w:top w:val="nil"/>
              <w:left w:val="single" w:sz="4" w:space="0" w:color="auto"/>
              <w:bottom w:val="single" w:sz="4" w:space="0" w:color="auto"/>
              <w:right w:val="single" w:sz="4" w:space="0" w:color="auto"/>
            </w:tcBorders>
          </w:tcPr>
          <w:p w14:paraId="4C6AE2A9" w14:textId="300F4296"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9174</w:t>
            </w:r>
          </w:p>
        </w:tc>
        <w:tc>
          <w:tcPr>
            <w:tcW w:w="506" w:type="pct"/>
            <w:tcBorders>
              <w:top w:val="nil"/>
              <w:left w:val="single" w:sz="4" w:space="0" w:color="auto"/>
              <w:bottom w:val="single" w:sz="4" w:space="0" w:color="auto"/>
              <w:right w:val="single" w:sz="4" w:space="0" w:color="auto"/>
            </w:tcBorders>
            <w:shd w:val="clear" w:color="auto" w:fill="auto"/>
            <w:hideMark/>
          </w:tcPr>
          <w:p w14:paraId="2C710C34" w14:textId="5C4E8C5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Djibouti</w:t>
            </w:r>
          </w:p>
        </w:tc>
        <w:tc>
          <w:tcPr>
            <w:tcW w:w="786" w:type="pct"/>
            <w:tcBorders>
              <w:top w:val="nil"/>
              <w:left w:val="nil"/>
              <w:bottom w:val="single" w:sz="4" w:space="0" w:color="auto"/>
              <w:right w:val="single" w:sz="4" w:space="0" w:color="auto"/>
            </w:tcBorders>
            <w:shd w:val="clear" w:color="auto" w:fill="auto"/>
            <w:hideMark/>
          </w:tcPr>
          <w:p w14:paraId="07EE01A2"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a Minamata Initial Assessment in Djibouti</w:t>
            </w:r>
          </w:p>
        </w:tc>
        <w:tc>
          <w:tcPr>
            <w:tcW w:w="371" w:type="pct"/>
            <w:tcBorders>
              <w:top w:val="nil"/>
              <w:left w:val="nil"/>
              <w:bottom w:val="single" w:sz="4" w:space="0" w:color="auto"/>
              <w:right w:val="single" w:sz="4" w:space="0" w:color="auto"/>
            </w:tcBorders>
            <w:shd w:val="clear" w:color="auto" w:fill="auto"/>
            <w:hideMark/>
          </w:tcPr>
          <w:p w14:paraId="50C1560E"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741A19AF" w14:textId="3A6EAA5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28583CCC" w14:textId="1710930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5C211914" w14:textId="2ED70BD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7CCBEC3A" w14:textId="7B00844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63276B7" w14:textId="1C719F5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90117E2" w14:textId="7F52F87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49FE04EE" w14:textId="7A3384B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80AAEA8" w14:textId="77777777" w:rsidTr="007252BF">
        <w:trPr>
          <w:trHeight w:val="870"/>
        </w:trPr>
        <w:tc>
          <w:tcPr>
            <w:tcW w:w="304" w:type="pct"/>
            <w:tcBorders>
              <w:top w:val="nil"/>
              <w:left w:val="single" w:sz="4" w:space="0" w:color="auto"/>
              <w:bottom w:val="single" w:sz="4" w:space="0" w:color="auto"/>
              <w:right w:val="single" w:sz="4" w:space="0" w:color="auto"/>
            </w:tcBorders>
          </w:tcPr>
          <w:p w14:paraId="2A506FFF" w14:textId="40687764"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9185</w:t>
            </w:r>
          </w:p>
        </w:tc>
        <w:tc>
          <w:tcPr>
            <w:tcW w:w="506" w:type="pct"/>
            <w:tcBorders>
              <w:top w:val="nil"/>
              <w:left w:val="single" w:sz="4" w:space="0" w:color="auto"/>
              <w:bottom w:val="single" w:sz="4" w:space="0" w:color="auto"/>
              <w:right w:val="single" w:sz="4" w:space="0" w:color="auto"/>
            </w:tcBorders>
            <w:shd w:val="clear" w:color="auto" w:fill="auto"/>
            <w:hideMark/>
          </w:tcPr>
          <w:p w14:paraId="4BACFF8B" w14:textId="3B864D4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(Botswana, Eswatini, Lesotho, Namibia)</w:t>
            </w:r>
          </w:p>
        </w:tc>
        <w:tc>
          <w:tcPr>
            <w:tcW w:w="786" w:type="pct"/>
            <w:tcBorders>
              <w:top w:val="nil"/>
              <w:left w:val="nil"/>
              <w:bottom w:val="single" w:sz="4" w:space="0" w:color="auto"/>
              <w:right w:val="single" w:sz="4" w:space="0" w:color="auto"/>
            </w:tcBorders>
            <w:shd w:val="clear" w:color="auto" w:fill="auto"/>
            <w:hideMark/>
          </w:tcPr>
          <w:p w14:paraId="46D44C64"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Minamata Initial Assessment </w:t>
            </w:r>
          </w:p>
        </w:tc>
        <w:tc>
          <w:tcPr>
            <w:tcW w:w="371" w:type="pct"/>
            <w:tcBorders>
              <w:top w:val="nil"/>
              <w:left w:val="nil"/>
              <w:bottom w:val="single" w:sz="4" w:space="0" w:color="auto"/>
              <w:right w:val="single" w:sz="4" w:space="0" w:color="auto"/>
            </w:tcBorders>
            <w:shd w:val="clear" w:color="auto" w:fill="auto"/>
            <w:hideMark/>
          </w:tcPr>
          <w:p w14:paraId="59836A73"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501354E6" w14:textId="3AAA74E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10ACC98F" w14:textId="55D9BF9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800,000 </w:t>
            </w:r>
          </w:p>
        </w:tc>
        <w:tc>
          <w:tcPr>
            <w:tcW w:w="426" w:type="pct"/>
            <w:tcBorders>
              <w:top w:val="nil"/>
              <w:left w:val="nil"/>
              <w:bottom w:val="single" w:sz="4" w:space="0" w:color="auto"/>
              <w:right w:val="single" w:sz="4" w:space="0" w:color="auto"/>
            </w:tcBorders>
            <w:shd w:val="clear" w:color="auto" w:fill="auto"/>
            <w:hideMark/>
          </w:tcPr>
          <w:p w14:paraId="4FBD29CC" w14:textId="2F73E97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76,000 </w:t>
            </w:r>
          </w:p>
        </w:tc>
        <w:tc>
          <w:tcPr>
            <w:tcW w:w="426" w:type="pct"/>
            <w:tcBorders>
              <w:top w:val="nil"/>
              <w:left w:val="nil"/>
              <w:bottom w:val="single" w:sz="4" w:space="0" w:color="auto"/>
              <w:right w:val="single" w:sz="4" w:space="0" w:color="auto"/>
            </w:tcBorders>
            <w:shd w:val="clear" w:color="auto" w:fill="auto"/>
            <w:hideMark/>
          </w:tcPr>
          <w:p w14:paraId="26F94F74" w14:textId="7A7B753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4569CE89" w14:textId="54F7D23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07253CDB" w14:textId="7A98837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61,000 </w:t>
            </w:r>
          </w:p>
        </w:tc>
        <w:tc>
          <w:tcPr>
            <w:tcW w:w="587" w:type="pct"/>
            <w:tcBorders>
              <w:top w:val="nil"/>
              <w:left w:val="nil"/>
              <w:bottom w:val="single" w:sz="4" w:space="0" w:color="auto"/>
              <w:right w:val="single" w:sz="4" w:space="0" w:color="auto"/>
            </w:tcBorders>
            <w:shd w:val="clear" w:color="auto" w:fill="auto"/>
            <w:hideMark/>
          </w:tcPr>
          <w:p w14:paraId="3A9C644B" w14:textId="785068D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4C579906" w14:textId="77777777" w:rsidTr="007252BF">
        <w:trPr>
          <w:trHeight w:val="1160"/>
        </w:trPr>
        <w:tc>
          <w:tcPr>
            <w:tcW w:w="304" w:type="pct"/>
            <w:tcBorders>
              <w:top w:val="nil"/>
              <w:left w:val="single" w:sz="4" w:space="0" w:color="auto"/>
              <w:bottom w:val="single" w:sz="4" w:space="0" w:color="auto"/>
              <w:right w:val="single" w:sz="4" w:space="0" w:color="auto"/>
            </w:tcBorders>
          </w:tcPr>
          <w:p w14:paraId="790CE031" w14:textId="70EC1D95"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9187</w:t>
            </w:r>
          </w:p>
        </w:tc>
        <w:tc>
          <w:tcPr>
            <w:tcW w:w="506" w:type="pct"/>
            <w:tcBorders>
              <w:top w:val="nil"/>
              <w:left w:val="single" w:sz="4" w:space="0" w:color="auto"/>
              <w:bottom w:val="single" w:sz="4" w:space="0" w:color="auto"/>
              <w:right w:val="single" w:sz="4" w:space="0" w:color="auto"/>
            </w:tcBorders>
            <w:shd w:val="clear" w:color="auto" w:fill="auto"/>
            <w:hideMark/>
          </w:tcPr>
          <w:p w14:paraId="19CB1FD8" w14:textId="6AE5482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(Cook Islands, Kiribati, Palau, Tonga, Vanuatu)</w:t>
            </w:r>
          </w:p>
        </w:tc>
        <w:tc>
          <w:tcPr>
            <w:tcW w:w="786" w:type="pct"/>
            <w:tcBorders>
              <w:top w:val="nil"/>
              <w:left w:val="nil"/>
              <w:bottom w:val="single" w:sz="4" w:space="0" w:color="auto"/>
              <w:right w:val="single" w:sz="4" w:space="0" w:color="auto"/>
            </w:tcBorders>
            <w:shd w:val="clear" w:color="auto" w:fill="auto"/>
            <w:hideMark/>
          </w:tcPr>
          <w:p w14:paraId="20915CE4" w14:textId="5863EBB2"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Minamata Convention Mercury Initial Assessment in </w:t>
            </w:r>
            <w:r w:rsidR="00FA3594" w:rsidRPr="007E7514">
              <w:rPr>
                <w:rFonts w:asciiTheme="minorHAnsi" w:hAnsiTheme="minorHAnsi" w:cstheme="minorHAnsi"/>
                <w:i/>
                <w:iCs/>
                <w:sz w:val="20"/>
                <w:szCs w:val="20"/>
                <w:lang w:val="en-GB"/>
              </w:rPr>
              <w:t xml:space="preserve">the </w:t>
            </w:r>
            <w:r w:rsidRPr="007E7514">
              <w:rPr>
                <w:rFonts w:asciiTheme="minorHAnsi" w:hAnsiTheme="minorHAnsi" w:cstheme="minorHAnsi"/>
                <w:i/>
                <w:iCs/>
                <w:sz w:val="20"/>
                <w:szCs w:val="20"/>
                <w:lang w:val="en-GB"/>
              </w:rPr>
              <w:t>Pacific</w:t>
            </w:r>
          </w:p>
        </w:tc>
        <w:tc>
          <w:tcPr>
            <w:tcW w:w="371" w:type="pct"/>
            <w:tcBorders>
              <w:top w:val="nil"/>
              <w:left w:val="nil"/>
              <w:bottom w:val="single" w:sz="4" w:space="0" w:color="auto"/>
              <w:right w:val="single" w:sz="4" w:space="0" w:color="auto"/>
            </w:tcBorders>
            <w:shd w:val="clear" w:color="auto" w:fill="auto"/>
            <w:hideMark/>
          </w:tcPr>
          <w:p w14:paraId="03A54BE2"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3C7029D2" w14:textId="6BAA7E8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36013388" w14:textId="44C7F66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6722C4DE" w14:textId="7C543E7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3BE75808" w14:textId="33558D9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5290D83" w14:textId="4466A70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02F835EE" w14:textId="40E10F1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 </w:t>
            </w:r>
          </w:p>
        </w:tc>
        <w:tc>
          <w:tcPr>
            <w:tcW w:w="587" w:type="pct"/>
            <w:tcBorders>
              <w:top w:val="nil"/>
              <w:left w:val="nil"/>
              <w:bottom w:val="single" w:sz="4" w:space="0" w:color="auto"/>
              <w:right w:val="single" w:sz="4" w:space="0" w:color="auto"/>
            </w:tcBorders>
            <w:shd w:val="clear" w:color="auto" w:fill="auto"/>
            <w:hideMark/>
          </w:tcPr>
          <w:p w14:paraId="0739AF0D" w14:textId="0722417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154B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CF8CC0C" w14:textId="77777777" w:rsidTr="007252BF">
        <w:trPr>
          <w:trHeight w:val="870"/>
        </w:trPr>
        <w:tc>
          <w:tcPr>
            <w:tcW w:w="304" w:type="pct"/>
            <w:tcBorders>
              <w:top w:val="nil"/>
              <w:left w:val="single" w:sz="4" w:space="0" w:color="auto"/>
              <w:bottom w:val="single" w:sz="4" w:space="0" w:color="auto"/>
              <w:right w:val="single" w:sz="4" w:space="0" w:color="auto"/>
            </w:tcBorders>
          </w:tcPr>
          <w:p w14:paraId="242202EC" w14:textId="4461B942"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9188</w:t>
            </w:r>
          </w:p>
        </w:tc>
        <w:tc>
          <w:tcPr>
            <w:tcW w:w="506" w:type="pct"/>
            <w:tcBorders>
              <w:top w:val="nil"/>
              <w:left w:val="single" w:sz="4" w:space="0" w:color="auto"/>
              <w:bottom w:val="single" w:sz="4" w:space="0" w:color="auto"/>
              <w:right w:val="single" w:sz="4" w:space="0" w:color="auto"/>
            </w:tcBorders>
            <w:shd w:val="clear" w:color="auto" w:fill="auto"/>
            <w:hideMark/>
          </w:tcPr>
          <w:p w14:paraId="6E9C8CCC" w14:textId="7E01BFA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Papua New Guinea</w:t>
            </w:r>
          </w:p>
        </w:tc>
        <w:tc>
          <w:tcPr>
            <w:tcW w:w="786" w:type="pct"/>
            <w:tcBorders>
              <w:top w:val="nil"/>
              <w:left w:val="nil"/>
              <w:bottom w:val="single" w:sz="4" w:space="0" w:color="auto"/>
              <w:right w:val="single" w:sz="4" w:space="0" w:color="auto"/>
            </w:tcBorders>
            <w:shd w:val="clear" w:color="auto" w:fill="auto"/>
            <w:hideMark/>
          </w:tcPr>
          <w:p w14:paraId="06D24E2C"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Papua New Guinea</w:t>
            </w:r>
          </w:p>
        </w:tc>
        <w:tc>
          <w:tcPr>
            <w:tcW w:w="371" w:type="pct"/>
            <w:tcBorders>
              <w:top w:val="nil"/>
              <w:left w:val="nil"/>
              <w:bottom w:val="single" w:sz="4" w:space="0" w:color="auto"/>
              <w:right w:val="single" w:sz="4" w:space="0" w:color="auto"/>
            </w:tcBorders>
            <w:shd w:val="clear" w:color="auto" w:fill="auto"/>
            <w:hideMark/>
          </w:tcPr>
          <w:p w14:paraId="4D0D9C5D"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60124FF5" w14:textId="2869B9B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3992451E" w14:textId="0E8C536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300,000 </w:t>
            </w:r>
          </w:p>
        </w:tc>
        <w:tc>
          <w:tcPr>
            <w:tcW w:w="426" w:type="pct"/>
            <w:tcBorders>
              <w:top w:val="nil"/>
              <w:left w:val="nil"/>
              <w:bottom w:val="single" w:sz="4" w:space="0" w:color="auto"/>
              <w:right w:val="single" w:sz="4" w:space="0" w:color="auto"/>
            </w:tcBorders>
            <w:shd w:val="clear" w:color="auto" w:fill="auto"/>
            <w:hideMark/>
          </w:tcPr>
          <w:p w14:paraId="3B7264F1" w14:textId="59BD7F7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28,500 </w:t>
            </w:r>
          </w:p>
        </w:tc>
        <w:tc>
          <w:tcPr>
            <w:tcW w:w="426" w:type="pct"/>
            <w:tcBorders>
              <w:top w:val="nil"/>
              <w:left w:val="nil"/>
              <w:bottom w:val="single" w:sz="4" w:space="0" w:color="auto"/>
              <w:right w:val="single" w:sz="4" w:space="0" w:color="auto"/>
            </w:tcBorders>
            <w:shd w:val="clear" w:color="auto" w:fill="auto"/>
            <w:hideMark/>
          </w:tcPr>
          <w:p w14:paraId="2E97519C" w14:textId="3E8FFF7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7E22A243" w14:textId="05DD80E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11B7E751" w14:textId="013B827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5731D562" w14:textId="62707A1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FB5491"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7189FD83" w14:textId="77777777" w:rsidTr="007252BF">
        <w:trPr>
          <w:trHeight w:val="2030"/>
        </w:trPr>
        <w:tc>
          <w:tcPr>
            <w:tcW w:w="304" w:type="pct"/>
            <w:tcBorders>
              <w:top w:val="single" w:sz="4" w:space="0" w:color="auto"/>
              <w:left w:val="single" w:sz="4" w:space="0" w:color="auto"/>
              <w:bottom w:val="single" w:sz="4" w:space="0" w:color="auto"/>
              <w:right w:val="single" w:sz="4" w:space="0" w:color="auto"/>
            </w:tcBorders>
          </w:tcPr>
          <w:p w14:paraId="177ADA11" w14:textId="17553905"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9276</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35E9E1D1" w14:textId="47D6D37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(Burundi, Central African Republic, Congo, Eswatini, Kenya, Uganda, Zambia, Zimbabwe)</w:t>
            </w:r>
          </w:p>
        </w:tc>
        <w:tc>
          <w:tcPr>
            <w:tcW w:w="786" w:type="pct"/>
            <w:tcBorders>
              <w:top w:val="single" w:sz="4" w:space="0" w:color="auto"/>
              <w:left w:val="nil"/>
              <w:bottom w:val="single" w:sz="4" w:space="0" w:color="auto"/>
              <w:right w:val="single" w:sz="4" w:space="0" w:color="auto"/>
            </w:tcBorders>
            <w:shd w:val="clear" w:color="auto" w:fill="auto"/>
            <w:hideMark/>
          </w:tcPr>
          <w:p w14:paraId="6888F1D4" w14:textId="0EF55836"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Regional Project on the Development of National Action Plans for the Artisanal and Small</w:t>
            </w:r>
            <w:r w:rsidR="00FB5491"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Africa</w:t>
            </w:r>
          </w:p>
        </w:tc>
        <w:tc>
          <w:tcPr>
            <w:tcW w:w="371" w:type="pct"/>
            <w:tcBorders>
              <w:top w:val="single" w:sz="4" w:space="0" w:color="auto"/>
              <w:left w:val="nil"/>
              <w:bottom w:val="single" w:sz="4" w:space="0" w:color="auto"/>
              <w:right w:val="single" w:sz="4" w:space="0" w:color="auto"/>
            </w:tcBorders>
            <w:shd w:val="clear" w:color="auto" w:fill="auto"/>
            <w:hideMark/>
          </w:tcPr>
          <w:p w14:paraId="68B24939"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6F50CFF6" w14:textId="4FB9549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0A46FE5E" w14:textId="1782715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4,000,000 </w:t>
            </w:r>
          </w:p>
        </w:tc>
        <w:tc>
          <w:tcPr>
            <w:tcW w:w="426" w:type="pct"/>
            <w:tcBorders>
              <w:top w:val="single" w:sz="4" w:space="0" w:color="auto"/>
              <w:left w:val="nil"/>
              <w:bottom w:val="single" w:sz="4" w:space="0" w:color="auto"/>
              <w:right w:val="single" w:sz="4" w:space="0" w:color="auto"/>
            </w:tcBorders>
            <w:shd w:val="clear" w:color="auto" w:fill="auto"/>
            <w:hideMark/>
          </w:tcPr>
          <w:p w14:paraId="60990223" w14:textId="4D78612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380,000 </w:t>
            </w:r>
          </w:p>
        </w:tc>
        <w:tc>
          <w:tcPr>
            <w:tcW w:w="426" w:type="pct"/>
            <w:tcBorders>
              <w:top w:val="single" w:sz="4" w:space="0" w:color="auto"/>
              <w:left w:val="nil"/>
              <w:bottom w:val="single" w:sz="4" w:space="0" w:color="auto"/>
              <w:right w:val="single" w:sz="4" w:space="0" w:color="auto"/>
            </w:tcBorders>
            <w:shd w:val="clear" w:color="auto" w:fill="auto"/>
            <w:hideMark/>
          </w:tcPr>
          <w:p w14:paraId="68F3D613" w14:textId="20C9FF7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6D687D2D" w14:textId="05969BB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5C97253A" w14:textId="3F04AB3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 </w:t>
            </w:r>
          </w:p>
        </w:tc>
        <w:tc>
          <w:tcPr>
            <w:tcW w:w="587" w:type="pct"/>
            <w:tcBorders>
              <w:top w:val="single" w:sz="4" w:space="0" w:color="auto"/>
              <w:left w:val="nil"/>
              <w:bottom w:val="single" w:sz="4" w:space="0" w:color="auto"/>
              <w:right w:val="single" w:sz="4" w:space="0" w:color="auto"/>
            </w:tcBorders>
            <w:shd w:val="clear" w:color="auto" w:fill="auto"/>
            <w:hideMark/>
          </w:tcPr>
          <w:p w14:paraId="2D7C01E8" w14:textId="0944E60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FB5491"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1EF5399" w14:textId="77777777" w:rsidTr="007252BF">
        <w:trPr>
          <w:trHeight w:val="1160"/>
        </w:trPr>
        <w:tc>
          <w:tcPr>
            <w:tcW w:w="304" w:type="pct"/>
            <w:tcBorders>
              <w:top w:val="nil"/>
              <w:left w:val="single" w:sz="4" w:space="0" w:color="auto"/>
              <w:bottom w:val="single" w:sz="4" w:space="0" w:color="auto"/>
              <w:right w:val="single" w:sz="4" w:space="0" w:color="auto"/>
            </w:tcBorders>
          </w:tcPr>
          <w:p w14:paraId="7C6DD9F5" w14:textId="0D6C1EC4"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9308</w:t>
            </w:r>
          </w:p>
        </w:tc>
        <w:tc>
          <w:tcPr>
            <w:tcW w:w="506" w:type="pct"/>
            <w:tcBorders>
              <w:top w:val="nil"/>
              <w:left w:val="single" w:sz="4" w:space="0" w:color="auto"/>
              <w:bottom w:val="single" w:sz="4" w:space="0" w:color="auto"/>
              <w:right w:val="single" w:sz="4" w:space="0" w:color="auto"/>
            </w:tcBorders>
            <w:shd w:val="clear" w:color="auto" w:fill="auto"/>
            <w:hideMark/>
          </w:tcPr>
          <w:p w14:paraId="0B007312" w14:textId="5F0C783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(Cabo Verde, Sao Tome and  Principe)</w:t>
            </w:r>
          </w:p>
        </w:tc>
        <w:tc>
          <w:tcPr>
            <w:tcW w:w="786" w:type="pct"/>
            <w:tcBorders>
              <w:top w:val="nil"/>
              <w:left w:val="nil"/>
              <w:bottom w:val="single" w:sz="4" w:space="0" w:color="auto"/>
              <w:right w:val="single" w:sz="4" w:space="0" w:color="auto"/>
            </w:tcBorders>
            <w:shd w:val="clear" w:color="auto" w:fill="auto"/>
            <w:hideMark/>
          </w:tcPr>
          <w:p w14:paraId="2B4B3F60"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Convention: Initial Assessment in Cabo Verde and Sao Tome and Principe</w:t>
            </w:r>
          </w:p>
        </w:tc>
        <w:tc>
          <w:tcPr>
            <w:tcW w:w="371" w:type="pct"/>
            <w:tcBorders>
              <w:top w:val="nil"/>
              <w:left w:val="nil"/>
              <w:bottom w:val="single" w:sz="4" w:space="0" w:color="auto"/>
              <w:right w:val="single" w:sz="4" w:space="0" w:color="auto"/>
            </w:tcBorders>
            <w:shd w:val="clear" w:color="auto" w:fill="auto"/>
            <w:hideMark/>
          </w:tcPr>
          <w:p w14:paraId="00CB0472"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5C24FE5B" w14:textId="38BDAF1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123ED3DF" w14:textId="6CC7AD7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400,000 </w:t>
            </w:r>
          </w:p>
        </w:tc>
        <w:tc>
          <w:tcPr>
            <w:tcW w:w="426" w:type="pct"/>
            <w:tcBorders>
              <w:top w:val="nil"/>
              <w:left w:val="nil"/>
              <w:bottom w:val="single" w:sz="4" w:space="0" w:color="auto"/>
              <w:right w:val="single" w:sz="4" w:space="0" w:color="auto"/>
            </w:tcBorders>
            <w:shd w:val="clear" w:color="auto" w:fill="auto"/>
            <w:hideMark/>
          </w:tcPr>
          <w:p w14:paraId="0F52D5E6" w14:textId="07D53B1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38,000 </w:t>
            </w:r>
          </w:p>
        </w:tc>
        <w:tc>
          <w:tcPr>
            <w:tcW w:w="426" w:type="pct"/>
            <w:tcBorders>
              <w:top w:val="nil"/>
              <w:left w:val="nil"/>
              <w:bottom w:val="single" w:sz="4" w:space="0" w:color="auto"/>
              <w:right w:val="single" w:sz="4" w:space="0" w:color="auto"/>
            </w:tcBorders>
            <w:shd w:val="clear" w:color="auto" w:fill="auto"/>
            <w:hideMark/>
          </w:tcPr>
          <w:p w14:paraId="77E4A1C2" w14:textId="39DAFCE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91E7B14" w14:textId="25D326E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1645B73" w14:textId="59A6F4E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187,200 </w:t>
            </w:r>
          </w:p>
        </w:tc>
        <w:tc>
          <w:tcPr>
            <w:tcW w:w="587" w:type="pct"/>
            <w:tcBorders>
              <w:top w:val="nil"/>
              <w:left w:val="nil"/>
              <w:bottom w:val="single" w:sz="4" w:space="0" w:color="auto"/>
              <w:right w:val="single" w:sz="4" w:space="0" w:color="auto"/>
            </w:tcBorders>
            <w:shd w:val="clear" w:color="auto" w:fill="auto"/>
            <w:hideMark/>
          </w:tcPr>
          <w:p w14:paraId="4215128F" w14:textId="142E493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FB5491"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C042646" w14:textId="77777777" w:rsidTr="007252BF">
        <w:trPr>
          <w:trHeight w:val="2030"/>
        </w:trPr>
        <w:tc>
          <w:tcPr>
            <w:tcW w:w="304" w:type="pct"/>
            <w:tcBorders>
              <w:top w:val="nil"/>
              <w:left w:val="single" w:sz="4" w:space="0" w:color="auto"/>
              <w:bottom w:val="single" w:sz="4" w:space="0" w:color="auto"/>
              <w:right w:val="single" w:sz="4" w:space="0" w:color="auto"/>
            </w:tcBorders>
          </w:tcPr>
          <w:p w14:paraId="0D167DC9" w14:textId="46A67BB8" w:rsidR="000E404C" w:rsidRPr="007E7514" w:rsidRDefault="00577D9D"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9343</w:t>
            </w:r>
          </w:p>
        </w:tc>
        <w:tc>
          <w:tcPr>
            <w:tcW w:w="506" w:type="pct"/>
            <w:tcBorders>
              <w:top w:val="nil"/>
              <w:left w:val="single" w:sz="4" w:space="0" w:color="auto"/>
              <w:bottom w:val="single" w:sz="4" w:space="0" w:color="auto"/>
              <w:right w:val="single" w:sz="4" w:space="0" w:color="auto"/>
            </w:tcBorders>
            <w:shd w:val="clear" w:color="auto" w:fill="auto"/>
            <w:hideMark/>
          </w:tcPr>
          <w:p w14:paraId="6C0F4347" w14:textId="1D4F7A6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Morocco</w:t>
            </w:r>
          </w:p>
        </w:tc>
        <w:tc>
          <w:tcPr>
            <w:tcW w:w="786" w:type="pct"/>
            <w:tcBorders>
              <w:top w:val="nil"/>
              <w:left w:val="nil"/>
              <w:bottom w:val="single" w:sz="4" w:space="0" w:color="auto"/>
              <w:right w:val="single" w:sz="4" w:space="0" w:color="auto"/>
            </w:tcBorders>
            <w:shd w:val="clear" w:color="auto" w:fill="auto"/>
            <w:hideMark/>
          </w:tcPr>
          <w:p w14:paraId="2094E1D2" w14:textId="7C6F5130"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Strengthen</w:t>
            </w:r>
            <w:r w:rsidR="00FB5491" w:rsidRPr="007E7514">
              <w:rPr>
                <w:rFonts w:asciiTheme="minorHAnsi" w:hAnsiTheme="minorHAnsi" w:cstheme="minorHAnsi"/>
                <w:i/>
                <w:iCs/>
                <w:sz w:val="20"/>
                <w:szCs w:val="20"/>
                <w:lang w:val="en-GB"/>
              </w:rPr>
              <w:t>ing</w:t>
            </w:r>
            <w:r w:rsidRPr="007E7514">
              <w:rPr>
                <w:rFonts w:asciiTheme="minorHAnsi" w:hAnsiTheme="minorHAnsi" w:cstheme="minorHAnsi"/>
                <w:i/>
                <w:iCs/>
                <w:sz w:val="20"/>
                <w:szCs w:val="20"/>
                <w:lang w:val="en-GB"/>
              </w:rPr>
              <w:t xml:space="preserve"> the National Decision Making Mechanism to Ratify the Minamata Convention and Strengthen</w:t>
            </w:r>
            <w:r w:rsidR="00FB5491" w:rsidRPr="007E7514">
              <w:rPr>
                <w:rFonts w:asciiTheme="minorHAnsi" w:hAnsiTheme="minorHAnsi" w:cstheme="minorHAnsi"/>
                <w:i/>
                <w:iCs/>
                <w:sz w:val="20"/>
                <w:szCs w:val="20"/>
                <w:lang w:val="en-GB"/>
              </w:rPr>
              <w:t>ing</w:t>
            </w:r>
            <w:r w:rsidRPr="007E7514">
              <w:rPr>
                <w:rFonts w:asciiTheme="minorHAnsi" w:hAnsiTheme="minorHAnsi" w:cstheme="minorHAnsi"/>
                <w:i/>
                <w:iCs/>
                <w:sz w:val="20"/>
                <w:szCs w:val="20"/>
                <w:lang w:val="en-GB"/>
              </w:rPr>
              <w:t xml:space="preserve"> National Capacities for the Implementation of its Futures Provisions</w:t>
            </w:r>
          </w:p>
        </w:tc>
        <w:tc>
          <w:tcPr>
            <w:tcW w:w="371" w:type="pct"/>
            <w:tcBorders>
              <w:top w:val="nil"/>
              <w:left w:val="nil"/>
              <w:bottom w:val="single" w:sz="4" w:space="0" w:color="auto"/>
              <w:right w:val="single" w:sz="4" w:space="0" w:color="auto"/>
            </w:tcBorders>
            <w:shd w:val="clear" w:color="auto" w:fill="auto"/>
            <w:hideMark/>
          </w:tcPr>
          <w:p w14:paraId="0AA805D7"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4B778057" w14:textId="72ED90A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4283762D" w14:textId="5635852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48597DC1" w14:textId="2F12CC3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2C3A340D" w14:textId="63EADD9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4FEB8F85" w14:textId="5E20752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1AEDAF05" w14:textId="1DD7A97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2B601428" w14:textId="43257D9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FB5491"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3A1A1DD8" w14:textId="77777777" w:rsidTr="007252BF">
        <w:trPr>
          <w:trHeight w:val="791"/>
        </w:trPr>
        <w:tc>
          <w:tcPr>
            <w:tcW w:w="304" w:type="pct"/>
            <w:tcBorders>
              <w:top w:val="nil"/>
              <w:left w:val="single" w:sz="4" w:space="0" w:color="auto"/>
              <w:bottom w:val="single" w:sz="4" w:space="0" w:color="auto"/>
              <w:right w:val="single" w:sz="4" w:space="0" w:color="auto"/>
            </w:tcBorders>
          </w:tcPr>
          <w:p w14:paraId="77473A44" w14:textId="4CDED43F"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9345</w:t>
            </w:r>
          </w:p>
        </w:tc>
        <w:tc>
          <w:tcPr>
            <w:tcW w:w="506" w:type="pct"/>
            <w:tcBorders>
              <w:top w:val="nil"/>
              <w:left w:val="single" w:sz="4" w:space="0" w:color="auto"/>
              <w:bottom w:val="single" w:sz="4" w:space="0" w:color="auto"/>
              <w:right w:val="single" w:sz="4" w:space="0" w:color="auto"/>
            </w:tcBorders>
            <w:shd w:val="clear" w:color="auto" w:fill="auto"/>
            <w:hideMark/>
          </w:tcPr>
          <w:p w14:paraId="22B66289" w14:textId="32E4316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Sudan</w:t>
            </w:r>
          </w:p>
        </w:tc>
        <w:tc>
          <w:tcPr>
            <w:tcW w:w="786" w:type="pct"/>
            <w:tcBorders>
              <w:top w:val="nil"/>
              <w:left w:val="nil"/>
              <w:bottom w:val="single" w:sz="4" w:space="0" w:color="auto"/>
              <w:right w:val="single" w:sz="4" w:space="0" w:color="auto"/>
            </w:tcBorders>
            <w:shd w:val="clear" w:color="auto" w:fill="auto"/>
            <w:hideMark/>
          </w:tcPr>
          <w:p w14:paraId="49EEE894" w14:textId="2574AB2D"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Minamata Convention: Initial </w:t>
            </w:r>
            <w:r w:rsidR="00200037"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ssessment in the Republic of Sudan</w:t>
            </w:r>
          </w:p>
        </w:tc>
        <w:tc>
          <w:tcPr>
            <w:tcW w:w="371" w:type="pct"/>
            <w:tcBorders>
              <w:top w:val="nil"/>
              <w:left w:val="nil"/>
              <w:bottom w:val="single" w:sz="4" w:space="0" w:color="auto"/>
              <w:right w:val="single" w:sz="4" w:space="0" w:color="auto"/>
            </w:tcBorders>
            <w:shd w:val="clear" w:color="auto" w:fill="auto"/>
            <w:hideMark/>
          </w:tcPr>
          <w:p w14:paraId="6D5D4231"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68467238" w14:textId="58E4BDF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7198AD33" w14:textId="1277E18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09397C16" w14:textId="2851E4D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7D5A0386" w14:textId="3B28C9F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14619FA" w14:textId="36ADCBF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95F4DAE" w14:textId="235890B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118,600 </w:t>
            </w:r>
          </w:p>
        </w:tc>
        <w:tc>
          <w:tcPr>
            <w:tcW w:w="587" w:type="pct"/>
            <w:tcBorders>
              <w:top w:val="nil"/>
              <w:left w:val="nil"/>
              <w:bottom w:val="single" w:sz="4" w:space="0" w:color="auto"/>
              <w:right w:val="single" w:sz="4" w:space="0" w:color="auto"/>
            </w:tcBorders>
            <w:shd w:val="clear" w:color="auto" w:fill="auto"/>
            <w:hideMark/>
          </w:tcPr>
          <w:p w14:paraId="5833FF73" w14:textId="766842F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200037"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A49172B" w14:textId="77777777" w:rsidTr="007252BF">
        <w:trPr>
          <w:trHeight w:val="580"/>
        </w:trPr>
        <w:tc>
          <w:tcPr>
            <w:tcW w:w="304" w:type="pct"/>
            <w:tcBorders>
              <w:top w:val="nil"/>
              <w:left w:val="single" w:sz="4" w:space="0" w:color="auto"/>
              <w:bottom w:val="single" w:sz="4" w:space="0" w:color="auto"/>
              <w:right w:val="single" w:sz="4" w:space="0" w:color="auto"/>
            </w:tcBorders>
          </w:tcPr>
          <w:p w14:paraId="638C51DB" w14:textId="235EDEFD"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9346</w:t>
            </w:r>
          </w:p>
        </w:tc>
        <w:tc>
          <w:tcPr>
            <w:tcW w:w="506" w:type="pct"/>
            <w:tcBorders>
              <w:top w:val="nil"/>
              <w:left w:val="single" w:sz="4" w:space="0" w:color="auto"/>
              <w:bottom w:val="single" w:sz="4" w:space="0" w:color="auto"/>
              <w:right w:val="single" w:sz="4" w:space="0" w:color="auto"/>
            </w:tcBorders>
            <w:shd w:val="clear" w:color="auto" w:fill="auto"/>
            <w:hideMark/>
          </w:tcPr>
          <w:p w14:paraId="5517AB19" w14:textId="02932F5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Sri Lanka</w:t>
            </w:r>
          </w:p>
        </w:tc>
        <w:tc>
          <w:tcPr>
            <w:tcW w:w="786" w:type="pct"/>
            <w:tcBorders>
              <w:top w:val="nil"/>
              <w:left w:val="nil"/>
              <w:bottom w:val="single" w:sz="4" w:space="0" w:color="auto"/>
              <w:right w:val="single" w:sz="4" w:space="0" w:color="auto"/>
            </w:tcBorders>
            <w:shd w:val="clear" w:color="auto" w:fill="auto"/>
            <w:hideMark/>
          </w:tcPr>
          <w:p w14:paraId="080BC9C2"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Convention: Initial Assessment in Sri Lanka</w:t>
            </w:r>
          </w:p>
        </w:tc>
        <w:tc>
          <w:tcPr>
            <w:tcW w:w="371" w:type="pct"/>
            <w:tcBorders>
              <w:top w:val="nil"/>
              <w:left w:val="nil"/>
              <w:bottom w:val="single" w:sz="4" w:space="0" w:color="auto"/>
              <w:right w:val="single" w:sz="4" w:space="0" w:color="auto"/>
            </w:tcBorders>
            <w:shd w:val="clear" w:color="auto" w:fill="auto"/>
            <w:hideMark/>
          </w:tcPr>
          <w:p w14:paraId="4747CBA0"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5E8EC377" w14:textId="36F80D8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25EDA431" w14:textId="1232FAF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28C0BE39" w14:textId="586102C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054E630F" w14:textId="4D936E1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2B3ADB77" w14:textId="5C1868C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0C0233BC" w14:textId="630199A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38,600 </w:t>
            </w:r>
          </w:p>
        </w:tc>
        <w:tc>
          <w:tcPr>
            <w:tcW w:w="587" w:type="pct"/>
            <w:tcBorders>
              <w:top w:val="nil"/>
              <w:left w:val="nil"/>
              <w:bottom w:val="single" w:sz="4" w:space="0" w:color="auto"/>
              <w:right w:val="single" w:sz="4" w:space="0" w:color="auto"/>
            </w:tcBorders>
            <w:shd w:val="clear" w:color="auto" w:fill="auto"/>
            <w:hideMark/>
          </w:tcPr>
          <w:p w14:paraId="4B875C0F" w14:textId="151C05C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200037"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6169A2F3" w14:textId="77777777" w:rsidTr="007252BF">
        <w:trPr>
          <w:trHeight w:val="869"/>
        </w:trPr>
        <w:tc>
          <w:tcPr>
            <w:tcW w:w="304" w:type="pct"/>
            <w:tcBorders>
              <w:top w:val="nil"/>
              <w:left w:val="single" w:sz="4" w:space="0" w:color="auto"/>
              <w:bottom w:val="single" w:sz="4" w:space="0" w:color="auto"/>
              <w:right w:val="single" w:sz="4" w:space="0" w:color="auto"/>
            </w:tcBorders>
          </w:tcPr>
          <w:p w14:paraId="7449EFFE" w14:textId="69EA222C"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9350</w:t>
            </w:r>
          </w:p>
        </w:tc>
        <w:tc>
          <w:tcPr>
            <w:tcW w:w="506" w:type="pct"/>
            <w:tcBorders>
              <w:top w:val="nil"/>
              <w:left w:val="single" w:sz="4" w:space="0" w:color="auto"/>
              <w:bottom w:val="single" w:sz="4" w:space="0" w:color="auto"/>
              <w:right w:val="single" w:sz="4" w:space="0" w:color="auto"/>
            </w:tcBorders>
            <w:shd w:val="clear" w:color="auto" w:fill="auto"/>
            <w:hideMark/>
          </w:tcPr>
          <w:p w14:paraId="0C6945F9" w14:textId="192D275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Paraguay</w:t>
            </w:r>
          </w:p>
        </w:tc>
        <w:tc>
          <w:tcPr>
            <w:tcW w:w="786" w:type="pct"/>
            <w:tcBorders>
              <w:top w:val="nil"/>
              <w:left w:val="nil"/>
              <w:bottom w:val="single" w:sz="4" w:space="0" w:color="auto"/>
              <w:right w:val="single" w:sz="4" w:space="0" w:color="auto"/>
            </w:tcBorders>
            <w:shd w:val="clear" w:color="auto" w:fill="auto"/>
            <w:hideMark/>
          </w:tcPr>
          <w:p w14:paraId="3DAE2079" w14:textId="74E4F76F"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Plans for Artisanal and Small</w:t>
            </w:r>
            <w:r w:rsidR="00200037"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Paraguay</w:t>
            </w:r>
          </w:p>
        </w:tc>
        <w:tc>
          <w:tcPr>
            <w:tcW w:w="371" w:type="pct"/>
            <w:tcBorders>
              <w:top w:val="nil"/>
              <w:left w:val="nil"/>
              <w:bottom w:val="single" w:sz="4" w:space="0" w:color="auto"/>
              <w:right w:val="single" w:sz="4" w:space="0" w:color="auto"/>
            </w:tcBorders>
            <w:shd w:val="clear" w:color="auto" w:fill="auto"/>
            <w:hideMark/>
          </w:tcPr>
          <w:p w14:paraId="5C209294"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7BD39B7E" w14:textId="5F7A26C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00011DA6" w14:textId="6A428F2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45DB19EF" w14:textId="1E41BCF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017EBB3F" w14:textId="3E95976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75E223EB" w14:textId="52BBE14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F88EBE0" w14:textId="12B0D97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42CDDF58" w14:textId="235F501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200037"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E685E4F" w14:textId="77777777" w:rsidTr="007252BF">
        <w:trPr>
          <w:trHeight w:val="1450"/>
        </w:trPr>
        <w:tc>
          <w:tcPr>
            <w:tcW w:w="304" w:type="pct"/>
            <w:tcBorders>
              <w:top w:val="single" w:sz="4" w:space="0" w:color="auto"/>
              <w:left w:val="single" w:sz="4" w:space="0" w:color="auto"/>
              <w:bottom w:val="single" w:sz="4" w:space="0" w:color="auto"/>
              <w:right w:val="single" w:sz="4" w:space="0" w:color="auto"/>
            </w:tcBorders>
          </w:tcPr>
          <w:p w14:paraId="41F3BA74" w14:textId="3A06FDD2"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9351</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234F7219" w14:textId="5388CB7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Honduras</w:t>
            </w:r>
          </w:p>
        </w:tc>
        <w:tc>
          <w:tcPr>
            <w:tcW w:w="786" w:type="pct"/>
            <w:tcBorders>
              <w:top w:val="single" w:sz="4" w:space="0" w:color="auto"/>
              <w:left w:val="nil"/>
              <w:bottom w:val="single" w:sz="4" w:space="0" w:color="auto"/>
              <w:right w:val="single" w:sz="4" w:space="0" w:color="auto"/>
            </w:tcBorders>
            <w:shd w:val="clear" w:color="auto" w:fill="auto"/>
            <w:hideMark/>
          </w:tcPr>
          <w:p w14:paraId="39D8E9BF" w14:textId="64142BE6"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and National Action Plan for Artisanal and Small</w:t>
            </w:r>
            <w:r w:rsidR="00200037"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Honduras</w:t>
            </w:r>
          </w:p>
        </w:tc>
        <w:tc>
          <w:tcPr>
            <w:tcW w:w="371" w:type="pct"/>
            <w:tcBorders>
              <w:top w:val="single" w:sz="4" w:space="0" w:color="auto"/>
              <w:left w:val="nil"/>
              <w:bottom w:val="single" w:sz="4" w:space="0" w:color="auto"/>
              <w:right w:val="single" w:sz="4" w:space="0" w:color="auto"/>
            </w:tcBorders>
            <w:shd w:val="clear" w:color="auto" w:fill="auto"/>
            <w:hideMark/>
          </w:tcPr>
          <w:p w14:paraId="518C14DC"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260D6615" w14:textId="358D365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6B11F963" w14:textId="4814782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single" w:sz="4" w:space="0" w:color="auto"/>
              <w:left w:val="nil"/>
              <w:bottom w:val="single" w:sz="4" w:space="0" w:color="auto"/>
              <w:right w:val="single" w:sz="4" w:space="0" w:color="auto"/>
            </w:tcBorders>
            <w:shd w:val="clear" w:color="auto" w:fill="auto"/>
            <w:hideMark/>
          </w:tcPr>
          <w:p w14:paraId="2B9928ED" w14:textId="79E6D1E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single" w:sz="4" w:space="0" w:color="auto"/>
              <w:left w:val="nil"/>
              <w:bottom w:val="single" w:sz="4" w:space="0" w:color="auto"/>
              <w:right w:val="single" w:sz="4" w:space="0" w:color="auto"/>
            </w:tcBorders>
            <w:shd w:val="clear" w:color="auto" w:fill="auto"/>
            <w:hideMark/>
          </w:tcPr>
          <w:p w14:paraId="2DC3DD8C" w14:textId="2E57229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4E170858" w14:textId="61C4739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64A7F28E" w14:textId="725940F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1A112295" w14:textId="0DE958C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200037"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5251BF8" w14:textId="77777777" w:rsidTr="007252BF">
        <w:trPr>
          <w:trHeight w:val="870"/>
        </w:trPr>
        <w:tc>
          <w:tcPr>
            <w:tcW w:w="304" w:type="pct"/>
            <w:tcBorders>
              <w:top w:val="nil"/>
              <w:left w:val="single" w:sz="4" w:space="0" w:color="auto"/>
              <w:bottom w:val="single" w:sz="4" w:space="0" w:color="auto"/>
              <w:right w:val="single" w:sz="4" w:space="0" w:color="auto"/>
            </w:tcBorders>
          </w:tcPr>
          <w:p w14:paraId="6E0125FC" w14:textId="45CFCFA6"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9381</w:t>
            </w:r>
          </w:p>
        </w:tc>
        <w:tc>
          <w:tcPr>
            <w:tcW w:w="506" w:type="pct"/>
            <w:tcBorders>
              <w:top w:val="nil"/>
              <w:left w:val="single" w:sz="4" w:space="0" w:color="auto"/>
              <w:bottom w:val="single" w:sz="4" w:space="0" w:color="auto"/>
              <w:right w:val="single" w:sz="4" w:space="0" w:color="auto"/>
            </w:tcBorders>
            <w:shd w:val="clear" w:color="auto" w:fill="auto"/>
            <w:hideMark/>
          </w:tcPr>
          <w:p w14:paraId="24F6CEAC" w14:textId="3E44BC8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Ghana</w:t>
            </w:r>
          </w:p>
        </w:tc>
        <w:tc>
          <w:tcPr>
            <w:tcW w:w="786" w:type="pct"/>
            <w:tcBorders>
              <w:top w:val="nil"/>
              <w:left w:val="nil"/>
              <w:bottom w:val="single" w:sz="4" w:space="0" w:color="auto"/>
              <w:right w:val="single" w:sz="4" w:space="0" w:color="auto"/>
            </w:tcBorders>
            <w:shd w:val="clear" w:color="auto" w:fill="auto"/>
            <w:hideMark/>
          </w:tcPr>
          <w:p w14:paraId="2B636B63" w14:textId="35F585A3"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Minamata Convention Initial Assessment for Ghana </w:t>
            </w:r>
          </w:p>
        </w:tc>
        <w:tc>
          <w:tcPr>
            <w:tcW w:w="371" w:type="pct"/>
            <w:tcBorders>
              <w:top w:val="nil"/>
              <w:left w:val="nil"/>
              <w:bottom w:val="single" w:sz="4" w:space="0" w:color="auto"/>
              <w:right w:val="single" w:sz="4" w:space="0" w:color="auto"/>
            </w:tcBorders>
            <w:shd w:val="clear" w:color="auto" w:fill="auto"/>
            <w:hideMark/>
          </w:tcPr>
          <w:p w14:paraId="201B72B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6C72A59D" w14:textId="64C9237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05487997" w14:textId="3BDDBC1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486D4B94" w14:textId="3549D97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23F94FAC" w14:textId="1296FD3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2E724A55" w14:textId="20211B4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19A7857" w14:textId="10098E4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4E079D29" w14:textId="2315C56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200037"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64FE3220" w14:textId="77777777" w:rsidTr="007252BF">
        <w:trPr>
          <w:trHeight w:val="1740"/>
        </w:trPr>
        <w:tc>
          <w:tcPr>
            <w:tcW w:w="304" w:type="pct"/>
            <w:tcBorders>
              <w:top w:val="nil"/>
              <w:left w:val="single" w:sz="4" w:space="0" w:color="auto"/>
              <w:bottom w:val="single" w:sz="4" w:space="0" w:color="auto"/>
              <w:right w:val="single" w:sz="4" w:space="0" w:color="auto"/>
            </w:tcBorders>
          </w:tcPr>
          <w:p w14:paraId="57DD5A42" w14:textId="6A1DFBA5" w:rsidR="000E404C" w:rsidRPr="007E7514" w:rsidDel="002D5DE6"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9453</w:t>
            </w:r>
          </w:p>
        </w:tc>
        <w:tc>
          <w:tcPr>
            <w:tcW w:w="506" w:type="pct"/>
            <w:tcBorders>
              <w:top w:val="nil"/>
              <w:left w:val="single" w:sz="4" w:space="0" w:color="auto"/>
              <w:bottom w:val="single" w:sz="4" w:space="0" w:color="auto"/>
              <w:right w:val="single" w:sz="4" w:space="0" w:color="auto"/>
            </w:tcBorders>
            <w:shd w:val="clear" w:color="auto" w:fill="auto"/>
            <w:hideMark/>
          </w:tcPr>
          <w:p w14:paraId="4BAEA60D" w14:textId="53D6776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Democratic Republic of the Congo</w:t>
            </w:r>
          </w:p>
        </w:tc>
        <w:tc>
          <w:tcPr>
            <w:tcW w:w="786" w:type="pct"/>
            <w:tcBorders>
              <w:top w:val="nil"/>
              <w:left w:val="nil"/>
              <w:bottom w:val="single" w:sz="4" w:space="0" w:color="auto"/>
              <w:right w:val="single" w:sz="4" w:space="0" w:color="auto"/>
            </w:tcBorders>
            <w:shd w:val="clear" w:color="auto" w:fill="auto"/>
            <w:hideMark/>
          </w:tcPr>
          <w:p w14:paraId="062519F7" w14:textId="65AED479"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and National Action Plan for Artisanal and Small</w:t>
            </w:r>
            <w:r w:rsidR="00200037"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the Democratic Republic of Congo</w:t>
            </w:r>
          </w:p>
        </w:tc>
        <w:tc>
          <w:tcPr>
            <w:tcW w:w="371" w:type="pct"/>
            <w:tcBorders>
              <w:top w:val="nil"/>
              <w:left w:val="nil"/>
              <w:bottom w:val="single" w:sz="4" w:space="0" w:color="auto"/>
              <w:right w:val="single" w:sz="4" w:space="0" w:color="auto"/>
            </w:tcBorders>
            <w:shd w:val="clear" w:color="auto" w:fill="auto"/>
            <w:hideMark/>
          </w:tcPr>
          <w:p w14:paraId="5861D90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7BF4BECA" w14:textId="6E77C5E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7748334E" w14:textId="099DE92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nil"/>
              <w:left w:val="nil"/>
              <w:bottom w:val="single" w:sz="4" w:space="0" w:color="auto"/>
              <w:right w:val="single" w:sz="4" w:space="0" w:color="auto"/>
            </w:tcBorders>
            <w:shd w:val="clear" w:color="auto" w:fill="auto"/>
            <w:hideMark/>
          </w:tcPr>
          <w:p w14:paraId="27E53524" w14:textId="49F90CF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95,000 </w:t>
            </w:r>
          </w:p>
        </w:tc>
        <w:tc>
          <w:tcPr>
            <w:tcW w:w="426" w:type="pct"/>
            <w:tcBorders>
              <w:top w:val="nil"/>
              <w:left w:val="nil"/>
              <w:bottom w:val="single" w:sz="4" w:space="0" w:color="auto"/>
              <w:right w:val="single" w:sz="4" w:space="0" w:color="auto"/>
            </w:tcBorders>
            <w:shd w:val="clear" w:color="auto" w:fill="auto"/>
            <w:hideMark/>
          </w:tcPr>
          <w:p w14:paraId="1F347F05" w14:textId="2A783E2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BF9AD98" w14:textId="3D345CC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48584B2" w14:textId="6E14BF6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414090C2" w14:textId="061747A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200037"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41C59D31" w14:textId="77777777" w:rsidTr="007252BF">
        <w:trPr>
          <w:trHeight w:val="341"/>
        </w:trPr>
        <w:tc>
          <w:tcPr>
            <w:tcW w:w="304" w:type="pct"/>
            <w:tcBorders>
              <w:top w:val="nil"/>
              <w:left w:val="single" w:sz="4" w:space="0" w:color="auto"/>
              <w:bottom w:val="single" w:sz="4" w:space="0" w:color="auto"/>
              <w:right w:val="single" w:sz="4" w:space="0" w:color="auto"/>
            </w:tcBorders>
          </w:tcPr>
          <w:p w14:paraId="60DA152C" w14:textId="57E5B6E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9454</w:t>
            </w:r>
          </w:p>
        </w:tc>
        <w:tc>
          <w:tcPr>
            <w:tcW w:w="506" w:type="pct"/>
            <w:tcBorders>
              <w:top w:val="nil"/>
              <w:left w:val="single" w:sz="4" w:space="0" w:color="auto"/>
              <w:bottom w:val="single" w:sz="4" w:space="0" w:color="auto"/>
              <w:right w:val="single" w:sz="4" w:space="0" w:color="auto"/>
            </w:tcBorders>
            <w:shd w:val="clear" w:color="auto" w:fill="auto"/>
            <w:hideMark/>
          </w:tcPr>
          <w:p w14:paraId="06D5D2B1" w14:textId="61DC70A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Sierra Leone</w:t>
            </w:r>
          </w:p>
        </w:tc>
        <w:tc>
          <w:tcPr>
            <w:tcW w:w="786" w:type="pct"/>
            <w:tcBorders>
              <w:top w:val="nil"/>
              <w:left w:val="nil"/>
              <w:bottom w:val="single" w:sz="4" w:space="0" w:color="auto"/>
              <w:right w:val="single" w:sz="4" w:space="0" w:color="auto"/>
            </w:tcBorders>
            <w:shd w:val="clear" w:color="auto" w:fill="auto"/>
            <w:hideMark/>
          </w:tcPr>
          <w:p w14:paraId="54007457" w14:textId="53B8BC60"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Minamata Initial Assessment and National Action Plan for Artisanal and </w:t>
            </w:r>
            <w:r w:rsidRPr="007E7514">
              <w:rPr>
                <w:rFonts w:asciiTheme="minorHAnsi" w:hAnsiTheme="minorHAnsi" w:cstheme="minorHAnsi"/>
                <w:i/>
                <w:iCs/>
                <w:sz w:val="20"/>
                <w:szCs w:val="20"/>
                <w:lang w:val="en-GB"/>
              </w:rPr>
              <w:lastRenderedPageBreak/>
              <w:t>Small</w:t>
            </w:r>
            <w:r w:rsidR="009A6C2D"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Sierra Leone</w:t>
            </w:r>
          </w:p>
        </w:tc>
        <w:tc>
          <w:tcPr>
            <w:tcW w:w="371" w:type="pct"/>
            <w:tcBorders>
              <w:top w:val="nil"/>
              <w:left w:val="nil"/>
              <w:bottom w:val="single" w:sz="4" w:space="0" w:color="auto"/>
              <w:right w:val="single" w:sz="4" w:space="0" w:color="auto"/>
            </w:tcBorders>
            <w:shd w:val="clear" w:color="auto" w:fill="auto"/>
            <w:hideMark/>
          </w:tcPr>
          <w:p w14:paraId="307C159B"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UNEP</w:t>
            </w:r>
          </w:p>
        </w:tc>
        <w:tc>
          <w:tcPr>
            <w:tcW w:w="319" w:type="pct"/>
            <w:tcBorders>
              <w:top w:val="nil"/>
              <w:left w:val="nil"/>
              <w:bottom w:val="single" w:sz="4" w:space="0" w:color="auto"/>
              <w:right w:val="single" w:sz="4" w:space="0" w:color="auto"/>
            </w:tcBorders>
            <w:shd w:val="clear" w:color="auto" w:fill="auto"/>
            <w:hideMark/>
          </w:tcPr>
          <w:p w14:paraId="2ABFBCB8" w14:textId="4A2B600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18B7A727" w14:textId="1024C64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nil"/>
              <w:left w:val="nil"/>
              <w:bottom w:val="single" w:sz="4" w:space="0" w:color="auto"/>
              <w:right w:val="single" w:sz="4" w:space="0" w:color="auto"/>
            </w:tcBorders>
            <w:shd w:val="clear" w:color="auto" w:fill="auto"/>
            <w:hideMark/>
          </w:tcPr>
          <w:p w14:paraId="58944182" w14:textId="1C671EB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nil"/>
              <w:left w:val="nil"/>
              <w:bottom w:val="single" w:sz="4" w:space="0" w:color="auto"/>
              <w:right w:val="single" w:sz="4" w:space="0" w:color="auto"/>
            </w:tcBorders>
            <w:shd w:val="clear" w:color="auto" w:fill="auto"/>
            <w:hideMark/>
          </w:tcPr>
          <w:p w14:paraId="4AA1F6DC" w14:textId="3F83AEC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42883F92" w14:textId="14862DE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FFBA238" w14:textId="559A0C8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738B4AE8" w14:textId="6205F36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A6C2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70AA3856" w14:textId="77777777" w:rsidTr="007252BF">
        <w:trPr>
          <w:trHeight w:val="1151"/>
        </w:trPr>
        <w:tc>
          <w:tcPr>
            <w:tcW w:w="304" w:type="pct"/>
            <w:tcBorders>
              <w:top w:val="nil"/>
              <w:left w:val="single" w:sz="4" w:space="0" w:color="auto"/>
              <w:bottom w:val="single" w:sz="4" w:space="0" w:color="auto"/>
              <w:right w:val="single" w:sz="4" w:space="0" w:color="auto"/>
            </w:tcBorders>
          </w:tcPr>
          <w:p w14:paraId="106124EA" w14:textId="6823D1CF"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9456</w:t>
            </w:r>
          </w:p>
        </w:tc>
        <w:tc>
          <w:tcPr>
            <w:tcW w:w="506" w:type="pct"/>
            <w:tcBorders>
              <w:top w:val="nil"/>
              <w:left w:val="single" w:sz="4" w:space="0" w:color="auto"/>
              <w:bottom w:val="single" w:sz="4" w:space="0" w:color="auto"/>
              <w:right w:val="single" w:sz="4" w:space="0" w:color="auto"/>
            </w:tcBorders>
            <w:shd w:val="clear" w:color="auto" w:fill="auto"/>
            <w:hideMark/>
          </w:tcPr>
          <w:p w14:paraId="552C44D4" w14:textId="296B31C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United Republic of Tanzania</w:t>
            </w:r>
          </w:p>
        </w:tc>
        <w:tc>
          <w:tcPr>
            <w:tcW w:w="786" w:type="pct"/>
            <w:tcBorders>
              <w:top w:val="nil"/>
              <w:left w:val="nil"/>
              <w:bottom w:val="single" w:sz="4" w:space="0" w:color="auto"/>
              <w:right w:val="single" w:sz="4" w:space="0" w:color="auto"/>
            </w:tcBorders>
            <w:shd w:val="clear" w:color="auto" w:fill="auto"/>
            <w:hideMark/>
          </w:tcPr>
          <w:p w14:paraId="1E5965AA" w14:textId="7F1A190B"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w:t>
            </w:r>
            <w:r w:rsidR="009A6C2D"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the United Republic of Tanzania</w:t>
            </w:r>
          </w:p>
        </w:tc>
        <w:tc>
          <w:tcPr>
            <w:tcW w:w="371" w:type="pct"/>
            <w:tcBorders>
              <w:top w:val="nil"/>
              <w:left w:val="nil"/>
              <w:bottom w:val="single" w:sz="4" w:space="0" w:color="auto"/>
              <w:right w:val="single" w:sz="4" w:space="0" w:color="auto"/>
            </w:tcBorders>
            <w:shd w:val="clear" w:color="auto" w:fill="auto"/>
            <w:hideMark/>
          </w:tcPr>
          <w:p w14:paraId="669DECC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00FA94C7" w14:textId="76539C4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282A3A1C" w14:textId="3E18CC5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77041744" w14:textId="5E5190A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72FD81E6" w14:textId="2E3063D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26D5642" w14:textId="6545E10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3792E5A3" w14:textId="3C5C85B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198078E2" w14:textId="27D3EBF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A6C2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0484380A" w14:textId="77777777" w:rsidTr="007252BF">
        <w:trPr>
          <w:trHeight w:val="644"/>
        </w:trPr>
        <w:tc>
          <w:tcPr>
            <w:tcW w:w="304" w:type="pct"/>
            <w:tcBorders>
              <w:top w:val="nil"/>
              <w:left w:val="single" w:sz="4" w:space="0" w:color="auto"/>
              <w:bottom w:val="single" w:sz="4" w:space="0" w:color="auto"/>
              <w:right w:val="single" w:sz="4" w:space="0" w:color="auto"/>
            </w:tcBorders>
          </w:tcPr>
          <w:p w14:paraId="05FFD578" w14:textId="1A875000"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9489</w:t>
            </w:r>
          </w:p>
        </w:tc>
        <w:tc>
          <w:tcPr>
            <w:tcW w:w="506" w:type="pct"/>
            <w:tcBorders>
              <w:top w:val="nil"/>
              <w:left w:val="single" w:sz="4" w:space="0" w:color="auto"/>
              <w:bottom w:val="single" w:sz="4" w:space="0" w:color="auto"/>
              <w:right w:val="single" w:sz="4" w:space="0" w:color="auto"/>
            </w:tcBorders>
            <w:shd w:val="clear" w:color="auto" w:fill="auto"/>
            <w:hideMark/>
          </w:tcPr>
          <w:p w14:paraId="4D402AF6" w14:textId="79D1F06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Suriname</w:t>
            </w:r>
          </w:p>
        </w:tc>
        <w:tc>
          <w:tcPr>
            <w:tcW w:w="786" w:type="pct"/>
            <w:tcBorders>
              <w:top w:val="nil"/>
              <w:left w:val="nil"/>
              <w:bottom w:val="single" w:sz="4" w:space="0" w:color="auto"/>
              <w:right w:val="single" w:sz="4" w:space="0" w:color="auto"/>
            </w:tcBorders>
            <w:shd w:val="clear" w:color="auto" w:fill="auto"/>
            <w:hideMark/>
          </w:tcPr>
          <w:p w14:paraId="31BCF29D" w14:textId="3C6B4F32"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w:t>
            </w:r>
            <w:r w:rsidR="009A6C2D"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National Action Plan for Suriname </w:t>
            </w:r>
          </w:p>
        </w:tc>
        <w:tc>
          <w:tcPr>
            <w:tcW w:w="371" w:type="pct"/>
            <w:tcBorders>
              <w:top w:val="nil"/>
              <w:left w:val="nil"/>
              <w:bottom w:val="single" w:sz="4" w:space="0" w:color="auto"/>
              <w:right w:val="single" w:sz="4" w:space="0" w:color="auto"/>
            </w:tcBorders>
            <w:shd w:val="clear" w:color="auto" w:fill="auto"/>
            <w:hideMark/>
          </w:tcPr>
          <w:p w14:paraId="38B4434F"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3202EFCB" w14:textId="6A62387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35B60D7F" w14:textId="7D0C041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2430974E" w14:textId="371B1A7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772960D3" w14:textId="32D0CE6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9748886" w14:textId="688CAB0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56A6388C" w14:textId="352937B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41D431B8" w14:textId="79C4049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A6C2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41D0A140" w14:textId="77777777" w:rsidTr="007252BF">
        <w:trPr>
          <w:trHeight w:val="870"/>
        </w:trPr>
        <w:tc>
          <w:tcPr>
            <w:tcW w:w="304" w:type="pct"/>
            <w:tcBorders>
              <w:top w:val="nil"/>
              <w:left w:val="single" w:sz="4" w:space="0" w:color="auto"/>
              <w:bottom w:val="single" w:sz="4" w:space="0" w:color="auto"/>
              <w:right w:val="single" w:sz="4" w:space="0" w:color="auto"/>
            </w:tcBorders>
          </w:tcPr>
          <w:p w14:paraId="02B62694" w14:textId="28DED5C7"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9494</w:t>
            </w:r>
          </w:p>
        </w:tc>
        <w:tc>
          <w:tcPr>
            <w:tcW w:w="506" w:type="pct"/>
            <w:tcBorders>
              <w:top w:val="nil"/>
              <w:left w:val="single" w:sz="4" w:space="0" w:color="auto"/>
              <w:bottom w:val="single" w:sz="4" w:space="0" w:color="auto"/>
              <w:right w:val="single" w:sz="4" w:space="0" w:color="auto"/>
            </w:tcBorders>
            <w:shd w:val="clear" w:color="auto" w:fill="auto"/>
            <w:hideMark/>
          </w:tcPr>
          <w:p w14:paraId="5F668317" w14:textId="42AD056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South Africa</w:t>
            </w:r>
          </w:p>
        </w:tc>
        <w:tc>
          <w:tcPr>
            <w:tcW w:w="786" w:type="pct"/>
            <w:tcBorders>
              <w:top w:val="nil"/>
              <w:left w:val="nil"/>
              <w:bottom w:val="single" w:sz="4" w:space="0" w:color="auto"/>
              <w:right w:val="single" w:sz="4" w:space="0" w:color="auto"/>
            </w:tcBorders>
            <w:shd w:val="clear" w:color="auto" w:fill="auto"/>
            <w:hideMark/>
          </w:tcPr>
          <w:p w14:paraId="7ABFF0AE"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South Africa</w:t>
            </w:r>
          </w:p>
        </w:tc>
        <w:tc>
          <w:tcPr>
            <w:tcW w:w="371" w:type="pct"/>
            <w:tcBorders>
              <w:top w:val="nil"/>
              <w:left w:val="nil"/>
              <w:bottom w:val="single" w:sz="4" w:space="0" w:color="auto"/>
              <w:right w:val="single" w:sz="4" w:space="0" w:color="auto"/>
            </w:tcBorders>
            <w:shd w:val="clear" w:color="auto" w:fill="auto"/>
            <w:hideMark/>
          </w:tcPr>
          <w:p w14:paraId="30812F8F"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114FDFD2" w14:textId="4B6A707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404A2AB8" w14:textId="69C4FBA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nil"/>
              <w:left w:val="nil"/>
              <w:bottom w:val="single" w:sz="4" w:space="0" w:color="auto"/>
              <w:right w:val="single" w:sz="4" w:space="0" w:color="auto"/>
            </w:tcBorders>
            <w:shd w:val="clear" w:color="auto" w:fill="auto"/>
            <w:hideMark/>
          </w:tcPr>
          <w:p w14:paraId="7855ADDB" w14:textId="0CCD2E5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95,000 </w:t>
            </w:r>
          </w:p>
        </w:tc>
        <w:tc>
          <w:tcPr>
            <w:tcW w:w="426" w:type="pct"/>
            <w:tcBorders>
              <w:top w:val="nil"/>
              <w:left w:val="nil"/>
              <w:bottom w:val="single" w:sz="4" w:space="0" w:color="auto"/>
              <w:right w:val="single" w:sz="4" w:space="0" w:color="auto"/>
            </w:tcBorders>
            <w:shd w:val="clear" w:color="auto" w:fill="auto"/>
            <w:hideMark/>
          </w:tcPr>
          <w:p w14:paraId="09FBA2AC" w14:textId="43C8FD1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59C5A8F" w14:textId="0C833A3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2A4ACAA9" w14:textId="4A0E6B6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124D7D67" w14:textId="6CECD7E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A6C2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0065AE4B" w14:textId="77777777" w:rsidTr="007252BF">
        <w:trPr>
          <w:trHeight w:val="1160"/>
        </w:trPr>
        <w:tc>
          <w:tcPr>
            <w:tcW w:w="304" w:type="pct"/>
            <w:tcBorders>
              <w:top w:val="single" w:sz="4" w:space="0" w:color="auto"/>
              <w:left w:val="single" w:sz="4" w:space="0" w:color="auto"/>
              <w:bottom w:val="single" w:sz="4" w:space="0" w:color="auto"/>
              <w:right w:val="single" w:sz="4" w:space="0" w:color="auto"/>
            </w:tcBorders>
          </w:tcPr>
          <w:p w14:paraId="1A9E1F2A" w14:textId="31F25BCF"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9533</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7BC6DD01" w14:textId="20F2B88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(Mali, Senegal)</w:t>
            </w:r>
          </w:p>
        </w:tc>
        <w:tc>
          <w:tcPr>
            <w:tcW w:w="786" w:type="pct"/>
            <w:tcBorders>
              <w:top w:val="single" w:sz="4" w:space="0" w:color="auto"/>
              <w:left w:val="nil"/>
              <w:bottom w:val="single" w:sz="4" w:space="0" w:color="auto"/>
              <w:right w:val="single" w:sz="4" w:space="0" w:color="auto"/>
            </w:tcBorders>
            <w:shd w:val="clear" w:color="auto" w:fill="auto"/>
            <w:hideMark/>
          </w:tcPr>
          <w:p w14:paraId="17195784" w14:textId="15AF468C"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w:t>
            </w:r>
            <w:r w:rsidR="009A6C2D"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w:t>
            </w:r>
            <w:r w:rsidR="009A6C2D" w:rsidRPr="007E7514">
              <w:rPr>
                <w:rFonts w:asciiTheme="minorHAnsi" w:hAnsiTheme="minorHAnsi" w:cstheme="minorHAnsi"/>
                <w:i/>
                <w:iCs/>
                <w:sz w:val="20"/>
                <w:szCs w:val="20"/>
                <w:lang w:val="en-GB"/>
              </w:rPr>
              <w:t xml:space="preserve">in </w:t>
            </w:r>
            <w:r w:rsidRPr="007E7514">
              <w:rPr>
                <w:rFonts w:asciiTheme="minorHAnsi" w:hAnsiTheme="minorHAnsi" w:cstheme="minorHAnsi"/>
                <w:i/>
                <w:iCs/>
                <w:sz w:val="20"/>
                <w:szCs w:val="20"/>
                <w:lang w:val="en-GB"/>
              </w:rPr>
              <w:t xml:space="preserve">Mali and Senegal </w:t>
            </w:r>
          </w:p>
        </w:tc>
        <w:tc>
          <w:tcPr>
            <w:tcW w:w="371" w:type="pct"/>
            <w:tcBorders>
              <w:top w:val="single" w:sz="4" w:space="0" w:color="auto"/>
              <w:left w:val="nil"/>
              <w:bottom w:val="single" w:sz="4" w:space="0" w:color="auto"/>
              <w:right w:val="single" w:sz="4" w:space="0" w:color="auto"/>
            </w:tcBorders>
            <w:shd w:val="clear" w:color="auto" w:fill="auto"/>
            <w:hideMark/>
          </w:tcPr>
          <w:p w14:paraId="423F2903"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2334F421" w14:textId="049E4F8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41864E09" w14:textId="3D085F1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586C8403" w14:textId="68BF7CC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561151A3" w14:textId="6B1F34D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7175BF4A" w14:textId="113769B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4D387B5C" w14:textId="01CAB64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0AE14D78" w14:textId="79171DA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A6C2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7044964E" w14:textId="77777777" w:rsidTr="007252BF">
        <w:trPr>
          <w:trHeight w:val="1160"/>
        </w:trPr>
        <w:tc>
          <w:tcPr>
            <w:tcW w:w="304" w:type="pct"/>
            <w:tcBorders>
              <w:top w:val="nil"/>
              <w:left w:val="single" w:sz="4" w:space="0" w:color="auto"/>
              <w:bottom w:val="single" w:sz="4" w:space="0" w:color="auto"/>
              <w:right w:val="single" w:sz="4" w:space="0" w:color="auto"/>
            </w:tcBorders>
          </w:tcPr>
          <w:p w14:paraId="08566941" w14:textId="26504AE2"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9547</w:t>
            </w:r>
          </w:p>
        </w:tc>
        <w:tc>
          <w:tcPr>
            <w:tcW w:w="506" w:type="pct"/>
            <w:tcBorders>
              <w:top w:val="nil"/>
              <w:left w:val="single" w:sz="4" w:space="0" w:color="auto"/>
              <w:bottom w:val="single" w:sz="4" w:space="0" w:color="auto"/>
              <w:right w:val="single" w:sz="4" w:space="0" w:color="auto"/>
            </w:tcBorders>
            <w:shd w:val="clear" w:color="auto" w:fill="auto"/>
            <w:hideMark/>
          </w:tcPr>
          <w:p w14:paraId="57DC217A" w14:textId="3F1E4C0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(Guinea,  Niger)</w:t>
            </w:r>
          </w:p>
        </w:tc>
        <w:tc>
          <w:tcPr>
            <w:tcW w:w="786" w:type="pct"/>
            <w:tcBorders>
              <w:top w:val="nil"/>
              <w:left w:val="nil"/>
              <w:bottom w:val="single" w:sz="4" w:space="0" w:color="auto"/>
              <w:right w:val="single" w:sz="4" w:space="0" w:color="auto"/>
            </w:tcBorders>
            <w:shd w:val="clear" w:color="auto" w:fill="auto"/>
            <w:hideMark/>
          </w:tcPr>
          <w:p w14:paraId="32FD21EF" w14:textId="25570032"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w:t>
            </w:r>
            <w:r w:rsidR="009A6C2D"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in Guinea and Niger </w:t>
            </w:r>
          </w:p>
        </w:tc>
        <w:tc>
          <w:tcPr>
            <w:tcW w:w="371" w:type="pct"/>
            <w:tcBorders>
              <w:top w:val="nil"/>
              <w:left w:val="nil"/>
              <w:bottom w:val="single" w:sz="4" w:space="0" w:color="auto"/>
              <w:right w:val="single" w:sz="4" w:space="0" w:color="auto"/>
            </w:tcBorders>
            <w:shd w:val="clear" w:color="auto" w:fill="auto"/>
            <w:hideMark/>
          </w:tcPr>
          <w:p w14:paraId="340BA32B"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5F18E1E9" w14:textId="2CE1585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589F85C1" w14:textId="1262A7A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nil"/>
              <w:left w:val="nil"/>
              <w:bottom w:val="single" w:sz="4" w:space="0" w:color="auto"/>
              <w:right w:val="single" w:sz="4" w:space="0" w:color="auto"/>
            </w:tcBorders>
            <w:shd w:val="clear" w:color="auto" w:fill="auto"/>
            <w:hideMark/>
          </w:tcPr>
          <w:p w14:paraId="7ADB1C58" w14:textId="05CBB5F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95,000 </w:t>
            </w:r>
          </w:p>
        </w:tc>
        <w:tc>
          <w:tcPr>
            <w:tcW w:w="426" w:type="pct"/>
            <w:tcBorders>
              <w:top w:val="nil"/>
              <w:left w:val="nil"/>
              <w:bottom w:val="single" w:sz="4" w:space="0" w:color="auto"/>
              <w:right w:val="single" w:sz="4" w:space="0" w:color="auto"/>
            </w:tcBorders>
            <w:shd w:val="clear" w:color="auto" w:fill="auto"/>
            <w:hideMark/>
          </w:tcPr>
          <w:p w14:paraId="42DB5700" w14:textId="09397A6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73A57EBA" w14:textId="2F45C7D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2EFB9CB5" w14:textId="51EC37E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05B79E67" w14:textId="0D786BC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9A6C2D"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B0C6E33" w14:textId="77777777" w:rsidTr="007252BF">
        <w:trPr>
          <w:trHeight w:val="649"/>
        </w:trPr>
        <w:tc>
          <w:tcPr>
            <w:tcW w:w="304" w:type="pct"/>
            <w:tcBorders>
              <w:top w:val="nil"/>
              <w:left w:val="single" w:sz="4" w:space="0" w:color="auto"/>
              <w:bottom w:val="single" w:sz="4" w:space="0" w:color="auto"/>
              <w:right w:val="single" w:sz="4" w:space="0" w:color="auto"/>
            </w:tcBorders>
          </w:tcPr>
          <w:p w14:paraId="76EA500C" w14:textId="24A855DD"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9548</w:t>
            </w:r>
          </w:p>
        </w:tc>
        <w:tc>
          <w:tcPr>
            <w:tcW w:w="506" w:type="pct"/>
            <w:tcBorders>
              <w:top w:val="nil"/>
              <w:left w:val="single" w:sz="4" w:space="0" w:color="auto"/>
              <w:bottom w:val="single" w:sz="4" w:space="0" w:color="auto"/>
              <w:right w:val="single" w:sz="4" w:space="0" w:color="auto"/>
            </w:tcBorders>
            <w:shd w:val="clear" w:color="auto" w:fill="auto"/>
            <w:hideMark/>
          </w:tcPr>
          <w:p w14:paraId="124713B8" w14:textId="7610A08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Maldives</w:t>
            </w:r>
          </w:p>
        </w:tc>
        <w:tc>
          <w:tcPr>
            <w:tcW w:w="786" w:type="pct"/>
            <w:tcBorders>
              <w:top w:val="nil"/>
              <w:left w:val="nil"/>
              <w:bottom w:val="single" w:sz="4" w:space="0" w:color="auto"/>
              <w:right w:val="single" w:sz="4" w:space="0" w:color="auto"/>
            </w:tcBorders>
            <w:shd w:val="clear" w:color="auto" w:fill="auto"/>
            <w:hideMark/>
          </w:tcPr>
          <w:p w14:paraId="4BCC242E" w14:textId="0DAE5C51"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a Minamata Initial Assessment in</w:t>
            </w:r>
            <w:r w:rsidR="009667F4" w:rsidRPr="007E7514">
              <w:rPr>
                <w:rFonts w:asciiTheme="minorHAnsi" w:hAnsiTheme="minorHAnsi" w:cstheme="minorHAnsi"/>
                <w:i/>
                <w:iCs/>
                <w:sz w:val="20"/>
                <w:szCs w:val="20"/>
                <w:lang w:val="en-GB"/>
              </w:rPr>
              <w:t xml:space="preserve"> the </w:t>
            </w:r>
            <w:r w:rsidRPr="007E7514">
              <w:rPr>
                <w:rFonts w:asciiTheme="minorHAnsi" w:hAnsiTheme="minorHAnsi" w:cstheme="minorHAnsi"/>
                <w:i/>
                <w:iCs/>
                <w:sz w:val="20"/>
                <w:szCs w:val="20"/>
                <w:lang w:val="en-GB"/>
              </w:rPr>
              <w:t xml:space="preserve"> Maldives</w:t>
            </w:r>
          </w:p>
        </w:tc>
        <w:tc>
          <w:tcPr>
            <w:tcW w:w="371" w:type="pct"/>
            <w:tcBorders>
              <w:top w:val="nil"/>
              <w:left w:val="nil"/>
              <w:bottom w:val="single" w:sz="4" w:space="0" w:color="auto"/>
              <w:right w:val="single" w:sz="4" w:space="0" w:color="auto"/>
            </w:tcBorders>
            <w:shd w:val="clear" w:color="auto" w:fill="auto"/>
            <w:hideMark/>
          </w:tcPr>
          <w:p w14:paraId="7194C43C"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74C9F589" w14:textId="281ECA9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02DD8993" w14:textId="2C4A7D1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07F3892C" w14:textId="269D1D3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24E21C61" w14:textId="48C66CE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16772F9" w14:textId="1D4FBC6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8B27876" w14:textId="6386743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01C41954" w14:textId="46AE9FC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4EC007CC" w14:textId="77777777" w:rsidTr="007252BF">
        <w:trPr>
          <w:trHeight w:val="1450"/>
        </w:trPr>
        <w:tc>
          <w:tcPr>
            <w:tcW w:w="304" w:type="pct"/>
            <w:tcBorders>
              <w:top w:val="nil"/>
              <w:left w:val="single" w:sz="4" w:space="0" w:color="auto"/>
              <w:bottom w:val="single" w:sz="4" w:space="0" w:color="auto"/>
              <w:right w:val="single" w:sz="4" w:space="0" w:color="auto"/>
            </w:tcBorders>
          </w:tcPr>
          <w:p w14:paraId="2D298E2E" w14:textId="522D4E3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9622</w:t>
            </w:r>
          </w:p>
        </w:tc>
        <w:tc>
          <w:tcPr>
            <w:tcW w:w="506" w:type="pct"/>
            <w:tcBorders>
              <w:top w:val="nil"/>
              <w:left w:val="single" w:sz="4" w:space="0" w:color="auto"/>
              <w:bottom w:val="single" w:sz="4" w:space="0" w:color="auto"/>
              <w:right w:val="single" w:sz="4" w:space="0" w:color="auto"/>
            </w:tcBorders>
            <w:shd w:val="clear" w:color="auto" w:fill="auto"/>
            <w:hideMark/>
          </w:tcPr>
          <w:p w14:paraId="06EC8DB3" w14:textId="273FBB3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Lao People’s Democratic Republic</w:t>
            </w:r>
          </w:p>
        </w:tc>
        <w:tc>
          <w:tcPr>
            <w:tcW w:w="786" w:type="pct"/>
            <w:tcBorders>
              <w:top w:val="nil"/>
              <w:left w:val="nil"/>
              <w:bottom w:val="single" w:sz="4" w:space="0" w:color="auto"/>
              <w:right w:val="single" w:sz="4" w:space="0" w:color="auto"/>
            </w:tcBorders>
            <w:shd w:val="clear" w:color="auto" w:fill="auto"/>
            <w:hideMark/>
          </w:tcPr>
          <w:p w14:paraId="3C04B71D" w14:textId="0FF81C88"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Minamata Initial Assessment and Updating of National Action Plan for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w:t>
            </w:r>
            <w:r w:rsidR="00D25C45"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w:t>
            </w:r>
          </w:p>
        </w:tc>
        <w:tc>
          <w:tcPr>
            <w:tcW w:w="371" w:type="pct"/>
            <w:tcBorders>
              <w:top w:val="nil"/>
              <w:left w:val="nil"/>
              <w:bottom w:val="single" w:sz="4" w:space="0" w:color="auto"/>
              <w:right w:val="single" w:sz="4" w:space="0" w:color="auto"/>
            </w:tcBorders>
            <w:shd w:val="clear" w:color="auto" w:fill="auto"/>
            <w:hideMark/>
          </w:tcPr>
          <w:p w14:paraId="1BF19806"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29D1AA69" w14:textId="0B1C2A7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6B8354AF" w14:textId="6B26347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nil"/>
              <w:left w:val="nil"/>
              <w:bottom w:val="single" w:sz="4" w:space="0" w:color="auto"/>
              <w:right w:val="single" w:sz="4" w:space="0" w:color="auto"/>
            </w:tcBorders>
            <w:shd w:val="clear" w:color="auto" w:fill="auto"/>
            <w:hideMark/>
          </w:tcPr>
          <w:p w14:paraId="2854B5E9" w14:textId="2CCC96F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nil"/>
              <w:left w:val="nil"/>
              <w:bottom w:val="single" w:sz="4" w:space="0" w:color="auto"/>
              <w:right w:val="single" w:sz="4" w:space="0" w:color="auto"/>
            </w:tcBorders>
            <w:shd w:val="clear" w:color="auto" w:fill="auto"/>
            <w:hideMark/>
          </w:tcPr>
          <w:p w14:paraId="54D37AB1" w14:textId="77D78D1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5016CA57" w14:textId="3640CF9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155D56FB" w14:textId="66AB557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38DE99D3" w14:textId="575C624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4FECF19A" w14:textId="77777777" w:rsidTr="007252BF">
        <w:trPr>
          <w:trHeight w:val="1450"/>
        </w:trPr>
        <w:tc>
          <w:tcPr>
            <w:tcW w:w="304" w:type="pct"/>
            <w:tcBorders>
              <w:top w:val="nil"/>
              <w:left w:val="single" w:sz="4" w:space="0" w:color="auto"/>
              <w:bottom w:val="single" w:sz="4" w:space="0" w:color="auto"/>
              <w:right w:val="single" w:sz="4" w:space="0" w:color="auto"/>
            </w:tcBorders>
          </w:tcPr>
          <w:p w14:paraId="74AADA62" w14:textId="440B4C6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9641</w:t>
            </w:r>
          </w:p>
        </w:tc>
        <w:tc>
          <w:tcPr>
            <w:tcW w:w="506" w:type="pct"/>
            <w:tcBorders>
              <w:top w:val="nil"/>
              <w:left w:val="single" w:sz="4" w:space="0" w:color="auto"/>
              <w:bottom w:val="single" w:sz="4" w:space="0" w:color="auto"/>
              <w:right w:val="single" w:sz="4" w:space="0" w:color="auto"/>
            </w:tcBorders>
            <w:shd w:val="clear" w:color="auto" w:fill="auto"/>
            <w:hideMark/>
          </w:tcPr>
          <w:p w14:paraId="37F7F646" w14:textId="2E40528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Eritrea</w:t>
            </w:r>
          </w:p>
        </w:tc>
        <w:tc>
          <w:tcPr>
            <w:tcW w:w="786" w:type="pct"/>
            <w:tcBorders>
              <w:top w:val="nil"/>
              <w:left w:val="nil"/>
              <w:bottom w:val="single" w:sz="4" w:space="0" w:color="auto"/>
              <w:right w:val="single" w:sz="4" w:space="0" w:color="auto"/>
            </w:tcBorders>
            <w:shd w:val="clear" w:color="auto" w:fill="auto"/>
            <w:hideMark/>
          </w:tcPr>
          <w:p w14:paraId="3EAFBB1D" w14:textId="5CF6FFBB"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and National Action Plan for Artisanal and Small</w:t>
            </w:r>
            <w:r w:rsidR="00D25C45"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Eritrea</w:t>
            </w:r>
          </w:p>
        </w:tc>
        <w:tc>
          <w:tcPr>
            <w:tcW w:w="371" w:type="pct"/>
            <w:tcBorders>
              <w:top w:val="nil"/>
              <w:left w:val="nil"/>
              <w:bottom w:val="single" w:sz="4" w:space="0" w:color="auto"/>
              <w:right w:val="single" w:sz="4" w:space="0" w:color="auto"/>
            </w:tcBorders>
            <w:shd w:val="clear" w:color="auto" w:fill="auto"/>
            <w:hideMark/>
          </w:tcPr>
          <w:p w14:paraId="76AA1FA6"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7A591DD6" w14:textId="2F7E20D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47DA8DC2" w14:textId="3F01172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nil"/>
              <w:left w:val="nil"/>
              <w:bottom w:val="single" w:sz="4" w:space="0" w:color="auto"/>
              <w:right w:val="single" w:sz="4" w:space="0" w:color="auto"/>
            </w:tcBorders>
            <w:shd w:val="clear" w:color="auto" w:fill="auto"/>
            <w:hideMark/>
          </w:tcPr>
          <w:p w14:paraId="267D1E6D" w14:textId="06C335A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nil"/>
              <w:left w:val="nil"/>
              <w:bottom w:val="single" w:sz="4" w:space="0" w:color="auto"/>
              <w:right w:val="single" w:sz="4" w:space="0" w:color="auto"/>
            </w:tcBorders>
            <w:shd w:val="clear" w:color="auto" w:fill="auto"/>
            <w:hideMark/>
          </w:tcPr>
          <w:p w14:paraId="2904F1FF" w14:textId="395C35C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DC49888" w14:textId="65D0F1F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3A1C6B87" w14:textId="46A7554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6F55F6E0" w14:textId="4D31BCD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A459105" w14:textId="77777777" w:rsidTr="007252BF">
        <w:trPr>
          <w:trHeight w:val="1450"/>
        </w:trPr>
        <w:tc>
          <w:tcPr>
            <w:tcW w:w="304" w:type="pct"/>
            <w:tcBorders>
              <w:top w:val="nil"/>
              <w:left w:val="single" w:sz="4" w:space="0" w:color="auto"/>
              <w:bottom w:val="single" w:sz="4" w:space="0" w:color="auto"/>
              <w:right w:val="single" w:sz="4" w:space="0" w:color="auto"/>
            </w:tcBorders>
          </w:tcPr>
          <w:p w14:paraId="72A79507" w14:textId="2B837127"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9644</w:t>
            </w:r>
          </w:p>
        </w:tc>
        <w:tc>
          <w:tcPr>
            <w:tcW w:w="506" w:type="pct"/>
            <w:tcBorders>
              <w:top w:val="nil"/>
              <w:left w:val="single" w:sz="4" w:space="0" w:color="auto"/>
              <w:bottom w:val="single" w:sz="4" w:space="0" w:color="auto"/>
              <w:right w:val="single" w:sz="4" w:space="0" w:color="auto"/>
            </w:tcBorders>
            <w:shd w:val="clear" w:color="auto" w:fill="auto"/>
            <w:hideMark/>
          </w:tcPr>
          <w:p w14:paraId="4FFD6F18" w14:textId="52FD654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Kyrgyzstan</w:t>
            </w:r>
          </w:p>
        </w:tc>
        <w:tc>
          <w:tcPr>
            <w:tcW w:w="786" w:type="pct"/>
            <w:tcBorders>
              <w:top w:val="nil"/>
              <w:left w:val="nil"/>
              <w:bottom w:val="single" w:sz="4" w:space="0" w:color="auto"/>
              <w:right w:val="single" w:sz="4" w:space="0" w:color="auto"/>
            </w:tcBorders>
            <w:shd w:val="clear" w:color="auto" w:fill="auto"/>
            <w:hideMark/>
          </w:tcPr>
          <w:p w14:paraId="489BD6DE" w14:textId="5F8F1A7D"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Minamata Initial Assessment and Updating of National Action Plan for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w:t>
            </w:r>
            <w:r w:rsidR="00D25C45"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w:t>
            </w:r>
          </w:p>
        </w:tc>
        <w:tc>
          <w:tcPr>
            <w:tcW w:w="371" w:type="pct"/>
            <w:tcBorders>
              <w:top w:val="nil"/>
              <w:left w:val="nil"/>
              <w:bottom w:val="single" w:sz="4" w:space="0" w:color="auto"/>
              <w:right w:val="single" w:sz="4" w:space="0" w:color="auto"/>
            </w:tcBorders>
            <w:shd w:val="clear" w:color="auto" w:fill="auto"/>
            <w:hideMark/>
          </w:tcPr>
          <w:p w14:paraId="1D8ED2C0"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76492E3B" w14:textId="1108C5A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707F77AE" w14:textId="35C01E4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nil"/>
              <w:left w:val="nil"/>
              <w:bottom w:val="single" w:sz="4" w:space="0" w:color="auto"/>
              <w:right w:val="single" w:sz="4" w:space="0" w:color="auto"/>
            </w:tcBorders>
            <w:shd w:val="clear" w:color="auto" w:fill="auto"/>
            <w:hideMark/>
          </w:tcPr>
          <w:p w14:paraId="651F3DED" w14:textId="682BDAC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nil"/>
              <w:left w:val="nil"/>
              <w:bottom w:val="single" w:sz="4" w:space="0" w:color="auto"/>
              <w:right w:val="single" w:sz="4" w:space="0" w:color="auto"/>
            </w:tcBorders>
            <w:shd w:val="clear" w:color="auto" w:fill="auto"/>
            <w:hideMark/>
          </w:tcPr>
          <w:p w14:paraId="7A97A6B4" w14:textId="33E284E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26E34007" w14:textId="473D1C1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71C1119" w14:textId="6AA0AB1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0AC8F401" w14:textId="6B948A6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5E5EFC5" w14:textId="77777777" w:rsidTr="007252BF">
        <w:trPr>
          <w:trHeight w:val="580"/>
        </w:trPr>
        <w:tc>
          <w:tcPr>
            <w:tcW w:w="304" w:type="pct"/>
            <w:tcBorders>
              <w:top w:val="nil"/>
              <w:left w:val="single" w:sz="4" w:space="0" w:color="auto"/>
              <w:bottom w:val="single" w:sz="4" w:space="0" w:color="auto"/>
              <w:right w:val="single" w:sz="4" w:space="0" w:color="auto"/>
            </w:tcBorders>
          </w:tcPr>
          <w:p w14:paraId="6B9B8CFF" w14:textId="1BF7B740"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9680</w:t>
            </w:r>
          </w:p>
        </w:tc>
        <w:tc>
          <w:tcPr>
            <w:tcW w:w="506" w:type="pct"/>
            <w:tcBorders>
              <w:top w:val="nil"/>
              <w:left w:val="single" w:sz="4" w:space="0" w:color="auto"/>
              <w:bottom w:val="single" w:sz="4" w:space="0" w:color="auto"/>
              <w:right w:val="single" w:sz="4" w:space="0" w:color="auto"/>
            </w:tcBorders>
            <w:shd w:val="clear" w:color="auto" w:fill="auto"/>
            <w:hideMark/>
          </w:tcPr>
          <w:p w14:paraId="39D951AC" w14:textId="220D199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Mongolia</w:t>
            </w:r>
          </w:p>
        </w:tc>
        <w:tc>
          <w:tcPr>
            <w:tcW w:w="786" w:type="pct"/>
            <w:tcBorders>
              <w:top w:val="nil"/>
              <w:left w:val="nil"/>
              <w:bottom w:val="single" w:sz="4" w:space="0" w:color="auto"/>
              <w:right w:val="single" w:sz="4" w:space="0" w:color="auto"/>
            </w:tcBorders>
            <w:shd w:val="clear" w:color="auto" w:fill="auto"/>
            <w:hideMark/>
          </w:tcPr>
          <w:p w14:paraId="611EF9B1"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Advanced Minamata Initial Assessment in Mongolia</w:t>
            </w:r>
          </w:p>
        </w:tc>
        <w:tc>
          <w:tcPr>
            <w:tcW w:w="371" w:type="pct"/>
            <w:tcBorders>
              <w:top w:val="nil"/>
              <w:left w:val="nil"/>
              <w:bottom w:val="single" w:sz="4" w:space="0" w:color="auto"/>
              <w:right w:val="single" w:sz="4" w:space="0" w:color="auto"/>
            </w:tcBorders>
            <w:shd w:val="clear" w:color="auto" w:fill="auto"/>
            <w:hideMark/>
          </w:tcPr>
          <w:p w14:paraId="7C5DDCB4"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7D80412B" w14:textId="7DA7086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3C5109A7" w14:textId="343E85F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0BEC2F67" w14:textId="7BE4FC7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7EE32CD3" w14:textId="34FEBEA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6C3B9382" w14:textId="34A5AA2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496E1FB" w14:textId="7DEBD83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18,600 </w:t>
            </w:r>
          </w:p>
        </w:tc>
        <w:tc>
          <w:tcPr>
            <w:tcW w:w="587" w:type="pct"/>
            <w:tcBorders>
              <w:top w:val="nil"/>
              <w:left w:val="nil"/>
              <w:bottom w:val="single" w:sz="4" w:space="0" w:color="auto"/>
              <w:right w:val="single" w:sz="4" w:space="0" w:color="auto"/>
            </w:tcBorders>
            <w:shd w:val="clear" w:color="auto" w:fill="auto"/>
            <w:hideMark/>
          </w:tcPr>
          <w:p w14:paraId="6B68287B" w14:textId="61E63F6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0C12D80F" w14:textId="77777777" w:rsidTr="007252BF">
        <w:trPr>
          <w:trHeight w:val="507"/>
        </w:trPr>
        <w:tc>
          <w:tcPr>
            <w:tcW w:w="304" w:type="pct"/>
            <w:tcBorders>
              <w:top w:val="single" w:sz="4" w:space="0" w:color="auto"/>
              <w:left w:val="single" w:sz="4" w:space="0" w:color="auto"/>
              <w:bottom w:val="single" w:sz="4" w:space="0" w:color="auto"/>
              <w:right w:val="single" w:sz="4" w:space="0" w:color="auto"/>
            </w:tcBorders>
          </w:tcPr>
          <w:p w14:paraId="59F5E5B7" w14:textId="7C56602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9690</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312C206D" w14:textId="497CF5F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Iraq</w:t>
            </w:r>
          </w:p>
        </w:tc>
        <w:tc>
          <w:tcPr>
            <w:tcW w:w="786" w:type="pct"/>
            <w:tcBorders>
              <w:top w:val="single" w:sz="4" w:space="0" w:color="auto"/>
              <w:left w:val="nil"/>
              <w:bottom w:val="single" w:sz="4" w:space="0" w:color="auto"/>
              <w:right w:val="single" w:sz="4" w:space="0" w:color="auto"/>
            </w:tcBorders>
            <w:shd w:val="clear" w:color="auto" w:fill="auto"/>
            <w:hideMark/>
          </w:tcPr>
          <w:p w14:paraId="04E4B07F" w14:textId="5E230EC9"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w:t>
            </w:r>
            <w:r w:rsidR="00FA3594" w:rsidRPr="007E7514">
              <w:rPr>
                <w:rFonts w:asciiTheme="minorHAnsi" w:hAnsiTheme="minorHAnsi" w:cstheme="minorHAnsi"/>
                <w:i/>
                <w:iCs/>
                <w:sz w:val="20"/>
                <w:szCs w:val="20"/>
                <w:lang w:val="en-GB"/>
              </w:rPr>
              <w:t>ment of</w:t>
            </w:r>
            <w:r w:rsidRPr="007E7514">
              <w:rPr>
                <w:rFonts w:asciiTheme="minorHAnsi" w:hAnsiTheme="minorHAnsi" w:cstheme="minorHAnsi"/>
                <w:i/>
                <w:iCs/>
                <w:sz w:val="20"/>
                <w:szCs w:val="20"/>
                <w:lang w:val="en-GB"/>
              </w:rPr>
              <w:t xml:space="preserve"> the National Implementation Plan for the Stockholm Convention on Persistent Organic Pollutants and the </w:t>
            </w:r>
            <w:r w:rsidRPr="007E7514">
              <w:rPr>
                <w:rFonts w:asciiTheme="minorHAnsi" w:hAnsiTheme="minorHAnsi" w:cstheme="minorHAnsi"/>
                <w:i/>
                <w:iCs/>
                <w:sz w:val="20"/>
                <w:szCs w:val="20"/>
                <w:lang w:val="en-GB"/>
              </w:rPr>
              <w:lastRenderedPageBreak/>
              <w:t>Initial Assessment for the Minamata Convention on Mercury in Iraq</w:t>
            </w:r>
          </w:p>
        </w:tc>
        <w:tc>
          <w:tcPr>
            <w:tcW w:w="371" w:type="pct"/>
            <w:tcBorders>
              <w:top w:val="single" w:sz="4" w:space="0" w:color="auto"/>
              <w:left w:val="nil"/>
              <w:bottom w:val="single" w:sz="4" w:space="0" w:color="auto"/>
              <w:right w:val="single" w:sz="4" w:space="0" w:color="auto"/>
            </w:tcBorders>
            <w:shd w:val="clear" w:color="auto" w:fill="auto"/>
            <w:hideMark/>
          </w:tcPr>
          <w:p w14:paraId="5453A2C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UNEP</w:t>
            </w:r>
          </w:p>
        </w:tc>
        <w:tc>
          <w:tcPr>
            <w:tcW w:w="319" w:type="pct"/>
            <w:tcBorders>
              <w:top w:val="single" w:sz="4" w:space="0" w:color="auto"/>
              <w:left w:val="nil"/>
              <w:bottom w:val="single" w:sz="4" w:space="0" w:color="auto"/>
              <w:right w:val="single" w:sz="4" w:space="0" w:color="auto"/>
            </w:tcBorders>
            <w:shd w:val="clear" w:color="auto" w:fill="auto"/>
            <w:hideMark/>
          </w:tcPr>
          <w:p w14:paraId="17E7650C" w14:textId="06CD8BB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231C45BE" w14:textId="52AD2F2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single" w:sz="4" w:space="0" w:color="auto"/>
              <w:left w:val="nil"/>
              <w:bottom w:val="single" w:sz="4" w:space="0" w:color="auto"/>
              <w:right w:val="single" w:sz="4" w:space="0" w:color="auto"/>
            </w:tcBorders>
            <w:shd w:val="clear" w:color="auto" w:fill="auto"/>
            <w:hideMark/>
          </w:tcPr>
          <w:p w14:paraId="0EAC4F56" w14:textId="59F0666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single" w:sz="4" w:space="0" w:color="auto"/>
              <w:left w:val="nil"/>
              <w:bottom w:val="single" w:sz="4" w:space="0" w:color="auto"/>
              <w:right w:val="single" w:sz="4" w:space="0" w:color="auto"/>
            </w:tcBorders>
            <w:shd w:val="clear" w:color="auto" w:fill="auto"/>
            <w:hideMark/>
          </w:tcPr>
          <w:p w14:paraId="036C4A65" w14:textId="40BB473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6C6EC859" w14:textId="56543DE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7108FF5B" w14:textId="443B738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01393E2C" w14:textId="16AB294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4A2B792" w14:textId="77777777" w:rsidTr="007252BF">
        <w:trPr>
          <w:trHeight w:val="964"/>
        </w:trPr>
        <w:tc>
          <w:tcPr>
            <w:tcW w:w="304" w:type="pct"/>
            <w:tcBorders>
              <w:top w:val="single" w:sz="4" w:space="0" w:color="auto"/>
              <w:left w:val="single" w:sz="4" w:space="0" w:color="auto"/>
              <w:bottom w:val="single" w:sz="4" w:space="0" w:color="auto"/>
              <w:right w:val="single" w:sz="4" w:space="0" w:color="auto"/>
            </w:tcBorders>
          </w:tcPr>
          <w:p w14:paraId="7E53C783" w14:textId="5A85EA7B"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9711</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49F76229" w14:textId="497A928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Burkina Faso</w:t>
            </w:r>
          </w:p>
        </w:tc>
        <w:tc>
          <w:tcPr>
            <w:tcW w:w="786" w:type="pct"/>
            <w:tcBorders>
              <w:top w:val="single" w:sz="4" w:space="0" w:color="auto"/>
              <w:left w:val="nil"/>
              <w:bottom w:val="single" w:sz="4" w:space="0" w:color="auto"/>
              <w:right w:val="single" w:sz="4" w:space="0" w:color="auto"/>
            </w:tcBorders>
            <w:shd w:val="clear" w:color="auto" w:fill="auto"/>
            <w:hideMark/>
          </w:tcPr>
          <w:p w14:paraId="327D9267" w14:textId="7E961ACD"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Action Plan on Mercury in the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w:t>
            </w:r>
            <w:r w:rsidR="00D15B83"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Sector in Burkina Faso</w:t>
            </w:r>
          </w:p>
        </w:tc>
        <w:tc>
          <w:tcPr>
            <w:tcW w:w="371" w:type="pct"/>
            <w:tcBorders>
              <w:top w:val="single" w:sz="4" w:space="0" w:color="auto"/>
              <w:left w:val="nil"/>
              <w:bottom w:val="single" w:sz="4" w:space="0" w:color="auto"/>
              <w:right w:val="single" w:sz="4" w:space="0" w:color="auto"/>
            </w:tcBorders>
            <w:shd w:val="clear" w:color="auto" w:fill="auto"/>
            <w:hideMark/>
          </w:tcPr>
          <w:p w14:paraId="166650F0"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055AD316" w14:textId="22F950A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0860B5C2" w14:textId="3A9A79B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012980E3" w14:textId="7B4EC54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30423ACA" w14:textId="6F83DA4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77D6254E" w14:textId="5C31F52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6D622971" w14:textId="3725017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216,000 </w:t>
            </w:r>
          </w:p>
        </w:tc>
        <w:tc>
          <w:tcPr>
            <w:tcW w:w="587" w:type="pct"/>
            <w:tcBorders>
              <w:top w:val="single" w:sz="4" w:space="0" w:color="auto"/>
              <w:left w:val="nil"/>
              <w:bottom w:val="single" w:sz="4" w:space="0" w:color="auto"/>
              <w:right w:val="single" w:sz="4" w:space="0" w:color="auto"/>
            </w:tcBorders>
            <w:shd w:val="clear" w:color="auto" w:fill="auto"/>
            <w:hideMark/>
          </w:tcPr>
          <w:p w14:paraId="69DCBF45" w14:textId="075DA54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21BABC5A" w14:textId="77777777" w:rsidTr="007252BF">
        <w:trPr>
          <w:trHeight w:val="580"/>
        </w:trPr>
        <w:tc>
          <w:tcPr>
            <w:tcW w:w="304" w:type="pct"/>
            <w:tcBorders>
              <w:top w:val="nil"/>
              <w:left w:val="single" w:sz="4" w:space="0" w:color="auto"/>
              <w:bottom w:val="single" w:sz="4" w:space="0" w:color="auto"/>
              <w:right w:val="single" w:sz="4" w:space="0" w:color="auto"/>
            </w:tcBorders>
          </w:tcPr>
          <w:p w14:paraId="509559CE" w14:textId="728FA107"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9731</w:t>
            </w:r>
          </w:p>
        </w:tc>
        <w:tc>
          <w:tcPr>
            <w:tcW w:w="506" w:type="pct"/>
            <w:tcBorders>
              <w:top w:val="nil"/>
              <w:left w:val="single" w:sz="4" w:space="0" w:color="auto"/>
              <w:bottom w:val="single" w:sz="4" w:space="0" w:color="auto"/>
              <w:right w:val="single" w:sz="4" w:space="0" w:color="auto"/>
            </w:tcBorders>
            <w:shd w:val="clear" w:color="auto" w:fill="auto"/>
            <w:hideMark/>
          </w:tcPr>
          <w:p w14:paraId="01693F66" w14:textId="6F19EC9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Belarus</w:t>
            </w:r>
          </w:p>
        </w:tc>
        <w:tc>
          <w:tcPr>
            <w:tcW w:w="786" w:type="pct"/>
            <w:tcBorders>
              <w:top w:val="nil"/>
              <w:left w:val="nil"/>
              <w:bottom w:val="single" w:sz="4" w:space="0" w:color="auto"/>
              <w:right w:val="single" w:sz="4" w:space="0" w:color="auto"/>
            </w:tcBorders>
            <w:shd w:val="clear" w:color="auto" w:fill="auto"/>
            <w:hideMark/>
          </w:tcPr>
          <w:p w14:paraId="3DB1D9FC"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a Minamata Initial Assessment </w:t>
            </w:r>
          </w:p>
        </w:tc>
        <w:tc>
          <w:tcPr>
            <w:tcW w:w="371" w:type="pct"/>
            <w:tcBorders>
              <w:top w:val="nil"/>
              <w:left w:val="nil"/>
              <w:bottom w:val="single" w:sz="4" w:space="0" w:color="auto"/>
              <w:right w:val="single" w:sz="4" w:space="0" w:color="auto"/>
            </w:tcBorders>
            <w:shd w:val="clear" w:color="auto" w:fill="auto"/>
            <w:hideMark/>
          </w:tcPr>
          <w:p w14:paraId="6B047FA6"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2C097677" w14:textId="76E2B9D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02128CB3" w14:textId="062529A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1CAC5DDC" w14:textId="7EDADE2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1B99888F" w14:textId="159496D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6C1892F0" w14:textId="648F5E4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05C9FBD9" w14:textId="7F606B9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62,000 </w:t>
            </w:r>
          </w:p>
        </w:tc>
        <w:tc>
          <w:tcPr>
            <w:tcW w:w="587" w:type="pct"/>
            <w:tcBorders>
              <w:top w:val="nil"/>
              <w:left w:val="nil"/>
              <w:bottom w:val="single" w:sz="4" w:space="0" w:color="auto"/>
              <w:right w:val="single" w:sz="4" w:space="0" w:color="auto"/>
            </w:tcBorders>
            <w:shd w:val="clear" w:color="auto" w:fill="auto"/>
            <w:hideMark/>
          </w:tcPr>
          <w:p w14:paraId="30CF74A5" w14:textId="5CB40CF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557EA3F1" w14:textId="77777777" w:rsidTr="007252BF">
        <w:trPr>
          <w:trHeight w:val="909"/>
        </w:trPr>
        <w:tc>
          <w:tcPr>
            <w:tcW w:w="304" w:type="pct"/>
            <w:tcBorders>
              <w:top w:val="nil"/>
              <w:left w:val="single" w:sz="4" w:space="0" w:color="auto"/>
              <w:bottom w:val="single" w:sz="4" w:space="0" w:color="auto"/>
              <w:right w:val="single" w:sz="4" w:space="0" w:color="auto"/>
            </w:tcBorders>
          </w:tcPr>
          <w:p w14:paraId="681C62D3" w14:textId="4FC41003"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9737</w:t>
            </w:r>
          </w:p>
        </w:tc>
        <w:tc>
          <w:tcPr>
            <w:tcW w:w="506" w:type="pct"/>
            <w:tcBorders>
              <w:top w:val="nil"/>
              <w:left w:val="single" w:sz="4" w:space="0" w:color="auto"/>
              <w:bottom w:val="single" w:sz="4" w:space="0" w:color="auto"/>
              <w:right w:val="single" w:sz="4" w:space="0" w:color="auto"/>
            </w:tcBorders>
            <w:shd w:val="clear" w:color="auto" w:fill="auto"/>
            <w:hideMark/>
          </w:tcPr>
          <w:p w14:paraId="13D89D71" w14:textId="0CA319A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Ecuador</w:t>
            </w:r>
          </w:p>
        </w:tc>
        <w:tc>
          <w:tcPr>
            <w:tcW w:w="786" w:type="pct"/>
            <w:tcBorders>
              <w:top w:val="nil"/>
              <w:left w:val="nil"/>
              <w:bottom w:val="single" w:sz="4" w:space="0" w:color="auto"/>
              <w:right w:val="single" w:sz="4" w:space="0" w:color="auto"/>
            </w:tcBorders>
            <w:shd w:val="clear" w:color="auto" w:fill="auto"/>
            <w:hideMark/>
          </w:tcPr>
          <w:p w14:paraId="781CBC3C" w14:textId="48F9957F"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Action Plan on Mercury in the Artisanal and </w:t>
            </w:r>
            <w:r w:rsidR="009667F4"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w:t>
            </w:r>
            <w:r w:rsidR="00D15B83"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Sector in Ecuador</w:t>
            </w:r>
          </w:p>
        </w:tc>
        <w:tc>
          <w:tcPr>
            <w:tcW w:w="371" w:type="pct"/>
            <w:tcBorders>
              <w:top w:val="nil"/>
              <w:left w:val="nil"/>
              <w:bottom w:val="single" w:sz="4" w:space="0" w:color="auto"/>
              <w:right w:val="single" w:sz="4" w:space="0" w:color="auto"/>
            </w:tcBorders>
            <w:shd w:val="clear" w:color="auto" w:fill="auto"/>
            <w:hideMark/>
          </w:tcPr>
          <w:p w14:paraId="016E2EE1"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287FCA54" w14:textId="1396A37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4981B9A1" w14:textId="7AC0BBE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10BB2969" w14:textId="5B53E0F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77306567" w14:textId="4572018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6AF0C78" w14:textId="11D7BFC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547E085F" w14:textId="6C85D1D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81,000 </w:t>
            </w:r>
          </w:p>
        </w:tc>
        <w:tc>
          <w:tcPr>
            <w:tcW w:w="587" w:type="pct"/>
            <w:tcBorders>
              <w:top w:val="nil"/>
              <w:left w:val="nil"/>
              <w:bottom w:val="single" w:sz="4" w:space="0" w:color="auto"/>
              <w:right w:val="single" w:sz="4" w:space="0" w:color="auto"/>
            </w:tcBorders>
            <w:shd w:val="clear" w:color="auto" w:fill="auto"/>
            <w:hideMark/>
          </w:tcPr>
          <w:p w14:paraId="021407DF" w14:textId="23DC03A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79E26897" w14:textId="77777777" w:rsidTr="007874CA">
        <w:trPr>
          <w:trHeight w:val="870"/>
        </w:trPr>
        <w:tc>
          <w:tcPr>
            <w:tcW w:w="304" w:type="pct"/>
            <w:tcBorders>
              <w:top w:val="nil"/>
              <w:left w:val="single" w:sz="4" w:space="0" w:color="auto"/>
              <w:bottom w:val="single" w:sz="4" w:space="0" w:color="auto"/>
              <w:right w:val="single" w:sz="4" w:space="0" w:color="auto"/>
            </w:tcBorders>
          </w:tcPr>
          <w:p w14:paraId="6954C86B" w14:textId="54AA7B4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9751</w:t>
            </w:r>
          </w:p>
        </w:tc>
        <w:tc>
          <w:tcPr>
            <w:tcW w:w="506" w:type="pct"/>
            <w:tcBorders>
              <w:top w:val="nil"/>
              <w:left w:val="single" w:sz="4" w:space="0" w:color="auto"/>
              <w:bottom w:val="single" w:sz="4" w:space="0" w:color="auto"/>
              <w:right w:val="single" w:sz="4" w:space="0" w:color="auto"/>
            </w:tcBorders>
            <w:shd w:val="clear" w:color="auto" w:fill="auto"/>
            <w:hideMark/>
          </w:tcPr>
          <w:p w14:paraId="76643BA7" w14:textId="2408313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El Salvador</w:t>
            </w:r>
          </w:p>
        </w:tc>
        <w:tc>
          <w:tcPr>
            <w:tcW w:w="786" w:type="pct"/>
            <w:tcBorders>
              <w:top w:val="nil"/>
              <w:left w:val="nil"/>
              <w:bottom w:val="single" w:sz="4" w:space="0" w:color="auto"/>
              <w:right w:val="single" w:sz="4" w:space="0" w:color="auto"/>
            </w:tcBorders>
            <w:shd w:val="clear" w:color="auto" w:fill="auto"/>
            <w:hideMark/>
          </w:tcPr>
          <w:p w14:paraId="7E51641C"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a Minamata Initial Assessment in El Salvador</w:t>
            </w:r>
          </w:p>
        </w:tc>
        <w:tc>
          <w:tcPr>
            <w:tcW w:w="371" w:type="pct"/>
            <w:tcBorders>
              <w:top w:val="nil"/>
              <w:left w:val="nil"/>
              <w:bottom w:val="single" w:sz="4" w:space="0" w:color="auto"/>
              <w:right w:val="single" w:sz="4" w:space="0" w:color="auto"/>
            </w:tcBorders>
            <w:shd w:val="clear" w:color="auto" w:fill="auto"/>
            <w:hideMark/>
          </w:tcPr>
          <w:p w14:paraId="137A7C7D"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5B91348D" w14:textId="41FE1CC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6C99EA99" w14:textId="17AA208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67C9E691" w14:textId="6353D43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479F3399" w14:textId="2E73AA0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418B5624" w14:textId="03BC83F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19746997" w14:textId="067BCE7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22037669" w14:textId="52E28A3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25C45"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24B76CE0" w14:textId="77777777" w:rsidTr="007874CA">
        <w:trPr>
          <w:trHeight w:val="1450"/>
        </w:trPr>
        <w:tc>
          <w:tcPr>
            <w:tcW w:w="304" w:type="pct"/>
            <w:tcBorders>
              <w:top w:val="single" w:sz="4" w:space="0" w:color="auto"/>
              <w:left w:val="single" w:sz="4" w:space="0" w:color="auto"/>
              <w:bottom w:val="single" w:sz="4" w:space="0" w:color="auto"/>
              <w:right w:val="single" w:sz="4" w:space="0" w:color="auto"/>
            </w:tcBorders>
          </w:tcPr>
          <w:p w14:paraId="46DA7B32" w14:textId="7459A87F"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9755</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7DD36FDF" w14:textId="7499AEF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Indonesia</w:t>
            </w:r>
          </w:p>
        </w:tc>
        <w:tc>
          <w:tcPr>
            <w:tcW w:w="786" w:type="pct"/>
            <w:tcBorders>
              <w:top w:val="single" w:sz="4" w:space="0" w:color="auto"/>
              <w:left w:val="nil"/>
              <w:bottom w:val="single" w:sz="4" w:space="0" w:color="auto"/>
              <w:right w:val="single" w:sz="4" w:space="0" w:color="auto"/>
            </w:tcBorders>
            <w:shd w:val="clear" w:color="auto" w:fill="auto"/>
            <w:hideMark/>
          </w:tcPr>
          <w:p w14:paraId="3377CA81" w14:textId="4FF8C992"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and National Action Plan for Artisanal and Small</w:t>
            </w:r>
            <w:r w:rsidR="00D15B83"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Indonesia</w:t>
            </w:r>
          </w:p>
        </w:tc>
        <w:tc>
          <w:tcPr>
            <w:tcW w:w="371" w:type="pct"/>
            <w:tcBorders>
              <w:top w:val="single" w:sz="4" w:space="0" w:color="auto"/>
              <w:left w:val="nil"/>
              <w:bottom w:val="single" w:sz="4" w:space="0" w:color="auto"/>
              <w:right w:val="single" w:sz="4" w:space="0" w:color="auto"/>
            </w:tcBorders>
            <w:shd w:val="clear" w:color="auto" w:fill="auto"/>
            <w:hideMark/>
          </w:tcPr>
          <w:p w14:paraId="15A0808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4A9DB5D2" w14:textId="269F421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1F550352" w14:textId="2A987B0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single" w:sz="4" w:space="0" w:color="auto"/>
              <w:left w:val="nil"/>
              <w:bottom w:val="single" w:sz="4" w:space="0" w:color="auto"/>
              <w:right w:val="single" w:sz="4" w:space="0" w:color="auto"/>
            </w:tcBorders>
            <w:shd w:val="clear" w:color="auto" w:fill="auto"/>
            <w:hideMark/>
          </w:tcPr>
          <w:p w14:paraId="1B6D25F3" w14:textId="7DA7ADF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single" w:sz="4" w:space="0" w:color="auto"/>
              <w:left w:val="nil"/>
              <w:bottom w:val="single" w:sz="4" w:space="0" w:color="auto"/>
              <w:right w:val="single" w:sz="4" w:space="0" w:color="auto"/>
            </w:tcBorders>
            <w:shd w:val="clear" w:color="auto" w:fill="auto"/>
            <w:hideMark/>
          </w:tcPr>
          <w:p w14:paraId="4555A7DB" w14:textId="741A9E2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02154877" w14:textId="3B5D01F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0589B0C9" w14:textId="7D7C983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0E4FC14D" w14:textId="78BEF70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15B83"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183D88C" w14:textId="77777777" w:rsidTr="007874CA">
        <w:trPr>
          <w:trHeight w:val="1450"/>
        </w:trPr>
        <w:tc>
          <w:tcPr>
            <w:tcW w:w="304" w:type="pct"/>
            <w:tcBorders>
              <w:top w:val="single" w:sz="4" w:space="0" w:color="auto"/>
              <w:left w:val="single" w:sz="4" w:space="0" w:color="auto"/>
              <w:bottom w:val="single" w:sz="4" w:space="0" w:color="auto"/>
              <w:right w:val="single" w:sz="4" w:space="0" w:color="auto"/>
            </w:tcBorders>
          </w:tcPr>
          <w:p w14:paraId="29DA8309" w14:textId="353875D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9805</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2BD883A9" w14:textId="46B5070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Myanmar</w:t>
            </w:r>
          </w:p>
        </w:tc>
        <w:tc>
          <w:tcPr>
            <w:tcW w:w="786" w:type="pct"/>
            <w:tcBorders>
              <w:top w:val="single" w:sz="4" w:space="0" w:color="auto"/>
              <w:left w:val="nil"/>
              <w:bottom w:val="single" w:sz="4" w:space="0" w:color="auto"/>
              <w:right w:val="single" w:sz="4" w:space="0" w:color="auto"/>
            </w:tcBorders>
            <w:shd w:val="clear" w:color="auto" w:fill="auto"/>
            <w:hideMark/>
          </w:tcPr>
          <w:p w14:paraId="2C3FC805" w14:textId="14670A09"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and National Action Plan for Artisanal and Small</w:t>
            </w:r>
            <w:r w:rsidR="00D15B83"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in Myanmar </w:t>
            </w:r>
          </w:p>
        </w:tc>
        <w:tc>
          <w:tcPr>
            <w:tcW w:w="371" w:type="pct"/>
            <w:tcBorders>
              <w:top w:val="single" w:sz="4" w:space="0" w:color="auto"/>
              <w:left w:val="nil"/>
              <w:bottom w:val="single" w:sz="4" w:space="0" w:color="auto"/>
              <w:right w:val="single" w:sz="4" w:space="0" w:color="auto"/>
            </w:tcBorders>
            <w:shd w:val="clear" w:color="auto" w:fill="auto"/>
            <w:hideMark/>
          </w:tcPr>
          <w:p w14:paraId="25E92CF1"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78BCC302" w14:textId="596C7AB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7C9223ED" w14:textId="094D4D3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single" w:sz="4" w:space="0" w:color="auto"/>
              <w:left w:val="nil"/>
              <w:bottom w:val="single" w:sz="4" w:space="0" w:color="auto"/>
              <w:right w:val="single" w:sz="4" w:space="0" w:color="auto"/>
            </w:tcBorders>
            <w:shd w:val="clear" w:color="auto" w:fill="auto"/>
            <w:hideMark/>
          </w:tcPr>
          <w:p w14:paraId="0D793336" w14:textId="52BA6A7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single" w:sz="4" w:space="0" w:color="auto"/>
              <w:left w:val="nil"/>
              <w:bottom w:val="single" w:sz="4" w:space="0" w:color="auto"/>
              <w:right w:val="single" w:sz="4" w:space="0" w:color="auto"/>
            </w:tcBorders>
            <w:shd w:val="clear" w:color="auto" w:fill="auto"/>
            <w:hideMark/>
          </w:tcPr>
          <w:p w14:paraId="7DAE58AF" w14:textId="0F53F57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248D2903" w14:textId="58D5BB4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566B203F" w14:textId="77C4BFD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66C0E7A7" w14:textId="0B7813F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15B83"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D4B274B" w14:textId="77777777" w:rsidTr="007252BF">
        <w:trPr>
          <w:trHeight w:val="1740"/>
        </w:trPr>
        <w:tc>
          <w:tcPr>
            <w:tcW w:w="304" w:type="pct"/>
            <w:tcBorders>
              <w:top w:val="single" w:sz="4" w:space="0" w:color="auto"/>
              <w:left w:val="single" w:sz="4" w:space="0" w:color="auto"/>
              <w:bottom w:val="single" w:sz="4" w:space="0" w:color="auto"/>
              <w:right w:val="single" w:sz="4" w:space="0" w:color="auto"/>
            </w:tcBorders>
          </w:tcPr>
          <w:p w14:paraId="7702269E" w14:textId="6FB4EF7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9865</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0A173566" w14:textId="3EE1C9A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(Antigua and Barbuda, Dominica, Grenada, Saint Vincent and the Grenadines)</w:t>
            </w:r>
          </w:p>
        </w:tc>
        <w:tc>
          <w:tcPr>
            <w:tcW w:w="786" w:type="pct"/>
            <w:tcBorders>
              <w:top w:val="single" w:sz="4" w:space="0" w:color="auto"/>
              <w:left w:val="nil"/>
              <w:bottom w:val="single" w:sz="4" w:space="0" w:color="auto"/>
              <w:right w:val="single" w:sz="4" w:space="0" w:color="auto"/>
            </w:tcBorders>
            <w:shd w:val="clear" w:color="auto" w:fill="auto"/>
            <w:hideMark/>
          </w:tcPr>
          <w:p w14:paraId="376848EC" w14:textId="01FB257E"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Assessments in the Caribbean (Antigua and Barbuda, Dominica, Grenada, S</w:t>
            </w:r>
            <w:r w:rsidR="00D15B83" w:rsidRPr="007E7514">
              <w:rPr>
                <w:rFonts w:asciiTheme="minorHAnsi" w:hAnsiTheme="minorHAnsi" w:cstheme="minorHAnsi"/>
                <w:i/>
                <w:iCs/>
                <w:sz w:val="20"/>
                <w:szCs w:val="20"/>
                <w:lang w:val="en-GB"/>
              </w:rPr>
              <w:t>ain</w:t>
            </w:r>
            <w:r w:rsidRPr="007E7514">
              <w:rPr>
                <w:rFonts w:asciiTheme="minorHAnsi" w:hAnsiTheme="minorHAnsi" w:cstheme="minorHAnsi"/>
                <w:i/>
                <w:iCs/>
                <w:sz w:val="20"/>
                <w:szCs w:val="20"/>
                <w:lang w:val="en-GB"/>
              </w:rPr>
              <w:t>t Vincent and the Grenadines)</w:t>
            </w:r>
          </w:p>
        </w:tc>
        <w:tc>
          <w:tcPr>
            <w:tcW w:w="371" w:type="pct"/>
            <w:tcBorders>
              <w:top w:val="single" w:sz="4" w:space="0" w:color="auto"/>
              <w:left w:val="nil"/>
              <w:bottom w:val="single" w:sz="4" w:space="0" w:color="auto"/>
              <w:right w:val="single" w:sz="4" w:space="0" w:color="auto"/>
            </w:tcBorders>
            <w:shd w:val="clear" w:color="auto" w:fill="auto"/>
            <w:hideMark/>
          </w:tcPr>
          <w:p w14:paraId="36C2486C"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67B04E13" w14:textId="4858F10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71B022D0" w14:textId="3AE7941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600,000 </w:t>
            </w:r>
          </w:p>
        </w:tc>
        <w:tc>
          <w:tcPr>
            <w:tcW w:w="426" w:type="pct"/>
            <w:tcBorders>
              <w:top w:val="single" w:sz="4" w:space="0" w:color="auto"/>
              <w:left w:val="nil"/>
              <w:bottom w:val="single" w:sz="4" w:space="0" w:color="auto"/>
              <w:right w:val="single" w:sz="4" w:space="0" w:color="auto"/>
            </w:tcBorders>
            <w:shd w:val="clear" w:color="auto" w:fill="auto"/>
            <w:hideMark/>
          </w:tcPr>
          <w:p w14:paraId="0D3485B1" w14:textId="0364F1E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57,000 </w:t>
            </w:r>
          </w:p>
        </w:tc>
        <w:tc>
          <w:tcPr>
            <w:tcW w:w="426" w:type="pct"/>
            <w:tcBorders>
              <w:top w:val="single" w:sz="4" w:space="0" w:color="auto"/>
              <w:left w:val="nil"/>
              <w:bottom w:val="single" w:sz="4" w:space="0" w:color="auto"/>
              <w:right w:val="single" w:sz="4" w:space="0" w:color="auto"/>
            </w:tcBorders>
            <w:shd w:val="clear" w:color="auto" w:fill="auto"/>
            <w:hideMark/>
          </w:tcPr>
          <w:p w14:paraId="32F9A228" w14:textId="168C97D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2DCE9D9E" w14:textId="71C68CC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6A817C01" w14:textId="1C3F545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047F28C1" w14:textId="1414540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15B83"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0EA06CB5" w14:textId="77777777" w:rsidTr="007252BF">
        <w:trPr>
          <w:trHeight w:val="580"/>
        </w:trPr>
        <w:tc>
          <w:tcPr>
            <w:tcW w:w="304" w:type="pct"/>
            <w:tcBorders>
              <w:top w:val="nil"/>
              <w:left w:val="single" w:sz="4" w:space="0" w:color="auto"/>
              <w:bottom w:val="single" w:sz="4" w:space="0" w:color="auto"/>
              <w:right w:val="single" w:sz="4" w:space="0" w:color="auto"/>
            </w:tcBorders>
          </w:tcPr>
          <w:p w14:paraId="47C62D01" w14:textId="18892C69"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9885</w:t>
            </w:r>
          </w:p>
        </w:tc>
        <w:tc>
          <w:tcPr>
            <w:tcW w:w="506" w:type="pct"/>
            <w:tcBorders>
              <w:top w:val="nil"/>
              <w:left w:val="single" w:sz="4" w:space="0" w:color="auto"/>
              <w:bottom w:val="single" w:sz="4" w:space="0" w:color="auto"/>
              <w:right w:val="single" w:sz="4" w:space="0" w:color="auto"/>
            </w:tcBorders>
            <w:shd w:val="clear" w:color="auto" w:fill="auto"/>
            <w:hideMark/>
          </w:tcPr>
          <w:p w14:paraId="672F1E0B" w14:textId="28906D8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Argentina</w:t>
            </w:r>
          </w:p>
        </w:tc>
        <w:tc>
          <w:tcPr>
            <w:tcW w:w="786" w:type="pct"/>
            <w:tcBorders>
              <w:top w:val="nil"/>
              <w:left w:val="nil"/>
              <w:bottom w:val="single" w:sz="4" w:space="0" w:color="auto"/>
              <w:right w:val="single" w:sz="4" w:space="0" w:color="auto"/>
            </w:tcBorders>
            <w:shd w:val="clear" w:color="auto" w:fill="auto"/>
            <w:hideMark/>
          </w:tcPr>
          <w:p w14:paraId="15A075DF"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Initial Assessment for Argentina</w:t>
            </w:r>
          </w:p>
        </w:tc>
        <w:tc>
          <w:tcPr>
            <w:tcW w:w="371" w:type="pct"/>
            <w:tcBorders>
              <w:top w:val="nil"/>
              <w:left w:val="nil"/>
              <w:bottom w:val="single" w:sz="4" w:space="0" w:color="auto"/>
              <w:right w:val="single" w:sz="4" w:space="0" w:color="auto"/>
            </w:tcBorders>
            <w:shd w:val="clear" w:color="auto" w:fill="auto"/>
            <w:hideMark/>
          </w:tcPr>
          <w:p w14:paraId="47D6B8BD"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4B0B742C" w14:textId="766D9B2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11749561" w14:textId="75FD761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4093521A" w14:textId="2622A57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6EC17B32" w14:textId="4401985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FA01F82" w14:textId="6AB75CD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0CE578E6" w14:textId="5B08FCA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5A5BCBA5" w14:textId="0D4B508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15B83"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463CE0FD" w14:textId="77777777" w:rsidTr="007252BF">
        <w:trPr>
          <w:trHeight w:val="580"/>
        </w:trPr>
        <w:tc>
          <w:tcPr>
            <w:tcW w:w="304" w:type="pct"/>
            <w:tcBorders>
              <w:top w:val="nil"/>
              <w:left w:val="single" w:sz="4" w:space="0" w:color="auto"/>
              <w:bottom w:val="single" w:sz="4" w:space="0" w:color="auto"/>
              <w:right w:val="single" w:sz="4" w:space="0" w:color="auto"/>
            </w:tcBorders>
          </w:tcPr>
          <w:p w14:paraId="1BB97962" w14:textId="12B5BA4C"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9930</w:t>
            </w:r>
          </w:p>
        </w:tc>
        <w:tc>
          <w:tcPr>
            <w:tcW w:w="506" w:type="pct"/>
            <w:tcBorders>
              <w:top w:val="nil"/>
              <w:left w:val="single" w:sz="4" w:space="0" w:color="auto"/>
              <w:bottom w:val="single" w:sz="4" w:space="0" w:color="auto"/>
              <w:right w:val="single" w:sz="4" w:space="0" w:color="auto"/>
            </w:tcBorders>
            <w:shd w:val="clear" w:color="auto" w:fill="auto"/>
            <w:hideMark/>
          </w:tcPr>
          <w:p w14:paraId="3B772795" w14:textId="18B9673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Niue</w:t>
            </w:r>
          </w:p>
        </w:tc>
        <w:tc>
          <w:tcPr>
            <w:tcW w:w="786" w:type="pct"/>
            <w:tcBorders>
              <w:top w:val="nil"/>
              <w:left w:val="nil"/>
              <w:bottom w:val="single" w:sz="4" w:space="0" w:color="auto"/>
              <w:right w:val="single" w:sz="4" w:space="0" w:color="auto"/>
            </w:tcBorders>
            <w:shd w:val="clear" w:color="auto" w:fill="auto"/>
            <w:hideMark/>
          </w:tcPr>
          <w:p w14:paraId="65365213" w14:textId="3299BD2A"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w:t>
            </w:r>
            <w:r w:rsidR="00D15B83"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 Minamata Initial Assessment in Niue</w:t>
            </w:r>
          </w:p>
        </w:tc>
        <w:tc>
          <w:tcPr>
            <w:tcW w:w="371" w:type="pct"/>
            <w:tcBorders>
              <w:top w:val="nil"/>
              <w:left w:val="nil"/>
              <w:bottom w:val="single" w:sz="4" w:space="0" w:color="auto"/>
              <w:right w:val="single" w:sz="4" w:space="0" w:color="auto"/>
            </w:tcBorders>
            <w:shd w:val="clear" w:color="auto" w:fill="auto"/>
            <w:hideMark/>
          </w:tcPr>
          <w:p w14:paraId="6FF77FA9"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0AB9E5DE" w14:textId="2DFEB61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18B43318" w14:textId="3BE6E43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125,000 </w:t>
            </w:r>
          </w:p>
        </w:tc>
        <w:tc>
          <w:tcPr>
            <w:tcW w:w="426" w:type="pct"/>
            <w:tcBorders>
              <w:top w:val="nil"/>
              <w:left w:val="nil"/>
              <w:bottom w:val="single" w:sz="4" w:space="0" w:color="auto"/>
              <w:right w:val="single" w:sz="4" w:space="0" w:color="auto"/>
            </w:tcBorders>
            <w:shd w:val="clear" w:color="auto" w:fill="auto"/>
            <w:hideMark/>
          </w:tcPr>
          <w:p w14:paraId="5418D118" w14:textId="7DA803F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11,875 </w:t>
            </w:r>
          </w:p>
        </w:tc>
        <w:tc>
          <w:tcPr>
            <w:tcW w:w="426" w:type="pct"/>
            <w:tcBorders>
              <w:top w:val="nil"/>
              <w:left w:val="nil"/>
              <w:bottom w:val="single" w:sz="4" w:space="0" w:color="auto"/>
              <w:right w:val="single" w:sz="4" w:space="0" w:color="auto"/>
            </w:tcBorders>
            <w:shd w:val="clear" w:color="auto" w:fill="auto"/>
            <w:hideMark/>
          </w:tcPr>
          <w:p w14:paraId="571A7A75" w14:textId="234A5CC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2DD8B432" w14:textId="0EB5D17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6D85A5E6" w14:textId="49AD7C9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3B3A4A30" w14:textId="2D03217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15B83"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67EA8090" w14:textId="77777777" w:rsidTr="007252BF">
        <w:trPr>
          <w:trHeight w:val="822"/>
        </w:trPr>
        <w:tc>
          <w:tcPr>
            <w:tcW w:w="304" w:type="pct"/>
            <w:tcBorders>
              <w:top w:val="nil"/>
              <w:left w:val="single" w:sz="4" w:space="0" w:color="auto"/>
              <w:bottom w:val="single" w:sz="4" w:space="0" w:color="auto"/>
              <w:right w:val="single" w:sz="4" w:space="0" w:color="auto"/>
            </w:tcBorders>
          </w:tcPr>
          <w:p w14:paraId="7E172F88" w14:textId="6F3E509B"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9932</w:t>
            </w:r>
          </w:p>
        </w:tc>
        <w:tc>
          <w:tcPr>
            <w:tcW w:w="506" w:type="pct"/>
            <w:tcBorders>
              <w:top w:val="nil"/>
              <w:left w:val="single" w:sz="4" w:space="0" w:color="auto"/>
              <w:bottom w:val="single" w:sz="4" w:space="0" w:color="auto"/>
              <w:right w:val="single" w:sz="4" w:space="0" w:color="auto"/>
            </w:tcBorders>
            <w:shd w:val="clear" w:color="auto" w:fill="auto"/>
            <w:hideMark/>
          </w:tcPr>
          <w:p w14:paraId="289023AD" w14:textId="3572544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Micronesia (Federated State of)</w:t>
            </w:r>
          </w:p>
        </w:tc>
        <w:tc>
          <w:tcPr>
            <w:tcW w:w="786" w:type="pct"/>
            <w:tcBorders>
              <w:top w:val="nil"/>
              <w:left w:val="nil"/>
              <w:bottom w:val="single" w:sz="4" w:space="0" w:color="auto"/>
              <w:right w:val="single" w:sz="4" w:space="0" w:color="auto"/>
            </w:tcBorders>
            <w:shd w:val="clear" w:color="auto" w:fill="auto"/>
            <w:hideMark/>
          </w:tcPr>
          <w:p w14:paraId="3CB56E8D"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a Minamata Initial Assessment in the Federated States of Micronesia</w:t>
            </w:r>
          </w:p>
        </w:tc>
        <w:tc>
          <w:tcPr>
            <w:tcW w:w="371" w:type="pct"/>
            <w:tcBorders>
              <w:top w:val="nil"/>
              <w:left w:val="nil"/>
              <w:bottom w:val="single" w:sz="4" w:space="0" w:color="auto"/>
              <w:right w:val="single" w:sz="4" w:space="0" w:color="auto"/>
            </w:tcBorders>
            <w:shd w:val="clear" w:color="auto" w:fill="auto"/>
            <w:hideMark/>
          </w:tcPr>
          <w:p w14:paraId="175EF4BC"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0DC2E715" w14:textId="67AA119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0927CADA" w14:textId="741A6D9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125,000 </w:t>
            </w:r>
          </w:p>
        </w:tc>
        <w:tc>
          <w:tcPr>
            <w:tcW w:w="426" w:type="pct"/>
            <w:tcBorders>
              <w:top w:val="nil"/>
              <w:left w:val="nil"/>
              <w:bottom w:val="single" w:sz="4" w:space="0" w:color="auto"/>
              <w:right w:val="single" w:sz="4" w:space="0" w:color="auto"/>
            </w:tcBorders>
            <w:shd w:val="clear" w:color="auto" w:fill="auto"/>
            <w:hideMark/>
          </w:tcPr>
          <w:p w14:paraId="569DC5D7" w14:textId="452BC08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11,875 </w:t>
            </w:r>
          </w:p>
        </w:tc>
        <w:tc>
          <w:tcPr>
            <w:tcW w:w="426" w:type="pct"/>
            <w:tcBorders>
              <w:top w:val="nil"/>
              <w:left w:val="nil"/>
              <w:bottom w:val="single" w:sz="4" w:space="0" w:color="auto"/>
              <w:right w:val="single" w:sz="4" w:space="0" w:color="auto"/>
            </w:tcBorders>
            <w:shd w:val="clear" w:color="auto" w:fill="auto"/>
            <w:hideMark/>
          </w:tcPr>
          <w:p w14:paraId="7DBBAF3B" w14:textId="26CCD9F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243E5A61" w14:textId="367DF62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071DFD1B" w14:textId="1686D53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24839B53" w14:textId="37C1C6D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15B83"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4C06B2F2" w14:textId="77777777" w:rsidTr="007252BF">
        <w:trPr>
          <w:trHeight w:val="870"/>
        </w:trPr>
        <w:tc>
          <w:tcPr>
            <w:tcW w:w="304" w:type="pct"/>
            <w:tcBorders>
              <w:top w:val="single" w:sz="4" w:space="0" w:color="auto"/>
              <w:left w:val="single" w:sz="4" w:space="0" w:color="auto"/>
              <w:bottom w:val="single" w:sz="4" w:space="0" w:color="auto"/>
              <w:right w:val="single" w:sz="4" w:space="0" w:color="auto"/>
            </w:tcBorders>
          </w:tcPr>
          <w:p w14:paraId="168099CD" w14:textId="56E14811"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9991</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2A53041B" w14:textId="5A87602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Belize</w:t>
            </w:r>
          </w:p>
        </w:tc>
        <w:tc>
          <w:tcPr>
            <w:tcW w:w="786" w:type="pct"/>
            <w:tcBorders>
              <w:top w:val="single" w:sz="4" w:space="0" w:color="auto"/>
              <w:left w:val="nil"/>
              <w:bottom w:val="single" w:sz="4" w:space="0" w:color="auto"/>
              <w:right w:val="single" w:sz="4" w:space="0" w:color="auto"/>
            </w:tcBorders>
            <w:shd w:val="clear" w:color="auto" w:fill="auto"/>
            <w:hideMark/>
          </w:tcPr>
          <w:p w14:paraId="4DD159F2" w14:textId="7E96C98E"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Assessments in the Caribbean (Belize)</w:t>
            </w:r>
          </w:p>
        </w:tc>
        <w:tc>
          <w:tcPr>
            <w:tcW w:w="371" w:type="pct"/>
            <w:tcBorders>
              <w:top w:val="single" w:sz="4" w:space="0" w:color="auto"/>
              <w:left w:val="nil"/>
              <w:bottom w:val="single" w:sz="4" w:space="0" w:color="auto"/>
              <w:right w:val="single" w:sz="4" w:space="0" w:color="auto"/>
            </w:tcBorders>
            <w:shd w:val="clear" w:color="auto" w:fill="auto"/>
            <w:hideMark/>
          </w:tcPr>
          <w:p w14:paraId="7374867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2250ECBB" w14:textId="3DDEB28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15968692" w14:textId="441EBAE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150,000 </w:t>
            </w:r>
          </w:p>
        </w:tc>
        <w:tc>
          <w:tcPr>
            <w:tcW w:w="426" w:type="pct"/>
            <w:tcBorders>
              <w:top w:val="single" w:sz="4" w:space="0" w:color="auto"/>
              <w:left w:val="nil"/>
              <w:bottom w:val="single" w:sz="4" w:space="0" w:color="auto"/>
              <w:right w:val="single" w:sz="4" w:space="0" w:color="auto"/>
            </w:tcBorders>
            <w:shd w:val="clear" w:color="auto" w:fill="auto"/>
            <w:hideMark/>
          </w:tcPr>
          <w:p w14:paraId="4AB55133" w14:textId="34BAFB6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14,250 </w:t>
            </w:r>
          </w:p>
        </w:tc>
        <w:tc>
          <w:tcPr>
            <w:tcW w:w="426" w:type="pct"/>
            <w:tcBorders>
              <w:top w:val="single" w:sz="4" w:space="0" w:color="auto"/>
              <w:left w:val="nil"/>
              <w:bottom w:val="single" w:sz="4" w:space="0" w:color="auto"/>
              <w:right w:val="single" w:sz="4" w:space="0" w:color="auto"/>
            </w:tcBorders>
            <w:shd w:val="clear" w:color="auto" w:fill="auto"/>
            <w:hideMark/>
          </w:tcPr>
          <w:p w14:paraId="28F8FA47" w14:textId="521B36C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72A64D15" w14:textId="7D64152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70E80FEB" w14:textId="7DD170E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11B79CCA" w14:textId="525C303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D15B83"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117489FB" w14:textId="77777777" w:rsidTr="007252BF">
        <w:trPr>
          <w:trHeight w:val="172"/>
        </w:trPr>
        <w:tc>
          <w:tcPr>
            <w:tcW w:w="304" w:type="pct"/>
            <w:tcBorders>
              <w:top w:val="single" w:sz="4" w:space="0" w:color="auto"/>
              <w:left w:val="single" w:sz="4" w:space="0" w:color="auto"/>
              <w:bottom w:val="single" w:sz="4" w:space="0" w:color="auto"/>
              <w:right w:val="single" w:sz="4" w:space="0" w:color="auto"/>
            </w:tcBorders>
          </w:tcPr>
          <w:p w14:paraId="32ABAF13" w14:textId="06F7E6AE"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9992</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380BC548" w14:textId="5E991AF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Marshall Islands</w:t>
            </w:r>
          </w:p>
        </w:tc>
        <w:tc>
          <w:tcPr>
            <w:tcW w:w="786" w:type="pct"/>
            <w:tcBorders>
              <w:top w:val="single" w:sz="4" w:space="0" w:color="auto"/>
              <w:left w:val="nil"/>
              <w:bottom w:val="single" w:sz="4" w:space="0" w:color="auto"/>
              <w:right w:val="single" w:sz="4" w:space="0" w:color="auto"/>
            </w:tcBorders>
            <w:shd w:val="clear" w:color="auto" w:fill="auto"/>
            <w:hideMark/>
          </w:tcPr>
          <w:p w14:paraId="369C2D0E" w14:textId="71FF5B86"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Development of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 Minamata Initial Assessment in </w:t>
            </w:r>
            <w:r w:rsidR="009667F4" w:rsidRPr="007E7514">
              <w:rPr>
                <w:rFonts w:asciiTheme="minorHAnsi" w:hAnsiTheme="minorHAnsi" w:cstheme="minorHAnsi"/>
                <w:i/>
                <w:iCs/>
                <w:sz w:val="20"/>
                <w:szCs w:val="20"/>
                <w:lang w:val="en-GB"/>
              </w:rPr>
              <w:t xml:space="preserve">the </w:t>
            </w:r>
            <w:r w:rsidRPr="007E7514">
              <w:rPr>
                <w:rFonts w:asciiTheme="minorHAnsi" w:hAnsiTheme="minorHAnsi" w:cstheme="minorHAnsi"/>
                <w:i/>
                <w:iCs/>
                <w:sz w:val="20"/>
                <w:szCs w:val="20"/>
                <w:lang w:val="en-GB"/>
              </w:rPr>
              <w:lastRenderedPageBreak/>
              <w:t>Marshall Islands</w:t>
            </w:r>
          </w:p>
        </w:tc>
        <w:tc>
          <w:tcPr>
            <w:tcW w:w="371" w:type="pct"/>
            <w:tcBorders>
              <w:top w:val="single" w:sz="4" w:space="0" w:color="auto"/>
              <w:left w:val="nil"/>
              <w:bottom w:val="single" w:sz="4" w:space="0" w:color="auto"/>
              <w:right w:val="single" w:sz="4" w:space="0" w:color="auto"/>
            </w:tcBorders>
            <w:shd w:val="clear" w:color="auto" w:fill="auto"/>
            <w:hideMark/>
          </w:tcPr>
          <w:p w14:paraId="20793A0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UNEP</w:t>
            </w:r>
          </w:p>
        </w:tc>
        <w:tc>
          <w:tcPr>
            <w:tcW w:w="319" w:type="pct"/>
            <w:tcBorders>
              <w:top w:val="single" w:sz="4" w:space="0" w:color="auto"/>
              <w:left w:val="nil"/>
              <w:bottom w:val="single" w:sz="4" w:space="0" w:color="auto"/>
              <w:right w:val="single" w:sz="4" w:space="0" w:color="auto"/>
            </w:tcBorders>
            <w:shd w:val="clear" w:color="auto" w:fill="auto"/>
            <w:hideMark/>
          </w:tcPr>
          <w:p w14:paraId="35354717" w14:textId="4187A2C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57F4FEC4" w14:textId="17F7636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125,000 </w:t>
            </w:r>
          </w:p>
        </w:tc>
        <w:tc>
          <w:tcPr>
            <w:tcW w:w="426" w:type="pct"/>
            <w:tcBorders>
              <w:top w:val="single" w:sz="4" w:space="0" w:color="auto"/>
              <w:left w:val="nil"/>
              <w:bottom w:val="single" w:sz="4" w:space="0" w:color="auto"/>
              <w:right w:val="single" w:sz="4" w:space="0" w:color="auto"/>
            </w:tcBorders>
            <w:shd w:val="clear" w:color="auto" w:fill="auto"/>
            <w:hideMark/>
          </w:tcPr>
          <w:p w14:paraId="6CDE94FE" w14:textId="04A0706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11,875 </w:t>
            </w:r>
          </w:p>
        </w:tc>
        <w:tc>
          <w:tcPr>
            <w:tcW w:w="426" w:type="pct"/>
            <w:tcBorders>
              <w:top w:val="single" w:sz="4" w:space="0" w:color="auto"/>
              <w:left w:val="nil"/>
              <w:bottom w:val="single" w:sz="4" w:space="0" w:color="auto"/>
              <w:right w:val="single" w:sz="4" w:space="0" w:color="auto"/>
            </w:tcBorders>
            <w:shd w:val="clear" w:color="auto" w:fill="auto"/>
            <w:hideMark/>
          </w:tcPr>
          <w:p w14:paraId="3206D4C7" w14:textId="32ECC81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4B1D9D8D" w14:textId="2EB4838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4A31FA19" w14:textId="340CF59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7A545CAE" w14:textId="2E0D77F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B5290A"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3CCE525B" w14:textId="77777777" w:rsidTr="007252BF">
        <w:trPr>
          <w:trHeight w:val="378"/>
        </w:trPr>
        <w:tc>
          <w:tcPr>
            <w:tcW w:w="304" w:type="pct"/>
            <w:tcBorders>
              <w:top w:val="nil"/>
              <w:left w:val="single" w:sz="4" w:space="0" w:color="auto"/>
              <w:bottom w:val="single" w:sz="4" w:space="0" w:color="auto"/>
              <w:right w:val="single" w:sz="4" w:space="0" w:color="auto"/>
            </w:tcBorders>
          </w:tcPr>
          <w:p w14:paraId="5CA1CEB4" w14:textId="62F64705"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10126</w:t>
            </w:r>
          </w:p>
        </w:tc>
        <w:tc>
          <w:tcPr>
            <w:tcW w:w="506" w:type="pct"/>
            <w:tcBorders>
              <w:top w:val="nil"/>
              <w:left w:val="single" w:sz="4" w:space="0" w:color="auto"/>
              <w:bottom w:val="single" w:sz="4" w:space="0" w:color="auto"/>
              <w:right w:val="single" w:sz="4" w:space="0" w:color="auto"/>
            </w:tcBorders>
            <w:shd w:val="clear" w:color="auto" w:fill="auto"/>
            <w:hideMark/>
          </w:tcPr>
          <w:p w14:paraId="3EDE24F2" w14:textId="7F683AB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Lebanon</w:t>
            </w:r>
          </w:p>
        </w:tc>
        <w:tc>
          <w:tcPr>
            <w:tcW w:w="786" w:type="pct"/>
            <w:tcBorders>
              <w:top w:val="nil"/>
              <w:left w:val="nil"/>
              <w:bottom w:val="single" w:sz="4" w:space="0" w:color="auto"/>
              <w:right w:val="single" w:sz="4" w:space="0" w:color="auto"/>
            </w:tcBorders>
            <w:shd w:val="clear" w:color="auto" w:fill="auto"/>
            <w:hideMark/>
          </w:tcPr>
          <w:p w14:paraId="6B3C2BAE"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Minamata Initial Assessment in Lebanon</w:t>
            </w:r>
          </w:p>
        </w:tc>
        <w:tc>
          <w:tcPr>
            <w:tcW w:w="371" w:type="pct"/>
            <w:tcBorders>
              <w:top w:val="nil"/>
              <w:left w:val="nil"/>
              <w:bottom w:val="single" w:sz="4" w:space="0" w:color="auto"/>
              <w:right w:val="single" w:sz="4" w:space="0" w:color="auto"/>
            </w:tcBorders>
            <w:shd w:val="clear" w:color="auto" w:fill="auto"/>
            <w:hideMark/>
          </w:tcPr>
          <w:p w14:paraId="7E64B542"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78297BE3" w14:textId="311AB63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6A82B936" w14:textId="03EFB89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nil"/>
              <w:left w:val="nil"/>
              <w:bottom w:val="single" w:sz="4" w:space="0" w:color="auto"/>
              <w:right w:val="single" w:sz="4" w:space="0" w:color="auto"/>
            </w:tcBorders>
            <w:shd w:val="clear" w:color="auto" w:fill="auto"/>
            <w:hideMark/>
          </w:tcPr>
          <w:p w14:paraId="34082F4C" w14:textId="37404A2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nil"/>
              <w:left w:val="nil"/>
              <w:bottom w:val="single" w:sz="4" w:space="0" w:color="auto"/>
              <w:right w:val="single" w:sz="4" w:space="0" w:color="auto"/>
            </w:tcBorders>
            <w:shd w:val="clear" w:color="auto" w:fill="auto"/>
            <w:hideMark/>
          </w:tcPr>
          <w:p w14:paraId="390B58EB" w14:textId="31D65FA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35EEED7" w14:textId="6989304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6BFD5BCF" w14:textId="2655C2A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18,600 </w:t>
            </w:r>
          </w:p>
        </w:tc>
        <w:tc>
          <w:tcPr>
            <w:tcW w:w="587" w:type="pct"/>
            <w:tcBorders>
              <w:top w:val="nil"/>
              <w:left w:val="nil"/>
              <w:bottom w:val="single" w:sz="4" w:space="0" w:color="auto"/>
              <w:right w:val="single" w:sz="4" w:space="0" w:color="auto"/>
            </w:tcBorders>
            <w:shd w:val="clear" w:color="auto" w:fill="auto"/>
            <w:hideMark/>
          </w:tcPr>
          <w:p w14:paraId="71B80CC2" w14:textId="5E8B4A0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B5290A"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71C73B88" w14:textId="77777777" w:rsidTr="007252BF">
        <w:trPr>
          <w:trHeight w:val="580"/>
        </w:trPr>
        <w:tc>
          <w:tcPr>
            <w:tcW w:w="304" w:type="pct"/>
            <w:tcBorders>
              <w:top w:val="single" w:sz="4" w:space="0" w:color="auto"/>
              <w:left w:val="single" w:sz="4" w:space="0" w:color="auto"/>
              <w:bottom w:val="single" w:sz="4" w:space="0" w:color="auto"/>
              <w:right w:val="single" w:sz="4" w:space="0" w:color="auto"/>
            </w:tcBorders>
          </w:tcPr>
          <w:p w14:paraId="487DDA60" w14:textId="6155739C"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10132</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523A4BD8" w14:textId="4683C73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Rwanda</w:t>
            </w:r>
          </w:p>
        </w:tc>
        <w:tc>
          <w:tcPr>
            <w:tcW w:w="786" w:type="pct"/>
            <w:tcBorders>
              <w:top w:val="single" w:sz="4" w:space="0" w:color="auto"/>
              <w:left w:val="nil"/>
              <w:bottom w:val="single" w:sz="4" w:space="0" w:color="auto"/>
              <w:right w:val="single" w:sz="4" w:space="0" w:color="auto"/>
            </w:tcBorders>
            <w:shd w:val="clear" w:color="auto" w:fill="auto"/>
            <w:hideMark/>
          </w:tcPr>
          <w:p w14:paraId="217C6EB1" w14:textId="2EEF4DB3"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Minamata Convention: Initial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ssessment for Rwanda</w:t>
            </w:r>
          </w:p>
        </w:tc>
        <w:tc>
          <w:tcPr>
            <w:tcW w:w="371" w:type="pct"/>
            <w:tcBorders>
              <w:top w:val="single" w:sz="4" w:space="0" w:color="auto"/>
              <w:left w:val="nil"/>
              <w:bottom w:val="single" w:sz="4" w:space="0" w:color="auto"/>
              <w:right w:val="single" w:sz="4" w:space="0" w:color="auto"/>
            </w:tcBorders>
            <w:shd w:val="clear" w:color="auto" w:fill="auto"/>
            <w:hideMark/>
          </w:tcPr>
          <w:p w14:paraId="3DAF523E"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49A640D3" w14:textId="7D43E45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0A11BFC3" w14:textId="656DF35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426" w:type="pct"/>
            <w:tcBorders>
              <w:top w:val="single" w:sz="4" w:space="0" w:color="auto"/>
              <w:left w:val="nil"/>
              <w:bottom w:val="single" w:sz="4" w:space="0" w:color="auto"/>
              <w:right w:val="single" w:sz="4" w:space="0" w:color="auto"/>
            </w:tcBorders>
            <w:shd w:val="clear" w:color="auto" w:fill="auto"/>
            <w:hideMark/>
          </w:tcPr>
          <w:p w14:paraId="65F65EE6" w14:textId="691B9F0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26" w:type="pct"/>
            <w:tcBorders>
              <w:top w:val="single" w:sz="4" w:space="0" w:color="auto"/>
              <w:left w:val="nil"/>
              <w:bottom w:val="single" w:sz="4" w:space="0" w:color="auto"/>
              <w:right w:val="single" w:sz="4" w:space="0" w:color="auto"/>
            </w:tcBorders>
            <w:shd w:val="clear" w:color="auto" w:fill="auto"/>
            <w:hideMark/>
          </w:tcPr>
          <w:p w14:paraId="37A38D33" w14:textId="76A8CEF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186CA9BB" w14:textId="5DDAFB1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1BB83A5C" w14:textId="604F10F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18,400 </w:t>
            </w:r>
          </w:p>
        </w:tc>
        <w:tc>
          <w:tcPr>
            <w:tcW w:w="587" w:type="pct"/>
            <w:tcBorders>
              <w:top w:val="single" w:sz="4" w:space="0" w:color="auto"/>
              <w:left w:val="nil"/>
              <w:bottom w:val="single" w:sz="4" w:space="0" w:color="auto"/>
              <w:right w:val="single" w:sz="4" w:space="0" w:color="auto"/>
            </w:tcBorders>
            <w:shd w:val="clear" w:color="auto" w:fill="auto"/>
            <w:hideMark/>
          </w:tcPr>
          <w:p w14:paraId="05A3A395" w14:textId="6FD10B0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B5290A"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3A42DD9A" w14:textId="77777777" w:rsidTr="007252BF">
        <w:trPr>
          <w:trHeight w:val="880"/>
        </w:trPr>
        <w:tc>
          <w:tcPr>
            <w:tcW w:w="304" w:type="pct"/>
            <w:tcBorders>
              <w:top w:val="single" w:sz="4" w:space="0" w:color="auto"/>
              <w:left w:val="single" w:sz="4" w:space="0" w:color="auto"/>
              <w:bottom w:val="single" w:sz="4" w:space="0" w:color="auto"/>
              <w:right w:val="single" w:sz="4" w:space="0" w:color="auto"/>
            </w:tcBorders>
          </w:tcPr>
          <w:p w14:paraId="79D3F2DB" w14:textId="3E34A1DB"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10135</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0343B749" w14:textId="1F2F6F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Angola</w:t>
            </w:r>
          </w:p>
        </w:tc>
        <w:tc>
          <w:tcPr>
            <w:tcW w:w="786" w:type="pct"/>
            <w:tcBorders>
              <w:top w:val="single" w:sz="4" w:space="0" w:color="auto"/>
              <w:left w:val="nil"/>
              <w:bottom w:val="single" w:sz="4" w:space="0" w:color="auto"/>
              <w:right w:val="single" w:sz="4" w:space="0" w:color="auto"/>
            </w:tcBorders>
            <w:shd w:val="clear" w:color="auto" w:fill="auto"/>
            <w:hideMark/>
          </w:tcPr>
          <w:p w14:paraId="57DB2E21" w14:textId="3AFFB380"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ction </w:t>
            </w:r>
            <w:r w:rsidR="00B5290A" w:rsidRPr="007E7514">
              <w:rPr>
                <w:rFonts w:asciiTheme="minorHAnsi" w:hAnsiTheme="minorHAnsi" w:cstheme="minorHAnsi"/>
                <w:i/>
                <w:iCs/>
                <w:sz w:val="20"/>
                <w:szCs w:val="20"/>
                <w:lang w:val="en-GB"/>
              </w:rPr>
              <w:t>P</w:t>
            </w:r>
            <w:r w:rsidRPr="007E7514">
              <w:rPr>
                <w:rFonts w:asciiTheme="minorHAnsi" w:hAnsiTheme="minorHAnsi" w:cstheme="minorHAnsi"/>
                <w:i/>
                <w:iCs/>
                <w:sz w:val="20"/>
                <w:szCs w:val="20"/>
                <w:lang w:val="en-GB"/>
              </w:rPr>
              <w:t xml:space="preserve">lan on </w:t>
            </w:r>
            <w:r w:rsidR="00B5290A"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ercury in the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rtisanal and </w:t>
            </w:r>
            <w:r w:rsidR="0040097D" w:rsidRPr="007E7514">
              <w:rPr>
                <w:rFonts w:asciiTheme="minorHAnsi" w:hAnsiTheme="minorHAnsi" w:cstheme="minorHAnsi"/>
                <w:i/>
                <w:iCs/>
                <w:sz w:val="20"/>
                <w:szCs w:val="20"/>
                <w:lang w:val="en-GB"/>
              </w:rPr>
              <w:br/>
            </w:r>
            <w:r w:rsidR="00B5290A"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mall-scale </w:t>
            </w:r>
            <w:r w:rsidR="00B5290A" w:rsidRPr="007E7514">
              <w:rPr>
                <w:rFonts w:asciiTheme="minorHAnsi" w:hAnsiTheme="minorHAnsi" w:cstheme="minorHAnsi"/>
                <w:i/>
                <w:iCs/>
                <w:sz w:val="20"/>
                <w:szCs w:val="20"/>
                <w:lang w:val="en-GB"/>
              </w:rPr>
              <w:t>G</w:t>
            </w:r>
            <w:r w:rsidRPr="007E7514">
              <w:rPr>
                <w:rFonts w:asciiTheme="minorHAnsi" w:hAnsiTheme="minorHAnsi" w:cstheme="minorHAnsi"/>
                <w:i/>
                <w:iCs/>
                <w:sz w:val="20"/>
                <w:szCs w:val="20"/>
                <w:lang w:val="en-GB"/>
              </w:rPr>
              <w:t xml:space="preserve">old </w:t>
            </w:r>
            <w:r w:rsidR="00B5290A"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ining </w:t>
            </w:r>
            <w:r w:rsidR="00B5290A"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ector in Angola </w:t>
            </w:r>
          </w:p>
        </w:tc>
        <w:tc>
          <w:tcPr>
            <w:tcW w:w="371" w:type="pct"/>
            <w:tcBorders>
              <w:top w:val="single" w:sz="4" w:space="0" w:color="auto"/>
              <w:left w:val="nil"/>
              <w:bottom w:val="single" w:sz="4" w:space="0" w:color="auto"/>
              <w:right w:val="single" w:sz="4" w:space="0" w:color="auto"/>
            </w:tcBorders>
            <w:shd w:val="clear" w:color="auto" w:fill="auto"/>
            <w:hideMark/>
          </w:tcPr>
          <w:p w14:paraId="0E859431"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5B82CFD6" w14:textId="6FE814A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446C22DA" w14:textId="5550660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0381E46F" w14:textId="4D93D04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292524A2" w14:textId="05355E6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10FB1812" w14:textId="405D527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0BD72D61" w14:textId="506E4B4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58,500 </w:t>
            </w:r>
          </w:p>
        </w:tc>
        <w:tc>
          <w:tcPr>
            <w:tcW w:w="587" w:type="pct"/>
            <w:tcBorders>
              <w:top w:val="single" w:sz="4" w:space="0" w:color="auto"/>
              <w:left w:val="nil"/>
              <w:bottom w:val="single" w:sz="4" w:space="0" w:color="auto"/>
              <w:right w:val="single" w:sz="4" w:space="0" w:color="auto"/>
            </w:tcBorders>
            <w:shd w:val="clear" w:color="auto" w:fill="auto"/>
            <w:hideMark/>
          </w:tcPr>
          <w:p w14:paraId="58F4969D" w14:textId="5311436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B5290A"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0AC6BD1C" w14:textId="77777777" w:rsidTr="007252BF">
        <w:trPr>
          <w:trHeight w:val="752"/>
        </w:trPr>
        <w:tc>
          <w:tcPr>
            <w:tcW w:w="304" w:type="pct"/>
            <w:tcBorders>
              <w:top w:val="single" w:sz="4" w:space="0" w:color="auto"/>
              <w:left w:val="single" w:sz="4" w:space="0" w:color="auto"/>
              <w:bottom w:val="single" w:sz="4" w:space="0" w:color="auto"/>
              <w:right w:val="single" w:sz="4" w:space="0" w:color="auto"/>
            </w:tcBorders>
          </w:tcPr>
          <w:p w14:paraId="76697F46" w14:textId="356A3A8F"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10136</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323C2B3F" w14:textId="5318B8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Rwanda</w:t>
            </w:r>
          </w:p>
        </w:tc>
        <w:tc>
          <w:tcPr>
            <w:tcW w:w="786" w:type="pct"/>
            <w:tcBorders>
              <w:top w:val="single" w:sz="4" w:space="0" w:color="auto"/>
              <w:left w:val="nil"/>
              <w:bottom w:val="single" w:sz="4" w:space="0" w:color="auto"/>
              <w:right w:val="single" w:sz="4" w:space="0" w:color="auto"/>
            </w:tcBorders>
            <w:shd w:val="clear" w:color="auto" w:fill="auto"/>
            <w:hideMark/>
          </w:tcPr>
          <w:p w14:paraId="4953E29B" w14:textId="4EC6C851"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ction </w:t>
            </w:r>
            <w:r w:rsidR="00B5290A" w:rsidRPr="007E7514">
              <w:rPr>
                <w:rFonts w:asciiTheme="minorHAnsi" w:hAnsiTheme="minorHAnsi" w:cstheme="minorHAnsi"/>
                <w:i/>
                <w:iCs/>
                <w:sz w:val="20"/>
                <w:szCs w:val="20"/>
                <w:lang w:val="en-GB"/>
              </w:rPr>
              <w:t>P</w:t>
            </w:r>
            <w:r w:rsidRPr="007E7514">
              <w:rPr>
                <w:rFonts w:asciiTheme="minorHAnsi" w:hAnsiTheme="minorHAnsi" w:cstheme="minorHAnsi"/>
                <w:i/>
                <w:iCs/>
                <w:sz w:val="20"/>
                <w:szCs w:val="20"/>
                <w:lang w:val="en-GB"/>
              </w:rPr>
              <w:t xml:space="preserve">lan on </w:t>
            </w:r>
            <w:r w:rsidR="00B5290A"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ercury in the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rtisanal and </w:t>
            </w:r>
            <w:r w:rsidR="0040097D" w:rsidRPr="007E7514">
              <w:rPr>
                <w:rFonts w:asciiTheme="minorHAnsi" w:hAnsiTheme="minorHAnsi" w:cstheme="minorHAnsi"/>
                <w:i/>
                <w:iCs/>
                <w:sz w:val="20"/>
                <w:szCs w:val="20"/>
                <w:lang w:val="en-GB"/>
              </w:rPr>
              <w:br/>
            </w:r>
            <w:r w:rsidR="00B5290A"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mall-scale </w:t>
            </w:r>
            <w:r w:rsidR="00B5290A" w:rsidRPr="007E7514">
              <w:rPr>
                <w:rFonts w:asciiTheme="minorHAnsi" w:hAnsiTheme="minorHAnsi" w:cstheme="minorHAnsi"/>
                <w:i/>
                <w:iCs/>
                <w:sz w:val="20"/>
                <w:szCs w:val="20"/>
                <w:lang w:val="en-GB"/>
              </w:rPr>
              <w:t>G</w:t>
            </w:r>
            <w:r w:rsidRPr="007E7514">
              <w:rPr>
                <w:rFonts w:asciiTheme="minorHAnsi" w:hAnsiTheme="minorHAnsi" w:cstheme="minorHAnsi"/>
                <w:i/>
                <w:iCs/>
                <w:sz w:val="20"/>
                <w:szCs w:val="20"/>
                <w:lang w:val="en-GB"/>
              </w:rPr>
              <w:t xml:space="preserve">old </w:t>
            </w:r>
            <w:r w:rsidR="00B5290A"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ining </w:t>
            </w:r>
            <w:r w:rsidR="00B5290A"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ector in Rwanda</w:t>
            </w:r>
          </w:p>
        </w:tc>
        <w:tc>
          <w:tcPr>
            <w:tcW w:w="371" w:type="pct"/>
            <w:tcBorders>
              <w:top w:val="single" w:sz="4" w:space="0" w:color="auto"/>
              <w:left w:val="nil"/>
              <w:bottom w:val="single" w:sz="4" w:space="0" w:color="auto"/>
              <w:right w:val="single" w:sz="4" w:space="0" w:color="auto"/>
            </w:tcBorders>
            <w:shd w:val="clear" w:color="auto" w:fill="auto"/>
            <w:hideMark/>
          </w:tcPr>
          <w:p w14:paraId="32294287"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766658F8" w14:textId="423F00E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4F700992" w14:textId="734815D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182BFA09" w14:textId="033D9CA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6A23F67F" w14:textId="7D71EF5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00B44E11" w14:textId="59DC53E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2023932E" w14:textId="58AC436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58,500 </w:t>
            </w:r>
          </w:p>
        </w:tc>
        <w:tc>
          <w:tcPr>
            <w:tcW w:w="587" w:type="pct"/>
            <w:tcBorders>
              <w:top w:val="single" w:sz="4" w:space="0" w:color="auto"/>
              <w:left w:val="nil"/>
              <w:bottom w:val="single" w:sz="4" w:space="0" w:color="auto"/>
              <w:right w:val="single" w:sz="4" w:space="0" w:color="auto"/>
            </w:tcBorders>
            <w:shd w:val="clear" w:color="auto" w:fill="auto"/>
            <w:hideMark/>
          </w:tcPr>
          <w:p w14:paraId="0FD21D9D" w14:textId="343955A4"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B5290A"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3D1640D4" w14:textId="77777777" w:rsidTr="007252BF">
        <w:trPr>
          <w:trHeight w:val="1450"/>
        </w:trPr>
        <w:tc>
          <w:tcPr>
            <w:tcW w:w="304" w:type="pct"/>
            <w:tcBorders>
              <w:top w:val="nil"/>
              <w:left w:val="single" w:sz="4" w:space="0" w:color="auto"/>
              <w:bottom w:val="single" w:sz="4" w:space="0" w:color="auto"/>
              <w:right w:val="single" w:sz="4" w:space="0" w:color="auto"/>
            </w:tcBorders>
          </w:tcPr>
          <w:p w14:paraId="0B3ADF88" w14:textId="46CFC0F9"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10148</w:t>
            </w:r>
          </w:p>
        </w:tc>
        <w:tc>
          <w:tcPr>
            <w:tcW w:w="506" w:type="pct"/>
            <w:tcBorders>
              <w:top w:val="nil"/>
              <w:left w:val="single" w:sz="4" w:space="0" w:color="auto"/>
              <w:bottom w:val="single" w:sz="4" w:space="0" w:color="auto"/>
              <w:right w:val="single" w:sz="4" w:space="0" w:color="auto"/>
            </w:tcBorders>
            <w:shd w:val="clear" w:color="auto" w:fill="auto"/>
            <w:hideMark/>
          </w:tcPr>
          <w:p w14:paraId="05518553" w14:textId="48449CA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Nicaragua</w:t>
            </w:r>
          </w:p>
        </w:tc>
        <w:tc>
          <w:tcPr>
            <w:tcW w:w="786" w:type="pct"/>
            <w:tcBorders>
              <w:top w:val="nil"/>
              <w:left w:val="nil"/>
              <w:bottom w:val="single" w:sz="4" w:space="0" w:color="auto"/>
              <w:right w:val="single" w:sz="4" w:space="0" w:color="auto"/>
            </w:tcBorders>
            <w:shd w:val="clear" w:color="auto" w:fill="auto"/>
            <w:hideMark/>
          </w:tcPr>
          <w:p w14:paraId="23746814" w14:textId="14CA82D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Minamata </w:t>
            </w:r>
            <w:r w:rsidR="00B5290A" w:rsidRPr="007E7514">
              <w:rPr>
                <w:rFonts w:asciiTheme="minorHAnsi" w:hAnsiTheme="minorHAnsi" w:cstheme="minorHAnsi"/>
                <w:i/>
                <w:iCs/>
                <w:sz w:val="20"/>
                <w:szCs w:val="20"/>
                <w:lang w:val="en-GB"/>
              </w:rPr>
              <w:t>I</w:t>
            </w:r>
            <w:r w:rsidRPr="007E7514">
              <w:rPr>
                <w:rFonts w:asciiTheme="minorHAnsi" w:hAnsiTheme="minorHAnsi" w:cstheme="minorHAnsi"/>
                <w:i/>
                <w:iCs/>
                <w:sz w:val="20"/>
                <w:szCs w:val="20"/>
                <w:lang w:val="en-GB"/>
              </w:rPr>
              <w:t xml:space="preserve">nitial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ssessment and </w:t>
            </w:r>
            <w:r w:rsidR="00B5290A" w:rsidRPr="007E7514">
              <w:rPr>
                <w:rFonts w:asciiTheme="minorHAnsi" w:hAnsiTheme="minorHAnsi" w:cstheme="minorHAnsi"/>
                <w:i/>
                <w:iCs/>
                <w:sz w:val="20"/>
                <w:szCs w:val="20"/>
                <w:lang w:val="en-GB"/>
              </w:rPr>
              <w:t>N</w:t>
            </w:r>
            <w:r w:rsidRPr="007E7514">
              <w:rPr>
                <w:rFonts w:asciiTheme="minorHAnsi" w:hAnsiTheme="minorHAnsi" w:cstheme="minorHAnsi"/>
                <w:i/>
                <w:iCs/>
                <w:sz w:val="20"/>
                <w:szCs w:val="20"/>
                <w:lang w:val="en-GB"/>
              </w:rPr>
              <w:t xml:space="preserve">ational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ction </w:t>
            </w:r>
            <w:r w:rsidR="00B5290A" w:rsidRPr="007E7514">
              <w:rPr>
                <w:rFonts w:asciiTheme="minorHAnsi" w:hAnsiTheme="minorHAnsi" w:cstheme="minorHAnsi"/>
                <w:i/>
                <w:iCs/>
                <w:sz w:val="20"/>
                <w:szCs w:val="20"/>
                <w:lang w:val="en-GB"/>
              </w:rPr>
              <w:t>P</w:t>
            </w:r>
            <w:r w:rsidRPr="007E7514">
              <w:rPr>
                <w:rFonts w:asciiTheme="minorHAnsi" w:hAnsiTheme="minorHAnsi" w:cstheme="minorHAnsi"/>
                <w:i/>
                <w:iCs/>
                <w:sz w:val="20"/>
                <w:szCs w:val="20"/>
                <w:lang w:val="en-GB"/>
              </w:rPr>
              <w:t xml:space="preserve">lan on the </w:t>
            </w:r>
            <w:r w:rsidR="00B5290A"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rtisanal and </w:t>
            </w:r>
            <w:r w:rsidR="00B5290A"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mall-scale </w:t>
            </w:r>
            <w:r w:rsidR="00B5290A" w:rsidRPr="007E7514">
              <w:rPr>
                <w:rFonts w:asciiTheme="minorHAnsi" w:hAnsiTheme="minorHAnsi" w:cstheme="minorHAnsi"/>
                <w:i/>
                <w:iCs/>
                <w:sz w:val="20"/>
                <w:szCs w:val="20"/>
                <w:lang w:val="en-GB"/>
              </w:rPr>
              <w:t>G</w:t>
            </w:r>
            <w:r w:rsidRPr="007E7514">
              <w:rPr>
                <w:rFonts w:asciiTheme="minorHAnsi" w:hAnsiTheme="minorHAnsi" w:cstheme="minorHAnsi"/>
                <w:i/>
                <w:iCs/>
                <w:sz w:val="20"/>
                <w:szCs w:val="20"/>
                <w:lang w:val="en-GB"/>
              </w:rPr>
              <w:t xml:space="preserve">old </w:t>
            </w:r>
            <w:r w:rsidR="00B5290A"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ining </w:t>
            </w:r>
            <w:r w:rsidR="00B5290A"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ector in Nicaragua</w:t>
            </w:r>
          </w:p>
        </w:tc>
        <w:tc>
          <w:tcPr>
            <w:tcW w:w="371" w:type="pct"/>
            <w:tcBorders>
              <w:top w:val="nil"/>
              <w:left w:val="nil"/>
              <w:bottom w:val="single" w:sz="4" w:space="0" w:color="auto"/>
              <w:right w:val="single" w:sz="4" w:space="0" w:color="auto"/>
            </w:tcBorders>
            <w:shd w:val="clear" w:color="auto" w:fill="auto"/>
            <w:hideMark/>
          </w:tcPr>
          <w:p w14:paraId="43C99BD3"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46D5D0BE" w14:textId="75F1CED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13B5F2E6" w14:textId="151431B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nil"/>
              <w:left w:val="nil"/>
              <w:bottom w:val="single" w:sz="4" w:space="0" w:color="auto"/>
              <w:right w:val="single" w:sz="4" w:space="0" w:color="auto"/>
            </w:tcBorders>
            <w:shd w:val="clear" w:color="auto" w:fill="auto"/>
            <w:hideMark/>
          </w:tcPr>
          <w:p w14:paraId="46342E48" w14:textId="7B6222A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nil"/>
              <w:left w:val="nil"/>
              <w:bottom w:val="single" w:sz="4" w:space="0" w:color="auto"/>
              <w:right w:val="single" w:sz="4" w:space="0" w:color="auto"/>
            </w:tcBorders>
            <w:shd w:val="clear" w:color="auto" w:fill="auto"/>
            <w:hideMark/>
          </w:tcPr>
          <w:p w14:paraId="5AE059FE" w14:textId="7C07708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6BE95D4E" w14:textId="02AB223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2AD7916" w14:textId="32CF1CA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30,000 </w:t>
            </w:r>
          </w:p>
        </w:tc>
        <w:tc>
          <w:tcPr>
            <w:tcW w:w="587" w:type="pct"/>
            <w:tcBorders>
              <w:top w:val="nil"/>
              <w:left w:val="nil"/>
              <w:bottom w:val="single" w:sz="4" w:space="0" w:color="auto"/>
              <w:right w:val="single" w:sz="4" w:space="0" w:color="auto"/>
            </w:tcBorders>
            <w:shd w:val="clear" w:color="auto" w:fill="auto"/>
            <w:hideMark/>
          </w:tcPr>
          <w:p w14:paraId="040B35A9" w14:textId="4446A07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B5290A"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6128285D" w14:textId="77777777" w:rsidTr="007252BF">
        <w:trPr>
          <w:trHeight w:val="1450"/>
        </w:trPr>
        <w:tc>
          <w:tcPr>
            <w:tcW w:w="304" w:type="pct"/>
            <w:tcBorders>
              <w:top w:val="nil"/>
              <w:left w:val="single" w:sz="4" w:space="0" w:color="auto"/>
              <w:bottom w:val="single" w:sz="4" w:space="0" w:color="auto"/>
              <w:right w:val="single" w:sz="4" w:space="0" w:color="auto"/>
            </w:tcBorders>
          </w:tcPr>
          <w:p w14:paraId="084927CD" w14:textId="622746EA"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10153</w:t>
            </w:r>
          </w:p>
        </w:tc>
        <w:tc>
          <w:tcPr>
            <w:tcW w:w="506" w:type="pct"/>
            <w:tcBorders>
              <w:top w:val="nil"/>
              <w:left w:val="single" w:sz="4" w:space="0" w:color="auto"/>
              <w:bottom w:val="single" w:sz="4" w:space="0" w:color="auto"/>
              <w:right w:val="single" w:sz="4" w:space="0" w:color="auto"/>
            </w:tcBorders>
            <w:shd w:val="clear" w:color="auto" w:fill="auto"/>
            <w:hideMark/>
          </w:tcPr>
          <w:p w14:paraId="19C1D3D8" w14:textId="6C9E199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Guyana</w:t>
            </w:r>
          </w:p>
        </w:tc>
        <w:tc>
          <w:tcPr>
            <w:tcW w:w="786" w:type="pct"/>
            <w:tcBorders>
              <w:top w:val="nil"/>
              <w:left w:val="nil"/>
              <w:bottom w:val="single" w:sz="4" w:space="0" w:color="auto"/>
              <w:right w:val="single" w:sz="4" w:space="0" w:color="auto"/>
            </w:tcBorders>
            <w:shd w:val="clear" w:color="auto" w:fill="auto"/>
            <w:hideMark/>
          </w:tcPr>
          <w:p w14:paraId="3BE8BC3E" w14:textId="0AB1E60C"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w:t>
            </w:r>
            <w:r w:rsidR="00B5290A"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cale Gold Mining in the </w:t>
            </w:r>
            <w:r w:rsidR="004C0608"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Co-operative Republic of Guyana</w:t>
            </w:r>
          </w:p>
        </w:tc>
        <w:tc>
          <w:tcPr>
            <w:tcW w:w="371" w:type="pct"/>
            <w:tcBorders>
              <w:top w:val="nil"/>
              <w:left w:val="nil"/>
              <w:bottom w:val="single" w:sz="4" w:space="0" w:color="auto"/>
              <w:right w:val="single" w:sz="4" w:space="0" w:color="auto"/>
            </w:tcBorders>
            <w:shd w:val="clear" w:color="auto" w:fill="auto"/>
            <w:hideMark/>
          </w:tcPr>
          <w:p w14:paraId="6A8A67E5"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2AC9B140" w14:textId="1DB0E86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16A1AE82" w14:textId="14F6718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53B064ED" w14:textId="26F63A6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311CBEAD" w14:textId="43EBEB6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6CBBFE0" w14:textId="5D4179C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18CC3B9" w14:textId="488AE3B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503D77C2" w14:textId="0CEBD2C1"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Under </w:t>
            </w:r>
            <w:r w:rsidR="00B5290A" w:rsidRPr="007E7514">
              <w:rPr>
                <w:rFonts w:asciiTheme="minorHAnsi" w:hAnsiTheme="minorHAnsi" w:cstheme="minorHAnsi"/>
                <w:sz w:val="20"/>
                <w:szCs w:val="20"/>
                <w:lang w:val="en-GB"/>
              </w:rPr>
              <w:t>i</w:t>
            </w:r>
            <w:r w:rsidRPr="007E7514">
              <w:rPr>
                <w:rFonts w:asciiTheme="minorHAnsi" w:hAnsiTheme="minorHAnsi" w:cstheme="minorHAnsi"/>
                <w:sz w:val="20"/>
                <w:szCs w:val="20"/>
                <w:lang w:val="en-GB"/>
              </w:rPr>
              <w:t>mplementation</w:t>
            </w:r>
          </w:p>
        </w:tc>
      </w:tr>
      <w:tr w:rsidR="007252BF" w:rsidRPr="007E7514" w14:paraId="67F5F262" w14:textId="77777777" w:rsidTr="007252BF">
        <w:trPr>
          <w:trHeight w:val="1160"/>
        </w:trPr>
        <w:tc>
          <w:tcPr>
            <w:tcW w:w="304" w:type="pct"/>
            <w:tcBorders>
              <w:top w:val="single" w:sz="4" w:space="0" w:color="auto"/>
              <w:left w:val="single" w:sz="4" w:space="0" w:color="auto"/>
              <w:bottom w:val="single" w:sz="4" w:space="0" w:color="auto"/>
              <w:right w:val="single" w:sz="4" w:space="0" w:color="auto"/>
            </w:tcBorders>
          </w:tcPr>
          <w:p w14:paraId="0B10578D" w14:textId="2BFAC9E1"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10310</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5CA15E49" w14:textId="7988AAE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Bolivia</w:t>
            </w:r>
            <w:r w:rsidRPr="007E7514">
              <w:rPr>
                <w:rFonts w:asciiTheme="minorHAnsi" w:hAnsiTheme="minorHAnsi" w:cstheme="minorHAnsi"/>
                <w:color w:val="000000"/>
                <w:sz w:val="20"/>
                <w:szCs w:val="20"/>
                <w:lang w:val="en-GB"/>
              </w:rPr>
              <w:t xml:space="preserve"> (Plurinational State of)</w:t>
            </w:r>
          </w:p>
        </w:tc>
        <w:tc>
          <w:tcPr>
            <w:tcW w:w="786" w:type="pct"/>
            <w:tcBorders>
              <w:top w:val="single" w:sz="4" w:space="0" w:color="auto"/>
              <w:left w:val="nil"/>
              <w:bottom w:val="single" w:sz="4" w:space="0" w:color="auto"/>
              <w:right w:val="single" w:sz="4" w:space="0" w:color="auto"/>
            </w:tcBorders>
            <w:shd w:val="clear" w:color="auto" w:fill="auto"/>
            <w:hideMark/>
          </w:tcPr>
          <w:p w14:paraId="35AB02F1" w14:textId="2C48B016"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w:t>
            </w:r>
            <w:r w:rsidR="00617AD9"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ction </w:t>
            </w:r>
            <w:r w:rsidR="00617AD9" w:rsidRPr="007E7514">
              <w:rPr>
                <w:rFonts w:asciiTheme="minorHAnsi" w:hAnsiTheme="minorHAnsi" w:cstheme="minorHAnsi"/>
                <w:i/>
                <w:iCs/>
                <w:sz w:val="20"/>
                <w:szCs w:val="20"/>
                <w:lang w:val="en-GB"/>
              </w:rPr>
              <w:t>P</w:t>
            </w:r>
            <w:r w:rsidRPr="007E7514">
              <w:rPr>
                <w:rFonts w:asciiTheme="minorHAnsi" w:hAnsiTheme="minorHAnsi" w:cstheme="minorHAnsi"/>
                <w:i/>
                <w:iCs/>
                <w:sz w:val="20"/>
                <w:szCs w:val="20"/>
                <w:lang w:val="en-GB"/>
              </w:rPr>
              <w:t xml:space="preserve">lan in the </w:t>
            </w:r>
            <w:r w:rsidR="00617AD9"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rtisanal and </w:t>
            </w:r>
            <w:r w:rsidR="00617AD9" w:rsidRPr="007E7514">
              <w:rPr>
                <w:rFonts w:asciiTheme="minorHAnsi" w:hAnsiTheme="minorHAnsi" w:cstheme="minorHAnsi"/>
                <w:i/>
                <w:iCs/>
                <w:sz w:val="20"/>
                <w:szCs w:val="20"/>
                <w:lang w:val="en-GB"/>
              </w:rPr>
              <w:br/>
              <w:t>S</w:t>
            </w:r>
            <w:r w:rsidRPr="007E7514">
              <w:rPr>
                <w:rFonts w:asciiTheme="minorHAnsi" w:hAnsiTheme="minorHAnsi" w:cstheme="minorHAnsi"/>
                <w:i/>
                <w:iCs/>
                <w:sz w:val="20"/>
                <w:szCs w:val="20"/>
                <w:lang w:val="en-GB"/>
              </w:rPr>
              <w:t xml:space="preserve">mall-scale </w:t>
            </w:r>
            <w:r w:rsidR="00617AD9" w:rsidRPr="007E7514">
              <w:rPr>
                <w:rFonts w:asciiTheme="minorHAnsi" w:hAnsiTheme="minorHAnsi" w:cstheme="minorHAnsi"/>
                <w:i/>
                <w:iCs/>
                <w:sz w:val="20"/>
                <w:szCs w:val="20"/>
                <w:lang w:val="en-GB"/>
              </w:rPr>
              <w:t>G</w:t>
            </w:r>
            <w:r w:rsidRPr="007E7514">
              <w:rPr>
                <w:rFonts w:asciiTheme="minorHAnsi" w:hAnsiTheme="minorHAnsi" w:cstheme="minorHAnsi"/>
                <w:i/>
                <w:iCs/>
                <w:sz w:val="20"/>
                <w:szCs w:val="20"/>
                <w:lang w:val="en-GB"/>
              </w:rPr>
              <w:t xml:space="preserve">old </w:t>
            </w:r>
            <w:r w:rsidR="00617AD9"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ining </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ector in the Plurinational State of Bolivia</w:t>
            </w:r>
          </w:p>
        </w:tc>
        <w:tc>
          <w:tcPr>
            <w:tcW w:w="371" w:type="pct"/>
            <w:tcBorders>
              <w:top w:val="single" w:sz="4" w:space="0" w:color="auto"/>
              <w:left w:val="nil"/>
              <w:bottom w:val="single" w:sz="4" w:space="0" w:color="auto"/>
              <w:right w:val="single" w:sz="4" w:space="0" w:color="auto"/>
            </w:tcBorders>
            <w:shd w:val="clear" w:color="auto" w:fill="auto"/>
            <w:hideMark/>
          </w:tcPr>
          <w:p w14:paraId="7C9CAB04"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0C0D7FC3" w14:textId="0500312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7CEB112F" w14:textId="40BA23C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60FF44DD" w14:textId="4CBB962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3C01B7D0" w14:textId="75C5640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28F58520" w14:textId="14F3372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6E00D8F1" w14:textId="55E2CA7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31,000 </w:t>
            </w:r>
          </w:p>
        </w:tc>
        <w:tc>
          <w:tcPr>
            <w:tcW w:w="587" w:type="pct"/>
            <w:tcBorders>
              <w:top w:val="single" w:sz="4" w:space="0" w:color="auto"/>
              <w:left w:val="nil"/>
              <w:bottom w:val="single" w:sz="4" w:space="0" w:color="auto"/>
              <w:right w:val="single" w:sz="4" w:space="0" w:color="auto"/>
            </w:tcBorders>
            <w:shd w:val="clear" w:color="auto" w:fill="auto"/>
            <w:hideMark/>
          </w:tcPr>
          <w:p w14:paraId="318F77DC" w14:textId="581E03EC"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01826F7F" w14:textId="77777777" w:rsidTr="007252BF">
        <w:trPr>
          <w:trHeight w:val="1160"/>
        </w:trPr>
        <w:tc>
          <w:tcPr>
            <w:tcW w:w="304" w:type="pct"/>
            <w:tcBorders>
              <w:top w:val="single" w:sz="4" w:space="0" w:color="auto"/>
              <w:left w:val="single" w:sz="4" w:space="0" w:color="auto"/>
              <w:bottom w:val="single" w:sz="4" w:space="0" w:color="auto"/>
              <w:right w:val="single" w:sz="4" w:space="0" w:color="auto"/>
            </w:tcBorders>
          </w:tcPr>
          <w:p w14:paraId="275A5C49" w14:textId="235500A3"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10383</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61609408" w14:textId="37208E9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Côte D'Ivoire</w:t>
            </w:r>
          </w:p>
        </w:tc>
        <w:tc>
          <w:tcPr>
            <w:tcW w:w="786" w:type="pct"/>
            <w:tcBorders>
              <w:top w:val="single" w:sz="4" w:space="0" w:color="auto"/>
              <w:left w:val="nil"/>
              <w:bottom w:val="single" w:sz="4" w:space="0" w:color="auto"/>
              <w:right w:val="single" w:sz="4" w:space="0" w:color="auto"/>
            </w:tcBorders>
            <w:shd w:val="clear" w:color="auto" w:fill="auto"/>
            <w:hideMark/>
          </w:tcPr>
          <w:p w14:paraId="511BEF77" w14:textId="7FF67E0A"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the Artisanal and Small</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Côte D’Ivoire</w:t>
            </w:r>
          </w:p>
        </w:tc>
        <w:tc>
          <w:tcPr>
            <w:tcW w:w="371" w:type="pct"/>
            <w:tcBorders>
              <w:top w:val="single" w:sz="4" w:space="0" w:color="auto"/>
              <w:left w:val="nil"/>
              <w:bottom w:val="single" w:sz="4" w:space="0" w:color="auto"/>
              <w:right w:val="single" w:sz="4" w:space="0" w:color="auto"/>
            </w:tcBorders>
            <w:shd w:val="clear" w:color="auto" w:fill="auto"/>
            <w:hideMark/>
          </w:tcPr>
          <w:p w14:paraId="37BE8C09"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7072FA76" w14:textId="77C2AEE0"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05FF80EC" w14:textId="2423AF0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3601A18C" w14:textId="3884EBF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779F3A18" w14:textId="0146C3E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32849A70" w14:textId="5060CE5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24258DEF" w14:textId="7D249B5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single" w:sz="4" w:space="0" w:color="auto"/>
              <w:left w:val="nil"/>
              <w:bottom w:val="single" w:sz="4" w:space="0" w:color="auto"/>
              <w:right w:val="single" w:sz="4" w:space="0" w:color="auto"/>
            </w:tcBorders>
            <w:shd w:val="clear" w:color="auto" w:fill="auto"/>
            <w:hideMark/>
          </w:tcPr>
          <w:p w14:paraId="4FC2DC18" w14:textId="065239AB"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035F6000" w14:textId="77777777" w:rsidTr="007252BF">
        <w:trPr>
          <w:trHeight w:val="927"/>
        </w:trPr>
        <w:tc>
          <w:tcPr>
            <w:tcW w:w="304" w:type="pct"/>
            <w:tcBorders>
              <w:top w:val="nil"/>
              <w:left w:val="single" w:sz="4" w:space="0" w:color="auto"/>
              <w:bottom w:val="single" w:sz="4" w:space="0" w:color="auto"/>
              <w:right w:val="single" w:sz="4" w:space="0" w:color="auto"/>
            </w:tcBorders>
          </w:tcPr>
          <w:p w14:paraId="3615AD15" w14:textId="31A92E80"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10422</w:t>
            </w:r>
          </w:p>
        </w:tc>
        <w:tc>
          <w:tcPr>
            <w:tcW w:w="506" w:type="pct"/>
            <w:tcBorders>
              <w:top w:val="nil"/>
              <w:left w:val="single" w:sz="4" w:space="0" w:color="auto"/>
              <w:bottom w:val="single" w:sz="4" w:space="0" w:color="auto"/>
              <w:right w:val="single" w:sz="4" w:space="0" w:color="auto"/>
            </w:tcBorders>
            <w:shd w:val="clear" w:color="auto" w:fill="auto"/>
            <w:hideMark/>
          </w:tcPr>
          <w:p w14:paraId="03FC0866" w14:textId="5093183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Mexico</w:t>
            </w:r>
          </w:p>
        </w:tc>
        <w:tc>
          <w:tcPr>
            <w:tcW w:w="786" w:type="pct"/>
            <w:tcBorders>
              <w:top w:val="nil"/>
              <w:left w:val="nil"/>
              <w:bottom w:val="single" w:sz="4" w:space="0" w:color="auto"/>
              <w:right w:val="single" w:sz="4" w:space="0" w:color="auto"/>
            </w:tcBorders>
            <w:shd w:val="clear" w:color="auto" w:fill="auto"/>
            <w:hideMark/>
          </w:tcPr>
          <w:p w14:paraId="76DAD970" w14:textId="5123F3FA"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the Artisanal and Small</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Mexico</w:t>
            </w:r>
          </w:p>
        </w:tc>
        <w:tc>
          <w:tcPr>
            <w:tcW w:w="371" w:type="pct"/>
            <w:tcBorders>
              <w:top w:val="nil"/>
              <w:left w:val="nil"/>
              <w:bottom w:val="single" w:sz="4" w:space="0" w:color="auto"/>
              <w:right w:val="single" w:sz="4" w:space="0" w:color="auto"/>
            </w:tcBorders>
            <w:shd w:val="clear" w:color="auto" w:fill="auto"/>
            <w:hideMark/>
          </w:tcPr>
          <w:p w14:paraId="44D4A5B7"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174C91CF" w14:textId="7A31BB82"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6F826A51" w14:textId="41A75EE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7935A780" w14:textId="623D34B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1A67BFEE" w14:textId="61FE382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93ACCA1" w14:textId="62F9FAE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7FC8F4AE" w14:textId="7EE36AB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5B5FC041" w14:textId="5BC8F2F3"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55273F15" w14:textId="77777777" w:rsidTr="007252BF">
        <w:trPr>
          <w:trHeight w:val="1160"/>
        </w:trPr>
        <w:tc>
          <w:tcPr>
            <w:tcW w:w="304" w:type="pct"/>
            <w:tcBorders>
              <w:top w:val="nil"/>
              <w:left w:val="single" w:sz="4" w:space="0" w:color="auto"/>
              <w:bottom w:val="single" w:sz="4" w:space="0" w:color="auto"/>
              <w:right w:val="single" w:sz="4" w:space="0" w:color="auto"/>
            </w:tcBorders>
          </w:tcPr>
          <w:p w14:paraId="5B8339E2" w14:textId="264598D5"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10423</w:t>
            </w:r>
          </w:p>
        </w:tc>
        <w:tc>
          <w:tcPr>
            <w:tcW w:w="506" w:type="pct"/>
            <w:tcBorders>
              <w:top w:val="nil"/>
              <w:left w:val="single" w:sz="4" w:space="0" w:color="auto"/>
              <w:bottom w:val="single" w:sz="4" w:space="0" w:color="auto"/>
              <w:right w:val="single" w:sz="4" w:space="0" w:color="auto"/>
            </w:tcBorders>
            <w:shd w:val="clear" w:color="auto" w:fill="auto"/>
            <w:hideMark/>
          </w:tcPr>
          <w:p w14:paraId="7CF28011" w14:textId="789DDF0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Costa Rica</w:t>
            </w:r>
          </w:p>
        </w:tc>
        <w:tc>
          <w:tcPr>
            <w:tcW w:w="786" w:type="pct"/>
            <w:tcBorders>
              <w:top w:val="nil"/>
              <w:left w:val="nil"/>
              <w:bottom w:val="single" w:sz="4" w:space="0" w:color="auto"/>
              <w:right w:val="single" w:sz="4" w:space="0" w:color="auto"/>
            </w:tcBorders>
            <w:shd w:val="clear" w:color="auto" w:fill="auto"/>
            <w:hideMark/>
          </w:tcPr>
          <w:p w14:paraId="7E28027C" w14:textId="1F88F081"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the Artisanal and Small</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Costa Rica</w:t>
            </w:r>
          </w:p>
        </w:tc>
        <w:tc>
          <w:tcPr>
            <w:tcW w:w="371" w:type="pct"/>
            <w:tcBorders>
              <w:top w:val="nil"/>
              <w:left w:val="nil"/>
              <w:bottom w:val="single" w:sz="4" w:space="0" w:color="auto"/>
              <w:right w:val="single" w:sz="4" w:space="0" w:color="auto"/>
            </w:tcBorders>
            <w:shd w:val="clear" w:color="auto" w:fill="auto"/>
            <w:hideMark/>
          </w:tcPr>
          <w:p w14:paraId="5FF4480E"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1184307E" w14:textId="739A99F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17451E47" w14:textId="291C380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51A74EBA" w14:textId="1F9A68C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1A84139C" w14:textId="02EC058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57F0F993" w14:textId="5925A04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52A35531" w14:textId="21A8ED9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5F081C01" w14:textId="46341E6C"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2F5FA3F8" w14:textId="77777777" w:rsidTr="007252BF">
        <w:trPr>
          <w:trHeight w:val="1160"/>
        </w:trPr>
        <w:tc>
          <w:tcPr>
            <w:tcW w:w="304" w:type="pct"/>
            <w:tcBorders>
              <w:top w:val="single" w:sz="4" w:space="0" w:color="auto"/>
              <w:left w:val="single" w:sz="4" w:space="0" w:color="auto"/>
              <w:bottom w:val="single" w:sz="4" w:space="0" w:color="auto"/>
              <w:right w:val="single" w:sz="4" w:space="0" w:color="auto"/>
            </w:tcBorders>
          </w:tcPr>
          <w:p w14:paraId="2F898788" w14:textId="579FB22C"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10440</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5DABF7F9" w14:textId="5450819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Cameroon</w:t>
            </w:r>
          </w:p>
        </w:tc>
        <w:tc>
          <w:tcPr>
            <w:tcW w:w="786" w:type="pct"/>
            <w:tcBorders>
              <w:top w:val="single" w:sz="4" w:space="0" w:color="auto"/>
              <w:left w:val="nil"/>
              <w:bottom w:val="single" w:sz="4" w:space="0" w:color="auto"/>
              <w:right w:val="single" w:sz="4" w:space="0" w:color="auto"/>
            </w:tcBorders>
            <w:shd w:val="clear" w:color="auto" w:fill="auto"/>
            <w:hideMark/>
          </w:tcPr>
          <w:p w14:paraId="2954E227" w14:textId="1284B738"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w:t>
            </w:r>
            <w:r w:rsidR="00617AD9"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ction </w:t>
            </w:r>
            <w:r w:rsidR="00617AD9" w:rsidRPr="007E7514">
              <w:rPr>
                <w:rFonts w:asciiTheme="minorHAnsi" w:hAnsiTheme="minorHAnsi" w:cstheme="minorHAnsi"/>
                <w:i/>
                <w:iCs/>
                <w:sz w:val="20"/>
                <w:szCs w:val="20"/>
                <w:lang w:val="en-GB"/>
              </w:rPr>
              <w:t>P</w:t>
            </w:r>
            <w:r w:rsidRPr="007E7514">
              <w:rPr>
                <w:rFonts w:asciiTheme="minorHAnsi" w:hAnsiTheme="minorHAnsi" w:cstheme="minorHAnsi"/>
                <w:i/>
                <w:iCs/>
                <w:sz w:val="20"/>
                <w:szCs w:val="20"/>
                <w:lang w:val="en-GB"/>
              </w:rPr>
              <w:t xml:space="preserve">lan on </w:t>
            </w:r>
            <w:r w:rsidR="00617AD9"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ercury in the </w:t>
            </w:r>
            <w:r w:rsidR="00617AD9"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rtisanal and </w:t>
            </w:r>
            <w:r w:rsidR="009667F4" w:rsidRPr="007E7514">
              <w:rPr>
                <w:rFonts w:asciiTheme="minorHAnsi" w:hAnsiTheme="minorHAnsi" w:cstheme="minorHAnsi"/>
                <w:i/>
                <w:iCs/>
                <w:sz w:val="20"/>
                <w:szCs w:val="20"/>
                <w:lang w:val="en-GB"/>
              </w:rPr>
              <w:br/>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mall-scale </w:t>
            </w:r>
            <w:r w:rsidR="00617AD9" w:rsidRPr="007E7514">
              <w:rPr>
                <w:rFonts w:asciiTheme="minorHAnsi" w:hAnsiTheme="minorHAnsi" w:cstheme="minorHAnsi"/>
                <w:i/>
                <w:iCs/>
                <w:sz w:val="20"/>
                <w:szCs w:val="20"/>
                <w:lang w:val="en-GB"/>
              </w:rPr>
              <w:t>G</w:t>
            </w:r>
            <w:r w:rsidRPr="007E7514">
              <w:rPr>
                <w:rFonts w:asciiTheme="minorHAnsi" w:hAnsiTheme="minorHAnsi" w:cstheme="minorHAnsi"/>
                <w:i/>
                <w:iCs/>
                <w:sz w:val="20"/>
                <w:szCs w:val="20"/>
                <w:lang w:val="en-GB"/>
              </w:rPr>
              <w:t xml:space="preserve">old </w:t>
            </w:r>
            <w:r w:rsidR="00617AD9"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ining </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ector in Cameroon</w:t>
            </w:r>
          </w:p>
        </w:tc>
        <w:tc>
          <w:tcPr>
            <w:tcW w:w="371" w:type="pct"/>
            <w:tcBorders>
              <w:top w:val="single" w:sz="4" w:space="0" w:color="auto"/>
              <w:left w:val="nil"/>
              <w:bottom w:val="single" w:sz="4" w:space="0" w:color="auto"/>
              <w:right w:val="single" w:sz="4" w:space="0" w:color="auto"/>
            </w:tcBorders>
            <w:shd w:val="clear" w:color="auto" w:fill="auto"/>
            <w:hideMark/>
          </w:tcPr>
          <w:p w14:paraId="3874ABB7"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7B17ED91" w14:textId="080AF7DD"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6001C065" w14:textId="67EC117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3E3ED21C" w14:textId="23608E0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0B0F59D6" w14:textId="6AB4345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66F61C2A" w14:textId="286F2AF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0AA364A8" w14:textId="5237C4A3"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46,500 </w:t>
            </w:r>
          </w:p>
        </w:tc>
        <w:tc>
          <w:tcPr>
            <w:tcW w:w="587" w:type="pct"/>
            <w:tcBorders>
              <w:top w:val="single" w:sz="4" w:space="0" w:color="auto"/>
              <w:left w:val="nil"/>
              <w:bottom w:val="single" w:sz="4" w:space="0" w:color="auto"/>
              <w:right w:val="single" w:sz="4" w:space="0" w:color="auto"/>
            </w:tcBorders>
            <w:shd w:val="clear" w:color="auto" w:fill="auto"/>
            <w:hideMark/>
          </w:tcPr>
          <w:p w14:paraId="39593C00" w14:textId="40484EF6"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05C30971" w14:textId="77777777" w:rsidTr="007252BF">
        <w:trPr>
          <w:trHeight w:val="1160"/>
        </w:trPr>
        <w:tc>
          <w:tcPr>
            <w:tcW w:w="304" w:type="pct"/>
            <w:tcBorders>
              <w:top w:val="nil"/>
              <w:left w:val="single" w:sz="4" w:space="0" w:color="auto"/>
              <w:bottom w:val="single" w:sz="4" w:space="0" w:color="auto"/>
              <w:right w:val="single" w:sz="4" w:space="0" w:color="auto"/>
            </w:tcBorders>
          </w:tcPr>
          <w:p w14:paraId="75C51C45" w14:textId="6024B35C"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10448</w:t>
            </w:r>
          </w:p>
        </w:tc>
        <w:tc>
          <w:tcPr>
            <w:tcW w:w="506" w:type="pct"/>
            <w:tcBorders>
              <w:top w:val="nil"/>
              <w:left w:val="single" w:sz="4" w:space="0" w:color="auto"/>
              <w:bottom w:val="single" w:sz="4" w:space="0" w:color="auto"/>
              <w:right w:val="single" w:sz="4" w:space="0" w:color="auto"/>
            </w:tcBorders>
            <w:shd w:val="clear" w:color="auto" w:fill="auto"/>
            <w:hideMark/>
          </w:tcPr>
          <w:p w14:paraId="03221E04" w14:textId="4A212CEB"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Chad</w:t>
            </w:r>
          </w:p>
        </w:tc>
        <w:tc>
          <w:tcPr>
            <w:tcW w:w="786" w:type="pct"/>
            <w:tcBorders>
              <w:top w:val="nil"/>
              <w:left w:val="nil"/>
              <w:bottom w:val="single" w:sz="4" w:space="0" w:color="auto"/>
              <w:right w:val="single" w:sz="4" w:space="0" w:color="auto"/>
            </w:tcBorders>
            <w:shd w:val="clear" w:color="auto" w:fill="auto"/>
            <w:hideMark/>
          </w:tcPr>
          <w:p w14:paraId="4EE6266A" w14:textId="75E56FAA"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Chad</w:t>
            </w:r>
          </w:p>
        </w:tc>
        <w:tc>
          <w:tcPr>
            <w:tcW w:w="371" w:type="pct"/>
            <w:tcBorders>
              <w:top w:val="nil"/>
              <w:left w:val="nil"/>
              <w:bottom w:val="single" w:sz="4" w:space="0" w:color="auto"/>
              <w:right w:val="single" w:sz="4" w:space="0" w:color="auto"/>
            </w:tcBorders>
            <w:shd w:val="clear" w:color="auto" w:fill="auto"/>
            <w:hideMark/>
          </w:tcPr>
          <w:p w14:paraId="6E5C9BBB"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374A50C2" w14:textId="7BA0716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390902C3" w14:textId="740E6F8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29BBB5FA" w14:textId="3BA1AC4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21410812" w14:textId="7A1A320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56DF629E" w14:textId="5A5FE6A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52D73D8F" w14:textId="1469A22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 </w:t>
            </w:r>
          </w:p>
        </w:tc>
        <w:tc>
          <w:tcPr>
            <w:tcW w:w="587" w:type="pct"/>
            <w:tcBorders>
              <w:top w:val="nil"/>
              <w:left w:val="nil"/>
              <w:bottom w:val="single" w:sz="4" w:space="0" w:color="auto"/>
              <w:right w:val="single" w:sz="4" w:space="0" w:color="auto"/>
            </w:tcBorders>
            <w:shd w:val="clear" w:color="auto" w:fill="auto"/>
            <w:hideMark/>
          </w:tcPr>
          <w:p w14:paraId="266181F3" w14:textId="68CC25E2"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688DD4FF" w14:textId="77777777" w:rsidTr="007252BF">
        <w:trPr>
          <w:trHeight w:val="932"/>
        </w:trPr>
        <w:tc>
          <w:tcPr>
            <w:tcW w:w="304" w:type="pct"/>
            <w:tcBorders>
              <w:top w:val="nil"/>
              <w:left w:val="single" w:sz="4" w:space="0" w:color="auto"/>
              <w:bottom w:val="single" w:sz="4" w:space="0" w:color="auto"/>
              <w:right w:val="single" w:sz="4" w:space="0" w:color="auto"/>
            </w:tcBorders>
          </w:tcPr>
          <w:p w14:paraId="46DFEE5F" w14:textId="57FFCF0B"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10527</w:t>
            </w:r>
          </w:p>
        </w:tc>
        <w:tc>
          <w:tcPr>
            <w:tcW w:w="506" w:type="pct"/>
            <w:tcBorders>
              <w:top w:val="nil"/>
              <w:left w:val="single" w:sz="4" w:space="0" w:color="auto"/>
              <w:bottom w:val="single" w:sz="4" w:space="0" w:color="auto"/>
              <w:right w:val="single" w:sz="4" w:space="0" w:color="auto"/>
            </w:tcBorders>
            <w:shd w:val="clear" w:color="auto" w:fill="auto"/>
            <w:hideMark/>
          </w:tcPr>
          <w:p w14:paraId="264DF670" w14:textId="25DA684C"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Togo</w:t>
            </w:r>
          </w:p>
        </w:tc>
        <w:tc>
          <w:tcPr>
            <w:tcW w:w="786" w:type="pct"/>
            <w:tcBorders>
              <w:top w:val="nil"/>
              <w:left w:val="nil"/>
              <w:bottom w:val="single" w:sz="4" w:space="0" w:color="auto"/>
              <w:right w:val="single" w:sz="4" w:space="0" w:color="auto"/>
            </w:tcBorders>
            <w:shd w:val="clear" w:color="auto" w:fill="auto"/>
            <w:hideMark/>
          </w:tcPr>
          <w:p w14:paraId="17F3FDFB" w14:textId="72CB900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National Action Plan for Artisanal and Small-</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cale Gold Mining in Togo</w:t>
            </w:r>
          </w:p>
        </w:tc>
        <w:tc>
          <w:tcPr>
            <w:tcW w:w="371" w:type="pct"/>
            <w:tcBorders>
              <w:top w:val="nil"/>
              <w:left w:val="nil"/>
              <w:bottom w:val="single" w:sz="4" w:space="0" w:color="auto"/>
              <w:right w:val="single" w:sz="4" w:space="0" w:color="auto"/>
            </w:tcBorders>
            <w:shd w:val="clear" w:color="auto" w:fill="auto"/>
            <w:hideMark/>
          </w:tcPr>
          <w:p w14:paraId="0663511E"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417D0F58" w14:textId="25976476"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75C2735D" w14:textId="78636452"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3FD0B32B" w14:textId="4267B23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nil"/>
              <w:left w:val="nil"/>
              <w:bottom w:val="single" w:sz="4" w:space="0" w:color="auto"/>
              <w:right w:val="single" w:sz="4" w:space="0" w:color="auto"/>
            </w:tcBorders>
            <w:shd w:val="clear" w:color="auto" w:fill="auto"/>
            <w:hideMark/>
          </w:tcPr>
          <w:p w14:paraId="4476402D" w14:textId="173C33EA"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788EA19" w14:textId="3D87F580"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2A897C34" w14:textId="6497C0D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776E966D" w14:textId="066BC607"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5163234D" w14:textId="77777777" w:rsidTr="007252BF">
        <w:trPr>
          <w:trHeight w:val="580"/>
        </w:trPr>
        <w:tc>
          <w:tcPr>
            <w:tcW w:w="304" w:type="pct"/>
            <w:tcBorders>
              <w:top w:val="nil"/>
              <w:left w:val="single" w:sz="4" w:space="0" w:color="auto"/>
              <w:bottom w:val="single" w:sz="4" w:space="0" w:color="auto"/>
              <w:right w:val="single" w:sz="4" w:space="0" w:color="auto"/>
            </w:tcBorders>
          </w:tcPr>
          <w:p w14:paraId="02D454D9" w14:textId="452A5DEF"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10582</w:t>
            </w:r>
          </w:p>
        </w:tc>
        <w:tc>
          <w:tcPr>
            <w:tcW w:w="506" w:type="pct"/>
            <w:tcBorders>
              <w:top w:val="nil"/>
              <w:left w:val="single" w:sz="4" w:space="0" w:color="auto"/>
              <w:bottom w:val="single" w:sz="4" w:space="0" w:color="auto"/>
              <w:right w:val="single" w:sz="4" w:space="0" w:color="auto"/>
            </w:tcBorders>
            <w:shd w:val="clear" w:color="auto" w:fill="auto"/>
            <w:hideMark/>
          </w:tcPr>
          <w:p w14:paraId="24312F27" w14:textId="17C88649"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Tuvalu</w:t>
            </w:r>
          </w:p>
        </w:tc>
        <w:tc>
          <w:tcPr>
            <w:tcW w:w="786" w:type="pct"/>
            <w:tcBorders>
              <w:top w:val="nil"/>
              <w:left w:val="nil"/>
              <w:bottom w:val="single" w:sz="4" w:space="0" w:color="auto"/>
              <w:right w:val="single" w:sz="4" w:space="0" w:color="auto"/>
            </w:tcBorders>
            <w:shd w:val="clear" w:color="auto" w:fill="auto"/>
            <w:hideMark/>
          </w:tcPr>
          <w:p w14:paraId="0DEAAFF5"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Tuvalu</w:t>
            </w:r>
          </w:p>
        </w:tc>
        <w:tc>
          <w:tcPr>
            <w:tcW w:w="371" w:type="pct"/>
            <w:tcBorders>
              <w:top w:val="nil"/>
              <w:left w:val="nil"/>
              <w:bottom w:val="single" w:sz="4" w:space="0" w:color="auto"/>
              <w:right w:val="single" w:sz="4" w:space="0" w:color="auto"/>
            </w:tcBorders>
            <w:shd w:val="clear" w:color="auto" w:fill="auto"/>
            <w:hideMark/>
          </w:tcPr>
          <w:p w14:paraId="7F6CF3BC"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5F8E9BA9" w14:textId="603B1348"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7CF68CA4" w14:textId="3F79A6F9"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125,000 </w:t>
            </w:r>
          </w:p>
        </w:tc>
        <w:tc>
          <w:tcPr>
            <w:tcW w:w="426" w:type="pct"/>
            <w:tcBorders>
              <w:top w:val="nil"/>
              <w:left w:val="nil"/>
              <w:bottom w:val="single" w:sz="4" w:space="0" w:color="auto"/>
              <w:right w:val="single" w:sz="4" w:space="0" w:color="auto"/>
            </w:tcBorders>
            <w:shd w:val="clear" w:color="auto" w:fill="auto"/>
            <w:hideMark/>
          </w:tcPr>
          <w:p w14:paraId="197E5F26" w14:textId="3EF4696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11,875 </w:t>
            </w:r>
          </w:p>
        </w:tc>
        <w:tc>
          <w:tcPr>
            <w:tcW w:w="426" w:type="pct"/>
            <w:tcBorders>
              <w:top w:val="nil"/>
              <w:left w:val="nil"/>
              <w:bottom w:val="single" w:sz="4" w:space="0" w:color="auto"/>
              <w:right w:val="single" w:sz="4" w:space="0" w:color="auto"/>
            </w:tcBorders>
            <w:shd w:val="clear" w:color="auto" w:fill="auto"/>
            <w:hideMark/>
          </w:tcPr>
          <w:p w14:paraId="2014FA1E" w14:textId="627645FC"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5FCC050C" w14:textId="6BE19A95"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30EA8762" w14:textId="05C4DAD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30589544" w14:textId="4DA3DB25"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5F05F101" w14:textId="77777777" w:rsidTr="007252BF">
        <w:trPr>
          <w:trHeight w:val="870"/>
        </w:trPr>
        <w:tc>
          <w:tcPr>
            <w:tcW w:w="304" w:type="pct"/>
            <w:tcBorders>
              <w:top w:val="nil"/>
              <w:left w:val="single" w:sz="4" w:space="0" w:color="auto"/>
              <w:bottom w:val="single" w:sz="4" w:space="0" w:color="auto"/>
              <w:right w:val="single" w:sz="4" w:space="0" w:color="auto"/>
            </w:tcBorders>
          </w:tcPr>
          <w:p w14:paraId="55C6E8EF" w14:textId="7853E22A"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10585</w:t>
            </w:r>
          </w:p>
        </w:tc>
        <w:tc>
          <w:tcPr>
            <w:tcW w:w="506" w:type="pct"/>
            <w:tcBorders>
              <w:top w:val="nil"/>
              <w:left w:val="single" w:sz="4" w:space="0" w:color="auto"/>
              <w:bottom w:val="single" w:sz="4" w:space="0" w:color="auto"/>
              <w:right w:val="single" w:sz="4" w:space="0" w:color="auto"/>
            </w:tcBorders>
            <w:shd w:val="clear" w:color="auto" w:fill="auto"/>
            <w:hideMark/>
          </w:tcPr>
          <w:p w14:paraId="634E1364" w14:textId="26C7B06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Bahamas</w:t>
            </w:r>
          </w:p>
        </w:tc>
        <w:tc>
          <w:tcPr>
            <w:tcW w:w="786" w:type="pct"/>
            <w:tcBorders>
              <w:top w:val="nil"/>
              <w:left w:val="nil"/>
              <w:bottom w:val="single" w:sz="4" w:space="0" w:color="auto"/>
              <w:right w:val="single" w:sz="4" w:space="0" w:color="auto"/>
            </w:tcBorders>
            <w:shd w:val="clear" w:color="auto" w:fill="auto"/>
            <w:hideMark/>
          </w:tcPr>
          <w:p w14:paraId="454ADC0A"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The Bahamas</w:t>
            </w:r>
          </w:p>
        </w:tc>
        <w:tc>
          <w:tcPr>
            <w:tcW w:w="371" w:type="pct"/>
            <w:tcBorders>
              <w:top w:val="nil"/>
              <w:left w:val="nil"/>
              <w:bottom w:val="single" w:sz="4" w:space="0" w:color="auto"/>
              <w:right w:val="single" w:sz="4" w:space="0" w:color="auto"/>
            </w:tcBorders>
            <w:shd w:val="clear" w:color="auto" w:fill="auto"/>
            <w:hideMark/>
          </w:tcPr>
          <w:p w14:paraId="63E83702"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51AE98FB" w14:textId="4E3600DE"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322FA7D5" w14:textId="1E191008"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150,000 </w:t>
            </w:r>
          </w:p>
        </w:tc>
        <w:tc>
          <w:tcPr>
            <w:tcW w:w="426" w:type="pct"/>
            <w:tcBorders>
              <w:top w:val="nil"/>
              <w:left w:val="nil"/>
              <w:bottom w:val="single" w:sz="4" w:space="0" w:color="auto"/>
              <w:right w:val="single" w:sz="4" w:space="0" w:color="auto"/>
            </w:tcBorders>
            <w:shd w:val="clear" w:color="auto" w:fill="auto"/>
            <w:hideMark/>
          </w:tcPr>
          <w:p w14:paraId="69465744" w14:textId="2C54062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14,250 </w:t>
            </w:r>
          </w:p>
        </w:tc>
        <w:tc>
          <w:tcPr>
            <w:tcW w:w="426" w:type="pct"/>
            <w:tcBorders>
              <w:top w:val="nil"/>
              <w:left w:val="nil"/>
              <w:bottom w:val="single" w:sz="4" w:space="0" w:color="auto"/>
              <w:right w:val="single" w:sz="4" w:space="0" w:color="auto"/>
            </w:tcBorders>
            <w:shd w:val="clear" w:color="auto" w:fill="auto"/>
            <w:hideMark/>
          </w:tcPr>
          <w:p w14:paraId="4A8EB115" w14:textId="4FA3421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5F2C4340" w14:textId="26B3EC5D"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01CD92C" w14:textId="54AAC89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2DC44E8B" w14:textId="00F1AA9F"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3352082B" w14:textId="77777777" w:rsidTr="007252BF">
        <w:trPr>
          <w:trHeight w:val="1450"/>
        </w:trPr>
        <w:tc>
          <w:tcPr>
            <w:tcW w:w="304" w:type="pct"/>
            <w:tcBorders>
              <w:top w:val="nil"/>
              <w:left w:val="single" w:sz="4" w:space="0" w:color="auto"/>
              <w:bottom w:val="single" w:sz="4" w:space="0" w:color="auto"/>
              <w:right w:val="single" w:sz="4" w:space="0" w:color="auto"/>
            </w:tcBorders>
          </w:tcPr>
          <w:p w14:paraId="035B4934" w14:textId="4E6D12E1"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10631</w:t>
            </w:r>
          </w:p>
        </w:tc>
        <w:tc>
          <w:tcPr>
            <w:tcW w:w="506" w:type="pct"/>
            <w:tcBorders>
              <w:top w:val="nil"/>
              <w:left w:val="single" w:sz="4" w:space="0" w:color="auto"/>
              <w:bottom w:val="single" w:sz="4" w:space="0" w:color="auto"/>
              <w:right w:val="single" w:sz="4" w:space="0" w:color="auto"/>
            </w:tcBorders>
            <w:shd w:val="clear" w:color="auto" w:fill="auto"/>
            <w:hideMark/>
          </w:tcPr>
          <w:p w14:paraId="01FB8A49" w14:textId="4AE30C4A"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Afghanistan</w:t>
            </w:r>
          </w:p>
        </w:tc>
        <w:tc>
          <w:tcPr>
            <w:tcW w:w="786" w:type="pct"/>
            <w:tcBorders>
              <w:top w:val="nil"/>
              <w:left w:val="nil"/>
              <w:bottom w:val="single" w:sz="4" w:space="0" w:color="auto"/>
              <w:right w:val="single" w:sz="4" w:space="0" w:color="auto"/>
            </w:tcBorders>
            <w:shd w:val="clear" w:color="auto" w:fill="auto"/>
            <w:hideMark/>
          </w:tcPr>
          <w:p w14:paraId="29F4BA9C" w14:textId="287A9621"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Minamata </w:t>
            </w:r>
            <w:r w:rsidR="00617AD9" w:rsidRPr="007E7514">
              <w:rPr>
                <w:rFonts w:asciiTheme="minorHAnsi" w:hAnsiTheme="minorHAnsi" w:cstheme="minorHAnsi"/>
                <w:i/>
                <w:iCs/>
                <w:sz w:val="20"/>
                <w:szCs w:val="20"/>
                <w:lang w:val="en-GB"/>
              </w:rPr>
              <w:t>I</w:t>
            </w:r>
            <w:r w:rsidRPr="007E7514">
              <w:rPr>
                <w:rFonts w:asciiTheme="minorHAnsi" w:hAnsiTheme="minorHAnsi" w:cstheme="minorHAnsi"/>
                <w:i/>
                <w:iCs/>
                <w:sz w:val="20"/>
                <w:szCs w:val="20"/>
                <w:lang w:val="en-GB"/>
              </w:rPr>
              <w:t xml:space="preserve">nitial </w:t>
            </w:r>
            <w:r w:rsidR="00617AD9"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ssessment and </w:t>
            </w:r>
            <w:r w:rsidR="00617AD9" w:rsidRPr="007E7514">
              <w:rPr>
                <w:rFonts w:asciiTheme="minorHAnsi" w:hAnsiTheme="minorHAnsi" w:cstheme="minorHAnsi"/>
                <w:i/>
                <w:iCs/>
                <w:sz w:val="20"/>
                <w:szCs w:val="20"/>
                <w:lang w:val="en-GB"/>
              </w:rPr>
              <w:t>N</w:t>
            </w:r>
            <w:r w:rsidRPr="007E7514">
              <w:rPr>
                <w:rFonts w:asciiTheme="minorHAnsi" w:hAnsiTheme="minorHAnsi" w:cstheme="minorHAnsi"/>
                <w:i/>
                <w:iCs/>
                <w:sz w:val="20"/>
                <w:szCs w:val="20"/>
                <w:lang w:val="en-GB"/>
              </w:rPr>
              <w:t xml:space="preserve">ational </w:t>
            </w:r>
            <w:r w:rsidR="00617AD9"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ction </w:t>
            </w:r>
            <w:r w:rsidR="00617AD9" w:rsidRPr="007E7514">
              <w:rPr>
                <w:rFonts w:asciiTheme="minorHAnsi" w:hAnsiTheme="minorHAnsi" w:cstheme="minorHAnsi"/>
                <w:i/>
                <w:iCs/>
                <w:sz w:val="20"/>
                <w:szCs w:val="20"/>
                <w:lang w:val="en-GB"/>
              </w:rPr>
              <w:t>P</w:t>
            </w:r>
            <w:r w:rsidRPr="007E7514">
              <w:rPr>
                <w:rFonts w:asciiTheme="minorHAnsi" w:hAnsiTheme="minorHAnsi" w:cstheme="minorHAnsi"/>
                <w:i/>
                <w:iCs/>
                <w:sz w:val="20"/>
                <w:szCs w:val="20"/>
                <w:lang w:val="en-GB"/>
              </w:rPr>
              <w:t xml:space="preserve">lan for the </w:t>
            </w:r>
            <w:r w:rsidR="00617AD9" w:rsidRPr="007E7514">
              <w:rPr>
                <w:rFonts w:asciiTheme="minorHAnsi" w:hAnsiTheme="minorHAnsi" w:cstheme="minorHAnsi"/>
                <w:i/>
                <w:iCs/>
                <w:sz w:val="20"/>
                <w:szCs w:val="20"/>
                <w:lang w:val="en-GB"/>
              </w:rPr>
              <w:t>A</w:t>
            </w:r>
            <w:r w:rsidRPr="007E7514">
              <w:rPr>
                <w:rFonts w:asciiTheme="minorHAnsi" w:hAnsiTheme="minorHAnsi" w:cstheme="minorHAnsi"/>
                <w:i/>
                <w:iCs/>
                <w:sz w:val="20"/>
                <w:szCs w:val="20"/>
                <w:lang w:val="en-GB"/>
              </w:rPr>
              <w:t xml:space="preserve">rtisanal and </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mall-scale </w:t>
            </w:r>
            <w:r w:rsidR="00617AD9" w:rsidRPr="007E7514">
              <w:rPr>
                <w:rFonts w:asciiTheme="minorHAnsi" w:hAnsiTheme="minorHAnsi" w:cstheme="minorHAnsi"/>
                <w:i/>
                <w:iCs/>
                <w:sz w:val="20"/>
                <w:szCs w:val="20"/>
                <w:lang w:val="en-GB"/>
              </w:rPr>
              <w:t>G</w:t>
            </w:r>
            <w:r w:rsidRPr="007E7514">
              <w:rPr>
                <w:rFonts w:asciiTheme="minorHAnsi" w:hAnsiTheme="minorHAnsi" w:cstheme="minorHAnsi"/>
                <w:i/>
                <w:iCs/>
                <w:sz w:val="20"/>
                <w:szCs w:val="20"/>
                <w:lang w:val="en-GB"/>
              </w:rPr>
              <w:t xml:space="preserve">old </w:t>
            </w:r>
            <w:r w:rsidR="00617AD9"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 xml:space="preserve">ining </w:t>
            </w:r>
            <w:r w:rsidR="00617AD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ector in Afghanistan</w:t>
            </w:r>
          </w:p>
        </w:tc>
        <w:tc>
          <w:tcPr>
            <w:tcW w:w="371" w:type="pct"/>
            <w:tcBorders>
              <w:top w:val="nil"/>
              <w:left w:val="nil"/>
              <w:bottom w:val="single" w:sz="4" w:space="0" w:color="auto"/>
              <w:right w:val="single" w:sz="4" w:space="0" w:color="auto"/>
            </w:tcBorders>
            <w:shd w:val="clear" w:color="auto" w:fill="auto"/>
            <w:hideMark/>
          </w:tcPr>
          <w:p w14:paraId="2CA7ACF8"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nil"/>
              <w:left w:val="nil"/>
              <w:bottom w:val="single" w:sz="4" w:space="0" w:color="auto"/>
              <w:right w:val="single" w:sz="4" w:space="0" w:color="auto"/>
            </w:tcBorders>
            <w:shd w:val="clear" w:color="auto" w:fill="auto"/>
            <w:hideMark/>
          </w:tcPr>
          <w:p w14:paraId="15F42B0F" w14:textId="1A920963"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5324A93A" w14:textId="3188076E"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700,000 </w:t>
            </w:r>
          </w:p>
        </w:tc>
        <w:tc>
          <w:tcPr>
            <w:tcW w:w="426" w:type="pct"/>
            <w:tcBorders>
              <w:top w:val="nil"/>
              <w:left w:val="nil"/>
              <w:bottom w:val="single" w:sz="4" w:space="0" w:color="auto"/>
              <w:right w:val="single" w:sz="4" w:space="0" w:color="auto"/>
            </w:tcBorders>
            <w:shd w:val="clear" w:color="auto" w:fill="auto"/>
            <w:hideMark/>
          </w:tcPr>
          <w:p w14:paraId="407CFA8D" w14:textId="4DB1B18B"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66,500 </w:t>
            </w:r>
          </w:p>
        </w:tc>
        <w:tc>
          <w:tcPr>
            <w:tcW w:w="426" w:type="pct"/>
            <w:tcBorders>
              <w:top w:val="nil"/>
              <w:left w:val="nil"/>
              <w:bottom w:val="single" w:sz="4" w:space="0" w:color="auto"/>
              <w:right w:val="single" w:sz="4" w:space="0" w:color="auto"/>
            </w:tcBorders>
            <w:shd w:val="clear" w:color="auto" w:fill="auto"/>
            <w:hideMark/>
          </w:tcPr>
          <w:p w14:paraId="15A4BCF4" w14:textId="160D491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6BF1AC49" w14:textId="397CAD3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316B6FF2" w14:textId="5CF0BD54"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30,000 </w:t>
            </w:r>
          </w:p>
        </w:tc>
        <w:tc>
          <w:tcPr>
            <w:tcW w:w="587" w:type="pct"/>
            <w:tcBorders>
              <w:top w:val="nil"/>
              <w:left w:val="nil"/>
              <w:bottom w:val="single" w:sz="4" w:space="0" w:color="auto"/>
              <w:right w:val="single" w:sz="4" w:space="0" w:color="auto"/>
            </w:tcBorders>
            <w:shd w:val="clear" w:color="auto" w:fill="auto"/>
            <w:hideMark/>
          </w:tcPr>
          <w:p w14:paraId="01B26179" w14:textId="63C7A242"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41E42B1F" w14:textId="77777777" w:rsidTr="007252BF">
        <w:trPr>
          <w:trHeight w:val="580"/>
        </w:trPr>
        <w:tc>
          <w:tcPr>
            <w:tcW w:w="304" w:type="pct"/>
            <w:tcBorders>
              <w:top w:val="nil"/>
              <w:left w:val="single" w:sz="4" w:space="0" w:color="auto"/>
              <w:bottom w:val="single" w:sz="4" w:space="0" w:color="auto"/>
              <w:right w:val="single" w:sz="4" w:space="0" w:color="auto"/>
            </w:tcBorders>
          </w:tcPr>
          <w:p w14:paraId="7C41EE43" w14:textId="3FAC1598" w:rsidR="000E404C" w:rsidRPr="007E7514" w:rsidRDefault="00AE71D5"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10652</w:t>
            </w:r>
          </w:p>
        </w:tc>
        <w:tc>
          <w:tcPr>
            <w:tcW w:w="506" w:type="pct"/>
            <w:tcBorders>
              <w:top w:val="nil"/>
              <w:left w:val="single" w:sz="4" w:space="0" w:color="auto"/>
              <w:bottom w:val="single" w:sz="4" w:space="0" w:color="auto"/>
              <w:right w:val="single" w:sz="4" w:space="0" w:color="auto"/>
            </w:tcBorders>
            <w:shd w:val="clear" w:color="auto" w:fill="auto"/>
            <w:hideMark/>
          </w:tcPr>
          <w:p w14:paraId="6D102FB7" w14:textId="60140CF5"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Cuba</w:t>
            </w:r>
          </w:p>
        </w:tc>
        <w:tc>
          <w:tcPr>
            <w:tcW w:w="786" w:type="pct"/>
            <w:tcBorders>
              <w:top w:val="nil"/>
              <w:left w:val="nil"/>
              <w:bottom w:val="single" w:sz="4" w:space="0" w:color="auto"/>
              <w:right w:val="single" w:sz="4" w:space="0" w:color="auto"/>
            </w:tcBorders>
            <w:shd w:val="clear" w:color="auto" w:fill="auto"/>
            <w:hideMark/>
          </w:tcPr>
          <w:p w14:paraId="21036503" w14:textId="77777777" w:rsidR="000E404C" w:rsidRPr="007E7514" w:rsidRDefault="000E404C" w:rsidP="009231E2">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Development of Minamata Initial Assessment in Cuba</w:t>
            </w:r>
          </w:p>
        </w:tc>
        <w:tc>
          <w:tcPr>
            <w:tcW w:w="371" w:type="pct"/>
            <w:tcBorders>
              <w:top w:val="nil"/>
              <w:left w:val="nil"/>
              <w:bottom w:val="single" w:sz="4" w:space="0" w:color="auto"/>
              <w:right w:val="single" w:sz="4" w:space="0" w:color="auto"/>
            </w:tcBorders>
            <w:shd w:val="clear" w:color="auto" w:fill="auto"/>
            <w:hideMark/>
          </w:tcPr>
          <w:p w14:paraId="1A46DC5D" w14:textId="77777777"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006353BA" w14:textId="6E5DFB3F" w:rsidR="000E404C" w:rsidRPr="007E7514" w:rsidRDefault="000E404C"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7D8FC668" w14:textId="40792F26"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210,000 </w:t>
            </w:r>
          </w:p>
        </w:tc>
        <w:tc>
          <w:tcPr>
            <w:tcW w:w="426" w:type="pct"/>
            <w:tcBorders>
              <w:top w:val="nil"/>
              <w:left w:val="nil"/>
              <w:bottom w:val="single" w:sz="4" w:space="0" w:color="auto"/>
              <w:right w:val="single" w:sz="4" w:space="0" w:color="auto"/>
            </w:tcBorders>
            <w:shd w:val="clear" w:color="auto" w:fill="auto"/>
            <w:hideMark/>
          </w:tcPr>
          <w:p w14:paraId="0FBB7AB2" w14:textId="127E4E71"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19,950 </w:t>
            </w:r>
          </w:p>
        </w:tc>
        <w:tc>
          <w:tcPr>
            <w:tcW w:w="426" w:type="pct"/>
            <w:tcBorders>
              <w:top w:val="nil"/>
              <w:left w:val="nil"/>
              <w:bottom w:val="single" w:sz="4" w:space="0" w:color="auto"/>
              <w:right w:val="single" w:sz="4" w:space="0" w:color="auto"/>
            </w:tcBorders>
            <w:shd w:val="clear" w:color="auto" w:fill="auto"/>
            <w:hideMark/>
          </w:tcPr>
          <w:p w14:paraId="265ECAB8" w14:textId="463ABBD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1D93B655" w14:textId="078D92B7"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46C6AB47" w14:textId="6C52264F" w:rsidR="000E404C" w:rsidRPr="007E7514" w:rsidRDefault="000E404C" w:rsidP="004227CA">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587" w:type="pct"/>
            <w:tcBorders>
              <w:top w:val="nil"/>
              <w:left w:val="nil"/>
              <w:bottom w:val="single" w:sz="4" w:space="0" w:color="auto"/>
              <w:right w:val="single" w:sz="4" w:space="0" w:color="auto"/>
            </w:tcBorders>
            <w:shd w:val="clear" w:color="auto" w:fill="auto"/>
            <w:hideMark/>
          </w:tcPr>
          <w:p w14:paraId="4EA598CF" w14:textId="6FDFA487" w:rsidR="000E404C" w:rsidRPr="007E7514" w:rsidRDefault="00C1296A" w:rsidP="009231E2">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0E404C" w:rsidRPr="007E7514" w14:paraId="5BC22532" w14:textId="77777777" w:rsidTr="009667F4">
        <w:trPr>
          <w:trHeight w:val="274"/>
        </w:trPr>
        <w:tc>
          <w:tcPr>
            <w:tcW w:w="304" w:type="pct"/>
            <w:tcBorders>
              <w:top w:val="nil"/>
              <w:left w:val="single" w:sz="4" w:space="0" w:color="auto"/>
              <w:bottom w:val="single" w:sz="4" w:space="0" w:color="auto"/>
              <w:right w:val="single" w:sz="4" w:space="0" w:color="auto"/>
            </w:tcBorders>
          </w:tcPr>
          <w:p w14:paraId="2DD4D677" w14:textId="77777777" w:rsidR="000E404C" w:rsidRPr="007E7514" w:rsidRDefault="000E404C" w:rsidP="009231E2">
            <w:pPr>
              <w:rPr>
                <w:rFonts w:asciiTheme="minorHAnsi" w:hAnsiTheme="minorHAnsi" w:cstheme="minorHAnsi"/>
                <w:b/>
                <w:bCs/>
                <w:sz w:val="20"/>
                <w:szCs w:val="20"/>
                <w:lang w:val="en-GB"/>
              </w:rPr>
            </w:pPr>
          </w:p>
        </w:tc>
        <w:tc>
          <w:tcPr>
            <w:tcW w:w="4696" w:type="pct"/>
            <w:gridSpan w:val="10"/>
            <w:tcBorders>
              <w:top w:val="nil"/>
              <w:left w:val="single" w:sz="4" w:space="0" w:color="auto"/>
              <w:bottom w:val="single" w:sz="4" w:space="0" w:color="auto"/>
              <w:right w:val="single" w:sz="4" w:space="0" w:color="auto"/>
            </w:tcBorders>
            <w:shd w:val="clear" w:color="auto" w:fill="auto"/>
          </w:tcPr>
          <w:p w14:paraId="48A4223C" w14:textId="085E89B0" w:rsidR="000E404C" w:rsidRPr="007E7514" w:rsidRDefault="000E404C" w:rsidP="009231E2">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Full-sized projects</w:t>
            </w:r>
          </w:p>
        </w:tc>
      </w:tr>
      <w:tr w:rsidR="007252BF" w:rsidRPr="007E7514" w14:paraId="529F6D76" w14:textId="77777777" w:rsidTr="007252BF">
        <w:trPr>
          <w:trHeight w:val="1565"/>
        </w:trPr>
        <w:tc>
          <w:tcPr>
            <w:tcW w:w="304" w:type="pct"/>
            <w:tcBorders>
              <w:top w:val="single" w:sz="4" w:space="0" w:color="auto"/>
              <w:left w:val="single" w:sz="4" w:space="0" w:color="auto"/>
              <w:bottom w:val="single" w:sz="4" w:space="0" w:color="auto"/>
              <w:right w:val="single" w:sz="4" w:space="0" w:color="auto"/>
            </w:tcBorders>
          </w:tcPr>
          <w:p w14:paraId="1F77A6CE" w14:textId="5ADDE4C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6921</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4C46EC86" w14:textId="0D9F16D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China</w:t>
            </w:r>
          </w:p>
        </w:tc>
        <w:tc>
          <w:tcPr>
            <w:tcW w:w="786" w:type="pct"/>
            <w:tcBorders>
              <w:top w:val="single" w:sz="4" w:space="0" w:color="auto"/>
              <w:left w:val="nil"/>
              <w:bottom w:val="single" w:sz="4" w:space="0" w:color="auto"/>
              <w:right w:val="single" w:sz="4" w:space="0" w:color="auto"/>
            </w:tcBorders>
            <w:shd w:val="clear" w:color="auto" w:fill="auto"/>
          </w:tcPr>
          <w:p w14:paraId="57ECB9A7" w14:textId="2B3B05F3"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Demonstration of Mercury Reduction and Minimization in the Production of Vinyl Chloride Monomer in China</w:t>
            </w:r>
          </w:p>
        </w:tc>
        <w:tc>
          <w:tcPr>
            <w:tcW w:w="371" w:type="pct"/>
            <w:tcBorders>
              <w:top w:val="single" w:sz="4" w:space="0" w:color="auto"/>
              <w:left w:val="nil"/>
              <w:bottom w:val="single" w:sz="4" w:space="0" w:color="auto"/>
              <w:right w:val="single" w:sz="4" w:space="0" w:color="auto"/>
            </w:tcBorders>
            <w:shd w:val="clear" w:color="auto" w:fill="auto"/>
          </w:tcPr>
          <w:p w14:paraId="2F9B27DE" w14:textId="126013B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tcPr>
          <w:p w14:paraId="6E552E36" w14:textId="0AE0540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tcPr>
          <w:p w14:paraId="54DAC128" w14:textId="5B046B8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16,200,000 </w:t>
            </w:r>
          </w:p>
        </w:tc>
        <w:tc>
          <w:tcPr>
            <w:tcW w:w="426" w:type="pct"/>
            <w:tcBorders>
              <w:top w:val="single" w:sz="4" w:space="0" w:color="auto"/>
              <w:left w:val="nil"/>
              <w:bottom w:val="single" w:sz="4" w:space="0" w:color="auto"/>
              <w:right w:val="single" w:sz="4" w:space="0" w:color="auto"/>
            </w:tcBorders>
            <w:shd w:val="clear" w:color="auto" w:fill="auto"/>
          </w:tcPr>
          <w:p w14:paraId="6730F8F7" w14:textId="539D215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1,458,000 </w:t>
            </w:r>
          </w:p>
        </w:tc>
        <w:tc>
          <w:tcPr>
            <w:tcW w:w="426" w:type="pct"/>
            <w:tcBorders>
              <w:top w:val="single" w:sz="4" w:space="0" w:color="auto"/>
              <w:left w:val="nil"/>
              <w:bottom w:val="single" w:sz="4" w:space="0" w:color="auto"/>
              <w:right w:val="single" w:sz="4" w:space="0" w:color="auto"/>
            </w:tcBorders>
            <w:shd w:val="clear" w:color="auto" w:fill="auto"/>
          </w:tcPr>
          <w:p w14:paraId="5CCC08F9" w14:textId="4E14A22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300,000 </w:t>
            </w:r>
          </w:p>
        </w:tc>
        <w:tc>
          <w:tcPr>
            <w:tcW w:w="372" w:type="pct"/>
            <w:tcBorders>
              <w:top w:val="single" w:sz="4" w:space="0" w:color="auto"/>
              <w:left w:val="nil"/>
              <w:bottom w:val="single" w:sz="4" w:space="0" w:color="auto"/>
              <w:right w:val="single" w:sz="4" w:space="0" w:color="auto"/>
            </w:tcBorders>
            <w:shd w:val="clear" w:color="auto" w:fill="auto"/>
          </w:tcPr>
          <w:p w14:paraId="1A813238" w14:textId="089E928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27,000 </w:t>
            </w:r>
          </w:p>
        </w:tc>
        <w:tc>
          <w:tcPr>
            <w:tcW w:w="477" w:type="pct"/>
            <w:tcBorders>
              <w:top w:val="single" w:sz="4" w:space="0" w:color="auto"/>
              <w:left w:val="nil"/>
              <w:bottom w:val="single" w:sz="4" w:space="0" w:color="auto"/>
              <w:right w:val="single" w:sz="4" w:space="0" w:color="auto"/>
            </w:tcBorders>
            <w:shd w:val="clear" w:color="auto" w:fill="auto"/>
          </w:tcPr>
          <w:p w14:paraId="69704830" w14:textId="4669353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100,400,000 </w:t>
            </w:r>
          </w:p>
        </w:tc>
        <w:tc>
          <w:tcPr>
            <w:tcW w:w="587" w:type="pct"/>
            <w:tcBorders>
              <w:top w:val="single" w:sz="4" w:space="0" w:color="auto"/>
              <w:left w:val="nil"/>
              <w:bottom w:val="single" w:sz="4" w:space="0" w:color="auto"/>
              <w:right w:val="single" w:sz="4" w:space="0" w:color="auto"/>
            </w:tcBorders>
            <w:shd w:val="clear" w:color="auto" w:fill="auto"/>
          </w:tcPr>
          <w:p w14:paraId="138E3BF9" w14:textId="4D2C555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63478527" w14:textId="77777777" w:rsidTr="007252BF">
        <w:trPr>
          <w:trHeight w:val="1740"/>
        </w:trPr>
        <w:tc>
          <w:tcPr>
            <w:tcW w:w="304" w:type="pct"/>
            <w:tcBorders>
              <w:top w:val="single" w:sz="4" w:space="0" w:color="auto"/>
              <w:left w:val="single" w:sz="4" w:space="0" w:color="auto"/>
              <w:bottom w:val="single" w:sz="4" w:space="0" w:color="auto"/>
              <w:right w:val="single" w:sz="4" w:space="0" w:color="auto"/>
            </w:tcBorders>
          </w:tcPr>
          <w:p w14:paraId="4624A702" w14:textId="38D24E2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6928</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0727C37C" w14:textId="770C474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Colombia</w:t>
            </w:r>
          </w:p>
        </w:tc>
        <w:tc>
          <w:tcPr>
            <w:tcW w:w="786" w:type="pct"/>
            <w:tcBorders>
              <w:top w:val="single" w:sz="4" w:space="0" w:color="auto"/>
              <w:left w:val="nil"/>
              <w:bottom w:val="single" w:sz="4" w:space="0" w:color="auto"/>
              <w:right w:val="single" w:sz="4" w:space="0" w:color="auto"/>
            </w:tcBorders>
            <w:shd w:val="clear" w:color="auto" w:fill="auto"/>
          </w:tcPr>
          <w:p w14:paraId="1B8311AA" w14:textId="2D17D307"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Reducing Unintentional Persistent Organic Pollutants and Mercury Releases from Healthcare Waste Management, e-Waste Treatment, Scrap Processing and Biomass Burning</w:t>
            </w:r>
          </w:p>
        </w:tc>
        <w:tc>
          <w:tcPr>
            <w:tcW w:w="371" w:type="pct"/>
            <w:tcBorders>
              <w:top w:val="single" w:sz="4" w:space="0" w:color="auto"/>
              <w:left w:val="nil"/>
              <w:bottom w:val="single" w:sz="4" w:space="0" w:color="auto"/>
              <w:right w:val="single" w:sz="4" w:space="0" w:color="auto"/>
            </w:tcBorders>
            <w:shd w:val="clear" w:color="auto" w:fill="auto"/>
          </w:tcPr>
          <w:p w14:paraId="0E496148" w14:textId="060771D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single" w:sz="4" w:space="0" w:color="auto"/>
              <w:left w:val="nil"/>
              <w:bottom w:val="single" w:sz="4" w:space="0" w:color="auto"/>
              <w:right w:val="single" w:sz="4" w:space="0" w:color="auto"/>
            </w:tcBorders>
            <w:shd w:val="clear" w:color="auto" w:fill="auto"/>
          </w:tcPr>
          <w:p w14:paraId="3025B550" w14:textId="66A5E9D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tcPr>
          <w:p w14:paraId="31A993B5" w14:textId="0609B10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686,000 </w:t>
            </w:r>
          </w:p>
        </w:tc>
        <w:tc>
          <w:tcPr>
            <w:tcW w:w="426" w:type="pct"/>
            <w:tcBorders>
              <w:top w:val="single" w:sz="4" w:space="0" w:color="auto"/>
              <w:left w:val="nil"/>
              <w:bottom w:val="single" w:sz="4" w:space="0" w:color="auto"/>
              <w:right w:val="single" w:sz="4" w:space="0" w:color="auto"/>
            </w:tcBorders>
            <w:shd w:val="clear" w:color="auto" w:fill="auto"/>
          </w:tcPr>
          <w:p w14:paraId="519451D5" w14:textId="3CDA43E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65,170 </w:t>
            </w:r>
          </w:p>
        </w:tc>
        <w:tc>
          <w:tcPr>
            <w:tcW w:w="426" w:type="pct"/>
            <w:tcBorders>
              <w:top w:val="single" w:sz="4" w:space="0" w:color="auto"/>
              <w:left w:val="nil"/>
              <w:bottom w:val="single" w:sz="4" w:space="0" w:color="auto"/>
              <w:right w:val="single" w:sz="4" w:space="0" w:color="auto"/>
            </w:tcBorders>
            <w:shd w:val="clear" w:color="auto" w:fill="auto"/>
          </w:tcPr>
          <w:p w14:paraId="4214325E" w14:textId="1C6B91E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tcPr>
          <w:p w14:paraId="1BDD1FC2" w14:textId="65C9A32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tcPr>
          <w:p w14:paraId="0D1826A1" w14:textId="03853DF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32,915,018 </w:t>
            </w:r>
          </w:p>
        </w:tc>
        <w:tc>
          <w:tcPr>
            <w:tcW w:w="587" w:type="pct"/>
            <w:tcBorders>
              <w:top w:val="single" w:sz="4" w:space="0" w:color="auto"/>
              <w:left w:val="nil"/>
              <w:bottom w:val="single" w:sz="4" w:space="0" w:color="auto"/>
              <w:right w:val="single" w:sz="4" w:space="0" w:color="auto"/>
            </w:tcBorders>
            <w:shd w:val="clear" w:color="auto" w:fill="auto"/>
          </w:tcPr>
          <w:p w14:paraId="728E9719" w14:textId="29A770B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6E9EE835" w14:textId="77777777" w:rsidTr="007252BF">
        <w:trPr>
          <w:trHeight w:val="1133"/>
        </w:trPr>
        <w:tc>
          <w:tcPr>
            <w:tcW w:w="304" w:type="pct"/>
            <w:tcBorders>
              <w:top w:val="single" w:sz="4" w:space="0" w:color="auto"/>
              <w:left w:val="single" w:sz="4" w:space="0" w:color="auto"/>
              <w:bottom w:val="single" w:sz="4" w:space="0" w:color="auto"/>
              <w:right w:val="single" w:sz="4" w:space="0" w:color="auto"/>
            </w:tcBorders>
          </w:tcPr>
          <w:p w14:paraId="0223AA4A" w14:textId="2E7110B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9203</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2D4887DD" w14:textId="429A8B6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Ecuador</w:t>
            </w:r>
          </w:p>
        </w:tc>
        <w:tc>
          <w:tcPr>
            <w:tcW w:w="786" w:type="pct"/>
            <w:tcBorders>
              <w:top w:val="single" w:sz="4" w:space="0" w:color="auto"/>
              <w:left w:val="nil"/>
              <w:bottom w:val="single" w:sz="4" w:space="0" w:color="auto"/>
              <w:right w:val="single" w:sz="4" w:space="0" w:color="auto"/>
            </w:tcBorders>
            <w:shd w:val="clear" w:color="auto" w:fill="auto"/>
          </w:tcPr>
          <w:p w14:paraId="5290FEDB" w14:textId="3DE2C93B"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National Program for the Environmental Sound Management and Live Cycle Management of Chemical Substances </w:t>
            </w:r>
          </w:p>
        </w:tc>
        <w:tc>
          <w:tcPr>
            <w:tcW w:w="371" w:type="pct"/>
            <w:tcBorders>
              <w:top w:val="single" w:sz="4" w:space="0" w:color="auto"/>
              <w:left w:val="nil"/>
              <w:bottom w:val="single" w:sz="4" w:space="0" w:color="auto"/>
              <w:right w:val="single" w:sz="4" w:space="0" w:color="auto"/>
            </w:tcBorders>
            <w:shd w:val="clear" w:color="auto" w:fill="auto"/>
          </w:tcPr>
          <w:p w14:paraId="1F8DF2AC" w14:textId="404EBBF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single" w:sz="4" w:space="0" w:color="auto"/>
              <w:left w:val="nil"/>
              <w:bottom w:val="single" w:sz="4" w:space="0" w:color="auto"/>
              <w:right w:val="single" w:sz="4" w:space="0" w:color="auto"/>
            </w:tcBorders>
            <w:shd w:val="clear" w:color="auto" w:fill="auto"/>
          </w:tcPr>
          <w:p w14:paraId="23A38588" w14:textId="278DE34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tcPr>
          <w:p w14:paraId="53466C1A" w14:textId="0954C78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3,795,000 </w:t>
            </w:r>
          </w:p>
        </w:tc>
        <w:tc>
          <w:tcPr>
            <w:tcW w:w="426" w:type="pct"/>
            <w:tcBorders>
              <w:top w:val="single" w:sz="4" w:space="0" w:color="auto"/>
              <w:left w:val="nil"/>
              <w:bottom w:val="single" w:sz="4" w:space="0" w:color="auto"/>
              <w:right w:val="single" w:sz="4" w:space="0" w:color="auto"/>
            </w:tcBorders>
            <w:shd w:val="clear" w:color="auto" w:fill="auto"/>
          </w:tcPr>
          <w:p w14:paraId="4FADF60A" w14:textId="14774A6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380,000 </w:t>
            </w:r>
          </w:p>
        </w:tc>
        <w:tc>
          <w:tcPr>
            <w:tcW w:w="426" w:type="pct"/>
            <w:tcBorders>
              <w:top w:val="single" w:sz="4" w:space="0" w:color="auto"/>
              <w:left w:val="nil"/>
              <w:bottom w:val="single" w:sz="4" w:space="0" w:color="auto"/>
              <w:right w:val="single" w:sz="4" w:space="0" w:color="auto"/>
            </w:tcBorders>
            <w:shd w:val="clear" w:color="auto" w:fill="auto"/>
          </w:tcPr>
          <w:p w14:paraId="5FC4BA3E" w14:textId="3F6D37E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 </w:t>
            </w:r>
          </w:p>
        </w:tc>
        <w:tc>
          <w:tcPr>
            <w:tcW w:w="372" w:type="pct"/>
            <w:tcBorders>
              <w:top w:val="single" w:sz="4" w:space="0" w:color="auto"/>
              <w:left w:val="nil"/>
              <w:bottom w:val="single" w:sz="4" w:space="0" w:color="auto"/>
              <w:right w:val="single" w:sz="4" w:space="0" w:color="auto"/>
            </w:tcBorders>
            <w:shd w:val="clear" w:color="auto" w:fill="auto"/>
          </w:tcPr>
          <w:p w14:paraId="1929C9D9" w14:textId="5C05F8B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9,500 </w:t>
            </w:r>
          </w:p>
        </w:tc>
        <w:tc>
          <w:tcPr>
            <w:tcW w:w="477" w:type="pct"/>
            <w:tcBorders>
              <w:top w:val="single" w:sz="4" w:space="0" w:color="auto"/>
              <w:left w:val="nil"/>
              <w:bottom w:val="single" w:sz="4" w:space="0" w:color="auto"/>
              <w:right w:val="single" w:sz="4" w:space="0" w:color="auto"/>
            </w:tcBorders>
            <w:shd w:val="clear" w:color="auto" w:fill="auto"/>
          </w:tcPr>
          <w:p w14:paraId="73313DD4" w14:textId="6C22C0D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40,571,428 </w:t>
            </w:r>
          </w:p>
        </w:tc>
        <w:tc>
          <w:tcPr>
            <w:tcW w:w="587" w:type="pct"/>
            <w:tcBorders>
              <w:top w:val="single" w:sz="4" w:space="0" w:color="auto"/>
              <w:left w:val="nil"/>
              <w:bottom w:val="single" w:sz="4" w:space="0" w:color="auto"/>
              <w:right w:val="single" w:sz="4" w:space="0" w:color="auto"/>
            </w:tcBorders>
            <w:shd w:val="clear" w:color="auto" w:fill="auto"/>
          </w:tcPr>
          <w:p w14:paraId="431DF077" w14:textId="0C4C114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4E024889" w14:textId="77777777" w:rsidTr="007252BF">
        <w:trPr>
          <w:trHeight w:val="896"/>
        </w:trPr>
        <w:tc>
          <w:tcPr>
            <w:tcW w:w="304" w:type="pct"/>
            <w:tcBorders>
              <w:top w:val="single" w:sz="4" w:space="0" w:color="auto"/>
              <w:left w:val="single" w:sz="4" w:space="0" w:color="auto"/>
              <w:bottom w:val="single" w:sz="4" w:space="0" w:color="auto"/>
              <w:right w:val="single" w:sz="4" w:space="0" w:color="auto"/>
            </w:tcBorders>
          </w:tcPr>
          <w:p w14:paraId="6862E26A" w14:textId="5D40AF1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9240</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3494DA79" w14:textId="158998F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China</w:t>
            </w:r>
          </w:p>
        </w:tc>
        <w:tc>
          <w:tcPr>
            <w:tcW w:w="786" w:type="pct"/>
            <w:tcBorders>
              <w:top w:val="single" w:sz="4" w:space="0" w:color="auto"/>
              <w:left w:val="nil"/>
              <w:bottom w:val="single" w:sz="4" w:space="0" w:color="auto"/>
              <w:right w:val="single" w:sz="4" w:space="0" w:color="auto"/>
            </w:tcBorders>
            <w:shd w:val="clear" w:color="auto" w:fill="auto"/>
          </w:tcPr>
          <w:p w14:paraId="4D8E15E5" w14:textId="5ABEEC03"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Capacity Strengthening for Implementation of the Minamata Convention on Mercury </w:t>
            </w:r>
          </w:p>
        </w:tc>
        <w:tc>
          <w:tcPr>
            <w:tcW w:w="371" w:type="pct"/>
            <w:tcBorders>
              <w:top w:val="single" w:sz="4" w:space="0" w:color="auto"/>
              <w:left w:val="nil"/>
              <w:bottom w:val="single" w:sz="4" w:space="0" w:color="auto"/>
              <w:right w:val="single" w:sz="4" w:space="0" w:color="auto"/>
            </w:tcBorders>
            <w:shd w:val="clear" w:color="auto" w:fill="auto"/>
          </w:tcPr>
          <w:p w14:paraId="5EEAC609" w14:textId="6971219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World Bank</w:t>
            </w:r>
          </w:p>
        </w:tc>
        <w:tc>
          <w:tcPr>
            <w:tcW w:w="319" w:type="pct"/>
            <w:tcBorders>
              <w:top w:val="single" w:sz="4" w:space="0" w:color="auto"/>
              <w:left w:val="nil"/>
              <w:bottom w:val="single" w:sz="4" w:space="0" w:color="auto"/>
              <w:right w:val="single" w:sz="4" w:space="0" w:color="auto"/>
            </w:tcBorders>
            <w:shd w:val="clear" w:color="auto" w:fill="auto"/>
          </w:tcPr>
          <w:p w14:paraId="6FBC2AEC" w14:textId="3422199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tcPr>
          <w:p w14:paraId="20C78FE7" w14:textId="1B3C5BC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8,000,000 </w:t>
            </w:r>
          </w:p>
        </w:tc>
        <w:tc>
          <w:tcPr>
            <w:tcW w:w="426" w:type="pct"/>
            <w:tcBorders>
              <w:top w:val="single" w:sz="4" w:space="0" w:color="auto"/>
              <w:left w:val="nil"/>
              <w:bottom w:val="single" w:sz="4" w:space="0" w:color="auto"/>
              <w:right w:val="single" w:sz="4" w:space="0" w:color="auto"/>
            </w:tcBorders>
            <w:shd w:val="clear" w:color="auto" w:fill="auto"/>
          </w:tcPr>
          <w:p w14:paraId="22E8679D" w14:textId="75996AF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760,000 </w:t>
            </w:r>
          </w:p>
        </w:tc>
        <w:tc>
          <w:tcPr>
            <w:tcW w:w="426" w:type="pct"/>
            <w:tcBorders>
              <w:top w:val="single" w:sz="4" w:space="0" w:color="auto"/>
              <w:left w:val="nil"/>
              <w:bottom w:val="single" w:sz="4" w:space="0" w:color="auto"/>
              <w:right w:val="single" w:sz="4" w:space="0" w:color="auto"/>
            </w:tcBorders>
            <w:shd w:val="clear" w:color="auto" w:fill="auto"/>
          </w:tcPr>
          <w:p w14:paraId="48DBAB94" w14:textId="19A9236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372" w:type="pct"/>
            <w:tcBorders>
              <w:top w:val="single" w:sz="4" w:space="0" w:color="auto"/>
              <w:left w:val="nil"/>
              <w:bottom w:val="single" w:sz="4" w:space="0" w:color="auto"/>
              <w:right w:val="single" w:sz="4" w:space="0" w:color="auto"/>
            </w:tcBorders>
            <w:shd w:val="clear" w:color="auto" w:fill="auto"/>
          </w:tcPr>
          <w:p w14:paraId="2E5239CA" w14:textId="08BFFD9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77" w:type="pct"/>
            <w:tcBorders>
              <w:top w:val="single" w:sz="4" w:space="0" w:color="auto"/>
              <w:left w:val="nil"/>
              <w:bottom w:val="single" w:sz="4" w:space="0" w:color="auto"/>
              <w:right w:val="single" w:sz="4" w:space="0" w:color="auto"/>
            </w:tcBorders>
            <w:shd w:val="clear" w:color="auto" w:fill="auto"/>
          </w:tcPr>
          <w:p w14:paraId="237FB8E0" w14:textId="486F3A4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8,000,000 </w:t>
            </w:r>
          </w:p>
        </w:tc>
        <w:tc>
          <w:tcPr>
            <w:tcW w:w="587" w:type="pct"/>
            <w:tcBorders>
              <w:top w:val="single" w:sz="4" w:space="0" w:color="auto"/>
              <w:left w:val="nil"/>
              <w:bottom w:val="single" w:sz="4" w:space="0" w:color="auto"/>
              <w:right w:val="single" w:sz="4" w:space="0" w:color="auto"/>
            </w:tcBorders>
            <w:shd w:val="clear" w:color="auto" w:fill="auto"/>
          </w:tcPr>
          <w:p w14:paraId="75E42F94" w14:textId="6E1C96A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656F5965" w14:textId="77777777" w:rsidTr="007252BF">
        <w:trPr>
          <w:trHeight w:val="1740"/>
        </w:trPr>
        <w:tc>
          <w:tcPr>
            <w:tcW w:w="304" w:type="pct"/>
            <w:tcBorders>
              <w:top w:val="single" w:sz="4" w:space="0" w:color="auto"/>
              <w:left w:val="single" w:sz="4" w:space="0" w:color="auto"/>
              <w:bottom w:val="single" w:sz="4" w:space="0" w:color="auto"/>
              <w:right w:val="single" w:sz="4" w:space="0" w:color="auto"/>
            </w:tcBorders>
          </w:tcPr>
          <w:p w14:paraId="53B1FE36" w14:textId="59CB859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9371</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6E7244F1" w14:textId="6FD0C94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(Benin, Burkina  Faso, Mali, Niger, Senegal, Togo)</w:t>
            </w:r>
          </w:p>
        </w:tc>
        <w:tc>
          <w:tcPr>
            <w:tcW w:w="786" w:type="pct"/>
            <w:tcBorders>
              <w:top w:val="single" w:sz="4" w:space="0" w:color="auto"/>
              <w:left w:val="nil"/>
              <w:bottom w:val="single" w:sz="4" w:space="0" w:color="auto"/>
              <w:right w:val="single" w:sz="4" w:space="0" w:color="auto"/>
            </w:tcBorders>
            <w:shd w:val="clear" w:color="auto" w:fill="auto"/>
          </w:tcPr>
          <w:p w14:paraId="30CBBDE6" w14:textId="37C7417A"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Impact Investment and Capacity Building in Support of Sustainable Waste Management to Reduce Emissions of Unintentional Persistent Organic Pollutants and Mercury in West Africa</w:t>
            </w:r>
          </w:p>
        </w:tc>
        <w:tc>
          <w:tcPr>
            <w:tcW w:w="371" w:type="pct"/>
            <w:tcBorders>
              <w:top w:val="single" w:sz="4" w:space="0" w:color="auto"/>
              <w:left w:val="nil"/>
              <w:bottom w:val="single" w:sz="4" w:space="0" w:color="auto"/>
              <w:right w:val="single" w:sz="4" w:space="0" w:color="auto"/>
            </w:tcBorders>
            <w:shd w:val="clear" w:color="auto" w:fill="auto"/>
          </w:tcPr>
          <w:p w14:paraId="1340ED36" w14:textId="71932D1F" w:rsidR="00957235" w:rsidRPr="007E7514" w:rsidRDefault="007252BF"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West African </w:t>
            </w:r>
            <w:proofErr w:type="spellStart"/>
            <w:r w:rsidRPr="007E7514">
              <w:rPr>
                <w:rFonts w:asciiTheme="minorHAnsi" w:hAnsiTheme="minorHAnsi" w:cstheme="minorHAnsi"/>
                <w:sz w:val="20"/>
                <w:szCs w:val="20"/>
                <w:lang w:val="en-GB"/>
              </w:rPr>
              <w:t>Deve-lopment</w:t>
            </w:r>
            <w:proofErr w:type="spellEnd"/>
            <w:r w:rsidRPr="007E7514">
              <w:rPr>
                <w:rFonts w:asciiTheme="minorHAnsi" w:hAnsiTheme="minorHAnsi" w:cstheme="minorHAnsi"/>
                <w:sz w:val="20"/>
                <w:szCs w:val="20"/>
                <w:lang w:val="en-GB"/>
              </w:rPr>
              <w:t xml:space="preserve"> Bank (</w:t>
            </w:r>
            <w:proofErr w:type="spellStart"/>
            <w:r w:rsidR="00957235" w:rsidRPr="007E7514">
              <w:rPr>
                <w:rFonts w:asciiTheme="minorHAnsi" w:hAnsiTheme="minorHAnsi" w:cstheme="minorHAnsi"/>
                <w:sz w:val="20"/>
                <w:szCs w:val="20"/>
                <w:lang w:val="en-GB"/>
              </w:rPr>
              <w:t>BOAD</w:t>
            </w:r>
            <w:proofErr w:type="spellEnd"/>
            <w:r w:rsidRPr="007E7514">
              <w:rPr>
                <w:rFonts w:asciiTheme="minorHAnsi" w:hAnsiTheme="minorHAnsi" w:cstheme="minorHAnsi"/>
                <w:sz w:val="20"/>
                <w:szCs w:val="20"/>
                <w:lang w:val="en-GB"/>
              </w:rPr>
              <w:t>)</w:t>
            </w:r>
          </w:p>
        </w:tc>
        <w:tc>
          <w:tcPr>
            <w:tcW w:w="319" w:type="pct"/>
            <w:tcBorders>
              <w:top w:val="single" w:sz="4" w:space="0" w:color="auto"/>
              <w:left w:val="nil"/>
              <w:bottom w:val="single" w:sz="4" w:space="0" w:color="auto"/>
              <w:right w:val="single" w:sz="4" w:space="0" w:color="auto"/>
            </w:tcBorders>
            <w:shd w:val="clear" w:color="auto" w:fill="auto"/>
          </w:tcPr>
          <w:p w14:paraId="3CD8DD20" w14:textId="7695FF5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tcPr>
          <w:p w14:paraId="66A7EA6A" w14:textId="7371212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5,331,333 </w:t>
            </w:r>
          </w:p>
        </w:tc>
        <w:tc>
          <w:tcPr>
            <w:tcW w:w="426" w:type="pct"/>
            <w:tcBorders>
              <w:top w:val="single" w:sz="4" w:space="0" w:color="auto"/>
              <w:left w:val="nil"/>
              <w:bottom w:val="single" w:sz="4" w:space="0" w:color="auto"/>
              <w:right w:val="single" w:sz="4" w:space="0" w:color="auto"/>
            </w:tcBorders>
            <w:shd w:val="clear" w:color="auto" w:fill="auto"/>
          </w:tcPr>
          <w:p w14:paraId="52D8E3E3" w14:textId="5611440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479,820 </w:t>
            </w:r>
          </w:p>
        </w:tc>
        <w:tc>
          <w:tcPr>
            <w:tcW w:w="426" w:type="pct"/>
            <w:tcBorders>
              <w:top w:val="single" w:sz="4" w:space="0" w:color="auto"/>
              <w:left w:val="nil"/>
              <w:bottom w:val="single" w:sz="4" w:space="0" w:color="auto"/>
              <w:right w:val="single" w:sz="4" w:space="0" w:color="auto"/>
            </w:tcBorders>
            <w:shd w:val="clear" w:color="auto" w:fill="auto"/>
          </w:tcPr>
          <w:p w14:paraId="65AB4D36" w14:textId="6F6AEA2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92,142 </w:t>
            </w:r>
          </w:p>
        </w:tc>
        <w:tc>
          <w:tcPr>
            <w:tcW w:w="372" w:type="pct"/>
            <w:tcBorders>
              <w:top w:val="single" w:sz="4" w:space="0" w:color="auto"/>
              <w:left w:val="nil"/>
              <w:bottom w:val="single" w:sz="4" w:space="0" w:color="auto"/>
              <w:right w:val="single" w:sz="4" w:space="0" w:color="auto"/>
            </w:tcBorders>
            <w:shd w:val="clear" w:color="auto" w:fill="auto"/>
          </w:tcPr>
          <w:p w14:paraId="77BDF0F9" w14:textId="73A5A37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8,293 </w:t>
            </w:r>
          </w:p>
        </w:tc>
        <w:tc>
          <w:tcPr>
            <w:tcW w:w="477" w:type="pct"/>
            <w:tcBorders>
              <w:top w:val="single" w:sz="4" w:space="0" w:color="auto"/>
              <w:left w:val="nil"/>
              <w:bottom w:val="single" w:sz="4" w:space="0" w:color="auto"/>
              <w:right w:val="single" w:sz="4" w:space="0" w:color="auto"/>
            </w:tcBorders>
            <w:shd w:val="clear" w:color="auto" w:fill="auto"/>
          </w:tcPr>
          <w:p w14:paraId="4CD270ED" w14:textId="347C3F2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130,797,229 </w:t>
            </w:r>
          </w:p>
        </w:tc>
        <w:tc>
          <w:tcPr>
            <w:tcW w:w="587" w:type="pct"/>
            <w:tcBorders>
              <w:top w:val="single" w:sz="4" w:space="0" w:color="auto"/>
              <w:left w:val="nil"/>
              <w:bottom w:val="single" w:sz="4" w:space="0" w:color="auto"/>
              <w:right w:val="single" w:sz="4" w:space="0" w:color="auto"/>
            </w:tcBorders>
            <w:shd w:val="clear" w:color="auto" w:fill="auto"/>
          </w:tcPr>
          <w:p w14:paraId="4043004D" w14:textId="1D8EB26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766203CD" w14:textId="77777777" w:rsidTr="007252BF">
        <w:trPr>
          <w:trHeight w:val="1740"/>
        </w:trPr>
        <w:tc>
          <w:tcPr>
            <w:tcW w:w="304" w:type="pct"/>
            <w:tcBorders>
              <w:top w:val="single" w:sz="4" w:space="0" w:color="auto"/>
              <w:left w:val="single" w:sz="4" w:space="0" w:color="auto"/>
              <w:bottom w:val="single" w:sz="4" w:space="0" w:color="auto"/>
              <w:right w:val="single" w:sz="4" w:space="0" w:color="auto"/>
            </w:tcBorders>
          </w:tcPr>
          <w:p w14:paraId="4BA7F8F1" w14:textId="16166F5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9565</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695709A5" w14:textId="59346F8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Guyana</w:t>
            </w:r>
          </w:p>
        </w:tc>
        <w:tc>
          <w:tcPr>
            <w:tcW w:w="786" w:type="pct"/>
            <w:tcBorders>
              <w:top w:val="single" w:sz="4" w:space="0" w:color="auto"/>
              <w:left w:val="nil"/>
              <w:bottom w:val="single" w:sz="4" w:space="0" w:color="auto"/>
              <w:right w:val="single" w:sz="4" w:space="0" w:color="auto"/>
            </w:tcBorders>
            <w:shd w:val="clear" w:color="auto" w:fill="auto"/>
            <w:hideMark/>
          </w:tcPr>
          <w:p w14:paraId="4B19E06C" w14:textId="3B68D002"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Strengthening the Enabling Framework for Biodiversity Mainstreaming and Mercury Reduction in Small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 xml:space="preserve">Medium-scale Gold Mining Operations </w:t>
            </w:r>
          </w:p>
        </w:tc>
        <w:tc>
          <w:tcPr>
            <w:tcW w:w="371" w:type="pct"/>
            <w:tcBorders>
              <w:top w:val="single" w:sz="4" w:space="0" w:color="auto"/>
              <w:left w:val="nil"/>
              <w:bottom w:val="single" w:sz="4" w:space="0" w:color="auto"/>
              <w:right w:val="single" w:sz="4" w:space="0" w:color="auto"/>
            </w:tcBorders>
            <w:shd w:val="clear" w:color="auto" w:fill="auto"/>
            <w:hideMark/>
          </w:tcPr>
          <w:p w14:paraId="3AC37523"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single" w:sz="4" w:space="0" w:color="auto"/>
              <w:left w:val="nil"/>
              <w:bottom w:val="single" w:sz="4" w:space="0" w:color="auto"/>
              <w:right w:val="single" w:sz="4" w:space="0" w:color="auto"/>
            </w:tcBorders>
            <w:shd w:val="clear" w:color="auto" w:fill="auto"/>
            <w:hideMark/>
          </w:tcPr>
          <w:p w14:paraId="5C4AAC30" w14:textId="1F77F38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37BC91C4" w14:textId="7FDE1FA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892,759 </w:t>
            </w:r>
          </w:p>
        </w:tc>
        <w:tc>
          <w:tcPr>
            <w:tcW w:w="426" w:type="pct"/>
            <w:tcBorders>
              <w:top w:val="single" w:sz="4" w:space="0" w:color="auto"/>
              <w:left w:val="nil"/>
              <w:bottom w:val="single" w:sz="4" w:space="0" w:color="auto"/>
              <w:right w:val="single" w:sz="4" w:space="0" w:color="auto"/>
            </w:tcBorders>
            <w:shd w:val="clear" w:color="auto" w:fill="auto"/>
            <w:hideMark/>
          </w:tcPr>
          <w:p w14:paraId="5830EE5C" w14:textId="537FBA6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84,812 </w:t>
            </w:r>
          </w:p>
        </w:tc>
        <w:tc>
          <w:tcPr>
            <w:tcW w:w="426" w:type="pct"/>
            <w:tcBorders>
              <w:top w:val="single" w:sz="4" w:space="0" w:color="auto"/>
              <w:left w:val="nil"/>
              <w:bottom w:val="single" w:sz="4" w:space="0" w:color="auto"/>
              <w:right w:val="single" w:sz="4" w:space="0" w:color="auto"/>
            </w:tcBorders>
            <w:shd w:val="clear" w:color="auto" w:fill="auto"/>
            <w:hideMark/>
          </w:tcPr>
          <w:p w14:paraId="68351750" w14:textId="0F3425E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26,917 </w:t>
            </w:r>
          </w:p>
        </w:tc>
        <w:tc>
          <w:tcPr>
            <w:tcW w:w="372" w:type="pct"/>
            <w:tcBorders>
              <w:top w:val="single" w:sz="4" w:space="0" w:color="auto"/>
              <w:left w:val="nil"/>
              <w:bottom w:val="single" w:sz="4" w:space="0" w:color="auto"/>
              <w:right w:val="single" w:sz="4" w:space="0" w:color="auto"/>
            </w:tcBorders>
            <w:shd w:val="clear" w:color="auto" w:fill="auto"/>
            <w:hideMark/>
          </w:tcPr>
          <w:p w14:paraId="57CC345F" w14:textId="58B6224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2,557 </w:t>
            </w:r>
          </w:p>
        </w:tc>
        <w:tc>
          <w:tcPr>
            <w:tcW w:w="477" w:type="pct"/>
            <w:tcBorders>
              <w:top w:val="single" w:sz="4" w:space="0" w:color="auto"/>
              <w:left w:val="nil"/>
              <w:bottom w:val="single" w:sz="4" w:space="0" w:color="auto"/>
              <w:right w:val="single" w:sz="4" w:space="0" w:color="auto"/>
            </w:tcBorders>
            <w:shd w:val="clear" w:color="auto" w:fill="auto"/>
            <w:hideMark/>
          </w:tcPr>
          <w:p w14:paraId="50021852" w14:textId="7F6B763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29,662,745 </w:t>
            </w:r>
          </w:p>
        </w:tc>
        <w:tc>
          <w:tcPr>
            <w:tcW w:w="587" w:type="pct"/>
            <w:tcBorders>
              <w:top w:val="single" w:sz="4" w:space="0" w:color="auto"/>
              <w:left w:val="nil"/>
              <w:bottom w:val="single" w:sz="4" w:space="0" w:color="auto"/>
              <w:right w:val="single" w:sz="4" w:space="0" w:color="auto"/>
            </w:tcBorders>
            <w:shd w:val="clear" w:color="auto" w:fill="auto"/>
            <w:hideMark/>
          </w:tcPr>
          <w:p w14:paraId="7B6BECA2" w14:textId="323205A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4646405A" w14:textId="77777777" w:rsidTr="007252BF">
        <w:trPr>
          <w:trHeight w:val="2320"/>
        </w:trPr>
        <w:tc>
          <w:tcPr>
            <w:tcW w:w="304" w:type="pct"/>
            <w:tcBorders>
              <w:top w:val="single" w:sz="4" w:space="0" w:color="auto"/>
              <w:left w:val="single" w:sz="4" w:space="0" w:color="auto"/>
              <w:bottom w:val="single" w:sz="4" w:space="0" w:color="auto"/>
              <w:right w:val="single" w:sz="4" w:space="0" w:color="auto"/>
            </w:tcBorders>
          </w:tcPr>
          <w:p w14:paraId="3415C3A5" w14:textId="1871D3F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9684</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2938C08B" w14:textId="0606206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(Albania, Algeria, Bosnia and Herzegovina, Egypt, Lebanon, Libya, Montenegro, Morocco, Tunisia, Turkey)</w:t>
            </w:r>
          </w:p>
        </w:tc>
        <w:tc>
          <w:tcPr>
            <w:tcW w:w="786" w:type="pct"/>
            <w:tcBorders>
              <w:top w:val="single" w:sz="4" w:space="0" w:color="auto"/>
              <w:left w:val="nil"/>
              <w:bottom w:val="single" w:sz="4" w:space="0" w:color="auto"/>
              <w:right w:val="single" w:sz="4" w:space="0" w:color="auto"/>
            </w:tcBorders>
            <w:shd w:val="clear" w:color="auto" w:fill="auto"/>
            <w:hideMark/>
          </w:tcPr>
          <w:p w14:paraId="013F4BB9" w14:textId="08B518B4"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Reducing Pollution from Harmful Chemicals and Waste in Mediterranean Hot Spots and Measuring Progress to Impact</w:t>
            </w:r>
          </w:p>
        </w:tc>
        <w:tc>
          <w:tcPr>
            <w:tcW w:w="371" w:type="pct"/>
            <w:tcBorders>
              <w:top w:val="single" w:sz="4" w:space="0" w:color="auto"/>
              <w:left w:val="nil"/>
              <w:bottom w:val="single" w:sz="4" w:space="0" w:color="auto"/>
              <w:right w:val="single" w:sz="4" w:space="0" w:color="auto"/>
            </w:tcBorders>
            <w:shd w:val="clear" w:color="auto" w:fill="auto"/>
            <w:hideMark/>
          </w:tcPr>
          <w:p w14:paraId="7448A6A9"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6FC6E137" w14:textId="7FDF850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3BBADC63" w14:textId="69B58EC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5,000,000 </w:t>
            </w:r>
          </w:p>
        </w:tc>
        <w:tc>
          <w:tcPr>
            <w:tcW w:w="426" w:type="pct"/>
            <w:tcBorders>
              <w:top w:val="single" w:sz="4" w:space="0" w:color="auto"/>
              <w:left w:val="nil"/>
              <w:bottom w:val="single" w:sz="4" w:space="0" w:color="auto"/>
              <w:right w:val="single" w:sz="4" w:space="0" w:color="auto"/>
            </w:tcBorders>
            <w:shd w:val="clear" w:color="auto" w:fill="auto"/>
            <w:hideMark/>
          </w:tcPr>
          <w:p w14:paraId="0AA5A0E7" w14:textId="288CA93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450,000 </w:t>
            </w:r>
          </w:p>
        </w:tc>
        <w:tc>
          <w:tcPr>
            <w:tcW w:w="426" w:type="pct"/>
            <w:tcBorders>
              <w:top w:val="single" w:sz="4" w:space="0" w:color="auto"/>
              <w:left w:val="nil"/>
              <w:bottom w:val="single" w:sz="4" w:space="0" w:color="auto"/>
              <w:right w:val="single" w:sz="4" w:space="0" w:color="auto"/>
            </w:tcBorders>
            <w:shd w:val="clear" w:color="auto" w:fill="auto"/>
            <w:hideMark/>
          </w:tcPr>
          <w:p w14:paraId="0F1A76B8" w14:textId="1146015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0549182F" w14:textId="136B9B1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60318469" w14:textId="4598BE7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53,146,727 </w:t>
            </w:r>
          </w:p>
        </w:tc>
        <w:tc>
          <w:tcPr>
            <w:tcW w:w="587" w:type="pct"/>
            <w:tcBorders>
              <w:top w:val="single" w:sz="4" w:space="0" w:color="auto"/>
              <w:left w:val="nil"/>
              <w:bottom w:val="single" w:sz="4" w:space="0" w:color="auto"/>
              <w:right w:val="single" w:sz="4" w:space="0" w:color="auto"/>
            </w:tcBorders>
            <w:shd w:val="clear" w:color="auto" w:fill="auto"/>
            <w:hideMark/>
          </w:tcPr>
          <w:p w14:paraId="66B198F8" w14:textId="42ECF07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217CFDDB" w14:textId="77777777" w:rsidTr="007252BF">
        <w:trPr>
          <w:trHeight w:val="2030"/>
        </w:trPr>
        <w:tc>
          <w:tcPr>
            <w:tcW w:w="304" w:type="pct"/>
            <w:tcBorders>
              <w:top w:val="nil"/>
              <w:left w:val="single" w:sz="4" w:space="0" w:color="auto"/>
              <w:bottom w:val="single" w:sz="4" w:space="0" w:color="auto"/>
              <w:right w:val="single" w:sz="4" w:space="0" w:color="auto"/>
            </w:tcBorders>
          </w:tcPr>
          <w:p w14:paraId="7C68C694" w14:textId="69A6C8A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9686</w:t>
            </w:r>
          </w:p>
        </w:tc>
        <w:tc>
          <w:tcPr>
            <w:tcW w:w="506" w:type="pct"/>
            <w:tcBorders>
              <w:top w:val="nil"/>
              <w:left w:val="single" w:sz="4" w:space="0" w:color="auto"/>
              <w:bottom w:val="single" w:sz="4" w:space="0" w:color="auto"/>
              <w:right w:val="single" w:sz="4" w:space="0" w:color="auto"/>
            </w:tcBorders>
            <w:shd w:val="clear" w:color="auto" w:fill="auto"/>
            <w:hideMark/>
          </w:tcPr>
          <w:p w14:paraId="101FA9DE" w14:textId="41FF5B9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(Albania, Algeria, Bosnia and Herzegovina, Egypt, Lebanon, Libya, Montenegro, Morocco, Tunisia)</w:t>
            </w:r>
          </w:p>
        </w:tc>
        <w:tc>
          <w:tcPr>
            <w:tcW w:w="786" w:type="pct"/>
            <w:tcBorders>
              <w:top w:val="nil"/>
              <w:left w:val="nil"/>
              <w:bottom w:val="single" w:sz="4" w:space="0" w:color="auto"/>
              <w:right w:val="single" w:sz="4" w:space="0" w:color="auto"/>
            </w:tcBorders>
            <w:shd w:val="clear" w:color="auto" w:fill="auto"/>
            <w:hideMark/>
          </w:tcPr>
          <w:p w14:paraId="29C47614" w14:textId="77777777"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Mediterranean Sea Basin Environment and Climate Regional Support Project</w:t>
            </w:r>
          </w:p>
        </w:tc>
        <w:tc>
          <w:tcPr>
            <w:tcW w:w="371" w:type="pct"/>
            <w:tcBorders>
              <w:top w:val="nil"/>
              <w:left w:val="nil"/>
              <w:bottom w:val="single" w:sz="4" w:space="0" w:color="auto"/>
              <w:right w:val="single" w:sz="4" w:space="0" w:color="auto"/>
            </w:tcBorders>
            <w:shd w:val="clear" w:color="auto" w:fill="auto"/>
            <w:hideMark/>
          </w:tcPr>
          <w:p w14:paraId="70F29B3B"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1B6860E6" w14:textId="582D7A4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0E5A1B71" w14:textId="2350919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250,000 </w:t>
            </w:r>
          </w:p>
        </w:tc>
        <w:tc>
          <w:tcPr>
            <w:tcW w:w="426" w:type="pct"/>
            <w:tcBorders>
              <w:top w:val="nil"/>
              <w:left w:val="nil"/>
              <w:bottom w:val="single" w:sz="4" w:space="0" w:color="auto"/>
              <w:right w:val="single" w:sz="4" w:space="0" w:color="auto"/>
            </w:tcBorders>
            <w:shd w:val="clear" w:color="auto" w:fill="auto"/>
            <w:hideMark/>
          </w:tcPr>
          <w:p w14:paraId="31DB8742" w14:textId="4F7A6EB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22,500 </w:t>
            </w:r>
          </w:p>
        </w:tc>
        <w:tc>
          <w:tcPr>
            <w:tcW w:w="426" w:type="pct"/>
            <w:tcBorders>
              <w:top w:val="nil"/>
              <w:left w:val="nil"/>
              <w:bottom w:val="single" w:sz="4" w:space="0" w:color="auto"/>
              <w:right w:val="single" w:sz="4" w:space="0" w:color="auto"/>
            </w:tcBorders>
            <w:shd w:val="clear" w:color="auto" w:fill="auto"/>
            <w:hideMark/>
          </w:tcPr>
          <w:p w14:paraId="4DE0B436" w14:textId="7FBAECC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406E4F2A" w14:textId="0D6A244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62DFC60A" w14:textId="22AF5BC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6,623,920 </w:t>
            </w:r>
          </w:p>
        </w:tc>
        <w:tc>
          <w:tcPr>
            <w:tcW w:w="587" w:type="pct"/>
            <w:tcBorders>
              <w:top w:val="nil"/>
              <w:left w:val="nil"/>
              <w:bottom w:val="single" w:sz="4" w:space="0" w:color="auto"/>
              <w:right w:val="single" w:sz="4" w:space="0" w:color="auto"/>
            </w:tcBorders>
            <w:shd w:val="clear" w:color="auto" w:fill="auto"/>
            <w:hideMark/>
          </w:tcPr>
          <w:p w14:paraId="3DBD47EC" w14:textId="74EFD58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76CFCD43" w14:textId="77777777" w:rsidTr="007252BF">
        <w:trPr>
          <w:trHeight w:val="1450"/>
        </w:trPr>
        <w:tc>
          <w:tcPr>
            <w:tcW w:w="304" w:type="pct"/>
            <w:tcBorders>
              <w:top w:val="nil"/>
              <w:left w:val="single" w:sz="4" w:space="0" w:color="auto"/>
              <w:bottom w:val="single" w:sz="4" w:space="0" w:color="auto"/>
              <w:right w:val="single" w:sz="4" w:space="0" w:color="auto"/>
            </w:tcBorders>
          </w:tcPr>
          <w:p w14:paraId="51F84635" w14:textId="0B02B22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9695</w:t>
            </w:r>
          </w:p>
        </w:tc>
        <w:tc>
          <w:tcPr>
            <w:tcW w:w="506" w:type="pct"/>
            <w:tcBorders>
              <w:top w:val="nil"/>
              <w:left w:val="single" w:sz="4" w:space="0" w:color="auto"/>
              <w:bottom w:val="single" w:sz="4" w:space="0" w:color="auto"/>
              <w:right w:val="single" w:sz="4" w:space="0" w:color="auto"/>
            </w:tcBorders>
            <w:shd w:val="clear" w:color="auto" w:fill="auto"/>
            <w:hideMark/>
          </w:tcPr>
          <w:p w14:paraId="7A788A14" w14:textId="4EDEBCA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(Mongolia, Philippines)</w:t>
            </w:r>
          </w:p>
        </w:tc>
        <w:tc>
          <w:tcPr>
            <w:tcW w:w="786" w:type="pct"/>
            <w:tcBorders>
              <w:top w:val="nil"/>
              <w:left w:val="nil"/>
              <w:bottom w:val="single" w:sz="4" w:space="0" w:color="auto"/>
              <w:right w:val="single" w:sz="4" w:space="0" w:color="auto"/>
            </w:tcBorders>
            <w:shd w:val="clear" w:color="auto" w:fill="auto"/>
            <w:hideMark/>
          </w:tcPr>
          <w:p w14:paraId="7D56084A" w14:textId="3F00A555"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GEF GOLD Mongolia-Philippines: Contribution Towards the Elimination of Mercury in the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Small-scale Gold Mining Sector From Miners to Refiners</w:t>
            </w:r>
          </w:p>
        </w:tc>
        <w:tc>
          <w:tcPr>
            <w:tcW w:w="371" w:type="pct"/>
            <w:tcBorders>
              <w:top w:val="nil"/>
              <w:left w:val="nil"/>
              <w:bottom w:val="single" w:sz="4" w:space="0" w:color="auto"/>
              <w:right w:val="single" w:sz="4" w:space="0" w:color="auto"/>
            </w:tcBorders>
            <w:shd w:val="clear" w:color="auto" w:fill="auto"/>
            <w:hideMark/>
          </w:tcPr>
          <w:p w14:paraId="6888F5CB"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6309A893" w14:textId="6CB3382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0494F7C8" w14:textId="41F0BDE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11,700,000 </w:t>
            </w:r>
          </w:p>
        </w:tc>
        <w:tc>
          <w:tcPr>
            <w:tcW w:w="426" w:type="pct"/>
            <w:tcBorders>
              <w:top w:val="nil"/>
              <w:left w:val="nil"/>
              <w:bottom w:val="single" w:sz="4" w:space="0" w:color="auto"/>
              <w:right w:val="single" w:sz="4" w:space="0" w:color="auto"/>
            </w:tcBorders>
            <w:shd w:val="clear" w:color="auto" w:fill="auto"/>
            <w:hideMark/>
          </w:tcPr>
          <w:p w14:paraId="61F2681B" w14:textId="49F46E9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1,053,000 </w:t>
            </w:r>
          </w:p>
        </w:tc>
        <w:tc>
          <w:tcPr>
            <w:tcW w:w="426" w:type="pct"/>
            <w:tcBorders>
              <w:top w:val="nil"/>
              <w:left w:val="nil"/>
              <w:bottom w:val="single" w:sz="4" w:space="0" w:color="auto"/>
              <w:right w:val="single" w:sz="4" w:space="0" w:color="auto"/>
            </w:tcBorders>
            <w:shd w:val="clear" w:color="auto" w:fill="auto"/>
            <w:hideMark/>
          </w:tcPr>
          <w:p w14:paraId="2B90B358" w14:textId="3AAA49D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300,000 </w:t>
            </w:r>
          </w:p>
        </w:tc>
        <w:tc>
          <w:tcPr>
            <w:tcW w:w="372" w:type="pct"/>
            <w:tcBorders>
              <w:top w:val="nil"/>
              <w:left w:val="nil"/>
              <w:bottom w:val="single" w:sz="4" w:space="0" w:color="auto"/>
              <w:right w:val="single" w:sz="4" w:space="0" w:color="auto"/>
            </w:tcBorders>
            <w:shd w:val="clear" w:color="auto" w:fill="auto"/>
            <w:hideMark/>
          </w:tcPr>
          <w:p w14:paraId="693D0125" w14:textId="2EED1EE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27,000 </w:t>
            </w:r>
          </w:p>
        </w:tc>
        <w:tc>
          <w:tcPr>
            <w:tcW w:w="477" w:type="pct"/>
            <w:tcBorders>
              <w:top w:val="nil"/>
              <w:left w:val="nil"/>
              <w:bottom w:val="single" w:sz="4" w:space="0" w:color="auto"/>
              <w:right w:val="single" w:sz="4" w:space="0" w:color="auto"/>
            </w:tcBorders>
            <w:shd w:val="clear" w:color="auto" w:fill="auto"/>
            <w:hideMark/>
          </w:tcPr>
          <w:p w14:paraId="6461E1E6" w14:textId="52C3FE2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48,208,145 </w:t>
            </w:r>
          </w:p>
        </w:tc>
        <w:tc>
          <w:tcPr>
            <w:tcW w:w="587" w:type="pct"/>
            <w:tcBorders>
              <w:top w:val="nil"/>
              <w:left w:val="nil"/>
              <w:bottom w:val="single" w:sz="4" w:space="0" w:color="auto"/>
              <w:right w:val="single" w:sz="4" w:space="0" w:color="auto"/>
            </w:tcBorders>
            <w:shd w:val="clear" w:color="auto" w:fill="auto"/>
            <w:hideMark/>
          </w:tcPr>
          <w:p w14:paraId="1A241F41" w14:textId="10650D7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0B06A839" w14:textId="77777777" w:rsidTr="007252BF">
        <w:trPr>
          <w:trHeight w:val="1740"/>
        </w:trPr>
        <w:tc>
          <w:tcPr>
            <w:tcW w:w="304" w:type="pct"/>
            <w:tcBorders>
              <w:top w:val="single" w:sz="4" w:space="0" w:color="auto"/>
              <w:left w:val="single" w:sz="4" w:space="0" w:color="auto"/>
              <w:bottom w:val="single" w:sz="4" w:space="0" w:color="auto"/>
              <w:right w:val="single" w:sz="4" w:space="0" w:color="auto"/>
            </w:tcBorders>
          </w:tcPr>
          <w:p w14:paraId="69E15970" w14:textId="05998B4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9697</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1D027C94" w14:textId="3CAA3C8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Global (Burkina Faso, Colombia, Guyana, Indonesia, Kenya, Mongolia, Peru, Philippines)</w:t>
            </w:r>
          </w:p>
        </w:tc>
        <w:tc>
          <w:tcPr>
            <w:tcW w:w="786" w:type="pct"/>
            <w:tcBorders>
              <w:top w:val="single" w:sz="4" w:space="0" w:color="auto"/>
              <w:left w:val="nil"/>
              <w:bottom w:val="single" w:sz="4" w:space="0" w:color="auto"/>
              <w:right w:val="single" w:sz="4" w:space="0" w:color="auto"/>
            </w:tcBorders>
            <w:shd w:val="clear" w:color="auto" w:fill="auto"/>
            <w:hideMark/>
          </w:tcPr>
          <w:p w14:paraId="0371E959" w14:textId="77777777"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Global Knowledge Management and Exchange of Child Project Results Through Networking and Outreach Activities for the GEF GOLD Program</w:t>
            </w:r>
          </w:p>
        </w:tc>
        <w:tc>
          <w:tcPr>
            <w:tcW w:w="371" w:type="pct"/>
            <w:tcBorders>
              <w:top w:val="single" w:sz="4" w:space="0" w:color="auto"/>
              <w:left w:val="nil"/>
              <w:bottom w:val="single" w:sz="4" w:space="0" w:color="auto"/>
              <w:right w:val="single" w:sz="4" w:space="0" w:color="auto"/>
            </w:tcBorders>
            <w:shd w:val="clear" w:color="auto" w:fill="auto"/>
            <w:hideMark/>
          </w:tcPr>
          <w:p w14:paraId="4411BBEC"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2F590345" w14:textId="173EA54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04DF3122" w14:textId="2A5C940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8,000,000 </w:t>
            </w:r>
          </w:p>
        </w:tc>
        <w:tc>
          <w:tcPr>
            <w:tcW w:w="426" w:type="pct"/>
            <w:tcBorders>
              <w:top w:val="single" w:sz="4" w:space="0" w:color="auto"/>
              <w:left w:val="nil"/>
              <w:bottom w:val="single" w:sz="4" w:space="0" w:color="auto"/>
              <w:right w:val="single" w:sz="4" w:space="0" w:color="auto"/>
            </w:tcBorders>
            <w:shd w:val="clear" w:color="auto" w:fill="auto"/>
            <w:hideMark/>
          </w:tcPr>
          <w:p w14:paraId="016C8846" w14:textId="08B042C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720,000 </w:t>
            </w:r>
          </w:p>
        </w:tc>
        <w:tc>
          <w:tcPr>
            <w:tcW w:w="426" w:type="pct"/>
            <w:tcBorders>
              <w:top w:val="single" w:sz="4" w:space="0" w:color="auto"/>
              <w:left w:val="nil"/>
              <w:bottom w:val="single" w:sz="4" w:space="0" w:color="auto"/>
              <w:right w:val="single" w:sz="4" w:space="0" w:color="auto"/>
            </w:tcBorders>
            <w:shd w:val="clear" w:color="auto" w:fill="auto"/>
            <w:hideMark/>
          </w:tcPr>
          <w:p w14:paraId="3BB48B45" w14:textId="0112AE3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372" w:type="pct"/>
            <w:tcBorders>
              <w:top w:val="single" w:sz="4" w:space="0" w:color="auto"/>
              <w:left w:val="nil"/>
              <w:bottom w:val="single" w:sz="4" w:space="0" w:color="auto"/>
              <w:right w:val="single" w:sz="4" w:space="0" w:color="auto"/>
            </w:tcBorders>
            <w:shd w:val="clear" w:color="auto" w:fill="auto"/>
            <w:hideMark/>
          </w:tcPr>
          <w:p w14:paraId="184FA57F" w14:textId="5AE503F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18,000 </w:t>
            </w:r>
          </w:p>
        </w:tc>
        <w:tc>
          <w:tcPr>
            <w:tcW w:w="477" w:type="pct"/>
            <w:tcBorders>
              <w:top w:val="single" w:sz="4" w:space="0" w:color="auto"/>
              <w:left w:val="nil"/>
              <w:bottom w:val="single" w:sz="4" w:space="0" w:color="auto"/>
              <w:right w:val="single" w:sz="4" w:space="0" w:color="auto"/>
            </w:tcBorders>
            <w:shd w:val="clear" w:color="auto" w:fill="auto"/>
            <w:hideMark/>
          </w:tcPr>
          <w:p w14:paraId="428CA665" w14:textId="26B39D5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17,767,604 </w:t>
            </w:r>
          </w:p>
        </w:tc>
        <w:tc>
          <w:tcPr>
            <w:tcW w:w="587" w:type="pct"/>
            <w:tcBorders>
              <w:top w:val="single" w:sz="4" w:space="0" w:color="auto"/>
              <w:left w:val="nil"/>
              <w:bottom w:val="single" w:sz="4" w:space="0" w:color="auto"/>
              <w:right w:val="single" w:sz="4" w:space="0" w:color="auto"/>
            </w:tcBorders>
            <w:shd w:val="clear" w:color="auto" w:fill="auto"/>
            <w:hideMark/>
          </w:tcPr>
          <w:p w14:paraId="28D83F71" w14:textId="0E0854D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48DEA50F" w14:textId="77777777" w:rsidTr="007252BF">
        <w:trPr>
          <w:trHeight w:val="1275"/>
        </w:trPr>
        <w:tc>
          <w:tcPr>
            <w:tcW w:w="304" w:type="pct"/>
            <w:tcBorders>
              <w:top w:val="nil"/>
              <w:left w:val="single" w:sz="4" w:space="0" w:color="auto"/>
              <w:bottom w:val="single" w:sz="4" w:space="0" w:color="auto"/>
              <w:right w:val="single" w:sz="4" w:space="0" w:color="auto"/>
            </w:tcBorders>
          </w:tcPr>
          <w:p w14:paraId="48998265" w14:textId="45D9502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9707</w:t>
            </w:r>
          </w:p>
        </w:tc>
        <w:tc>
          <w:tcPr>
            <w:tcW w:w="506" w:type="pct"/>
            <w:tcBorders>
              <w:top w:val="nil"/>
              <w:left w:val="single" w:sz="4" w:space="0" w:color="auto"/>
              <w:bottom w:val="single" w:sz="4" w:space="0" w:color="auto"/>
              <w:right w:val="single" w:sz="4" w:space="0" w:color="auto"/>
            </w:tcBorders>
            <w:shd w:val="clear" w:color="auto" w:fill="auto"/>
            <w:hideMark/>
          </w:tcPr>
          <w:p w14:paraId="197041D7" w14:textId="05311FB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Indonesia</w:t>
            </w:r>
          </w:p>
        </w:tc>
        <w:tc>
          <w:tcPr>
            <w:tcW w:w="786" w:type="pct"/>
            <w:tcBorders>
              <w:top w:val="nil"/>
              <w:left w:val="nil"/>
              <w:bottom w:val="single" w:sz="4" w:space="0" w:color="auto"/>
              <w:right w:val="single" w:sz="4" w:space="0" w:color="auto"/>
            </w:tcBorders>
            <w:shd w:val="clear" w:color="auto" w:fill="auto"/>
            <w:hideMark/>
          </w:tcPr>
          <w:p w14:paraId="029A9240" w14:textId="16D38818"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Integrated Sound Management of Mercury in Indonesia’s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Small-scale Gold Mining (ISMIA)</w:t>
            </w:r>
          </w:p>
        </w:tc>
        <w:tc>
          <w:tcPr>
            <w:tcW w:w="371" w:type="pct"/>
            <w:tcBorders>
              <w:top w:val="nil"/>
              <w:left w:val="nil"/>
              <w:bottom w:val="single" w:sz="4" w:space="0" w:color="auto"/>
              <w:right w:val="single" w:sz="4" w:space="0" w:color="auto"/>
            </w:tcBorders>
            <w:shd w:val="clear" w:color="auto" w:fill="auto"/>
            <w:hideMark/>
          </w:tcPr>
          <w:p w14:paraId="7EE95D1D"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5629CFBE" w14:textId="663F4D0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1D13A21D" w14:textId="2E6BD74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6,720,000 </w:t>
            </w:r>
          </w:p>
        </w:tc>
        <w:tc>
          <w:tcPr>
            <w:tcW w:w="426" w:type="pct"/>
            <w:tcBorders>
              <w:top w:val="nil"/>
              <w:left w:val="nil"/>
              <w:bottom w:val="single" w:sz="4" w:space="0" w:color="auto"/>
              <w:right w:val="single" w:sz="4" w:space="0" w:color="auto"/>
            </w:tcBorders>
            <w:shd w:val="clear" w:color="auto" w:fill="auto"/>
            <w:hideMark/>
          </w:tcPr>
          <w:p w14:paraId="153EF034" w14:textId="1878C3E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604,800 </w:t>
            </w:r>
          </w:p>
        </w:tc>
        <w:tc>
          <w:tcPr>
            <w:tcW w:w="426" w:type="pct"/>
            <w:tcBorders>
              <w:top w:val="nil"/>
              <w:left w:val="nil"/>
              <w:bottom w:val="single" w:sz="4" w:space="0" w:color="auto"/>
              <w:right w:val="single" w:sz="4" w:space="0" w:color="auto"/>
            </w:tcBorders>
            <w:shd w:val="clear" w:color="auto" w:fill="auto"/>
            <w:hideMark/>
          </w:tcPr>
          <w:p w14:paraId="2A91C12D" w14:textId="4CC4188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150,000 </w:t>
            </w:r>
          </w:p>
        </w:tc>
        <w:tc>
          <w:tcPr>
            <w:tcW w:w="372" w:type="pct"/>
            <w:tcBorders>
              <w:top w:val="nil"/>
              <w:left w:val="nil"/>
              <w:bottom w:val="single" w:sz="4" w:space="0" w:color="auto"/>
              <w:right w:val="single" w:sz="4" w:space="0" w:color="auto"/>
            </w:tcBorders>
            <w:shd w:val="clear" w:color="auto" w:fill="auto"/>
            <w:hideMark/>
          </w:tcPr>
          <w:p w14:paraId="34AC9D5C" w14:textId="16E791D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13,500 </w:t>
            </w:r>
          </w:p>
        </w:tc>
        <w:tc>
          <w:tcPr>
            <w:tcW w:w="477" w:type="pct"/>
            <w:tcBorders>
              <w:top w:val="nil"/>
              <w:left w:val="nil"/>
              <w:bottom w:val="single" w:sz="4" w:space="0" w:color="auto"/>
              <w:right w:val="single" w:sz="4" w:space="0" w:color="auto"/>
            </w:tcBorders>
            <w:shd w:val="clear" w:color="auto" w:fill="auto"/>
            <w:hideMark/>
          </w:tcPr>
          <w:p w14:paraId="5D1DAD3C" w14:textId="749EBB6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28,600,880 </w:t>
            </w:r>
          </w:p>
        </w:tc>
        <w:tc>
          <w:tcPr>
            <w:tcW w:w="587" w:type="pct"/>
            <w:tcBorders>
              <w:top w:val="nil"/>
              <w:left w:val="nil"/>
              <w:bottom w:val="single" w:sz="4" w:space="0" w:color="auto"/>
              <w:right w:val="single" w:sz="4" w:space="0" w:color="auto"/>
            </w:tcBorders>
            <w:shd w:val="clear" w:color="auto" w:fill="auto"/>
            <w:hideMark/>
          </w:tcPr>
          <w:p w14:paraId="568BB654" w14:textId="20A51DF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4CD753EB" w14:textId="77777777" w:rsidTr="007252BF">
        <w:trPr>
          <w:trHeight w:val="1124"/>
        </w:trPr>
        <w:tc>
          <w:tcPr>
            <w:tcW w:w="304" w:type="pct"/>
            <w:tcBorders>
              <w:top w:val="nil"/>
              <w:left w:val="single" w:sz="4" w:space="0" w:color="auto"/>
              <w:bottom w:val="single" w:sz="4" w:space="0" w:color="auto"/>
              <w:right w:val="single" w:sz="4" w:space="0" w:color="auto"/>
            </w:tcBorders>
          </w:tcPr>
          <w:p w14:paraId="719075EB" w14:textId="5148933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9708</w:t>
            </w:r>
          </w:p>
        </w:tc>
        <w:tc>
          <w:tcPr>
            <w:tcW w:w="506" w:type="pct"/>
            <w:tcBorders>
              <w:top w:val="nil"/>
              <w:left w:val="single" w:sz="4" w:space="0" w:color="auto"/>
              <w:bottom w:val="single" w:sz="4" w:space="0" w:color="auto"/>
              <w:right w:val="single" w:sz="4" w:space="0" w:color="auto"/>
            </w:tcBorders>
            <w:shd w:val="clear" w:color="auto" w:fill="auto"/>
            <w:hideMark/>
          </w:tcPr>
          <w:p w14:paraId="206F038C" w14:textId="442C464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Kenya</w:t>
            </w:r>
          </w:p>
        </w:tc>
        <w:tc>
          <w:tcPr>
            <w:tcW w:w="786" w:type="pct"/>
            <w:tcBorders>
              <w:top w:val="nil"/>
              <w:left w:val="nil"/>
              <w:bottom w:val="single" w:sz="4" w:space="0" w:color="auto"/>
              <w:right w:val="single" w:sz="4" w:space="0" w:color="auto"/>
            </w:tcBorders>
            <w:shd w:val="clear" w:color="auto" w:fill="auto"/>
            <w:hideMark/>
          </w:tcPr>
          <w:p w14:paraId="5DE7D631" w14:textId="4D0542B1"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Integrated Sound Management of Mercury in Kenya’s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Small-scale Gold Mining (IMKA)</w:t>
            </w:r>
          </w:p>
        </w:tc>
        <w:tc>
          <w:tcPr>
            <w:tcW w:w="371" w:type="pct"/>
            <w:tcBorders>
              <w:top w:val="nil"/>
              <w:left w:val="nil"/>
              <w:bottom w:val="single" w:sz="4" w:space="0" w:color="auto"/>
              <w:right w:val="single" w:sz="4" w:space="0" w:color="auto"/>
            </w:tcBorders>
            <w:shd w:val="clear" w:color="auto" w:fill="auto"/>
            <w:hideMark/>
          </w:tcPr>
          <w:p w14:paraId="221108D1"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51D3C3E7" w14:textId="606EDAE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440F4DEF" w14:textId="438E34A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4,200,000 </w:t>
            </w:r>
          </w:p>
        </w:tc>
        <w:tc>
          <w:tcPr>
            <w:tcW w:w="426" w:type="pct"/>
            <w:tcBorders>
              <w:top w:val="nil"/>
              <w:left w:val="nil"/>
              <w:bottom w:val="single" w:sz="4" w:space="0" w:color="auto"/>
              <w:right w:val="single" w:sz="4" w:space="0" w:color="auto"/>
            </w:tcBorders>
            <w:shd w:val="clear" w:color="auto" w:fill="auto"/>
            <w:hideMark/>
          </w:tcPr>
          <w:p w14:paraId="1A2DB294" w14:textId="20DA997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378,000 </w:t>
            </w:r>
          </w:p>
        </w:tc>
        <w:tc>
          <w:tcPr>
            <w:tcW w:w="426" w:type="pct"/>
            <w:tcBorders>
              <w:top w:val="nil"/>
              <w:left w:val="nil"/>
              <w:bottom w:val="single" w:sz="4" w:space="0" w:color="auto"/>
              <w:right w:val="single" w:sz="4" w:space="0" w:color="auto"/>
            </w:tcBorders>
            <w:shd w:val="clear" w:color="auto" w:fill="auto"/>
            <w:hideMark/>
          </w:tcPr>
          <w:p w14:paraId="662888B1" w14:textId="2DF5C55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140,000 </w:t>
            </w:r>
          </w:p>
        </w:tc>
        <w:tc>
          <w:tcPr>
            <w:tcW w:w="372" w:type="pct"/>
            <w:tcBorders>
              <w:top w:val="nil"/>
              <w:left w:val="nil"/>
              <w:bottom w:val="single" w:sz="4" w:space="0" w:color="auto"/>
              <w:right w:val="single" w:sz="4" w:space="0" w:color="auto"/>
            </w:tcBorders>
            <w:shd w:val="clear" w:color="auto" w:fill="auto"/>
            <w:hideMark/>
          </w:tcPr>
          <w:p w14:paraId="3C10DF98" w14:textId="0863F79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12,600 </w:t>
            </w:r>
          </w:p>
        </w:tc>
        <w:tc>
          <w:tcPr>
            <w:tcW w:w="477" w:type="pct"/>
            <w:tcBorders>
              <w:top w:val="nil"/>
              <w:left w:val="nil"/>
              <w:bottom w:val="single" w:sz="4" w:space="0" w:color="auto"/>
              <w:right w:val="single" w:sz="4" w:space="0" w:color="auto"/>
            </w:tcBorders>
            <w:shd w:val="clear" w:color="auto" w:fill="auto"/>
            <w:hideMark/>
          </w:tcPr>
          <w:p w14:paraId="6E5E9645" w14:textId="0D8CEE3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17,819,711 </w:t>
            </w:r>
          </w:p>
        </w:tc>
        <w:tc>
          <w:tcPr>
            <w:tcW w:w="587" w:type="pct"/>
            <w:tcBorders>
              <w:top w:val="nil"/>
              <w:left w:val="nil"/>
              <w:bottom w:val="single" w:sz="4" w:space="0" w:color="auto"/>
              <w:right w:val="single" w:sz="4" w:space="0" w:color="auto"/>
            </w:tcBorders>
            <w:shd w:val="clear" w:color="auto" w:fill="auto"/>
            <w:hideMark/>
          </w:tcPr>
          <w:p w14:paraId="3DB7BCEB" w14:textId="0EF2570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44323FFA" w14:textId="77777777" w:rsidTr="007252BF">
        <w:trPr>
          <w:trHeight w:val="507"/>
        </w:trPr>
        <w:tc>
          <w:tcPr>
            <w:tcW w:w="304" w:type="pct"/>
            <w:tcBorders>
              <w:top w:val="single" w:sz="4" w:space="0" w:color="auto"/>
              <w:left w:val="single" w:sz="4" w:space="0" w:color="auto"/>
              <w:bottom w:val="single" w:sz="4" w:space="0" w:color="auto"/>
              <w:right w:val="single" w:sz="4" w:space="0" w:color="auto"/>
            </w:tcBorders>
          </w:tcPr>
          <w:p w14:paraId="3C5656EA" w14:textId="436FDF8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9709</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7BBB4252" w14:textId="4E08A2B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Colombia</w:t>
            </w:r>
          </w:p>
        </w:tc>
        <w:tc>
          <w:tcPr>
            <w:tcW w:w="786" w:type="pct"/>
            <w:tcBorders>
              <w:top w:val="single" w:sz="4" w:space="0" w:color="auto"/>
              <w:left w:val="nil"/>
              <w:bottom w:val="single" w:sz="4" w:space="0" w:color="auto"/>
              <w:right w:val="single" w:sz="4" w:space="0" w:color="auto"/>
            </w:tcBorders>
            <w:shd w:val="clear" w:color="auto" w:fill="auto"/>
            <w:hideMark/>
          </w:tcPr>
          <w:p w14:paraId="59EC4FD4" w14:textId="6EC505CB"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GEF GOLD Colombia: Integrated Sound </w:t>
            </w:r>
            <w:r w:rsidRPr="007E7514">
              <w:rPr>
                <w:rFonts w:asciiTheme="minorHAnsi" w:hAnsiTheme="minorHAnsi" w:cstheme="minorHAnsi"/>
                <w:i/>
                <w:iCs/>
                <w:sz w:val="20"/>
                <w:szCs w:val="20"/>
                <w:lang w:val="en-GB"/>
              </w:rPr>
              <w:lastRenderedPageBreak/>
              <w:t xml:space="preserve">Management of Mercury in Colombia’s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Small-scale Gold Mining Sector</w:t>
            </w:r>
          </w:p>
        </w:tc>
        <w:tc>
          <w:tcPr>
            <w:tcW w:w="371" w:type="pct"/>
            <w:tcBorders>
              <w:top w:val="single" w:sz="4" w:space="0" w:color="auto"/>
              <w:left w:val="nil"/>
              <w:bottom w:val="single" w:sz="4" w:space="0" w:color="auto"/>
              <w:right w:val="single" w:sz="4" w:space="0" w:color="auto"/>
            </w:tcBorders>
            <w:shd w:val="clear" w:color="auto" w:fill="auto"/>
            <w:hideMark/>
          </w:tcPr>
          <w:p w14:paraId="59BF6496"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UNDP</w:t>
            </w:r>
          </w:p>
        </w:tc>
        <w:tc>
          <w:tcPr>
            <w:tcW w:w="319" w:type="pct"/>
            <w:tcBorders>
              <w:top w:val="single" w:sz="4" w:space="0" w:color="auto"/>
              <w:left w:val="nil"/>
              <w:bottom w:val="single" w:sz="4" w:space="0" w:color="auto"/>
              <w:right w:val="single" w:sz="4" w:space="0" w:color="auto"/>
            </w:tcBorders>
            <w:shd w:val="clear" w:color="auto" w:fill="auto"/>
            <w:hideMark/>
          </w:tcPr>
          <w:p w14:paraId="16A2E97E" w14:textId="3464B5D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02E43F93" w14:textId="310C1D6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6,000,000 </w:t>
            </w:r>
          </w:p>
        </w:tc>
        <w:tc>
          <w:tcPr>
            <w:tcW w:w="426" w:type="pct"/>
            <w:tcBorders>
              <w:top w:val="single" w:sz="4" w:space="0" w:color="auto"/>
              <w:left w:val="nil"/>
              <w:bottom w:val="single" w:sz="4" w:space="0" w:color="auto"/>
              <w:right w:val="single" w:sz="4" w:space="0" w:color="auto"/>
            </w:tcBorders>
            <w:shd w:val="clear" w:color="auto" w:fill="auto"/>
            <w:hideMark/>
          </w:tcPr>
          <w:p w14:paraId="096791BE" w14:textId="4108A8F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540,000 </w:t>
            </w:r>
          </w:p>
        </w:tc>
        <w:tc>
          <w:tcPr>
            <w:tcW w:w="426" w:type="pct"/>
            <w:tcBorders>
              <w:top w:val="single" w:sz="4" w:space="0" w:color="auto"/>
              <w:left w:val="nil"/>
              <w:bottom w:val="single" w:sz="4" w:space="0" w:color="auto"/>
              <w:right w:val="single" w:sz="4" w:space="0" w:color="auto"/>
            </w:tcBorders>
            <w:shd w:val="clear" w:color="auto" w:fill="auto"/>
            <w:hideMark/>
          </w:tcPr>
          <w:p w14:paraId="654EE75C" w14:textId="3B613F3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150,000 </w:t>
            </w:r>
          </w:p>
        </w:tc>
        <w:tc>
          <w:tcPr>
            <w:tcW w:w="372" w:type="pct"/>
            <w:tcBorders>
              <w:top w:val="single" w:sz="4" w:space="0" w:color="auto"/>
              <w:left w:val="nil"/>
              <w:bottom w:val="single" w:sz="4" w:space="0" w:color="auto"/>
              <w:right w:val="single" w:sz="4" w:space="0" w:color="auto"/>
            </w:tcBorders>
            <w:shd w:val="clear" w:color="auto" w:fill="auto"/>
            <w:hideMark/>
          </w:tcPr>
          <w:p w14:paraId="1F0EB43E" w14:textId="398B4F7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13,500 </w:t>
            </w:r>
          </w:p>
        </w:tc>
        <w:tc>
          <w:tcPr>
            <w:tcW w:w="477" w:type="pct"/>
            <w:tcBorders>
              <w:top w:val="single" w:sz="4" w:space="0" w:color="auto"/>
              <w:left w:val="nil"/>
              <w:bottom w:val="single" w:sz="4" w:space="0" w:color="auto"/>
              <w:right w:val="single" w:sz="4" w:space="0" w:color="auto"/>
            </w:tcBorders>
            <w:shd w:val="clear" w:color="auto" w:fill="auto"/>
            <w:hideMark/>
          </w:tcPr>
          <w:p w14:paraId="1225746F" w14:textId="4B40094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23,444,511 </w:t>
            </w:r>
          </w:p>
        </w:tc>
        <w:tc>
          <w:tcPr>
            <w:tcW w:w="587" w:type="pct"/>
            <w:tcBorders>
              <w:top w:val="single" w:sz="4" w:space="0" w:color="auto"/>
              <w:left w:val="nil"/>
              <w:bottom w:val="single" w:sz="4" w:space="0" w:color="auto"/>
              <w:right w:val="single" w:sz="4" w:space="0" w:color="auto"/>
            </w:tcBorders>
            <w:shd w:val="clear" w:color="auto" w:fill="auto"/>
            <w:hideMark/>
          </w:tcPr>
          <w:p w14:paraId="41F08BDC" w14:textId="776CAB8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2E237C80" w14:textId="77777777" w:rsidTr="007252BF">
        <w:trPr>
          <w:trHeight w:val="431"/>
        </w:trPr>
        <w:tc>
          <w:tcPr>
            <w:tcW w:w="304" w:type="pct"/>
            <w:tcBorders>
              <w:top w:val="nil"/>
              <w:left w:val="single" w:sz="4" w:space="0" w:color="auto"/>
              <w:bottom w:val="single" w:sz="4" w:space="0" w:color="auto"/>
              <w:right w:val="single" w:sz="4" w:space="0" w:color="auto"/>
            </w:tcBorders>
          </w:tcPr>
          <w:p w14:paraId="5CEF9D27" w14:textId="4ED4F16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9710</w:t>
            </w:r>
          </w:p>
        </w:tc>
        <w:tc>
          <w:tcPr>
            <w:tcW w:w="506" w:type="pct"/>
            <w:tcBorders>
              <w:top w:val="nil"/>
              <w:left w:val="single" w:sz="4" w:space="0" w:color="auto"/>
              <w:bottom w:val="single" w:sz="4" w:space="0" w:color="auto"/>
              <w:right w:val="single" w:sz="4" w:space="0" w:color="auto"/>
            </w:tcBorders>
            <w:shd w:val="clear" w:color="auto" w:fill="auto"/>
            <w:hideMark/>
          </w:tcPr>
          <w:p w14:paraId="56CD377B" w14:textId="5751171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Peru</w:t>
            </w:r>
          </w:p>
        </w:tc>
        <w:tc>
          <w:tcPr>
            <w:tcW w:w="786" w:type="pct"/>
            <w:tcBorders>
              <w:top w:val="nil"/>
              <w:left w:val="nil"/>
              <w:bottom w:val="single" w:sz="4" w:space="0" w:color="auto"/>
              <w:right w:val="single" w:sz="4" w:space="0" w:color="auto"/>
            </w:tcBorders>
            <w:shd w:val="clear" w:color="auto" w:fill="auto"/>
            <w:hideMark/>
          </w:tcPr>
          <w:p w14:paraId="19D64579" w14:textId="177C3336"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GEF GOLD Peru - Integrated Sound Management of Mercury in Peru’s Artisanal and </w:t>
            </w:r>
            <w:r w:rsidR="0040097D" w:rsidRPr="007E7514">
              <w:rPr>
                <w:rFonts w:asciiTheme="minorHAnsi" w:hAnsiTheme="minorHAnsi" w:cstheme="minorHAnsi"/>
                <w:i/>
                <w:iCs/>
                <w:sz w:val="20"/>
                <w:szCs w:val="20"/>
                <w:lang w:val="en-GB"/>
              </w:rPr>
              <w:br/>
            </w:r>
            <w:r w:rsidRPr="007E7514">
              <w:rPr>
                <w:rFonts w:asciiTheme="minorHAnsi" w:hAnsiTheme="minorHAnsi" w:cstheme="minorHAnsi"/>
                <w:i/>
                <w:iCs/>
                <w:sz w:val="20"/>
                <w:szCs w:val="20"/>
                <w:lang w:val="en-GB"/>
              </w:rPr>
              <w:t>Small-scale Gold Mining</w:t>
            </w:r>
          </w:p>
        </w:tc>
        <w:tc>
          <w:tcPr>
            <w:tcW w:w="371" w:type="pct"/>
            <w:tcBorders>
              <w:top w:val="nil"/>
              <w:left w:val="nil"/>
              <w:bottom w:val="single" w:sz="4" w:space="0" w:color="auto"/>
              <w:right w:val="single" w:sz="4" w:space="0" w:color="auto"/>
            </w:tcBorders>
            <w:shd w:val="clear" w:color="auto" w:fill="auto"/>
            <w:hideMark/>
          </w:tcPr>
          <w:p w14:paraId="4C33F9FD"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014F627E" w14:textId="3100542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5D8238B1" w14:textId="6844F1D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3,990,000 </w:t>
            </w:r>
          </w:p>
        </w:tc>
        <w:tc>
          <w:tcPr>
            <w:tcW w:w="426" w:type="pct"/>
            <w:tcBorders>
              <w:top w:val="nil"/>
              <w:left w:val="nil"/>
              <w:bottom w:val="single" w:sz="4" w:space="0" w:color="auto"/>
              <w:right w:val="single" w:sz="4" w:space="0" w:color="auto"/>
            </w:tcBorders>
            <w:shd w:val="clear" w:color="auto" w:fill="auto"/>
            <w:hideMark/>
          </w:tcPr>
          <w:p w14:paraId="67C5B720" w14:textId="72DC2E8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359,100 </w:t>
            </w:r>
          </w:p>
        </w:tc>
        <w:tc>
          <w:tcPr>
            <w:tcW w:w="426" w:type="pct"/>
            <w:tcBorders>
              <w:top w:val="nil"/>
              <w:left w:val="nil"/>
              <w:bottom w:val="single" w:sz="4" w:space="0" w:color="auto"/>
              <w:right w:val="single" w:sz="4" w:space="0" w:color="auto"/>
            </w:tcBorders>
            <w:shd w:val="clear" w:color="auto" w:fill="auto"/>
            <w:hideMark/>
          </w:tcPr>
          <w:p w14:paraId="270F2988" w14:textId="518490F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130,000 </w:t>
            </w:r>
          </w:p>
        </w:tc>
        <w:tc>
          <w:tcPr>
            <w:tcW w:w="372" w:type="pct"/>
            <w:tcBorders>
              <w:top w:val="nil"/>
              <w:left w:val="nil"/>
              <w:bottom w:val="single" w:sz="4" w:space="0" w:color="auto"/>
              <w:right w:val="single" w:sz="4" w:space="0" w:color="auto"/>
            </w:tcBorders>
            <w:shd w:val="clear" w:color="auto" w:fill="auto"/>
            <w:hideMark/>
          </w:tcPr>
          <w:p w14:paraId="0BB91742" w14:textId="58E4D03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11,700 </w:t>
            </w:r>
          </w:p>
        </w:tc>
        <w:tc>
          <w:tcPr>
            <w:tcW w:w="477" w:type="pct"/>
            <w:tcBorders>
              <w:top w:val="nil"/>
              <w:left w:val="nil"/>
              <w:bottom w:val="single" w:sz="4" w:space="0" w:color="auto"/>
              <w:right w:val="single" w:sz="4" w:space="0" w:color="auto"/>
            </w:tcBorders>
            <w:shd w:val="clear" w:color="auto" w:fill="auto"/>
            <w:hideMark/>
          </w:tcPr>
          <w:p w14:paraId="56BDF214" w14:textId="4A051DE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35,233,512 </w:t>
            </w:r>
          </w:p>
        </w:tc>
        <w:tc>
          <w:tcPr>
            <w:tcW w:w="587" w:type="pct"/>
            <w:tcBorders>
              <w:top w:val="nil"/>
              <w:left w:val="nil"/>
              <w:bottom w:val="single" w:sz="4" w:space="0" w:color="auto"/>
              <w:right w:val="single" w:sz="4" w:space="0" w:color="auto"/>
            </w:tcBorders>
            <w:shd w:val="clear" w:color="auto" w:fill="auto"/>
            <w:hideMark/>
          </w:tcPr>
          <w:p w14:paraId="4FFCBE75" w14:textId="766B235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03859EF5" w14:textId="77777777" w:rsidTr="007252BF">
        <w:trPr>
          <w:trHeight w:val="1450"/>
        </w:trPr>
        <w:tc>
          <w:tcPr>
            <w:tcW w:w="304" w:type="pct"/>
            <w:tcBorders>
              <w:top w:val="single" w:sz="4" w:space="0" w:color="auto"/>
              <w:left w:val="single" w:sz="4" w:space="0" w:color="auto"/>
              <w:bottom w:val="single" w:sz="4" w:space="0" w:color="auto"/>
              <w:right w:val="single" w:sz="4" w:space="0" w:color="auto"/>
            </w:tcBorders>
          </w:tcPr>
          <w:p w14:paraId="3BE14FC9" w14:textId="0F1713A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9713</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226C06DB" w14:textId="6F6CCC2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Guyana</w:t>
            </w:r>
          </w:p>
        </w:tc>
        <w:tc>
          <w:tcPr>
            <w:tcW w:w="786" w:type="pct"/>
            <w:tcBorders>
              <w:top w:val="single" w:sz="4" w:space="0" w:color="auto"/>
              <w:left w:val="nil"/>
              <w:bottom w:val="single" w:sz="4" w:space="0" w:color="auto"/>
              <w:right w:val="single" w:sz="4" w:space="0" w:color="auto"/>
            </w:tcBorders>
            <w:shd w:val="clear" w:color="auto" w:fill="auto"/>
            <w:hideMark/>
          </w:tcPr>
          <w:p w14:paraId="254FB68F" w14:textId="5C4E91E7"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A GEF GOLD/Supply Chain Approach to Eliminating Mercury in Guyana’s Artisanal and Small-scale Gold Mining Sector: El Dorado Gold </w:t>
            </w:r>
            <w:proofErr w:type="spellStart"/>
            <w:r w:rsidRPr="007E7514">
              <w:rPr>
                <w:rFonts w:asciiTheme="minorHAnsi" w:hAnsiTheme="minorHAnsi" w:cstheme="minorHAnsi"/>
                <w:i/>
                <w:iCs/>
                <w:sz w:val="20"/>
                <w:szCs w:val="20"/>
                <w:lang w:val="en-GB"/>
              </w:rPr>
              <w:t>Jewelry</w:t>
            </w:r>
            <w:proofErr w:type="spellEnd"/>
            <w:r w:rsidRPr="007E7514">
              <w:rPr>
                <w:rFonts w:asciiTheme="minorHAnsi" w:hAnsiTheme="minorHAnsi" w:cstheme="minorHAnsi"/>
                <w:i/>
                <w:iCs/>
                <w:sz w:val="20"/>
                <w:szCs w:val="20"/>
                <w:lang w:val="en-GB"/>
              </w:rPr>
              <w:t xml:space="preserve"> Made in Guyana</w:t>
            </w:r>
          </w:p>
        </w:tc>
        <w:tc>
          <w:tcPr>
            <w:tcW w:w="371" w:type="pct"/>
            <w:tcBorders>
              <w:top w:val="single" w:sz="4" w:space="0" w:color="auto"/>
              <w:left w:val="nil"/>
              <w:bottom w:val="single" w:sz="4" w:space="0" w:color="auto"/>
              <w:right w:val="single" w:sz="4" w:space="0" w:color="auto"/>
            </w:tcBorders>
            <w:shd w:val="clear" w:color="auto" w:fill="auto"/>
            <w:hideMark/>
          </w:tcPr>
          <w:p w14:paraId="7E1B4BDC"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CI</w:t>
            </w:r>
          </w:p>
        </w:tc>
        <w:tc>
          <w:tcPr>
            <w:tcW w:w="319" w:type="pct"/>
            <w:tcBorders>
              <w:top w:val="single" w:sz="4" w:space="0" w:color="auto"/>
              <w:left w:val="nil"/>
              <w:bottom w:val="single" w:sz="4" w:space="0" w:color="auto"/>
              <w:right w:val="single" w:sz="4" w:space="0" w:color="auto"/>
            </w:tcBorders>
            <w:shd w:val="clear" w:color="auto" w:fill="auto"/>
            <w:hideMark/>
          </w:tcPr>
          <w:p w14:paraId="6C087C4E" w14:textId="152E9A1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1C95A277" w14:textId="04E4216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2,652,294 </w:t>
            </w:r>
          </w:p>
        </w:tc>
        <w:tc>
          <w:tcPr>
            <w:tcW w:w="426" w:type="pct"/>
            <w:tcBorders>
              <w:top w:val="single" w:sz="4" w:space="0" w:color="auto"/>
              <w:left w:val="nil"/>
              <w:bottom w:val="single" w:sz="4" w:space="0" w:color="auto"/>
              <w:right w:val="single" w:sz="4" w:space="0" w:color="auto"/>
            </w:tcBorders>
            <w:shd w:val="clear" w:color="auto" w:fill="auto"/>
            <w:hideMark/>
          </w:tcPr>
          <w:p w14:paraId="338678E3" w14:textId="78C31DE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238,706 </w:t>
            </w:r>
          </w:p>
        </w:tc>
        <w:tc>
          <w:tcPr>
            <w:tcW w:w="426" w:type="pct"/>
            <w:tcBorders>
              <w:top w:val="single" w:sz="4" w:space="0" w:color="auto"/>
              <w:left w:val="nil"/>
              <w:bottom w:val="single" w:sz="4" w:space="0" w:color="auto"/>
              <w:right w:val="single" w:sz="4" w:space="0" w:color="auto"/>
            </w:tcBorders>
            <w:shd w:val="clear" w:color="auto" w:fill="auto"/>
            <w:hideMark/>
          </w:tcPr>
          <w:p w14:paraId="48D86525" w14:textId="1614DE6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 </w:t>
            </w:r>
          </w:p>
        </w:tc>
        <w:tc>
          <w:tcPr>
            <w:tcW w:w="372" w:type="pct"/>
            <w:tcBorders>
              <w:top w:val="single" w:sz="4" w:space="0" w:color="auto"/>
              <w:left w:val="nil"/>
              <w:bottom w:val="single" w:sz="4" w:space="0" w:color="auto"/>
              <w:right w:val="single" w:sz="4" w:space="0" w:color="auto"/>
            </w:tcBorders>
            <w:shd w:val="clear" w:color="auto" w:fill="auto"/>
            <w:hideMark/>
          </w:tcPr>
          <w:p w14:paraId="30AD1DA0" w14:textId="2EA7B70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9,000 </w:t>
            </w:r>
          </w:p>
        </w:tc>
        <w:tc>
          <w:tcPr>
            <w:tcW w:w="477" w:type="pct"/>
            <w:tcBorders>
              <w:top w:val="single" w:sz="4" w:space="0" w:color="auto"/>
              <w:left w:val="nil"/>
              <w:bottom w:val="single" w:sz="4" w:space="0" w:color="auto"/>
              <w:right w:val="single" w:sz="4" w:space="0" w:color="auto"/>
            </w:tcBorders>
            <w:shd w:val="clear" w:color="auto" w:fill="auto"/>
            <w:hideMark/>
          </w:tcPr>
          <w:p w14:paraId="7C564D27" w14:textId="47ADAFC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3,136,600 </w:t>
            </w:r>
          </w:p>
        </w:tc>
        <w:tc>
          <w:tcPr>
            <w:tcW w:w="587" w:type="pct"/>
            <w:tcBorders>
              <w:top w:val="single" w:sz="4" w:space="0" w:color="auto"/>
              <w:left w:val="nil"/>
              <w:bottom w:val="single" w:sz="4" w:space="0" w:color="auto"/>
              <w:right w:val="single" w:sz="4" w:space="0" w:color="auto"/>
            </w:tcBorders>
            <w:shd w:val="clear" w:color="auto" w:fill="auto"/>
            <w:hideMark/>
          </w:tcPr>
          <w:p w14:paraId="15DABCB1" w14:textId="320B29E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68DD9B9F" w14:textId="77777777" w:rsidTr="007252BF">
        <w:trPr>
          <w:trHeight w:val="870"/>
        </w:trPr>
        <w:tc>
          <w:tcPr>
            <w:tcW w:w="304" w:type="pct"/>
            <w:tcBorders>
              <w:top w:val="single" w:sz="4" w:space="0" w:color="auto"/>
              <w:left w:val="single" w:sz="4" w:space="0" w:color="auto"/>
              <w:bottom w:val="single" w:sz="4" w:space="0" w:color="auto"/>
              <w:right w:val="single" w:sz="4" w:space="0" w:color="auto"/>
            </w:tcBorders>
          </w:tcPr>
          <w:p w14:paraId="235310F2" w14:textId="42E7CF7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9850</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382FC983" w14:textId="4DBE947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United Republic of Tanzania</w:t>
            </w:r>
          </w:p>
        </w:tc>
        <w:tc>
          <w:tcPr>
            <w:tcW w:w="786" w:type="pct"/>
            <w:tcBorders>
              <w:top w:val="single" w:sz="4" w:space="0" w:color="auto"/>
              <w:left w:val="nil"/>
              <w:bottom w:val="single" w:sz="4" w:space="0" w:color="auto"/>
              <w:right w:val="single" w:sz="4" w:space="0" w:color="auto"/>
            </w:tcBorders>
            <w:shd w:val="clear" w:color="auto" w:fill="auto"/>
            <w:hideMark/>
          </w:tcPr>
          <w:p w14:paraId="1C527C63" w14:textId="37EDE8C1"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Africa Environmental Health and Pollution Management Project </w:t>
            </w:r>
            <w:r w:rsidR="0040097D" w:rsidRPr="007E7514">
              <w:rPr>
                <w:rFonts w:asciiTheme="minorHAnsi" w:hAnsiTheme="minorHAnsi" w:cstheme="minorHAnsi"/>
                <w:i/>
                <w:iCs/>
                <w:sz w:val="20"/>
                <w:szCs w:val="20"/>
                <w:lang w:val="en-GB"/>
              </w:rPr>
              <w:t>-</w:t>
            </w:r>
            <w:r w:rsidRPr="007E7514">
              <w:rPr>
                <w:rFonts w:asciiTheme="minorHAnsi" w:hAnsiTheme="minorHAnsi" w:cstheme="minorHAnsi"/>
                <w:i/>
                <w:iCs/>
                <w:sz w:val="20"/>
                <w:szCs w:val="20"/>
                <w:lang w:val="en-GB"/>
              </w:rPr>
              <w:t xml:space="preserve"> Tanzania</w:t>
            </w:r>
          </w:p>
        </w:tc>
        <w:tc>
          <w:tcPr>
            <w:tcW w:w="371" w:type="pct"/>
            <w:tcBorders>
              <w:top w:val="single" w:sz="4" w:space="0" w:color="auto"/>
              <w:left w:val="nil"/>
              <w:bottom w:val="single" w:sz="4" w:space="0" w:color="auto"/>
              <w:right w:val="single" w:sz="4" w:space="0" w:color="auto"/>
            </w:tcBorders>
            <w:shd w:val="clear" w:color="auto" w:fill="auto"/>
            <w:hideMark/>
          </w:tcPr>
          <w:p w14:paraId="237A949E"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World Bank</w:t>
            </w:r>
          </w:p>
        </w:tc>
        <w:tc>
          <w:tcPr>
            <w:tcW w:w="319" w:type="pct"/>
            <w:tcBorders>
              <w:top w:val="single" w:sz="4" w:space="0" w:color="auto"/>
              <w:left w:val="nil"/>
              <w:bottom w:val="single" w:sz="4" w:space="0" w:color="auto"/>
              <w:right w:val="single" w:sz="4" w:space="0" w:color="auto"/>
            </w:tcBorders>
            <w:shd w:val="clear" w:color="auto" w:fill="auto"/>
            <w:hideMark/>
          </w:tcPr>
          <w:p w14:paraId="28B0C2CD" w14:textId="462448C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202DFC94" w14:textId="0394B5D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7,339,450 </w:t>
            </w:r>
          </w:p>
        </w:tc>
        <w:tc>
          <w:tcPr>
            <w:tcW w:w="426" w:type="pct"/>
            <w:tcBorders>
              <w:top w:val="single" w:sz="4" w:space="0" w:color="auto"/>
              <w:left w:val="nil"/>
              <w:bottom w:val="single" w:sz="4" w:space="0" w:color="auto"/>
              <w:right w:val="single" w:sz="4" w:space="0" w:color="auto"/>
            </w:tcBorders>
            <w:shd w:val="clear" w:color="auto" w:fill="auto"/>
            <w:hideMark/>
          </w:tcPr>
          <w:p w14:paraId="1F3F85E5" w14:textId="5EB1664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660,550 </w:t>
            </w:r>
          </w:p>
        </w:tc>
        <w:tc>
          <w:tcPr>
            <w:tcW w:w="426" w:type="pct"/>
            <w:tcBorders>
              <w:top w:val="single" w:sz="4" w:space="0" w:color="auto"/>
              <w:left w:val="nil"/>
              <w:bottom w:val="single" w:sz="4" w:space="0" w:color="auto"/>
              <w:right w:val="single" w:sz="4" w:space="0" w:color="auto"/>
            </w:tcBorders>
            <w:shd w:val="clear" w:color="auto" w:fill="auto"/>
            <w:hideMark/>
          </w:tcPr>
          <w:p w14:paraId="63006AA5" w14:textId="29BBBC3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22082E95" w14:textId="05D40D5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2EEFE086" w14:textId="60AE1B9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150,300,000 </w:t>
            </w:r>
          </w:p>
        </w:tc>
        <w:tc>
          <w:tcPr>
            <w:tcW w:w="587" w:type="pct"/>
            <w:tcBorders>
              <w:top w:val="single" w:sz="4" w:space="0" w:color="auto"/>
              <w:left w:val="nil"/>
              <w:bottom w:val="single" w:sz="4" w:space="0" w:color="auto"/>
              <w:right w:val="single" w:sz="4" w:space="0" w:color="auto"/>
            </w:tcBorders>
            <w:shd w:val="clear" w:color="auto" w:fill="auto"/>
            <w:hideMark/>
          </w:tcPr>
          <w:p w14:paraId="438538B7" w14:textId="15258DF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0C7ABA5C" w14:textId="77777777" w:rsidTr="007252BF">
        <w:trPr>
          <w:trHeight w:val="870"/>
        </w:trPr>
        <w:tc>
          <w:tcPr>
            <w:tcW w:w="304" w:type="pct"/>
            <w:tcBorders>
              <w:top w:val="nil"/>
              <w:left w:val="single" w:sz="4" w:space="0" w:color="auto"/>
              <w:bottom w:val="single" w:sz="4" w:space="0" w:color="auto"/>
              <w:right w:val="single" w:sz="4" w:space="0" w:color="auto"/>
            </w:tcBorders>
          </w:tcPr>
          <w:p w14:paraId="427CB7A2" w14:textId="253EA36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9851</w:t>
            </w:r>
          </w:p>
        </w:tc>
        <w:tc>
          <w:tcPr>
            <w:tcW w:w="506" w:type="pct"/>
            <w:tcBorders>
              <w:top w:val="nil"/>
              <w:left w:val="single" w:sz="4" w:space="0" w:color="auto"/>
              <w:bottom w:val="single" w:sz="4" w:space="0" w:color="auto"/>
              <w:right w:val="single" w:sz="4" w:space="0" w:color="auto"/>
            </w:tcBorders>
            <w:shd w:val="clear" w:color="auto" w:fill="auto"/>
            <w:hideMark/>
          </w:tcPr>
          <w:p w14:paraId="18A8061F" w14:textId="44BDDAB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Ghana</w:t>
            </w:r>
          </w:p>
        </w:tc>
        <w:tc>
          <w:tcPr>
            <w:tcW w:w="786" w:type="pct"/>
            <w:tcBorders>
              <w:top w:val="nil"/>
              <w:left w:val="nil"/>
              <w:bottom w:val="single" w:sz="4" w:space="0" w:color="auto"/>
              <w:right w:val="single" w:sz="4" w:space="0" w:color="auto"/>
            </w:tcBorders>
            <w:shd w:val="clear" w:color="auto" w:fill="auto"/>
            <w:hideMark/>
          </w:tcPr>
          <w:p w14:paraId="00FF8132" w14:textId="77777777"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Africa Environmental Health and Pollution Management Project  - Ghana</w:t>
            </w:r>
          </w:p>
        </w:tc>
        <w:tc>
          <w:tcPr>
            <w:tcW w:w="371" w:type="pct"/>
            <w:tcBorders>
              <w:top w:val="nil"/>
              <w:left w:val="nil"/>
              <w:bottom w:val="single" w:sz="4" w:space="0" w:color="auto"/>
              <w:right w:val="single" w:sz="4" w:space="0" w:color="auto"/>
            </w:tcBorders>
            <w:shd w:val="clear" w:color="auto" w:fill="auto"/>
            <w:hideMark/>
          </w:tcPr>
          <w:p w14:paraId="650C1BE6"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World Bank</w:t>
            </w:r>
          </w:p>
        </w:tc>
        <w:tc>
          <w:tcPr>
            <w:tcW w:w="319" w:type="pct"/>
            <w:tcBorders>
              <w:top w:val="nil"/>
              <w:left w:val="nil"/>
              <w:bottom w:val="single" w:sz="4" w:space="0" w:color="auto"/>
              <w:right w:val="single" w:sz="4" w:space="0" w:color="auto"/>
            </w:tcBorders>
            <w:shd w:val="clear" w:color="auto" w:fill="auto"/>
            <w:hideMark/>
          </w:tcPr>
          <w:p w14:paraId="722661C0" w14:textId="75CA12A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4580E4E8" w14:textId="3AF2EC5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4,128,440 </w:t>
            </w:r>
          </w:p>
        </w:tc>
        <w:tc>
          <w:tcPr>
            <w:tcW w:w="426" w:type="pct"/>
            <w:tcBorders>
              <w:top w:val="nil"/>
              <w:left w:val="nil"/>
              <w:bottom w:val="single" w:sz="4" w:space="0" w:color="auto"/>
              <w:right w:val="single" w:sz="4" w:space="0" w:color="auto"/>
            </w:tcBorders>
            <w:shd w:val="clear" w:color="auto" w:fill="auto"/>
            <w:hideMark/>
          </w:tcPr>
          <w:p w14:paraId="7CDA7052" w14:textId="5790026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371,560 </w:t>
            </w:r>
          </w:p>
        </w:tc>
        <w:tc>
          <w:tcPr>
            <w:tcW w:w="426" w:type="pct"/>
            <w:tcBorders>
              <w:top w:val="nil"/>
              <w:left w:val="nil"/>
              <w:bottom w:val="single" w:sz="4" w:space="0" w:color="auto"/>
              <w:right w:val="single" w:sz="4" w:space="0" w:color="auto"/>
            </w:tcBorders>
            <w:shd w:val="clear" w:color="auto" w:fill="auto"/>
            <w:hideMark/>
          </w:tcPr>
          <w:p w14:paraId="6313E409" w14:textId="117D829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0D201CFE" w14:textId="2B57145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2404E915" w14:textId="70C721B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50,600,000 </w:t>
            </w:r>
          </w:p>
        </w:tc>
        <w:tc>
          <w:tcPr>
            <w:tcW w:w="587" w:type="pct"/>
            <w:tcBorders>
              <w:top w:val="nil"/>
              <w:left w:val="nil"/>
              <w:bottom w:val="single" w:sz="4" w:space="0" w:color="auto"/>
              <w:right w:val="single" w:sz="4" w:space="0" w:color="auto"/>
            </w:tcBorders>
            <w:shd w:val="clear" w:color="auto" w:fill="auto"/>
            <w:hideMark/>
          </w:tcPr>
          <w:p w14:paraId="6B6E95EE" w14:textId="5B62F4D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247C78D4" w14:textId="77777777" w:rsidTr="007252BF">
        <w:trPr>
          <w:trHeight w:val="1636"/>
        </w:trPr>
        <w:tc>
          <w:tcPr>
            <w:tcW w:w="304" w:type="pct"/>
            <w:tcBorders>
              <w:top w:val="nil"/>
              <w:left w:val="single" w:sz="4" w:space="0" w:color="auto"/>
              <w:bottom w:val="single" w:sz="4" w:space="0" w:color="auto"/>
              <w:right w:val="single" w:sz="4" w:space="0" w:color="auto"/>
            </w:tcBorders>
          </w:tcPr>
          <w:p w14:paraId="4BFD14DE" w14:textId="6F7CD27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9855</w:t>
            </w:r>
          </w:p>
        </w:tc>
        <w:tc>
          <w:tcPr>
            <w:tcW w:w="506" w:type="pct"/>
            <w:tcBorders>
              <w:top w:val="nil"/>
              <w:left w:val="single" w:sz="4" w:space="0" w:color="auto"/>
              <w:bottom w:val="single" w:sz="4" w:space="0" w:color="auto"/>
              <w:right w:val="single" w:sz="4" w:space="0" w:color="auto"/>
            </w:tcBorders>
            <w:shd w:val="clear" w:color="auto" w:fill="auto"/>
            <w:hideMark/>
          </w:tcPr>
          <w:p w14:paraId="5B4C084D" w14:textId="459DA62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(Africa)</w:t>
            </w:r>
          </w:p>
        </w:tc>
        <w:tc>
          <w:tcPr>
            <w:tcW w:w="786" w:type="pct"/>
            <w:tcBorders>
              <w:top w:val="nil"/>
              <w:left w:val="nil"/>
              <w:bottom w:val="single" w:sz="4" w:space="0" w:color="auto"/>
              <w:right w:val="single" w:sz="4" w:space="0" w:color="auto"/>
            </w:tcBorders>
            <w:shd w:val="clear" w:color="auto" w:fill="auto"/>
            <w:hideMark/>
          </w:tcPr>
          <w:p w14:paraId="0EE76A9C" w14:textId="36BF493C"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Knowledge Exchange and Institutional Partnerships to Reduce Environmental Health Risks from Exposure to Harmful Chemicals and Waste </w:t>
            </w:r>
          </w:p>
        </w:tc>
        <w:tc>
          <w:tcPr>
            <w:tcW w:w="371" w:type="pct"/>
            <w:tcBorders>
              <w:top w:val="nil"/>
              <w:left w:val="nil"/>
              <w:bottom w:val="single" w:sz="4" w:space="0" w:color="auto"/>
              <w:right w:val="single" w:sz="4" w:space="0" w:color="auto"/>
            </w:tcBorders>
            <w:shd w:val="clear" w:color="auto" w:fill="auto"/>
            <w:hideMark/>
          </w:tcPr>
          <w:p w14:paraId="5EF1A714"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World Bank</w:t>
            </w:r>
          </w:p>
        </w:tc>
        <w:tc>
          <w:tcPr>
            <w:tcW w:w="319" w:type="pct"/>
            <w:tcBorders>
              <w:top w:val="nil"/>
              <w:left w:val="nil"/>
              <w:bottom w:val="single" w:sz="4" w:space="0" w:color="auto"/>
              <w:right w:val="single" w:sz="4" w:space="0" w:color="auto"/>
            </w:tcBorders>
            <w:shd w:val="clear" w:color="auto" w:fill="auto"/>
            <w:hideMark/>
          </w:tcPr>
          <w:p w14:paraId="5BE0FA00" w14:textId="62B307F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nil"/>
              <w:left w:val="nil"/>
              <w:bottom w:val="single" w:sz="4" w:space="0" w:color="auto"/>
              <w:right w:val="single" w:sz="4" w:space="0" w:color="auto"/>
            </w:tcBorders>
            <w:shd w:val="clear" w:color="auto" w:fill="auto"/>
            <w:hideMark/>
          </w:tcPr>
          <w:p w14:paraId="60E3A83E" w14:textId="0D2F1C8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2,018,349 </w:t>
            </w:r>
          </w:p>
        </w:tc>
        <w:tc>
          <w:tcPr>
            <w:tcW w:w="426" w:type="pct"/>
            <w:tcBorders>
              <w:top w:val="nil"/>
              <w:left w:val="nil"/>
              <w:bottom w:val="single" w:sz="4" w:space="0" w:color="auto"/>
              <w:right w:val="single" w:sz="4" w:space="0" w:color="auto"/>
            </w:tcBorders>
            <w:shd w:val="clear" w:color="auto" w:fill="auto"/>
            <w:hideMark/>
          </w:tcPr>
          <w:p w14:paraId="18BA2EFD" w14:textId="0A22C44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181,651 </w:t>
            </w:r>
          </w:p>
        </w:tc>
        <w:tc>
          <w:tcPr>
            <w:tcW w:w="426" w:type="pct"/>
            <w:tcBorders>
              <w:top w:val="nil"/>
              <w:left w:val="nil"/>
              <w:bottom w:val="single" w:sz="4" w:space="0" w:color="auto"/>
              <w:right w:val="single" w:sz="4" w:space="0" w:color="auto"/>
            </w:tcBorders>
            <w:shd w:val="clear" w:color="auto" w:fill="auto"/>
            <w:hideMark/>
          </w:tcPr>
          <w:p w14:paraId="39A958EE" w14:textId="608EE16B"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0C58511" w14:textId="0EC0E82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248EB884" w14:textId="6A1A226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10,850,000 </w:t>
            </w:r>
          </w:p>
        </w:tc>
        <w:tc>
          <w:tcPr>
            <w:tcW w:w="587" w:type="pct"/>
            <w:tcBorders>
              <w:top w:val="nil"/>
              <w:left w:val="nil"/>
              <w:bottom w:val="single" w:sz="4" w:space="0" w:color="auto"/>
              <w:right w:val="single" w:sz="4" w:space="0" w:color="auto"/>
            </w:tcBorders>
            <w:shd w:val="clear" w:color="auto" w:fill="auto"/>
            <w:hideMark/>
          </w:tcPr>
          <w:p w14:paraId="1249638B" w14:textId="70B02B2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0457198F" w14:textId="77777777" w:rsidTr="007252BF">
        <w:trPr>
          <w:trHeight w:val="1783"/>
        </w:trPr>
        <w:tc>
          <w:tcPr>
            <w:tcW w:w="304" w:type="pct"/>
            <w:tcBorders>
              <w:top w:val="nil"/>
              <w:left w:val="single" w:sz="4" w:space="0" w:color="auto"/>
              <w:bottom w:val="single" w:sz="4" w:space="0" w:color="auto"/>
              <w:right w:val="single" w:sz="4" w:space="0" w:color="auto"/>
            </w:tcBorders>
          </w:tcPr>
          <w:p w14:paraId="40826A72" w14:textId="6732E9A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10086</w:t>
            </w:r>
          </w:p>
        </w:tc>
        <w:tc>
          <w:tcPr>
            <w:tcW w:w="506" w:type="pct"/>
            <w:tcBorders>
              <w:top w:val="nil"/>
              <w:left w:val="single" w:sz="4" w:space="0" w:color="auto"/>
              <w:bottom w:val="single" w:sz="4" w:space="0" w:color="auto"/>
              <w:right w:val="single" w:sz="4" w:space="0" w:color="auto"/>
            </w:tcBorders>
            <w:shd w:val="clear" w:color="auto" w:fill="auto"/>
            <w:hideMark/>
          </w:tcPr>
          <w:p w14:paraId="563432BC" w14:textId="4716608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Mexico</w:t>
            </w:r>
          </w:p>
        </w:tc>
        <w:tc>
          <w:tcPr>
            <w:tcW w:w="786" w:type="pct"/>
            <w:tcBorders>
              <w:top w:val="nil"/>
              <w:left w:val="nil"/>
              <w:bottom w:val="single" w:sz="4" w:space="0" w:color="auto"/>
              <w:right w:val="single" w:sz="4" w:space="0" w:color="auto"/>
            </w:tcBorders>
            <w:shd w:val="clear" w:color="auto" w:fill="auto"/>
            <w:hideMark/>
          </w:tcPr>
          <w:p w14:paraId="2B8B2858" w14:textId="41D4C59D"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Reducing Global Environmental Risks through the Monitoring and Development of Alternative Livelihood for the Primary Mercury</w:t>
            </w:r>
            <w:r w:rsidR="00054E1D" w:rsidRPr="007E7514">
              <w:rPr>
                <w:rFonts w:asciiTheme="minorHAnsi" w:hAnsiTheme="minorHAnsi" w:cstheme="minorHAnsi"/>
                <w:i/>
                <w:iCs/>
                <w:sz w:val="20"/>
                <w:szCs w:val="20"/>
                <w:lang w:val="en-GB"/>
              </w:rPr>
              <w:t>-m</w:t>
            </w:r>
            <w:r w:rsidRPr="007E7514">
              <w:rPr>
                <w:rFonts w:asciiTheme="minorHAnsi" w:hAnsiTheme="minorHAnsi" w:cstheme="minorHAnsi"/>
                <w:i/>
                <w:iCs/>
                <w:sz w:val="20"/>
                <w:szCs w:val="20"/>
                <w:lang w:val="en-GB"/>
              </w:rPr>
              <w:t>ining Sector in Mexico</w:t>
            </w:r>
          </w:p>
        </w:tc>
        <w:tc>
          <w:tcPr>
            <w:tcW w:w="371" w:type="pct"/>
            <w:tcBorders>
              <w:top w:val="nil"/>
              <w:left w:val="nil"/>
              <w:bottom w:val="single" w:sz="4" w:space="0" w:color="auto"/>
              <w:right w:val="single" w:sz="4" w:space="0" w:color="auto"/>
            </w:tcBorders>
            <w:shd w:val="clear" w:color="auto" w:fill="auto"/>
            <w:hideMark/>
          </w:tcPr>
          <w:p w14:paraId="14978DD7"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6758EF32" w14:textId="42C1A3F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59DD31E5" w14:textId="01E02C1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7,035,000 </w:t>
            </w:r>
          </w:p>
        </w:tc>
        <w:tc>
          <w:tcPr>
            <w:tcW w:w="426" w:type="pct"/>
            <w:tcBorders>
              <w:top w:val="nil"/>
              <w:left w:val="nil"/>
              <w:bottom w:val="single" w:sz="4" w:space="0" w:color="auto"/>
              <w:right w:val="single" w:sz="4" w:space="0" w:color="auto"/>
            </w:tcBorders>
            <w:shd w:val="clear" w:color="auto" w:fill="auto"/>
            <w:hideMark/>
          </w:tcPr>
          <w:p w14:paraId="15D00B24" w14:textId="073DA8A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668,325 </w:t>
            </w:r>
          </w:p>
        </w:tc>
        <w:tc>
          <w:tcPr>
            <w:tcW w:w="426" w:type="pct"/>
            <w:tcBorders>
              <w:top w:val="nil"/>
              <w:left w:val="nil"/>
              <w:bottom w:val="single" w:sz="4" w:space="0" w:color="auto"/>
              <w:right w:val="single" w:sz="4" w:space="0" w:color="auto"/>
            </w:tcBorders>
            <w:shd w:val="clear" w:color="auto" w:fill="auto"/>
            <w:hideMark/>
          </w:tcPr>
          <w:p w14:paraId="69481B99" w14:textId="240C4F7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 </w:t>
            </w:r>
          </w:p>
        </w:tc>
        <w:tc>
          <w:tcPr>
            <w:tcW w:w="372" w:type="pct"/>
            <w:tcBorders>
              <w:top w:val="nil"/>
              <w:left w:val="nil"/>
              <w:bottom w:val="single" w:sz="4" w:space="0" w:color="auto"/>
              <w:right w:val="single" w:sz="4" w:space="0" w:color="auto"/>
            </w:tcBorders>
            <w:shd w:val="clear" w:color="auto" w:fill="auto"/>
            <w:hideMark/>
          </w:tcPr>
          <w:p w14:paraId="0E57AD47" w14:textId="60F4A76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19,000 </w:t>
            </w:r>
          </w:p>
        </w:tc>
        <w:tc>
          <w:tcPr>
            <w:tcW w:w="477" w:type="pct"/>
            <w:tcBorders>
              <w:top w:val="nil"/>
              <w:left w:val="nil"/>
              <w:bottom w:val="single" w:sz="4" w:space="0" w:color="auto"/>
              <w:right w:val="single" w:sz="4" w:space="0" w:color="auto"/>
            </w:tcBorders>
            <w:shd w:val="clear" w:color="auto" w:fill="auto"/>
            <w:hideMark/>
          </w:tcPr>
          <w:p w14:paraId="549F3776" w14:textId="6216B75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51,068,844 </w:t>
            </w:r>
          </w:p>
        </w:tc>
        <w:tc>
          <w:tcPr>
            <w:tcW w:w="587" w:type="pct"/>
            <w:tcBorders>
              <w:top w:val="nil"/>
              <w:left w:val="nil"/>
              <w:bottom w:val="single" w:sz="4" w:space="0" w:color="auto"/>
              <w:right w:val="single" w:sz="4" w:space="0" w:color="auto"/>
            </w:tcBorders>
            <w:shd w:val="clear" w:color="auto" w:fill="auto"/>
            <w:hideMark/>
          </w:tcPr>
          <w:p w14:paraId="7B1F8C52" w14:textId="45CD49D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24013FA7" w14:textId="77777777" w:rsidTr="007252BF">
        <w:trPr>
          <w:trHeight w:val="1216"/>
        </w:trPr>
        <w:tc>
          <w:tcPr>
            <w:tcW w:w="304" w:type="pct"/>
            <w:tcBorders>
              <w:top w:val="nil"/>
              <w:left w:val="single" w:sz="4" w:space="0" w:color="auto"/>
              <w:bottom w:val="single" w:sz="4" w:space="0" w:color="auto"/>
              <w:right w:val="single" w:sz="4" w:space="0" w:color="auto"/>
            </w:tcBorders>
          </w:tcPr>
          <w:p w14:paraId="69D5AAC4" w14:textId="4BE63D3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10094</w:t>
            </w:r>
          </w:p>
        </w:tc>
        <w:tc>
          <w:tcPr>
            <w:tcW w:w="506" w:type="pct"/>
            <w:tcBorders>
              <w:top w:val="nil"/>
              <w:left w:val="single" w:sz="4" w:space="0" w:color="auto"/>
              <w:bottom w:val="single" w:sz="4" w:space="0" w:color="auto"/>
              <w:right w:val="single" w:sz="4" w:space="0" w:color="auto"/>
            </w:tcBorders>
            <w:shd w:val="clear" w:color="auto" w:fill="auto"/>
            <w:hideMark/>
          </w:tcPr>
          <w:p w14:paraId="1C7C287E" w14:textId="663A68D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Argentina</w:t>
            </w:r>
          </w:p>
        </w:tc>
        <w:tc>
          <w:tcPr>
            <w:tcW w:w="786" w:type="pct"/>
            <w:tcBorders>
              <w:top w:val="nil"/>
              <w:left w:val="nil"/>
              <w:bottom w:val="single" w:sz="4" w:space="0" w:color="auto"/>
              <w:right w:val="single" w:sz="4" w:space="0" w:color="auto"/>
            </w:tcBorders>
            <w:shd w:val="clear" w:color="auto" w:fill="auto"/>
            <w:hideMark/>
          </w:tcPr>
          <w:p w14:paraId="622A1D53" w14:textId="130DABE8"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 xml:space="preserve">Environmentally Sound Management of Persistent Organic Pollutants, Mercury and Other Hazardous Chemicals in Argentina </w:t>
            </w:r>
          </w:p>
        </w:tc>
        <w:tc>
          <w:tcPr>
            <w:tcW w:w="371" w:type="pct"/>
            <w:tcBorders>
              <w:top w:val="nil"/>
              <w:left w:val="nil"/>
              <w:bottom w:val="single" w:sz="4" w:space="0" w:color="auto"/>
              <w:right w:val="single" w:sz="4" w:space="0" w:color="auto"/>
            </w:tcBorders>
            <w:shd w:val="clear" w:color="auto" w:fill="auto"/>
            <w:hideMark/>
          </w:tcPr>
          <w:p w14:paraId="04B3D1CC"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nil"/>
              <w:left w:val="nil"/>
              <w:bottom w:val="single" w:sz="4" w:space="0" w:color="auto"/>
              <w:right w:val="single" w:sz="4" w:space="0" w:color="auto"/>
            </w:tcBorders>
            <w:shd w:val="clear" w:color="auto" w:fill="auto"/>
            <w:hideMark/>
          </w:tcPr>
          <w:p w14:paraId="46E61E0E" w14:textId="7E6E71A4"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051BC752" w14:textId="3DA8ED4C"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1,846,100 </w:t>
            </w:r>
          </w:p>
        </w:tc>
        <w:tc>
          <w:tcPr>
            <w:tcW w:w="426" w:type="pct"/>
            <w:tcBorders>
              <w:top w:val="nil"/>
              <w:left w:val="nil"/>
              <w:bottom w:val="single" w:sz="4" w:space="0" w:color="auto"/>
              <w:right w:val="single" w:sz="4" w:space="0" w:color="auto"/>
            </w:tcBorders>
            <w:shd w:val="clear" w:color="auto" w:fill="auto"/>
            <w:hideMark/>
          </w:tcPr>
          <w:p w14:paraId="15BA57A1" w14:textId="666CB61D"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175,379 </w:t>
            </w:r>
          </w:p>
        </w:tc>
        <w:tc>
          <w:tcPr>
            <w:tcW w:w="426" w:type="pct"/>
            <w:tcBorders>
              <w:top w:val="nil"/>
              <w:left w:val="nil"/>
              <w:bottom w:val="single" w:sz="4" w:space="0" w:color="auto"/>
              <w:right w:val="single" w:sz="4" w:space="0" w:color="auto"/>
            </w:tcBorders>
            <w:shd w:val="clear" w:color="auto" w:fill="auto"/>
            <w:hideMark/>
          </w:tcPr>
          <w:p w14:paraId="28C06FDD" w14:textId="00318D5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60,000 </w:t>
            </w:r>
          </w:p>
        </w:tc>
        <w:tc>
          <w:tcPr>
            <w:tcW w:w="372" w:type="pct"/>
            <w:tcBorders>
              <w:top w:val="nil"/>
              <w:left w:val="nil"/>
              <w:bottom w:val="single" w:sz="4" w:space="0" w:color="auto"/>
              <w:right w:val="single" w:sz="4" w:space="0" w:color="auto"/>
            </w:tcBorders>
            <w:shd w:val="clear" w:color="auto" w:fill="auto"/>
            <w:hideMark/>
          </w:tcPr>
          <w:p w14:paraId="799049D9" w14:textId="7816869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5,700 </w:t>
            </w:r>
          </w:p>
        </w:tc>
        <w:tc>
          <w:tcPr>
            <w:tcW w:w="477" w:type="pct"/>
            <w:tcBorders>
              <w:top w:val="nil"/>
              <w:left w:val="nil"/>
              <w:bottom w:val="single" w:sz="4" w:space="0" w:color="auto"/>
              <w:right w:val="single" w:sz="4" w:space="0" w:color="auto"/>
            </w:tcBorders>
            <w:shd w:val="clear" w:color="auto" w:fill="auto"/>
            <w:hideMark/>
          </w:tcPr>
          <w:p w14:paraId="2F6DFE7F" w14:textId="6F507E7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46,625,509 </w:t>
            </w:r>
          </w:p>
        </w:tc>
        <w:tc>
          <w:tcPr>
            <w:tcW w:w="587" w:type="pct"/>
            <w:tcBorders>
              <w:top w:val="nil"/>
              <w:left w:val="nil"/>
              <w:bottom w:val="single" w:sz="4" w:space="0" w:color="auto"/>
              <w:right w:val="single" w:sz="4" w:space="0" w:color="auto"/>
            </w:tcBorders>
            <w:shd w:val="clear" w:color="auto" w:fill="auto"/>
            <w:hideMark/>
          </w:tcPr>
          <w:p w14:paraId="29C920EF" w14:textId="00DBA010"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1C237879" w14:textId="77777777" w:rsidTr="007252BF">
        <w:trPr>
          <w:trHeight w:val="580"/>
        </w:trPr>
        <w:tc>
          <w:tcPr>
            <w:tcW w:w="304" w:type="pct"/>
            <w:tcBorders>
              <w:top w:val="single" w:sz="4" w:space="0" w:color="auto"/>
              <w:left w:val="single" w:sz="4" w:space="0" w:color="auto"/>
              <w:bottom w:val="single" w:sz="4" w:space="0" w:color="auto"/>
              <w:right w:val="single" w:sz="4" w:space="0" w:color="auto"/>
            </w:tcBorders>
          </w:tcPr>
          <w:p w14:paraId="70FC2328" w14:textId="25D904C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10267</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5EF3A070" w14:textId="45052228"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Regional (Asia and the Pacific)</w:t>
            </w:r>
          </w:p>
        </w:tc>
        <w:tc>
          <w:tcPr>
            <w:tcW w:w="786" w:type="pct"/>
            <w:tcBorders>
              <w:top w:val="single" w:sz="4" w:space="0" w:color="auto"/>
              <w:left w:val="nil"/>
              <w:bottom w:val="single" w:sz="4" w:space="0" w:color="auto"/>
              <w:right w:val="single" w:sz="4" w:space="0" w:color="auto"/>
            </w:tcBorders>
            <w:shd w:val="clear" w:color="auto" w:fill="auto"/>
            <w:hideMark/>
          </w:tcPr>
          <w:p w14:paraId="435EE06C" w14:textId="77777777"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ISLANDS - Pacific Child Project</w:t>
            </w:r>
          </w:p>
        </w:tc>
        <w:tc>
          <w:tcPr>
            <w:tcW w:w="371" w:type="pct"/>
            <w:tcBorders>
              <w:top w:val="single" w:sz="4" w:space="0" w:color="auto"/>
              <w:left w:val="nil"/>
              <w:bottom w:val="single" w:sz="4" w:space="0" w:color="auto"/>
              <w:right w:val="single" w:sz="4" w:space="0" w:color="auto"/>
            </w:tcBorders>
            <w:shd w:val="clear" w:color="auto" w:fill="auto"/>
            <w:hideMark/>
          </w:tcPr>
          <w:p w14:paraId="29D4731E" w14:textId="7777777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7C368123" w14:textId="254EB27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52051C24" w14:textId="106CAF4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single" w:sz="4" w:space="0" w:color="auto"/>
              <w:left w:val="nil"/>
              <w:bottom w:val="single" w:sz="4" w:space="0" w:color="auto"/>
              <w:right w:val="single" w:sz="4" w:space="0" w:color="auto"/>
            </w:tcBorders>
            <w:shd w:val="clear" w:color="auto" w:fill="auto"/>
            <w:hideMark/>
          </w:tcPr>
          <w:p w14:paraId="291577CE" w14:textId="3DB88CE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90,000 </w:t>
            </w:r>
          </w:p>
        </w:tc>
        <w:tc>
          <w:tcPr>
            <w:tcW w:w="426" w:type="pct"/>
            <w:tcBorders>
              <w:top w:val="single" w:sz="4" w:space="0" w:color="auto"/>
              <w:left w:val="nil"/>
              <w:bottom w:val="single" w:sz="4" w:space="0" w:color="auto"/>
              <w:right w:val="single" w:sz="4" w:space="0" w:color="auto"/>
            </w:tcBorders>
            <w:shd w:val="clear" w:color="auto" w:fill="auto"/>
            <w:hideMark/>
          </w:tcPr>
          <w:p w14:paraId="37A1F4CD" w14:textId="2BBEDC6F"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15,000 </w:t>
            </w:r>
          </w:p>
        </w:tc>
        <w:tc>
          <w:tcPr>
            <w:tcW w:w="372" w:type="pct"/>
            <w:tcBorders>
              <w:top w:val="single" w:sz="4" w:space="0" w:color="auto"/>
              <w:left w:val="nil"/>
              <w:bottom w:val="single" w:sz="4" w:space="0" w:color="auto"/>
              <w:right w:val="single" w:sz="4" w:space="0" w:color="auto"/>
            </w:tcBorders>
            <w:shd w:val="clear" w:color="auto" w:fill="auto"/>
            <w:hideMark/>
          </w:tcPr>
          <w:p w14:paraId="5B392394" w14:textId="1DBB74E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1,350 </w:t>
            </w:r>
          </w:p>
        </w:tc>
        <w:tc>
          <w:tcPr>
            <w:tcW w:w="477" w:type="pct"/>
            <w:tcBorders>
              <w:top w:val="single" w:sz="4" w:space="0" w:color="auto"/>
              <w:left w:val="nil"/>
              <w:bottom w:val="single" w:sz="4" w:space="0" w:color="auto"/>
              <w:right w:val="single" w:sz="4" w:space="0" w:color="auto"/>
            </w:tcBorders>
            <w:shd w:val="clear" w:color="auto" w:fill="auto"/>
            <w:hideMark/>
          </w:tcPr>
          <w:p w14:paraId="3A16CD11" w14:textId="1E8AAAE5"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94,178,246 </w:t>
            </w:r>
          </w:p>
        </w:tc>
        <w:tc>
          <w:tcPr>
            <w:tcW w:w="587" w:type="pct"/>
            <w:tcBorders>
              <w:top w:val="single" w:sz="4" w:space="0" w:color="auto"/>
              <w:left w:val="nil"/>
              <w:bottom w:val="single" w:sz="4" w:space="0" w:color="auto"/>
              <w:right w:val="single" w:sz="4" w:space="0" w:color="auto"/>
            </w:tcBorders>
            <w:shd w:val="clear" w:color="auto" w:fill="auto"/>
            <w:hideMark/>
          </w:tcPr>
          <w:p w14:paraId="17C5D906" w14:textId="5D876CD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7252BF" w:rsidRPr="007E7514" w14:paraId="72618FEC" w14:textId="77777777" w:rsidTr="007252BF">
        <w:trPr>
          <w:trHeight w:val="580"/>
        </w:trPr>
        <w:tc>
          <w:tcPr>
            <w:tcW w:w="304" w:type="pct"/>
            <w:tcBorders>
              <w:top w:val="single" w:sz="4" w:space="0" w:color="auto"/>
              <w:left w:val="single" w:sz="4" w:space="0" w:color="auto"/>
              <w:bottom w:val="single" w:sz="4" w:space="0" w:color="auto"/>
              <w:right w:val="single" w:sz="4" w:space="0" w:color="auto"/>
            </w:tcBorders>
          </w:tcPr>
          <w:p w14:paraId="7055C70C" w14:textId="5EDF56DE"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10279</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25C215D7" w14:textId="391463C2"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Regional (Antigua and Barbuda, Barbados, Belize, Dominican Republic, Guyana, Saint  </w:t>
            </w:r>
            <w:r w:rsidRPr="007E7514">
              <w:rPr>
                <w:rFonts w:asciiTheme="minorHAnsi" w:hAnsiTheme="minorHAnsi" w:cstheme="minorHAnsi"/>
                <w:sz w:val="20"/>
                <w:szCs w:val="20"/>
                <w:lang w:val="en-GB"/>
              </w:rPr>
              <w:lastRenderedPageBreak/>
              <w:t>Kitts and Nevis, Saint  Lucia, Suriname, Trinidad and Tobago)</w:t>
            </w:r>
          </w:p>
        </w:tc>
        <w:tc>
          <w:tcPr>
            <w:tcW w:w="786" w:type="pct"/>
            <w:tcBorders>
              <w:top w:val="single" w:sz="4" w:space="0" w:color="auto"/>
              <w:left w:val="nil"/>
              <w:bottom w:val="single" w:sz="4" w:space="0" w:color="auto"/>
              <w:right w:val="single" w:sz="4" w:space="0" w:color="auto"/>
            </w:tcBorders>
            <w:shd w:val="clear" w:color="auto" w:fill="auto"/>
          </w:tcPr>
          <w:p w14:paraId="21CCA3F6" w14:textId="5E43CC89" w:rsidR="00957235" w:rsidRPr="007E7514" w:rsidRDefault="00957235" w:rsidP="00957235">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lastRenderedPageBreak/>
              <w:t>ISLANDS - Caribbean Child Project</w:t>
            </w:r>
          </w:p>
        </w:tc>
        <w:tc>
          <w:tcPr>
            <w:tcW w:w="371" w:type="pct"/>
            <w:tcBorders>
              <w:top w:val="single" w:sz="4" w:space="0" w:color="auto"/>
              <w:left w:val="nil"/>
              <w:bottom w:val="single" w:sz="4" w:space="0" w:color="auto"/>
              <w:right w:val="single" w:sz="4" w:space="0" w:color="auto"/>
            </w:tcBorders>
            <w:shd w:val="clear" w:color="auto" w:fill="auto"/>
          </w:tcPr>
          <w:p w14:paraId="42BAD974" w14:textId="6A0A9369"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tcPr>
          <w:p w14:paraId="1534FCC0" w14:textId="32C615B6"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tcPr>
          <w:p w14:paraId="2CD121C6" w14:textId="743BB68A"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2,000,000 </w:t>
            </w:r>
          </w:p>
        </w:tc>
        <w:tc>
          <w:tcPr>
            <w:tcW w:w="426" w:type="pct"/>
            <w:tcBorders>
              <w:top w:val="single" w:sz="4" w:space="0" w:color="auto"/>
              <w:left w:val="nil"/>
              <w:bottom w:val="single" w:sz="4" w:space="0" w:color="auto"/>
              <w:right w:val="single" w:sz="4" w:space="0" w:color="auto"/>
            </w:tcBorders>
            <w:shd w:val="clear" w:color="auto" w:fill="auto"/>
          </w:tcPr>
          <w:p w14:paraId="6E098277" w14:textId="31D6BAA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180,000 </w:t>
            </w:r>
          </w:p>
        </w:tc>
        <w:tc>
          <w:tcPr>
            <w:tcW w:w="426" w:type="pct"/>
            <w:tcBorders>
              <w:top w:val="single" w:sz="4" w:space="0" w:color="auto"/>
              <w:left w:val="nil"/>
              <w:bottom w:val="single" w:sz="4" w:space="0" w:color="auto"/>
              <w:right w:val="single" w:sz="4" w:space="0" w:color="auto"/>
            </w:tcBorders>
            <w:shd w:val="clear" w:color="auto" w:fill="auto"/>
          </w:tcPr>
          <w:p w14:paraId="7DDF11C1" w14:textId="15C36F8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55,000 </w:t>
            </w:r>
          </w:p>
        </w:tc>
        <w:tc>
          <w:tcPr>
            <w:tcW w:w="372" w:type="pct"/>
            <w:tcBorders>
              <w:top w:val="single" w:sz="4" w:space="0" w:color="auto"/>
              <w:left w:val="nil"/>
              <w:bottom w:val="single" w:sz="4" w:space="0" w:color="auto"/>
              <w:right w:val="single" w:sz="4" w:space="0" w:color="auto"/>
            </w:tcBorders>
            <w:shd w:val="clear" w:color="auto" w:fill="auto"/>
          </w:tcPr>
          <w:p w14:paraId="71B90322" w14:textId="0599BC13"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4,950 </w:t>
            </w:r>
          </w:p>
        </w:tc>
        <w:tc>
          <w:tcPr>
            <w:tcW w:w="477" w:type="pct"/>
            <w:tcBorders>
              <w:top w:val="single" w:sz="4" w:space="0" w:color="auto"/>
              <w:left w:val="nil"/>
              <w:bottom w:val="single" w:sz="4" w:space="0" w:color="auto"/>
              <w:right w:val="single" w:sz="4" w:space="0" w:color="auto"/>
            </w:tcBorders>
            <w:shd w:val="clear" w:color="auto" w:fill="auto"/>
          </w:tcPr>
          <w:p w14:paraId="61BA3074" w14:textId="75D0E351"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47,041,860 </w:t>
            </w:r>
          </w:p>
        </w:tc>
        <w:tc>
          <w:tcPr>
            <w:tcW w:w="587" w:type="pct"/>
            <w:tcBorders>
              <w:top w:val="single" w:sz="4" w:space="0" w:color="auto"/>
              <w:left w:val="nil"/>
              <w:bottom w:val="single" w:sz="4" w:space="0" w:color="auto"/>
              <w:right w:val="single" w:sz="4" w:space="0" w:color="auto"/>
            </w:tcBorders>
            <w:shd w:val="clear" w:color="auto" w:fill="auto"/>
          </w:tcPr>
          <w:p w14:paraId="3EE1AAC8" w14:textId="69AD8007" w:rsidR="00957235" w:rsidRPr="007E7514" w:rsidRDefault="00957235" w:rsidP="00957235">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r w:rsidR="00957235" w:rsidRPr="007E7514" w14:paraId="4120F266" w14:textId="77777777" w:rsidTr="009667F4">
        <w:trPr>
          <w:trHeight w:val="291"/>
        </w:trPr>
        <w:tc>
          <w:tcPr>
            <w:tcW w:w="304" w:type="pct"/>
            <w:tcBorders>
              <w:top w:val="single" w:sz="4" w:space="0" w:color="auto"/>
              <w:left w:val="single" w:sz="4" w:space="0" w:color="auto"/>
              <w:bottom w:val="single" w:sz="4" w:space="0" w:color="auto"/>
              <w:right w:val="single" w:sz="4" w:space="0" w:color="auto"/>
            </w:tcBorders>
          </w:tcPr>
          <w:p w14:paraId="3B1344BC" w14:textId="77777777" w:rsidR="00957235" w:rsidRPr="007E7514" w:rsidRDefault="00957235" w:rsidP="00957235">
            <w:pPr>
              <w:rPr>
                <w:rFonts w:asciiTheme="minorHAnsi" w:hAnsiTheme="minorHAnsi" w:cstheme="minorHAnsi"/>
                <w:b/>
                <w:bCs/>
                <w:sz w:val="20"/>
                <w:szCs w:val="20"/>
                <w:lang w:val="en-GB"/>
              </w:rPr>
            </w:pPr>
          </w:p>
        </w:tc>
        <w:tc>
          <w:tcPr>
            <w:tcW w:w="4696" w:type="pct"/>
            <w:gridSpan w:val="10"/>
            <w:tcBorders>
              <w:top w:val="single" w:sz="4" w:space="0" w:color="auto"/>
              <w:left w:val="single" w:sz="4" w:space="0" w:color="auto"/>
              <w:bottom w:val="single" w:sz="4" w:space="0" w:color="auto"/>
              <w:right w:val="single" w:sz="4" w:space="0" w:color="auto"/>
            </w:tcBorders>
            <w:shd w:val="clear" w:color="auto" w:fill="auto"/>
          </w:tcPr>
          <w:p w14:paraId="5BC21EB5" w14:textId="13DDB271" w:rsidR="00957235" w:rsidRPr="007E7514" w:rsidRDefault="00957235" w:rsidP="00957235">
            <w:pPr>
              <w:rPr>
                <w:rFonts w:asciiTheme="minorHAnsi" w:hAnsiTheme="minorHAnsi" w:cstheme="minorHAnsi"/>
                <w:b/>
                <w:bCs/>
                <w:sz w:val="20"/>
                <w:szCs w:val="20"/>
                <w:lang w:val="en-GB"/>
              </w:rPr>
            </w:pPr>
            <w:r w:rsidRPr="007E7514">
              <w:rPr>
                <w:rFonts w:asciiTheme="minorHAnsi" w:hAnsiTheme="minorHAnsi" w:cstheme="minorHAnsi"/>
                <w:b/>
                <w:bCs/>
                <w:sz w:val="20"/>
                <w:szCs w:val="20"/>
                <w:lang w:val="en-GB"/>
              </w:rPr>
              <w:t>Medium-sized projects</w:t>
            </w:r>
          </w:p>
        </w:tc>
      </w:tr>
      <w:tr w:rsidR="007252BF" w:rsidRPr="007E7514" w14:paraId="7785013F" w14:textId="77777777" w:rsidTr="007252BF">
        <w:trPr>
          <w:trHeight w:val="483"/>
        </w:trPr>
        <w:tc>
          <w:tcPr>
            <w:tcW w:w="304" w:type="pct"/>
            <w:tcBorders>
              <w:top w:val="single" w:sz="4" w:space="0" w:color="auto"/>
              <w:left w:val="single" w:sz="4" w:space="0" w:color="auto"/>
              <w:bottom w:val="single" w:sz="4" w:space="0" w:color="auto"/>
              <w:right w:val="single" w:sz="4" w:space="0" w:color="auto"/>
            </w:tcBorders>
          </w:tcPr>
          <w:p w14:paraId="3111E398" w14:textId="005245E1"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8000</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165502DB" w14:textId="6F4F8221"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Tunisia</w:t>
            </w:r>
          </w:p>
        </w:tc>
        <w:tc>
          <w:tcPr>
            <w:tcW w:w="786" w:type="pct"/>
            <w:tcBorders>
              <w:top w:val="single" w:sz="4" w:space="0" w:color="auto"/>
              <w:left w:val="nil"/>
              <w:bottom w:val="single" w:sz="4" w:space="0" w:color="auto"/>
              <w:right w:val="single" w:sz="4" w:space="0" w:color="auto"/>
            </w:tcBorders>
            <w:shd w:val="clear" w:color="auto" w:fill="auto"/>
          </w:tcPr>
          <w:p w14:paraId="565B4DB8" w14:textId="26816E62" w:rsidR="005546C1" w:rsidRPr="007E7514" w:rsidRDefault="005546C1" w:rsidP="005546C1">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Improving Mercury Management in Tunisia</w:t>
            </w:r>
          </w:p>
        </w:tc>
        <w:tc>
          <w:tcPr>
            <w:tcW w:w="371" w:type="pct"/>
            <w:tcBorders>
              <w:top w:val="single" w:sz="4" w:space="0" w:color="auto"/>
              <w:left w:val="nil"/>
              <w:bottom w:val="single" w:sz="4" w:space="0" w:color="auto"/>
              <w:right w:val="single" w:sz="4" w:space="0" w:color="auto"/>
            </w:tcBorders>
            <w:shd w:val="clear" w:color="auto" w:fill="auto"/>
          </w:tcPr>
          <w:p w14:paraId="07C17499" w14:textId="31B56AE2"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tcPr>
          <w:p w14:paraId="23A2C283" w14:textId="17D227BC"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tcPr>
          <w:p w14:paraId="360CE685" w14:textId="744B23A5"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600,000 </w:t>
            </w:r>
          </w:p>
        </w:tc>
        <w:tc>
          <w:tcPr>
            <w:tcW w:w="426" w:type="pct"/>
            <w:tcBorders>
              <w:top w:val="single" w:sz="4" w:space="0" w:color="auto"/>
              <w:left w:val="nil"/>
              <w:bottom w:val="single" w:sz="4" w:space="0" w:color="auto"/>
              <w:right w:val="single" w:sz="4" w:space="0" w:color="auto"/>
            </w:tcBorders>
            <w:shd w:val="clear" w:color="auto" w:fill="auto"/>
          </w:tcPr>
          <w:p w14:paraId="27F4485F" w14:textId="01A374AB"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57,000 </w:t>
            </w:r>
          </w:p>
        </w:tc>
        <w:tc>
          <w:tcPr>
            <w:tcW w:w="426" w:type="pct"/>
            <w:tcBorders>
              <w:top w:val="single" w:sz="4" w:space="0" w:color="auto"/>
              <w:left w:val="nil"/>
              <w:bottom w:val="single" w:sz="4" w:space="0" w:color="auto"/>
              <w:right w:val="single" w:sz="4" w:space="0" w:color="auto"/>
            </w:tcBorders>
            <w:shd w:val="clear" w:color="auto" w:fill="auto"/>
          </w:tcPr>
          <w:p w14:paraId="618925FF" w14:textId="76BF842F"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tcPr>
          <w:p w14:paraId="65839E65" w14:textId="2C3EE488"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tcPr>
          <w:p w14:paraId="05608514" w14:textId="03D1F22D"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2,350,000 </w:t>
            </w:r>
          </w:p>
        </w:tc>
        <w:tc>
          <w:tcPr>
            <w:tcW w:w="587" w:type="pct"/>
            <w:tcBorders>
              <w:top w:val="single" w:sz="4" w:space="0" w:color="auto"/>
              <w:left w:val="nil"/>
              <w:bottom w:val="single" w:sz="4" w:space="0" w:color="auto"/>
              <w:right w:val="single" w:sz="4" w:space="0" w:color="auto"/>
            </w:tcBorders>
            <w:shd w:val="clear" w:color="auto" w:fill="auto"/>
          </w:tcPr>
          <w:p w14:paraId="62DDF175" w14:textId="284467BD"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3397097F" w14:textId="77777777" w:rsidTr="007252BF">
        <w:trPr>
          <w:trHeight w:val="251"/>
        </w:trPr>
        <w:tc>
          <w:tcPr>
            <w:tcW w:w="304" w:type="pct"/>
            <w:tcBorders>
              <w:top w:val="single" w:sz="4" w:space="0" w:color="auto"/>
              <w:left w:val="single" w:sz="4" w:space="0" w:color="auto"/>
              <w:bottom w:val="single" w:sz="4" w:space="0" w:color="auto"/>
              <w:right w:val="single" w:sz="4" w:space="0" w:color="auto"/>
            </w:tcBorders>
          </w:tcPr>
          <w:p w14:paraId="791A8374" w14:textId="634C8AC2"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9379</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0931E411" w14:textId="0A743129"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Viet Nam</w:t>
            </w:r>
          </w:p>
        </w:tc>
        <w:tc>
          <w:tcPr>
            <w:tcW w:w="786" w:type="pct"/>
            <w:tcBorders>
              <w:top w:val="single" w:sz="4" w:space="0" w:color="auto"/>
              <w:left w:val="nil"/>
              <w:bottom w:val="single" w:sz="4" w:space="0" w:color="auto"/>
              <w:right w:val="single" w:sz="4" w:space="0" w:color="auto"/>
            </w:tcBorders>
            <w:shd w:val="clear" w:color="auto" w:fill="auto"/>
          </w:tcPr>
          <w:p w14:paraId="5A071B71" w14:textId="4E7479E5" w:rsidR="005546C1" w:rsidRPr="007E7514" w:rsidRDefault="005546C1" w:rsidP="005546C1">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Application of Green Chemistry in Viet Nam to Support Green Growth and Reduction in the Use and Release of Persistent Organic Pollutants and Harmful Chemicals</w:t>
            </w:r>
          </w:p>
        </w:tc>
        <w:tc>
          <w:tcPr>
            <w:tcW w:w="371" w:type="pct"/>
            <w:tcBorders>
              <w:top w:val="single" w:sz="4" w:space="0" w:color="auto"/>
              <w:left w:val="nil"/>
              <w:bottom w:val="single" w:sz="4" w:space="0" w:color="auto"/>
              <w:right w:val="single" w:sz="4" w:space="0" w:color="auto"/>
            </w:tcBorders>
            <w:shd w:val="clear" w:color="auto" w:fill="auto"/>
          </w:tcPr>
          <w:p w14:paraId="5DB4B1E3" w14:textId="4ADAEEA1"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UNDP</w:t>
            </w:r>
          </w:p>
        </w:tc>
        <w:tc>
          <w:tcPr>
            <w:tcW w:w="319" w:type="pct"/>
            <w:tcBorders>
              <w:top w:val="single" w:sz="4" w:space="0" w:color="auto"/>
              <w:left w:val="nil"/>
              <w:bottom w:val="single" w:sz="4" w:space="0" w:color="auto"/>
              <w:right w:val="single" w:sz="4" w:space="0" w:color="auto"/>
            </w:tcBorders>
            <w:shd w:val="clear" w:color="auto" w:fill="auto"/>
          </w:tcPr>
          <w:p w14:paraId="78194A9F" w14:textId="4C017978"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tcPr>
          <w:p w14:paraId="7D50AAF2" w14:textId="6F9DC868"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469,800 </w:t>
            </w:r>
          </w:p>
        </w:tc>
        <w:tc>
          <w:tcPr>
            <w:tcW w:w="426" w:type="pct"/>
            <w:tcBorders>
              <w:top w:val="single" w:sz="4" w:space="0" w:color="auto"/>
              <w:left w:val="nil"/>
              <w:bottom w:val="single" w:sz="4" w:space="0" w:color="auto"/>
              <w:right w:val="single" w:sz="4" w:space="0" w:color="auto"/>
            </w:tcBorders>
            <w:shd w:val="clear" w:color="auto" w:fill="auto"/>
          </w:tcPr>
          <w:p w14:paraId="1ABB096A" w14:textId="131E397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44,631 </w:t>
            </w:r>
          </w:p>
        </w:tc>
        <w:tc>
          <w:tcPr>
            <w:tcW w:w="426" w:type="pct"/>
            <w:tcBorders>
              <w:top w:val="single" w:sz="4" w:space="0" w:color="auto"/>
              <w:left w:val="nil"/>
              <w:bottom w:val="single" w:sz="4" w:space="0" w:color="auto"/>
              <w:right w:val="single" w:sz="4" w:space="0" w:color="auto"/>
            </w:tcBorders>
            <w:shd w:val="clear" w:color="auto" w:fill="auto"/>
          </w:tcPr>
          <w:p w14:paraId="1464F8F5" w14:textId="0990460F"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11,747 </w:t>
            </w:r>
          </w:p>
        </w:tc>
        <w:tc>
          <w:tcPr>
            <w:tcW w:w="372" w:type="pct"/>
            <w:tcBorders>
              <w:top w:val="single" w:sz="4" w:space="0" w:color="auto"/>
              <w:left w:val="nil"/>
              <w:bottom w:val="single" w:sz="4" w:space="0" w:color="auto"/>
              <w:right w:val="single" w:sz="4" w:space="0" w:color="auto"/>
            </w:tcBorders>
            <w:shd w:val="clear" w:color="auto" w:fill="auto"/>
          </w:tcPr>
          <w:p w14:paraId="00AF937E" w14:textId="7EDC5229"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1,116 </w:t>
            </w:r>
          </w:p>
        </w:tc>
        <w:tc>
          <w:tcPr>
            <w:tcW w:w="477" w:type="pct"/>
            <w:tcBorders>
              <w:top w:val="single" w:sz="4" w:space="0" w:color="auto"/>
              <w:left w:val="nil"/>
              <w:bottom w:val="single" w:sz="4" w:space="0" w:color="auto"/>
              <w:right w:val="single" w:sz="4" w:space="0" w:color="auto"/>
            </w:tcBorders>
            <w:shd w:val="clear" w:color="auto" w:fill="auto"/>
          </w:tcPr>
          <w:p w14:paraId="6AB9FCFF" w14:textId="6548EF3F"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8,400,000 </w:t>
            </w:r>
          </w:p>
        </w:tc>
        <w:tc>
          <w:tcPr>
            <w:tcW w:w="587" w:type="pct"/>
            <w:tcBorders>
              <w:top w:val="single" w:sz="4" w:space="0" w:color="auto"/>
              <w:left w:val="nil"/>
              <w:bottom w:val="single" w:sz="4" w:space="0" w:color="auto"/>
              <w:right w:val="single" w:sz="4" w:space="0" w:color="auto"/>
            </w:tcBorders>
            <w:shd w:val="clear" w:color="auto" w:fill="auto"/>
          </w:tcPr>
          <w:p w14:paraId="7C2BB3A0" w14:textId="3A0F2392"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502119F0" w14:textId="77777777" w:rsidTr="007252BF">
        <w:trPr>
          <w:trHeight w:val="1740"/>
        </w:trPr>
        <w:tc>
          <w:tcPr>
            <w:tcW w:w="304" w:type="pct"/>
            <w:tcBorders>
              <w:top w:val="single" w:sz="4" w:space="0" w:color="auto"/>
              <w:left w:val="single" w:sz="4" w:space="0" w:color="auto"/>
              <w:bottom w:val="single" w:sz="4" w:space="0" w:color="auto"/>
              <w:right w:val="single" w:sz="4" w:space="0" w:color="auto"/>
            </w:tcBorders>
          </w:tcPr>
          <w:p w14:paraId="6699493D" w14:textId="2E376A03"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9718</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17D183C4" w14:textId="6D40B62A"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Burkina Faso</w:t>
            </w:r>
          </w:p>
        </w:tc>
        <w:tc>
          <w:tcPr>
            <w:tcW w:w="786" w:type="pct"/>
            <w:tcBorders>
              <w:top w:val="single" w:sz="4" w:space="0" w:color="auto"/>
              <w:left w:val="nil"/>
              <w:bottom w:val="single" w:sz="4" w:space="0" w:color="auto"/>
              <w:right w:val="single" w:sz="4" w:space="0" w:color="auto"/>
            </w:tcBorders>
            <w:shd w:val="clear" w:color="auto" w:fill="auto"/>
            <w:hideMark/>
          </w:tcPr>
          <w:p w14:paraId="5BB8A675" w14:textId="7AE0E496" w:rsidR="005546C1" w:rsidRPr="007E7514" w:rsidRDefault="005546C1" w:rsidP="005546C1">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GEF GOLD: Contribution Towards the Elimination of Mercury and Improvement of the Gold Value Chain in the Artisanal and Small-scale Gold Mining Sector</w:t>
            </w:r>
          </w:p>
        </w:tc>
        <w:tc>
          <w:tcPr>
            <w:tcW w:w="371" w:type="pct"/>
            <w:tcBorders>
              <w:top w:val="single" w:sz="4" w:space="0" w:color="auto"/>
              <w:left w:val="nil"/>
              <w:bottom w:val="single" w:sz="4" w:space="0" w:color="auto"/>
              <w:right w:val="single" w:sz="4" w:space="0" w:color="auto"/>
            </w:tcBorders>
            <w:shd w:val="clear" w:color="auto" w:fill="auto"/>
            <w:hideMark/>
          </w:tcPr>
          <w:p w14:paraId="55D6AF71" w14:textId="77777777"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UNIDO</w:t>
            </w:r>
          </w:p>
        </w:tc>
        <w:tc>
          <w:tcPr>
            <w:tcW w:w="319" w:type="pct"/>
            <w:tcBorders>
              <w:top w:val="single" w:sz="4" w:space="0" w:color="auto"/>
              <w:left w:val="nil"/>
              <w:bottom w:val="single" w:sz="4" w:space="0" w:color="auto"/>
              <w:right w:val="single" w:sz="4" w:space="0" w:color="auto"/>
            </w:tcBorders>
            <w:shd w:val="clear" w:color="auto" w:fill="auto"/>
            <w:hideMark/>
          </w:tcPr>
          <w:p w14:paraId="59F10347" w14:textId="30B9518B"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GEF-6</w:t>
            </w:r>
          </w:p>
        </w:tc>
        <w:tc>
          <w:tcPr>
            <w:tcW w:w="426" w:type="pct"/>
            <w:tcBorders>
              <w:top w:val="single" w:sz="4" w:space="0" w:color="auto"/>
              <w:left w:val="nil"/>
              <w:bottom w:val="single" w:sz="4" w:space="0" w:color="auto"/>
              <w:right w:val="single" w:sz="4" w:space="0" w:color="auto"/>
            </w:tcBorders>
            <w:shd w:val="clear" w:color="auto" w:fill="auto"/>
            <w:hideMark/>
          </w:tcPr>
          <w:p w14:paraId="0E17AAE4" w14:textId="5E40A06F"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2,000,000 </w:t>
            </w:r>
          </w:p>
        </w:tc>
        <w:tc>
          <w:tcPr>
            <w:tcW w:w="426" w:type="pct"/>
            <w:tcBorders>
              <w:top w:val="single" w:sz="4" w:space="0" w:color="auto"/>
              <w:left w:val="nil"/>
              <w:bottom w:val="single" w:sz="4" w:space="0" w:color="auto"/>
              <w:right w:val="single" w:sz="4" w:space="0" w:color="auto"/>
            </w:tcBorders>
            <w:shd w:val="clear" w:color="auto" w:fill="auto"/>
            <w:hideMark/>
          </w:tcPr>
          <w:p w14:paraId="3D03961D" w14:textId="0B3E3036"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180,000 </w:t>
            </w:r>
          </w:p>
        </w:tc>
        <w:tc>
          <w:tcPr>
            <w:tcW w:w="426" w:type="pct"/>
            <w:tcBorders>
              <w:top w:val="single" w:sz="4" w:space="0" w:color="auto"/>
              <w:left w:val="nil"/>
              <w:bottom w:val="single" w:sz="4" w:space="0" w:color="auto"/>
              <w:right w:val="single" w:sz="4" w:space="0" w:color="auto"/>
            </w:tcBorders>
            <w:shd w:val="clear" w:color="auto" w:fill="auto"/>
            <w:hideMark/>
          </w:tcPr>
          <w:p w14:paraId="4DA2B398" w14:textId="0C83A695"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single" w:sz="4" w:space="0" w:color="auto"/>
              <w:left w:val="nil"/>
              <w:bottom w:val="single" w:sz="4" w:space="0" w:color="auto"/>
              <w:right w:val="single" w:sz="4" w:space="0" w:color="auto"/>
            </w:tcBorders>
            <w:shd w:val="clear" w:color="auto" w:fill="auto"/>
            <w:hideMark/>
          </w:tcPr>
          <w:p w14:paraId="75D0BEFC" w14:textId="71CDDA6C"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single" w:sz="4" w:space="0" w:color="auto"/>
              <w:left w:val="nil"/>
              <w:bottom w:val="single" w:sz="4" w:space="0" w:color="auto"/>
              <w:right w:val="single" w:sz="4" w:space="0" w:color="auto"/>
            </w:tcBorders>
            <w:shd w:val="clear" w:color="auto" w:fill="auto"/>
            <w:hideMark/>
          </w:tcPr>
          <w:p w14:paraId="643BB18C" w14:textId="300C2937"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7,310,819 </w:t>
            </w:r>
          </w:p>
        </w:tc>
        <w:tc>
          <w:tcPr>
            <w:tcW w:w="587" w:type="pct"/>
            <w:tcBorders>
              <w:top w:val="single" w:sz="4" w:space="0" w:color="auto"/>
              <w:left w:val="nil"/>
              <w:bottom w:val="single" w:sz="4" w:space="0" w:color="auto"/>
              <w:right w:val="single" w:sz="4" w:space="0" w:color="auto"/>
            </w:tcBorders>
            <w:shd w:val="clear" w:color="auto" w:fill="auto"/>
            <w:hideMark/>
          </w:tcPr>
          <w:p w14:paraId="61172631" w14:textId="5AFC69C0"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1BE3F591" w14:textId="77777777" w:rsidTr="007252BF">
        <w:trPr>
          <w:trHeight w:val="1160"/>
        </w:trPr>
        <w:tc>
          <w:tcPr>
            <w:tcW w:w="304" w:type="pct"/>
            <w:tcBorders>
              <w:top w:val="nil"/>
              <w:left w:val="single" w:sz="4" w:space="0" w:color="auto"/>
              <w:bottom w:val="single" w:sz="4" w:space="0" w:color="auto"/>
              <w:right w:val="single" w:sz="4" w:space="0" w:color="auto"/>
            </w:tcBorders>
          </w:tcPr>
          <w:p w14:paraId="69EB7B68" w14:textId="1AAC6676"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10658</w:t>
            </w:r>
          </w:p>
        </w:tc>
        <w:tc>
          <w:tcPr>
            <w:tcW w:w="506" w:type="pct"/>
            <w:tcBorders>
              <w:top w:val="nil"/>
              <w:left w:val="single" w:sz="4" w:space="0" w:color="auto"/>
              <w:bottom w:val="single" w:sz="4" w:space="0" w:color="auto"/>
              <w:right w:val="single" w:sz="4" w:space="0" w:color="auto"/>
            </w:tcBorders>
            <w:shd w:val="clear" w:color="auto" w:fill="auto"/>
            <w:hideMark/>
          </w:tcPr>
          <w:p w14:paraId="20ECFADC" w14:textId="219B9D3A"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Global</w:t>
            </w:r>
          </w:p>
        </w:tc>
        <w:tc>
          <w:tcPr>
            <w:tcW w:w="786" w:type="pct"/>
            <w:tcBorders>
              <w:top w:val="nil"/>
              <w:left w:val="nil"/>
              <w:bottom w:val="single" w:sz="4" w:space="0" w:color="auto"/>
              <w:right w:val="single" w:sz="4" w:space="0" w:color="auto"/>
            </w:tcBorders>
            <w:shd w:val="clear" w:color="auto" w:fill="auto"/>
            <w:hideMark/>
          </w:tcPr>
          <w:p w14:paraId="3E608843" w14:textId="3D06F3E1" w:rsidR="005546C1" w:rsidRPr="007E7514" w:rsidRDefault="005546C1" w:rsidP="005546C1">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Transforming the Fashion Sector to Drive Positive Outcomes for Biodiversity, Climate and Oceans</w:t>
            </w:r>
          </w:p>
        </w:tc>
        <w:tc>
          <w:tcPr>
            <w:tcW w:w="371" w:type="pct"/>
            <w:tcBorders>
              <w:top w:val="nil"/>
              <w:left w:val="nil"/>
              <w:bottom w:val="single" w:sz="4" w:space="0" w:color="auto"/>
              <w:right w:val="single" w:sz="4" w:space="0" w:color="auto"/>
            </w:tcBorders>
            <w:shd w:val="clear" w:color="auto" w:fill="auto"/>
            <w:hideMark/>
          </w:tcPr>
          <w:p w14:paraId="185850FA" w14:textId="77777777"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CI</w:t>
            </w:r>
          </w:p>
        </w:tc>
        <w:tc>
          <w:tcPr>
            <w:tcW w:w="319" w:type="pct"/>
            <w:tcBorders>
              <w:top w:val="nil"/>
              <w:left w:val="nil"/>
              <w:bottom w:val="single" w:sz="4" w:space="0" w:color="auto"/>
              <w:right w:val="single" w:sz="4" w:space="0" w:color="auto"/>
            </w:tcBorders>
            <w:shd w:val="clear" w:color="auto" w:fill="auto"/>
            <w:hideMark/>
          </w:tcPr>
          <w:p w14:paraId="7152CBFE" w14:textId="51C79C1A"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1068B57B" w14:textId="49AB4147"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1,000,000 </w:t>
            </w:r>
          </w:p>
        </w:tc>
        <w:tc>
          <w:tcPr>
            <w:tcW w:w="426" w:type="pct"/>
            <w:tcBorders>
              <w:top w:val="nil"/>
              <w:left w:val="nil"/>
              <w:bottom w:val="single" w:sz="4" w:space="0" w:color="auto"/>
              <w:right w:val="single" w:sz="4" w:space="0" w:color="auto"/>
            </w:tcBorders>
            <w:shd w:val="clear" w:color="auto" w:fill="auto"/>
            <w:hideMark/>
          </w:tcPr>
          <w:p w14:paraId="1C06D9DF" w14:textId="2997F6FA"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90,000 </w:t>
            </w:r>
          </w:p>
        </w:tc>
        <w:tc>
          <w:tcPr>
            <w:tcW w:w="426" w:type="pct"/>
            <w:tcBorders>
              <w:top w:val="nil"/>
              <w:left w:val="nil"/>
              <w:bottom w:val="single" w:sz="4" w:space="0" w:color="auto"/>
              <w:right w:val="single" w:sz="4" w:space="0" w:color="auto"/>
            </w:tcBorders>
            <w:shd w:val="clear" w:color="auto" w:fill="auto"/>
            <w:hideMark/>
          </w:tcPr>
          <w:p w14:paraId="4DE0FD9A" w14:textId="431E5ED1"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25,000 </w:t>
            </w:r>
          </w:p>
        </w:tc>
        <w:tc>
          <w:tcPr>
            <w:tcW w:w="372" w:type="pct"/>
            <w:tcBorders>
              <w:top w:val="nil"/>
              <w:left w:val="nil"/>
              <w:bottom w:val="single" w:sz="4" w:space="0" w:color="auto"/>
              <w:right w:val="single" w:sz="4" w:space="0" w:color="auto"/>
            </w:tcBorders>
            <w:shd w:val="clear" w:color="auto" w:fill="auto"/>
            <w:hideMark/>
          </w:tcPr>
          <w:p w14:paraId="4B6DE29F" w14:textId="0A47C6B4"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2,250 </w:t>
            </w:r>
          </w:p>
        </w:tc>
        <w:tc>
          <w:tcPr>
            <w:tcW w:w="477" w:type="pct"/>
            <w:tcBorders>
              <w:top w:val="nil"/>
              <w:left w:val="nil"/>
              <w:bottom w:val="single" w:sz="4" w:space="0" w:color="auto"/>
              <w:right w:val="single" w:sz="4" w:space="0" w:color="auto"/>
            </w:tcBorders>
            <w:shd w:val="clear" w:color="auto" w:fill="auto"/>
            <w:hideMark/>
          </w:tcPr>
          <w:p w14:paraId="519BDA42" w14:textId="0990A17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4,790,893 </w:t>
            </w:r>
          </w:p>
        </w:tc>
        <w:tc>
          <w:tcPr>
            <w:tcW w:w="587" w:type="pct"/>
            <w:tcBorders>
              <w:top w:val="nil"/>
              <w:left w:val="nil"/>
              <w:bottom w:val="single" w:sz="4" w:space="0" w:color="auto"/>
              <w:right w:val="single" w:sz="4" w:space="0" w:color="auto"/>
            </w:tcBorders>
            <w:shd w:val="clear" w:color="auto" w:fill="auto"/>
            <w:hideMark/>
          </w:tcPr>
          <w:p w14:paraId="6310F06A" w14:textId="4A10A9B0"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71DB0478" w14:textId="77777777" w:rsidTr="007252BF">
        <w:trPr>
          <w:trHeight w:val="870"/>
        </w:trPr>
        <w:tc>
          <w:tcPr>
            <w:tcW w:w="304" w:type="pct"/>
            <w:tcBorders>
              <w:top w:val="nil"/>
              <w:left w:val="single" w:sz="4" w:space="0" w:color="auto"/>
              <w:bottom w:val="single" w:sz="4" w:space="0" w:color="auto"/>
              <w:right w:val="single" w:sz="4" w:space="0" w:color="auto"/>
            </w:tcBorders>
          </w:tcPr>
          <w:p w14:paraId="26D3C162" w14:textId="26C20E80"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lastRenderedPageBreak/>
              <w:t>10141</w:t>
            </w:r>
          </w:p>
        </w:tc>
        <w:tc>
          <w:tcPr>
            <w:tcW w:w="506" w:type="pct"/>
            <w:tcBorders>
              <w:top w:val="nil"/>
              <w:left w:val="single" w:sz="4" w:space="0" w:color="auto"/>
              <w:bottom w:val="single" w:sz="4" w:space="0" w:color="auto"/>
              <w:right w:val="single" w:sz="4" w:space="0" w:color="auto"/>
            </w:tcBorders>
            <w:shd w:val="clear" w:color="auto" w:fill="auto"/>
            <w:hideMark/>
          </w:tcPr>
          <w:p w14:paraId="3723B75F" w14:textId="23D4692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Nigeria</w:t>
            </w:r>
          </w:p>
        </w:tc>
        <w:tc>
          <w:tcPr>
            <w:tcW w:w="786" w:type="pct"/>
            <w:tcBorders>
              <w:top w:val="nil"/>
              <w:left w:val="nil"/>
              <w:bottom w:val="single" w:sz="4" w:space="0" w:color="auto"/>
              <w:right w:val="single" w:sz="4" w:space="0" w:color="auto"/>
            </w:tcBorders>
            <w:shd w:val="clear" w:color="auto" w:fill="auto"/>
            <w:hideMark/>
          </w:tcPr>
          <w:p w14:paraId="703E97B8" w14:textId="750FFB9B" w:rsidR="005546C1" w:rsidRPr="007E7514" w:rsidRDefault="005546C1" w:rsidP="005546C1">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Circular Economy Approaches for the Electronics Sector in Nigeria</w:t>
            </w:r>
          </w:p>
        </w:tc>
        <w:tc>
          <w:tcPr>
            <w:tcW w:w="371" w:type="pct"/>
            <w:tcBorders>
              <w:top w:val="nil"/>
              <w:left w:val="nil"/>
              <w:bottom w:val="single" w:sz="4" w:space="0" w:color="auto"/>
              <w:right w:val="single" w:sz="4" w:space="0" w:color="auto"/>
            </w:tcBorders>
            <w:shd w:val="clear" w:color="auto" w:fill="auto"/>
            <w:hideMark/>
          </w:tcPr>
          <w:p w14:paraId="2C4F5060" w14:textId="77777777"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067BE378" w14:textId="63670CF5"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59D21B94" w14:textId="141B9C52"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875,000 </w:t>
            </w:r>
          </w:p>
        </w:tc>
        <w:tc>
          <w:tcPr>
            <w:tcW w:w="426" w:type="pct"/>
            <w:tcBorders>
              <w:top w:val="nil"/>
              <w:left w:val="nil"/>
              <w:bottom w:val="single" w:sz="4" w:space="0" w:color="auto"/>
              <w:right w:val="single" w:sz="4" w:space="0" w:color="auto"/>
            </w:tcBorders>
            <w:shd w:val="clear" w:color="auto" w:fill="auto"/>
            <w:hideMark/>
          </w:tcPr>
          <w:p w14:paraId="6C78E450" w14:textId="4C8FD748"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83,125 </w:t>
            </w:r>
          </w:p>
        </w:tc>
        <w:tc>
          <w:tcPr>
            <w:tcW w:w="426" w:type="pct"/>
            <w:tcBorders>
              <w:top w:val="nil"/>
              <w:left w:val="nil"/>
              <w:bottom w:val="single" w:sz="4" w:space="0" w:color="auto"/>
              <w:right w:val="single" w:sz="4" w:space="0" w:color="auto"/>
            </w:tcBorders>
            <w:shd w:val="clear" w:color="auto" w:fill="auto"/>
            <w:hideMark/>
          </w:tcPr>
          <w:p w14:paraId="74DBD250" w14:textId="371E2638"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372" w:type="pct"/>
            <w:tcBorders>
              <w:top w:val="nil"/>
              <w:left w:val="nil"/>
              <w:bottom w:val="single" w:sz="4" w:space="0" w:color="auto"/>
              <w:right w:val="single" w:sz="4" w:space="0" w:color="auto"/>
            </w:tcBorders>
            <w:shd w:val="clear" w:color="auto" w:fill="auto"/>
            <w:hideMark/>
          </w:tcPr>
          <w:p w14:paraId="30202DA4" w14:textId="6A1A8244"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   </w:t>
            </w:r>
          </w:p>
        </w:tc>
        <w:tc>
          <w:tcPr>
            <w:tcW w:w="477" w:type="pct"/>
            <w:tcBorders>
              <w:top w:val="nil"/>
              <w:left w:val="nil"/>
              <w:bottom w:val="single" w:sz="4" w:space="0" w:color="auto"/>
              <w:right w:val="single" w:sz="4" w:space="0" w:color="auto"/>
            </w:tcBorders>
            <w:shd w:val="clear" w:color="auto" w:fill="auto"/>
            <w:hideMark/>
          </w:tcPr>
          <w:p w14:paraId="5D83B9AE" w14:textId="6AE19C46"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13,086,582 </w:t>
            </w:r>
          </w:p>
        </w:tc>
        <w:tc>
          <w:tcPr>
            <w:tcW w:w="587" w:type="pct"/>
            <w:tcBorders>
              <w:top w:val="nil"/>
              <w:left w:val="nil"/>
              <w:bottom w:val="single" w:sz="4" w:space="0" w:color="auto"/>
              <w:right w:val="single" w:sz="4" w:space="0" w:color="auto"/>
            </w:tcBorders>
            <w:shd w:val="clear" w:color="auto" w:fill="auto"/>
            <w:hideMark/>
          </w:tcPr>
          <w:p w14:paraId="21771E88" w14:textId="77ABDA7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5CA9A759" w14:textId="77777777" w:rsidTr="007252BF">
        <w:trPr>
          <w:trHeight w:val="870"/>
        </w:trPr>
        <w:tc>
          <w:tcPr>
            <w:tcW w:w="304" w:type="pct"/>
            <w:tcBorders>
              <w:top w:val="nil"/>
              <w:left w:val="single" w:sz="4" w:space="0" w:color="auto"/>
              <w:bottom w:val="single" w:sz="4" w:space="0" w:color="auto"/>
              <w:right w:val="single" w:sz="4" w:space="0" w:color="auto"/>
            </w:tcBorders>
          </w:tcPr>
          <w:p w14:paraId="5AF7B170" w14:textId="316D7E6B"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10266</w:t>
            </w:r>
          </w:p>
        </w:tc>
        <w:tc>
          <w:tcPr>
            <w:tcW w:w="506" w:type="pct"/>
            <w:tcBorders>
              <w:top w:val="nil"/>
              <w:left w:val="single" w:sz="4" w:space="0" w:color="auto"/>
              <w:bottom w:val="single" w:sz="4" w:space="0" w:color="auto"/>
              <w:right w:val="single" w:sz="4" w:space="0" w:color="auto"/>
            </w:tcBorders>
            <w:shd w:val="clear" w:color="auto" w:fill="auto"/>
            <w:hideMark/>
          </w:tcPr>
          <w:p w14:paraId="7A477137" w14:textId="24AEA4D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Global</w:t>
            </w:r>
          </w:p>
        </w:tc>
        <w:tc>
          <w:tcPr>
            <w:tcW w:w="786" w:type="pct"/>
            <w:tcBorders>
              <w:top w:val="nil"/>
              <w:left w:val="nil"/>
              <w:bottom w:val="single" w:sz="4" w:space="0" w:color="auto"/>
              <w:right w:val="single" w:sz="4" w:space="0" w:color="auto"/>
            </w:tcBorders>
            <w:shd w:val="clear" w:color="auto" w:fill="auto"/>
            <w:hideMark/>
          </w:tcPr>
          <w:p w14:paraId="21CF547A" w14:textId="65752D4A" w:rsidR="005546C1" w:rsidRPr="007E7514" w:rsidRDefault="005546C1" w:rsidP="005546C1">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Communication, Coordination and Knowledge Management Project</w:t>
            </w:r>
          </w:p>
        </w:tc>
        <w:tc>
          <w:tcPr>
            <w:tcW w:w="371" w:type="pct"/>
            <w:tcBorders>
              <w:top w:val="nil"/>
              <w:left w:val="nil"/>
              <w:bottom w:val="single" w:sz="4" w:space="0" w:color="auto"/>
              <w:right w:val="single" w:sz="4" w:space="0" w:color="auto"/>
            </w:tcBorders>
            <w:shd w:val="clear" w:color="auto" w:fill="auto"/>
            <w:hideMark/>
          </w:tcPr>
          <w:p w14:paraId="29E88BC9" w14:textId="77777777"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nil"/>
              <w:left w:val="nil"/>
              <w:bottom w:val="single" w:sz="4" w:space="0" w:color="auto"/>
              <w:right w:val="single" w:sz="4" w:space="0" w:color="auto"/>
            </w:tcBorders>
            <w:shd w:val="clear" w:color="auto" w:fill="auto"/>
            <w:hideMark/>
          </w:tcPr>
          <w:p w14:paraId="24F0AE8E" w14:textId="6FB9B971"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nil"/>
              <w:left w:val="nil"/>
              <w:bottom w:val="single" w:sz="4" w:space="0" w:color="auto"/>
              <w:right w:val="single" w:sz="4" w:space="0" w:color="auto"/>
            </w:tcBorders>
            <w:shd w:val="clear" w:color="auto" w:fill="auto"/>
            <w:hideMark/>
          </w:tcPr>
          <w:p w14:paraId="40653B07" w14:textId="4780A7B2"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nil"/>
              <w:left w:val="nil"/>
              <w:bottom w:val="single" w:sz="4" w:space="0" w:color="auto"/>
              <w:right w:val="single" w:sz="4" w:space="0" w:color="auto"/>
            </w:tcBorders>
            <w:shd w:val="clear" w:color="auto" w:fill="auto"/>
            <w:hideMark/>
          </w:tcPr>
          <w:p w14:paraId="0696534A" w14:textId="3F319AA2"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45,000 </w:t>
            </w:r>
          </w:p>
        </w:tc>
        <w:tc>
          <w:tcPr>
            <w:tcW w:w="426" w:type="pct"/>
            <w:tcBorders>
              <w:top w:val="nil"/>
              <w:left w:val="nil"/>
              <w:bottom w:val="single" w:sz="4" w:space="0" w:color="auto"/>
              <w:right w:val="single" w:sz="4" w:space="0" w:color="auto"/>
            </w:tcBorders>
            <w:shd w:val="clear" w:color="auto" w:fill="auto"/>
            <w:hideMark/>
          </w:tcPr>
          <w:p w14:paraId="5005E5E5" w14:textId="02C579F2"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12,500 </w:t>
            </w:r>
          </w:p>
        </w:tc>
        <w:tc>
          <w:tcPr>
            <w:tcW w:w="372" w:type="pct"/>
            <w:tcBorders>
              <w:top w:val="nil"/>
              <w:left w:val="nil"/>
              <w:bottom w:val="single" w:sz="4" w:space="0" w:color="auto"/>
              <w:right w:val="single" w:sz="4" w:space="0" w:color="auto"/>
            </w:tcBorders>
            <w:shd w:val="clear" w:color="auto" w:fill="auto"/>
            <w:hideMark/>
          </w:tcPr>
          <w:p w14:paraId="0D515BE2" w14:textId="225F4EB9"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1,125 </w:t>
            </w:r>
          </w:p>
        </w:tc>
        <w:tc>
          <w:tcPr>
            <w:tcW w:w="477" w:type="pct"/>
            <w:tcBorders>
              <w:top w:val="nil"/>
              <w:left w:val="nil"/>
              <w:bottom w:val="single" w:sz="4" w:space="0" w:color="auto"/>
              <w:right w:val="single" w:sz="4" w:space="0" w:color="auto"/>
            </w:tcBorders>
            <w:shd w:val="clear" w:color="auto" w:fill="auto"/>
            <w:hideMark/>
          </w:tcPr>
          <w:p w14:paraId="053EB0D7" w14:textId="112FFDB0"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10,921,550 </w:t>
            </w:r>
          </w:p>
        </w:tc>
        <w:tc>
          <w:tcPr>
            <w:tcW w:w="587" w:type="pct"/>
            <w:tcBorders>
              <w:top w:val="nil"/>
              <w:left w:val="nil"/>
              <w:bottom w:val="single" w:sz="4" w:space="0" w:color="auto"/>
              <w:right w:val="single" w:sz="4" w:space="0" w:color="auto"/>
            </w:tcBorders>
            <w:shd w:val="clear" w:color="auto" w:fill="auto"/>
            <w:hideMark/>
          </w:tcPr>
          <w:p w14:paraId="5112E35F" w14:textId="5CBA0CAB"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Under implementation</w:t>
            </w:r>
          </w:p>
        </w:tc>
      </w:tr>
      <w:tr w:rsidR="007252BF" w:rsidRPr="007E7514" w14:paraId="6A213120" w14:textId="77777777" w:rsidTr="007252BF">
        <w:trPr>
          <w:trHeight w:val="1740"/>
        </w:trPr>
        <w:tc>
          <w:tcPr>
            <w:tcW w:w="304" w:type="pct"/>
            <w:tcBorders>
              <w:top w:val="single" w:sz="4" w:space="0" w:color="auto"/>
              <w:left w:val="single" w:sz="4" w:space="0" w:color="auto"/>
              <w:bottom w:val="single" w:sz="4" w:space="0" w:color="auto"/>
              <w:right w:val="single" w:sz="4" w:space="0" w:color="auto"/>
            </w:tcBorders>
          </w:tcPr>
          <w:p w14:paraId="357F2F8D" w14:textId="43CBA148"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10748</w:t>
            </w:r>
          </w:p>
        </w:tc>
        <w:tc>
          <w:tcPr>
            <w:tcW w:w="506" w:type="pct"/>
            <w:tcBorders>
              <w:top w:val="single" w:sz="4" w:space="0" w:color="auto"/>
              <w:left w:val="single" w:sz="4" w:space="0" w:color="auto"/>
              <w:bottom w:val="single" w:sz="4" w:space="0" w:color="auto"/>
              <w:right w:val="single" w:sz="4" w:space="0" w:color="auto"/>
            </w:tcBorders>
            <w:shd w:val="clear" w:color="auto" w:fill="auto"/>
            <w:hideMark/>
          </w:tcPr>
          <w:p w14:paraId="7385FA7D" w14:textId="6B5EF8E4"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Global</w:t>
            </w:r>
          </w:p>
        </w:tc>
        <w:tc>
          <w:tcPr>
            <w:tcW w:w="786" w:type="pct"/>
            <w:tcBorders>
              <w:top w:val="single" w:sz="4" w:space="0" w:color="auto"/>
              <w:left w:val="nil"/>
              <w:bottom w:val="single" w:sz="4" w:space="0" w:color="auto"/>
              <w:right w:val="single" w:sz="4" w:space="0" w:color="auto"/>
            </w:tcBorders>
            <w:shd w:val="clear" w:color="auto" w:fill="auto"/>
            <w:hideMark/>
          </w:tcPr>
          <w:p w14:paraId="75E78298" w14:textId="5640620E" w:rsidR="005546C1" w:rsidRPr="007E7514" w:rsidRDefault="005546C1" w:rsidP="005546C1">
            <w:pPr>
              <w:rPr>
                <w:rFonts w:asciiTheme="minorHAnsi" w:hAnsiTheme="minorHAnsi" w:cstheme="minorHAnsi"/>
                <w:i/>
                <w:iCs/>
                <w:sz w:val="20"/>
                <w:szCs w:val="20"/>
                <w:lang w:val="en-GB"/>
              </w:rPr>
            </w:pPr>
            <w:r w:rsidRPr="007E7514">
              <w:rPr>
                <w:rFonts w:asciiTheme="minorHAnsi" w:hAnsiTheme="minorHAnsi" w:cstheme="minorHAnsi"/>
                <w:i/>
                <w:iCs/>
                <w:sz w:val="20"/>
                <w:szCs w:val="20"/>
                <w:lang w:val="en-GB"/>
              </w:rPr>
              <w:t>Assessment of Existing and Future Emission Reduction</w:t>
            </w:r>
            <w:r w:rsidR="001421E9" w:rsidRPr="007E7514">
              <w:rPr>
                <w:rFonts w:asciiTheme="minorHAnsi" w:hAnsiTheme="minorHAnsi" w:cstheme="minorHAnsi"/>
                <w:i/>
                <w:iCs/>
                <w:sz w:val="20"/>
                <w:szCs w:val="20"/>
                <w:lang w:val="en-GB"/>
              </w:rPr>
              <w:t>s</w:t>
            </w:r>
            <w:r w:rsidRPr="007E7514">
              <w:rPr>
                <w:rFonts w:asciiTheme="minorHAnsi" w:hAnsiTheme="minorHAnsi" w:cstheme="minorHAnsi"/>
                <w:i/>
                <w:iCs/>
                <w:sz w:val="20"/>
                <w:szCs w:val="20"/>
                <w:lang w:val="en-GB"/>
              </w:rPr>
              <w:t xml:space="preserve"> from the Coal Sector toward the Implementation of the Minamata and Stockholm Conventions</w:t>
            </w:r>
          </w:p>
        </w:tc>
        <w:tc>
          <w:tcPr>
            <w:tcW w:w="371" w:type="pct"/>
            <w:tcBorders>
              <w:top w:val="single" w:sz="4" w:space="0" w:color="auto"/>
              <w:left w:val="nil"/>
              <w:bottom w:val="single" w:sz="4" w:space="0" w:color="auto"/>
              <w:right w:val="single" w:sz="4" w:space="0" w:color="auto"/>
            </w:tcBorders>
            <w:shd w:val="clear" w:color="auto" w:fill="auto"/>
            <w:hideMark/>
          </w:tcPr>
          <w:p w14:paraId="4D8A04B8" w14:textId="77777777"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UNEP</w:t>
            </w:r>
          </w:p>
        </w:tc>
        <w:tc>
          <w:tcPr>
            <w:tcW w:w="319" w:type="pct"/>
            <w:tcBorders>
              <w:top w:val="single" w:sz="4" w:space="0" w:color="auto"/>
              <w:left w:val="nil"/>
              <w:bottom w:val="single" w:sz="4" w:space="0" w:color="auto"/>
              <w:right w:val="single" w:sz="4" w:space="0" w:color="auto"/>
            </w:tcBorders>
            <w:shd w:val="clear" w:color="auto" w:fill="auto"/>
            <w:hideMark/>
          </w:tcPr>
          <w:p w14:paraId="39ED79BB" w14:textId="43256B61"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GEF-7</w:t>
            </w:r>
          </w:p>
        </w:tc>
        <w:tc>
          <w:tcPr>
            <w:tcW w:w="426" w:type="pct"/>
            <w:tcBorders>
              <w:top w:val="single" w:sz="4" w:space="0" w:color="auto"/>
              <w:left w:val="nil"/>
              <w:bottom w:val="single" w:sz="4" w:space="0" w:color="auto"/>
              <w:right w:val="single" w:sz="4" w:space="0" w:color="auto"/>
            </w:tcBorders>
            <w:shd w:val="clear" w:color="auto" w:fill="auto"/>
            <w:hideMark/>
          </w:tcPr>
          <w:p w14:paraId="6663D585" w14:textId="313E180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500,000 </w:t>
            </w:r>
          </w:p>
        </w:tc>
        <w:tc>
          <w:tcPr>
            <w:tcW w:w="426" w:type="pct"/>
            <w:tcBorders>
              <w:top w:val="single" w:sz="4" w:space="0" w:color="auto"/>
              <w:left w:val="nil"/>
              <w:bottom w:val="single" w:sz="4" w:space="0" w:color="auto"/>
              <w:right w:val="single" w:sz="4" w:space="0" w:color="auto"/>
            </w:tcBorders>
            <w:shd w:val="clear" w:color="auto" w:fill="auto"/>
            <w:hideMark/>
          </w:tcPr>
          <w:p w14:paraId="1F034050" w14:textId="795CB9FC"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47,500 </w:t>
            </w:r>
          </w:p>
        </w:tc>
        <w:tc>
          <w:tcPr>
            <w:tcW w:w="426" w:type="pct"/>
            <w:tcBorders>
              <w:top w:val="single" w:sz="4" w:space="0" w:color="auto"/>
              <w:left w:val="nil"/>
              <w:bottom w:val="single" w:sz="4" w:space="0" w:color="auto"/>
              <w:right w:val="single" w:sz="4" w:space="0" w:color="auto"/>
            </w:tcBorders>
            <w:shd w:val="clear" w:color="auto" w:fill="auto"/>
            <w:hideMark/>
          </w:tcPr>
          <w:p w14:paraId="5AC6ED3D" w14:textId="198F4AAC"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32,000 </w:t>
            </w:r>
          </w:p>
        </w:tc>
        <w:tc>
          <w:tcPr>
            <w:tcW w:w="372" w:type="pct"/>
            <w:tcBorders>
              <w:top w:val="single" w:sz="4" w:space="0" w:color="auto"/>
              <w:left w:val="nil"/>
              <w:bottom w:val="single" w:sz="4" w:space="0" w:color="auto"/>
              <w:right w:val="single" w:sz="4" w:space="0" w:color="auto"/>
            </w:tcBorders>
            <w:shd w:val="clear" w:color="auto" w:fill="auto"/>
            <w:hideMark/>
          </w:tcPr>
          <w:p w14:paraId="1C88357F" w14:textId="239C607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3,040 </w:t>
            </w:r>
          </w:p>
        </w:tc>
        <w:tc>
          <w:tcPr>
            <w:tcW w:w="477" w:type="pct"/>
            <w:tcBorders>
              <w:top w:val="single" w:sz="4" w:space="0" w:color="auto"/>
              <w:left w:val="nil"/>
              <w:bottom w:val="single" w:sz="4" w:space="0" w:color="auto"/>
              <w:right w:val="single" w:sz="4" w:space="0" w:color="auto"/>
            </w:tcBorders>
            <w:shd w:val="clear" w:color="auto" w:fill="auto"/>
            <w:hideMark/>
          </w:tcPr>
          <w:p w14:paraId="3079180A" w14:textId="033A567D"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 xml:space="preserve">652,000 </w:t>
            </w:r>
          </w:p>
        </w:tc>
        <w:tc>
          <w:tcPr>
            <w:tcW w:w="587" w:type="pct"/>
            <w:tcBorders>
              <w:top w:val="single" w:sz="4" w:space="0" w:color="auto"/>
              <w:left w:val="nil"/>
              <w:bottom w:val="single" w:sz="4" w:space="0" w:color="auto"/>
              <w:right w:val="single" w:sz="4" w:space="0" w:color="auto"/>
            </w:tcBorders>
            <w:shd w:val="clear" w:color="auto" w:fill="auto"/>
            <w:hideMark/>
          </w:tcPr>
          <w:p w14:paraId="309BF560" w14:textId="0672404E" w:rsidR="005546C1" w:rsidRPr="007E7514" w:rsidRDefault="005546C1" w:rsidP="005546C1">
            <w:pPr>
              <w:rPr>
                <w:rFonts w:asciiTheme="minorHAnsi" w:hAnsiTheme="minorHAnsi" w:cstheme="minorHAnsi"/>
                <w:sz w:val="20"/>
                <w:szCs w:val="20"/>
                <w:lang w:val="en-GB"/>
              </w:rPr>
            </w:pPr>
            <w:r w:rsidRPr="007E7514">
              <w:rPr>
                <w:rFonts w:asciiTheme="minorHAnsi" w:hAnsiTheme="minorHAnsi" w:cstheme="minorHAnsi"/>
                <w:sz w:val="20"/>
                <w:szCs w:val="20"/>
                <w:lang w:val="en-GB"/>
              </w:rPr>
              <w:t>Endorsed by the CEO</w:t>
            </w:r>
          </w:p>
        </w:tc>
      </w:tr>
    </w:tbl>
    <w:p w14:paraId="15443108" w14:textId="4F9F7ADE" w:rsidR="00380431" w:rsidRPr="00D53BF9" w:rsidRDefault="00380431" w:rsidP="00D53BF9">
      <w:pPr>
        <w:pStyle w:val="Normal-pool"/>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590"/>
        <w:gridCol w:w="2590"/>
        <w:gridCol w:w="2590"/>
        <w:gridCol w:w="2590"/>
      </w:tblGrid>
      <w:tr w:rsidR="00D53BF9" w14:paraId="3DD1E5DF" w14:textId="77777777" w:rsidTr="00D53BF9">
        <w:tc>
          <w:tcPr>
            <w:tcW w:w="2590" w:type="dxa"/>
          </w:tcPr>
          <w:p w14:paraId="72A6B360" w14:textId="77777777" w:rsidR="00D53BF9" w:rsidRDefault="00D53BF9" w:rsidP="00D53BF9">
            <w:pPr>
              <w:pStyle w:val="Normal-pool"/>
              <w:spacing w:before="520"/>
            </w:pPr>
          </w:p>
        </w:tc>
        <w:tc>
          <w:tcPr>
            <w:tcW w:w="2590" w:type="dxa"/>
          </w:tcPr>
          <w:p w14:paraId="003C4E5C" w14:textId="77777777" w:rsidR="00D53BF9" w:rsidRDefault="00D53BF9" w:rsidP="00D53BF9">
            <w:pPr>
              <w:pStyle w:val="Normal-pool"/>
              <w:spacing w:before="520"/>
            </w:pPr>
          </w:p>
        </w:tc>
        <w:tc>
          <w:tcPr>
            <w:tcW w:w="2590" w:type="dxa"/>
            <w:tcBorders>
              <w:bottom w:val="single" w:sz="4" w:space="0" w:color="auto"/>
            </w:tcBorders>
          </w:tcPr>
          <w:p w14:paraId="2496C2DD" w14:textId="77777777" w:rsidR="00D53BF9" w:rsidRDefault="00D53BF9" w:rsidP="00D53BF9">
            <w:pPr>
              <w:pStyle w:val="Normal-pool"/>
              <w:spacing w:before="520"/>
            </w:pPr>
          </w:p>
        </w:tc>
        <w:tc>
          <w:tcPr>
            <w:tcW w:w="2590" w:type="dxa"/>
          </w:tcPr>
          <w:p w14:paraId="46BE6EE7" w14:textId="77777777" w:rsidR="00D53BF9" w:rsidRDefault="00D53BF9" w:rsidP="00D53BF9">
            <w:pPr>
              <w:pStyle w:val="Normal-pool"/>
              <w:spacing w:before="520"/>
            </w:pPr>
          </w:p>
        </w:tc>
        <w:tc>
          <w:tcPr>
            <w:tcW w:w="2590" w:type="dxa"/>
          </w:tcPr>
          <w:p w14:paraId="12B17B3F" w14:textId="77777777" w:rsidR="00D53BF9" w:rsidRDefault="00D53BF9" w:rsidP="00D53BF9">
            <w:pPr>
              <w:pStyle w:val="Normal-pool"/>
              <w:spacing w:before="520"/>
            </w:pPr>
          </w:p>
        </w:tc>
      </w:tr>
    </w:tbl>
    <w:p w14:paraId="343984B8" w14:textId="77777777" w:rsidR="00D53BF9" w:rsidRPr="007E7514" w:rsidRDefault="00D53BF9" w:rsidP="00D53BF9">
      <w:pPr>
        <w:pStyle w:val="Normal-pool"/>
      </w:pPr>
    </w:p>
    <w:sectPr w:rsidR="00D53BF9" w:rsidRPr="007E7514" w:rsidSect="004B5F8D">
      <w:pgSz w:w="15840" w:h="12240" w:orient="landscape"/>
      <w:pgMar w:top="1440" w:right="1440" w:bottom="1440" w:left="1440" w:header="0" w:footer="136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3ABE0" w14:textId="77777777" w:rsidR="009E378C" w:rsidRDefault="009E378C">
      <w:r>
        <w:separator/>
      </w:r>
    </w:p>
  </w:endnote>
  <w:endnote w:type="continuationSeparator" w:id="0">
    <w:p w14:paraId="60C2F454" w14:textId="77777777" w:rsidR="009E378C" w:rsidRDefault="009E378C">
      <w:r>
        <w:continuationSeparator/>
      </w:r>
    </w:p>
  </w:endnote>
  <w:endnote w:type="continuationNotice" w:id="1">
    <w:p w14:paraId="30585443" w14:textId="77777777" w:rsidR="009E378C" w:rsidRDefault="009E3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Sans-Serif">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BoldItalic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BoldItalic">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6041760"/>
      <w:docPartObj>
        <w:docPartGallery w:val="Page Numbers (Bottom of Page)"/>
        <w:docPartUnique/>
      </w:docPartObj>
    </w:sdtPr>
    <w:sdtEndPr>
      <w:rPr>
        <w:rStyle w:val="PageNumber"/>
      </w:rPr>
    </w:sdtEndPr>
    <w:sdtContent>
      <w:p w14:paraId="16C699C1" w14:textId="7D2E6E27" w:rsidR="003032EA" w:rsidRDefault="003032EA" w:rsidP="001459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5C053D48" w14:textId="77777777" w:rsidR="003032EA" w:rsidRDefault="003032EA" w:rsidP="001650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rPr>
      <w:id w:val="-921554536"/>
      <w:docPartObj>
        <w:docPartGallery w:val="Page Numbers (Bottom of Page)"/>
        <w:docPartUnique/>
      </w:docPartObj>
    </w:sdtPr>
    <w:sdtEndPr>
      <w:rPr>
        <w:rStyle w:val="PageNumber"/>
      </w:rPr>
    </w:sdtEndPr>
    <w:sdtContent>
      <w:p w14:paraId="218DBEB7" w14:textId="67318FDD" w:rsidR="003032EA" w:rsidRPr="00324C27" w:rsidRDefault="003032EA" w:rsidP="001F330F">
        <w:pPr>
          <w:pStyle w:val="Footer"/>
          <w:framePr w:wrap="none" w:vAnchor="text" w:hAnchor="margin" w:xAlign="center" w:y="1"/>
          <w:rPr>
            <w:rStyle w:val="PageNumber"/>
            <w:rFonts w:asciiTheme="minorHAnsi" w:hAnsiTheme="minorHAnsi" w:cstheme="minorHAnsi"/>
          </w:rPr>
        </w:pPr>
        <w:r w:rsidRPr="00324C27">
          <w:rPr>
            <w:rStyle w:val="PageNumber"/>
            <w:rFonts w:asciiTheme="minorHAnsi" w:hAnsiTheme="minorHAnsi" w:cstheme="minorHAnsi"/>
          </w:rPr>
          <w:fldChar w:fldCharType="begin"/>
        </w:r>
        <w:r w:rsidRPr="00324C27">
          <w:rPr>
            <w:rStyle w:val="PageNumber"/>
            <w:rFonts w:asciiTheme="minorHAnsi" w:hAnsiTheme="minorHAnsi" w:cstheme="minorHAnsi"/>
          </w:rPr>
          <w:instrText xml:space="preserve"> PAGE </w:instrText>
        </w:r>
        <w:r w:rsidRPr="00324C27">
          <w:rPr>
            <w:rStyle w:val="PageNumber"/>
            <w:rFonts w:asciiTheme="minorHAnsi" w:hAnsiTheme="minorHAnsi" w:cstheme="minorHAnsi"/>
          </w:rPr>
          <w:fldChar w:fldCharType="separate"/>
        </w:r>
        <w:r w:rsidRPr="00324C27">
          <w:rPr>
            <w:rStyle w:val="PageNumber"/>
            <w:rFonts w:asciiTheme="minorHAnsi" w:hAnsiTheme="minorHAnsi" w:cstheme="minorHAnsi"/>
            <w:noProof/>
          </w:rPr>
          <w:t>ii</w:t>
        </w:r>
        <w:r w:rsidRPr="00324C27">
          <w:rPr>
            <w:rStyle w:val="PageNumber"/>
            <w:rFonts w:asciiTheme="minorHAnsi" w:hAnsiTheme="minorHAnsi" w:cstheme="minorHAnsi"/>
          </w:rPr>
          <w:fldChar w:fldCharType="end"/>
        </w:r>
      </w:p>
    </w:sdtContent>
  </w:sdt>
  <w:tbl>
    <w:tblPr>
      <w:tblW w:w="0" w:type="auto"/>
      <w:tblLayout w:type="fixed"/>
      <w:tblLook w:val="06A0" w:firstRow="1" w:lastRow="0" w:firstColumn="1" w:lastColumn="0" w:noHBand="1" w:noVBand="1"/>
    </w:tblPr>
    <w:tblGrid>
      <w:gridCol w:w="3287"/>
      <w:gridCol w:w="3287"/>
      <w:gridCol w:w="3287"/>
    </w:tblGrid>
    <w:tr w:rsidR="003032EA" w14:paraId="44C4D9F2" w14:textId="77777777" w:rsidTr="073C8A79">
      <w:tc>
        <w:tcPr>
          <w:tcW w:w="3287" w:type="dxa"/>
        </w:tcPr>
        <w:p w14:paraId="154F4DC1" w14:textId="77777777" w:rsidR="003032EA" w:rsidRDefault="003032EA" w:rsidP="000A6A44">
          <w:pPr>
            <w:pStyle w:val="Header"/>
            <w:ind w:left="-115"/>
          </w:pPr>
        </w:p>
      </w:tc>
      <w:tc>
        <w:tcPr>
          <w:tcW w:w="3287" w:type="dxa"/>
        </w:tcPr>
        <w:p w14:paraId="1E669213" w14:textId="77777777" w:rsidR="003032EA" w:rsidRDefault="003032EA" w:rsidP="000A6A44">
          <w:pPr>
            <w:pStyle w:val="Header"/>
            <w:jc w:val="center"/>
          </w:pPr>
        </w:p>
      </w:tc>
      <w:tc>
        <w:tcPr>
          <w:tcW w:w="3287" w:type="dxa"/>
        </w:tcPr>
        <w:p w14:paraId="5FFE95C7" w14:textId="77777777" w:rsidR="003032EA" w:rsidRDefault="003032EA" w:rsidP="000A6A44">
          <w:pPr>
            <w:pStyle w:val="Header"/>
            <w:ind w:right="-115"/>
            <w:jc w:val="right"/>
          </w:pPr>
        </w:p>
      </w:tc>
    </w:tr>
  </w:tbl>
  <w:p w14:paraId="4EE9ECE8" w14:textId="77777777" w:rsidR="003032EA" w:rsidRDefault="003032EA" w:rsidP="000A6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A1F4" w14:textId="3D80840D" w:rsidR="003032EA" w:rsidRPr="00C24517" w:rsidRDefault="003032EA" w:rsidP="00C24517">
    <w:pPr>
      <w:pStyle w:val="Normal-pool"/>
      <w:rPr>
        <w:highlight w:val="yellow"/>
      </w:rPr>
    </w:pPr>
    <w:r w:rsidRPr="00C24517">
      <w:t>K2102234</w:t>
    </w:r>
    <w:r w:rsidRPr="00C24517">
      <w:tab/>
    </w:r>
    <w:r w:rsidR="00AE2984">
      <w:t>2009</w:t>
    </w:r>
    <w:r w:rsidRPr="00C24517">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3844" w14:textId="77777777" w:rsidR="003032EA" w:rsidRPr="00EA64FF" w:rsidRDefault="003032EA" w:rsidP="007F64E8">
    <w:pPr>
      <w:pStyle w:val="Footer"/>
      <w:rPr>
        <w:rFonts w:asciiTheme="minorHAnsi" w:hAnsiTheme="minorHAnsi" w:cstheme="minorHAnsi"/>
        <w:sz w:val="22"/>
      </w:rPr>
    </w:pPr>
  </w:p>
  <w:sdt>
    <w:sdtPr>
      <w:rPr>
        <w:rStyle w:val="PageNumber"/>
      </w:rPr>
      <w:id w:val="-369533550"/>
      <w:docPartObj>
        <w:docPartGallery w:val="Page Numbers (Bottom of Page)"/>
        <w:docPartUnique/>
      </w:docPartObj>
    </w:sdtPr>
    <w:sdtEndPr>
      <w:rPr>
        <w:rStyle w:val="PageNumber"/>
        <w:rFonts w:asciiTheme="minorHAnsi" w:hAnsiTheme="minorHAnsi" w:cstheme="minorHAnsi"/>
      </w:rPr>
    </w:sdtEndPr>
    <w:sdtContent>
      <w:p w14:paraId="592E7C1D" w14:textId="77777777" w:rsidR="003032EA" w:rsidRPr="0059484A" w:rsidRDefault="003032EA" w:rsidP="004F725C">
        <w:pPr>
          <w:pStyle w:val="Footer"/>
          <w:framePr w:wrap="none" w:vAnchor="text" w:hAnchor="page" w:x="6079" w:y="99"/>
          <w:rPr>
            <w:rStyle w:val="PageNumber"/>
            <w:rFonts w:asciiTheme="minorHAnsi" w:hAnsiTheme="minorHAnsi" w:cstheme="minorHAnsi"/>
          </w:rPr>
        </w:pPr>
        <w:r w:rsidRPr="0059484A">
          <w:rPr>
            <w:rStyle w:val="PageNumber"/>
            <w:rFonts w:asciiTheme="minorHAnsi" w:hAnsiTheme="minorHAnsi" w:cstheme="minorHAnsi"/>
          </w:rPr>
          <w:fldChar w:fldCharType="begin"/>
        </w:r>
        <w:r w:rsidRPr="0059484A">
          <w:rPr>
            <w:rStyle w:val="PageNumber"/>
            <w:rFonts w:asciiTheme="minorHAnsi" w:hAnsiTheme="minorHAnsi" w:cstheme="minorHAnsi"/>
          </w:rPr>
          <w:instrText xml:space="preserve"> PAGE </w:instrText>
        </w:r>
        <w:r w:rsidRPr="0059484A">
          <w:rPr>
            <w:rStyle w:val="PageNumber"/>
            <w:rFonts w:asciiTheme="minorHAnsi" w:hAnsiTheme="minorHAnsi" w:cstheme="minorHAnsi"/>
          </w:rPr>
          <w:fldChar w:fldCharType="separate"/>
        </w:r>
        <w:r w:rsidRPr="0059484A">
          <w:rPr>
            <w:rStyle w:val="PageNumber"/>
            <w:rFonts w:asciiTheme="minorHAnsi" w:hAnsiTheme="minorHAnsi" w:cstheme="minorHAnsi"/>
            <w:noProof/>
          </w:rPr>
          <w:t>iv</w:t>
        </w:r>
        <w:r w:rsidRPr="0059484A">
          <w:rPr>
            <w:rStyle w:val="PageNumber"/>
            <w:rFonts w:asciiTheme="minorHAnsi" w:hAnsiTheme="minorHAnsi" w:cstheme="minorHAnsi"/>
          </w:rPr>
          <w:fldChar w:fldCharType="end"/>
        </w:r>
      </w:p>
    </w:sdtContent>
  </w:sdt>
  <w:p w14:paraId="45AB54AF" w14:textId="77777777" w:rsidR="003032EA" w:rsidRDefault="003032E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rPr>
      <w:id w:val="246702299"/>
      <w:docPartObj>
        <w:docPartGallery w:val="Page Numbers (Bottom of Page)"/>
        <w:docPartUnique/>
      </w:docPartObj>
    </w:sdtPr>
    <w:sdtEndPr>
      <w:rPr>
        <w:rStyle w:val="PageNumber"/>
      </w:rPr>
    </w:sdtEndPr>
    <w:sdtContent>
      <w:p w14:paraId="654E9E0D" w14:textId="77777777" w:rsidR="003032EA" w:rsidRPr="0059484A" w:rsidRDefault="003032EA" w:rsidP="00153183">
        <w:pPr>
          <w:pStyle w:val="Footer"/>
          <w:framePr w:wrap="none" w:vAnchor="text" w:hAnchor="page" w:x="7696" w:y="59"/>
          <w:jc w:val="center"/>
          <w:rPr>
            <w:rStyle w:val="PageNumber"/>
            <w:rFonts w:ascii="Calibri" w:hAnsi="Calibri" w:cs="Calibri"/>
          </w:rPr>
        </w:pPr>
        <w:r w:rsidRPr="0059484A">
          <w:rPr>
            <w:rStyle w:val="PageNumber"/>
            <w:rFonts w:ascii="Calibri" w:hAnsi="Calibri" w:cs="Calibri"/>
          </w:rPr>
          <w:fldChar w:fldCharType="begin"/>
        </w:r>
        <w:r w:rsidRPr="0059484A">
          <w:rPr>
            <w:rStyle w:val="PageNumber"/>
            <w:rFonts w:ascii="Calibri" w:hAnsi="Calibri" w:cs="Calibri"/>
          </w:rPr>
          <w:instrText xml:space="preserve"> PAGE </w:instrText>
        </w:r>
        <w:r w:rsidRPr="0059484A">
          <w:rPr>
            <w:rStyle w:val="PageNumber"/>
            <w:rFonts w:ascii="Calibri" w:hAnsi="Calibri" w:cs="Calibri"/>
          </w:rPr>
          <w:fldChar w:fldCharType="separate"/>
        </w:r>
        <w:r w:rsidRPr="0059484A">
          <w:rPr>
            <w:rStyle w:val="PageNumber"/>
            <w:rFonts w:ascii="Calibri" w:hAnsi="Calibri" w:cs="Calibri"/>
            <w:noProof/>
          </w:rPr>
          <w:t>vi</w:t>
        </w:r>
        <w:r w:rsidRPr="0059484A">
          <w:rPr>
            <w:rStyle w:val="PageNumber"/>
            <w:rFonts w:ascii="Calibri" w:hAnsi="Calibri" w:cs="Calibri"/>
          </w:rPr>
          <w:fldChar w:fldCharType="end"/>
        </w:r>
      </w:p>
    </w:sdtContent>
  </w:sdt>
  <w:p w14:paraId="3607FB88" w14:textId="77777777" w:rsidR="003032EA" w:rsidRPr="0059484A" w:rsidRDefault="003032EA" w:rsidP="00165007">
    <w:pPr>
      <w:pStyle w:val="Footer"/>
      <w:tabs>
        <w:tab w:val="clear" w:pos="4680"/>
        <w:tab w:val="clear" w:pos="9360"/>
      </w:tabs>
      <w:ind w:right="360"/>
      <w:jc w:val="center"/>
      <w:rPr>
        <w:rFonts w:ascii="Calibri" w:hAnsi="Calibri" w:cs="Calibri"/>
        <w:caps/>
        <w:noProof/>
        <w:sz w:val="22"/>
      </w:rPr>
    </w:pPr>
  </w:p>
  <w:p w14:paraId="6B496D17" w14:textId="77777777" w:rsidR="003032EA" w:rsidRPr="004B019F" w:rsidRDefault="003032EA">
    <w:pPr>
      <w:pStyle w:val="BodyText"/>
      <w:spacing w:line="14" w:lineRule="auto"/>
      <w:rPr>
        <w:sz w:val="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C5B5A" w14:textId="77777777" w:rsidR="009E378C" w:rsidRPr="00C24517" w:rsidRDefault="009E378C" w:rsidP="00C24517">
      <w:pPr>
        <w:spacing w:before="60"/>
        <w:ind w:left="624" w:firstLine="624"/>
        <w:rPr>
          <w:sz w:val="18"/>
          <w:szCs w:val="18"/>
        </w:rPr>
      </w:pPr>
      <w:r w:rsidRPr="00C24517">
        <w:rPr>
          <w:sz w:val="18"/>
          <w:szCs w:val="18"/>
        </w:rPr>
        <w:separator/>
      </w:r>
    </w:p>
  </w:footnote>
  <w:footnote w:type="continuationSeparator" w:id="0">
    <w:p w14:paraId="6BCE53F4" w14:textId="77777777" w:rsidR="009E378C" w:rsidRDefault="009E378C">
      <w:r>
        <w:continuationSeparator/>
      </w:r>
    </w:p>
  </w:footnote>
  <w:footnote w:type="continuationNotice" w:id="1">
    <w:p w14:paraId="39C9AE30" w14:textId="77777777" w:rsidR="009E378C" w:rsidRDefault="009E378C"/>
  </w:footnote>
  <w:footnote w:id="2">
    <w:p w14:paraId="3CB3DDEC" w14:textId="77777777" w:rsidR="003032EA" w:rsidRPr="00C24517" w:rsidRDefault="003032EA" w:rsidP="00C24517">
      <w:pPr>
        <w:tabs>
          <w:tab w:val="left" w:pos="624"/>
        </w:tabs>
        <w:spacing w:before="20" w:after="40"/>
        <w:ind w:left="1247"/>
        <w:rPr>
          <w:sz w:val="18"/>
          <w:szCs w:val="18"/>
        </w:rPr>
      </w:pPr>
      <w:r w:rsidRPr="00C24517">
        <w:rPr>
          <w:rStyle w:val="FootnoteReference"/>
          <w:sz w:val="18"/>
          <w:szCs w:val="18"/>
          <w:vertAlign w:val="baseline"/>
        </w:rPr>
        <w:t>*</w:t>
      </w:r>
      <w:r w:rsidRPr="00C24517">
        <w:rPr>
          <w:sz w:val="18"/>
          <w:szCs w:val="18"/>
        </w:rPr>
        <w:t xml:space="preserve"> The resumed meeting of the fourth meeting of the Conference of the Parties to the Minamata Convention on Mercury is to convene in-person in Bali, Indonesia, and is tentatively scheduled for the first quarter</w:t>
      </w:r>
      <w:r w:rsidRPr="00C24517">
        <w:rPr>
          <w:sz w:val="18"/>
          <w:szCs w:val="18"/>
          <w:lang w:val="en-GB"/>
        </w:rPr>
        <w:t xml:space="preserve"> of 2022.</w:t>
      </w:r>
    </w:p>
  </w:footnote>
  <w:footnote w:id="3">
    <w:p w14:paraId="5B556FB7" w14:textId="77777777" w:rsidR="003032EA" w:rsidRPr="00C24517" w:rsidRDefault="003032EA" w:rsidP="00C24517">
      <w:pPr>
        <w:tabs>
          <w:tab w:val="left" w:pos="624"/>
        </w:tabs>
        <w:spacing w:before="20" w:after="40"/>
        <w:ind w:left="1247"/>
        <w:rPr>
          <w:sz w:val="18"/>
          <w:szCs w:val="18"/>
        </w:rPr>
      </w:pPr>
      <w:r w:rsidRPr="00C24517">
        <w:rPr>
          <w:rStyle w:val="FootnoteReference"/>
          <w:sz w:val="18"/>
          <w:szCs w:val="18"/>
          <w:vertAlign w:val="baseline"/>
          <w:lang w:val="en-GB"/>
        </w:rPr>
        <w:t>**</w:t>
      </w:r>
      <w:r w:rsidRPr="00C24517">
        <w:rPr>
          <w:sz w:val="18"/>
          <w:szCs w:val="18"/>
        </w:rPr>
        <w:t xml:space="preserve"> UNEP/MC/COP.4/1.</w:t>
      </w:r>
    </w:p>
  </w:footnote>
  <w:footnote w:id="4">
    <w:p w14:paraId="64E0D830" w14:textId="4452C55D"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Excluding project preparation grants (PPGs) and Agency fees. </w:t>
      </w:r>
    </w:p>
  </w:footnote>
  <w:footnote w:id="5">
    <w:p w14:paraId="20D2A78B" w14:textId="16DDBB96"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The GEF started supporting MIAs in GEF-5.</w:t>
      </w:r>
    </w:p>
  </w:footnote>
  <w:footnote w:id="6">
    <w:p w14:paraId="12FE09F6" w14:textId="526941F0"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List of MIAs submitted to the Minamata Convention Secretariat can be found at: </w:t>
      </w:r>
      <w:hyperlink r:id="rId1" w:history="1">
        <w:r w:rsidRPr="00C24517">
          <w:rPr>
            <w:rStyle w:val="Hyperlink"/>
            <w:rFonts w:ascii="Times New Roman" w:hAnsi="Times New Roman" w:cs="Times New Roman"/>
            <w:sz w:val="18"/>
            <w:szCs w:val="18"/>
          </w:rPr>
          <w:t>https://www.mercuryconvention.org/Countries/Parties/MinamataInitialAssessments/tabid/6166/language/en-US/Default.aspx</w:t>
        </w:r>
      </w:hyperlink>
      <w:r w:rsidRPr="00C24517">
        <w:rPr>
          <w:rFonts w:ascii="Times New Roman" w:hAnsi="Times New Roman" w:cs="Times New Roman"/>
          <w:sz w:val="18"/>
          <w:szCs w:val="18"/>
        </w:rPr>
        <w:t>.</w:t>
      </w:r>
    </w:p>
  </w:footnote>
  <w:footnote w:id="7">
    <w:p w14:paraId="5B2EE6A5" w14:textId="5C7D41E6"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Some countries include MIA and NAP under one EA.</w:t>
      </w:r>
    </w:p>
  </w:footnote>
  <w:footnote w:id="8">
    <w:p w14:paraId="0E4AB0A7" w14:textId="70C6FB53"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List of NAPs submitted to the Minamata Convention Secretariat can be found at: </w:t>
      </w:r>
      <w:hyperlink r:id="rId2" w:history="1">
        <w:r w:rsidRPr="00C24517">
          <w:rPr>
            <w:rStyle w:val="Hyperlink"/>
            <w:rFonts w:ascii="Times New Roman" w:hAnsi="Times New Roman" w:cs="Times New Roman"/>
            <w:sz w:val="18"/>
            <w:szCs w:val="18"/>
          </w:rPr>
          <w:t>https://www.mercuryconvention.org/Countries/Parties/NationalActionPlans/tabid/7966/language/en-US/Default.aspx</w:t>
        </w:r>
      </w:hyperlink>
      <w:r w:rsidRPr="00C24517">
        <w:rPr>
          <w:rFonts w:ascii="Times New Roman" w:hAnsi="Times New Roman" w:cs="Times New Roman"/>
          <w:sz w:val="18"/>
          <w:szCs w:val="18"/>
        </w:rPr>
        <w:t>.</w:t>
      </w:r>
    </w:p>
  </w:footnote>
  <w:footnote w:id="9">
    <w:p w14:paraId="4C724DDF" w14:textId="1AC3FA01"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w:t>
      </w:r>
      <w:bookmarkStart w:id="12" w:name="_Hlk11233537"/>
      <w:r w:rsidRPr="00C24517">
        <w:rPr>
          <w:rFonts w:ascii="Times New Roman" w:hAnsi="Times New Roman" w:cs="Times New Roman"/>
          <w:sz w:val="18"/>
          <w:szCs w:val="18"/>
        </w:rPr>
        <w:t>Co-financing amount includes programs, FSPs and MSPs. EAs, PPGs and Agency fees are excluded.</w:t>
      </w:r>
      <w:bookmarkEnd w:id="12"/>
    </w:p>
  </w:footnote>
  <w:footnote w:id="10">
    <w:p w14:paraId="169E13CD" w14:textId="74A9C626"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w:t>
      </w:r>
      <w:bookmarkStart w:id="13" w:name="_Hlk17878957"/>
      <w:r w:rsidRPr="00C24517">
        <w:rPr>
          <w:rFonts w:ascii="Times New Roman" w:hAnsi="Times New Roman" w:cs="Times New Roman"/>
          <w:sz w:val="18"/>
          <w:szCs w:val="18"/>
        </w:rPr>
        <w:t xml:space="preserve">GEF, 2018, </w:t>
      </w:r>
      <w:hyperlink r:id="rId3" w:history="1">
        <w:r w:rsidRPr="00C24517">
          <w:rPr>
            <w:rStyle w:val="Hyperlink"/>
            <w:rFonts w:ascii="Times New Roman" w:hAnsi="Times New Roman" w:cs="Times New Roman"/>
            <w:i/>
            <w:sz w:val="18"/>
            <w:szCs w:val="18"/>
          </w:rPr>
          <w:t>GEF-7 Programming Directions</w:t>
        </w:r>
      </w:hyperlink>
      <w:r w:rsidRPr="00C24517">
        <w:rPr>
          <w:rFonts w:ascii="Times New Roman" w:hAnsi="Times New Roman" w:cs="Times New Roman"/>
          <w:sz w:val="18"/>
          <w:szCs w:val="18"/>
        </w:rPr>
        <w:t>, Council Document GEF/R.7/19</w:t>
      </w:r>
      <w:bookmarkEnd w:id="13"/>
    </w:p>
  </w:footnote>
  <w:footnote w:id="11">
    <w:p w14:paraId="6D076035" w14:textId="6D2B0714"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2019, </w:t>
      </w:r>
      <w:hyperlink r:id="rId4" w:history="1">
        <w:r w:rsidRPr="00C24517">
          <w:rPr>
            <w:rStyle w:val="Hyperlink"/>
            <w:rFonts w:ascii="Times New Roman" w:hAnsi="Times New Roman" w:cs="Times New Roman"/>
            <w:i/>
            <w:iCs/>
            <w:sz w:val="18"/>
            <w:szCs w:val="18"/>
          </w:rPr>
          <w:t>Memorandum of Understanding (MOU) between the Conference of the Parties (COP) to the Minamata Convention on Mercury and the Council of The Global Environment Facility</w:t>
        </w:r>
      </w:hyperlink>
      <w:r w:rsidRPr="00C24517">
        <w:rPr>
          <w:rFonts w:ascii="Times New Roman" w:hAnsi="Times New Roman" w:cs="Times New Roman"/>
          <w:sz w:val="18"/>
          <w:szCs w:val="18"/>
        </w:rPr>
        <w:t>, Council Document GEF/C.56/10/Rev.01</w:t>
      </w:r>
    </w:p>
  </w:footnote>
  <w:footnote w:id="12">
    <w:p w14:paraId="7B402073" w14:textId="26BB6EAC" w:rsidR="003032EA" w:rsidRPr="00C24517" w:rsidRDefault="003032EA" w:rsidP="00C24517">
      <w:pPr>
        <w:pStyle w:val="FootnoteText"/>
        <w:tabs>
          <w:tab w:val="left" w:pos="624"/>
          <w:tab w:val="left" w:pos="6950"/>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In the annex to Decision MC-1/5.</w:t>
      </w:r>
      <w:r w:rsidRPr="00C24517">
        <w:rPr>
          <w:rFonts w:ascii="Times New Roman" w:hAnsi="Times New Roman" w:cs="Times New Roman"/>
          <w:sz w:val="18"/>
          <w:szCs w:val="18"/>
        </w:rPr>
        <w:tab/>
      </w:r>
    </w:p>
  </w:footnote>
  <w:footnote w:id="13">
    <w:p w14:paraId="6629D4EF" w14:textId="0BCB67A9"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2014, </w:t>
      </w:r>
      <w:hyperlink r:id="rId5" w:history="1">
        <w:r w:rsidRPr="00C24517">
          <w:rPr>
            <w:rStyle w:val="Hyperlink"/>
            <w:rFonts w:ascii="Times New Roman" w:hAnsi="Times New Roman" w:cs="Times New Roman"/>
            <w:i/>
            <w:iCs/>
            <w:sz w:val="18"/>
            <w:szCs w:val="18"/>
          </w:rPr>
          <w:t>Initial Guidelines for Enabling Activities for the Minamata Convention on Mercury</w:t>
        </w:r>
      </w:hyperlink>
      <w:r w:rsidRPr="00C24517">
        <w:rPr>
          <w:rFonts w:ascii="Times New Roman" w:hAnsi="Times New Roman" w:cs="Times New Roman"/>
          <w:sz w:val="18"/>
          <w:szCs w:val="18"/>
        </w:rPr>
        <w:t>, Council Document  GEF/C.45/Inf.05/Rev.01</w:t>
      </w:r>
    </w:p>
  </w:footnote>
  <w:footnote w:id="14">
    <w:p w14:paraId="6DDACA16" w14:textId="49A1B8A5"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2018, </w:t>
      </w:r>
      <w:hyperlink r:id="rId6" w:history="1">
        <w:r w:rsidRPr="00C24517">
          <w:rPr>
            <w:rStyle w:val="Hyperlink"/>
            <w:rFonts w:ascii="Times New Roman" w:hAnsi="Times New Roman" w:cs="Times New Roman"/>
            <w:i/>
            <w:iCs/>
            <w:sz w:val="18"/>
            <w:szCs w:val="18"/>
          </w:rPr>
          <w:t>Report on the Seventh Replenishment of the GEF Trust Fund</w:t>
        </w:r>
      </w:hyperlink>
      <w:r w:rsidRPr="00C24517">
        <w:rPr>
          <w:rFonts w:ascii="Times New Roman" w:hAnsi="Times New Roman" w:cs="Times New Roman"/>
          <w:sz w:val="18"/>
          <w:szCs w:val="18"/>
        </w:rPr>
        <w:t>, Council Document GEF/A.6/05/Rev.01</w:t>
      </w:r>
    </w:p>
  </w:footnote>
  <w:footnote w:id="15">
    <w:p w14:paraId="210E00C4" w14:textId="17AFFB83"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2020, </w:t>
      </w:r>
      <w:hyperlink r:id="rId7" w:history="1">
        <w:r w:rsidRPr="00C24517">
          <w:rPr>
            <w:rFonts w:ascii="Times New Roman" w:hAnsi="Times New Roman" w:cs="Times New Roman"/>
            <w:i/>
            <w:iCs/>
            <w:color w:val="0000FF" w:themeColor="hyperlink"/>
            <w:sz w:val="18"/>
            <w:szCs w:val="18"/>
            <w:u w:val="single"/>
          </w:rPr>
          <w:t>GEF's Private Sector Engagement Strategy</w:t>
        </w:r>
      </w:hyperlink>
      <w:r w:rsidRPr="00C24517">
        <w:rPr>
          <w:rFonts w:ascii="Times New Roman" w:hAnsi="Times New Roman" w:cs="Times New Roman"/>
          <w:sz w:val="18"/>
          <w:szCs w:val="18"/>
        </w:rPr>
        <w:t>, Council Document GEF/C.59/07/Rev.01</w:t>
      </w:r>
    </w:p>
    <w:p w14:paraId="4B8A1E84" w14:textId="314022B7"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p>
  </w:footnote>
  <w:footnote w:id="16">
    <w:p w14:paraId="51105D37" w14:textId="1195FC3C"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One country opted to combine MIA and NAP under one EA.  </w:t>
      </w:r>
    </w:p>
  </w:footnote>
  <w:footnote w:id="17">
    <w:p w14:paraId="6358C278" w14:textId="2097A585"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Excludes PPGs and Agency fees.</w:t>
      </w:r>
    </w:p>
  </w:footnote>
  <w:footnote w:id="18">
    <w:p w14:paraId="3F9D9818" w14:textId="75CCD905"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The SIDS region includes all Caribbean, African, and Pacific islands. </w:t>
      </w:r>
    </w:p>
  </w:footnote>
  <w:footnote w:id="19">
    <w:p w14:paraId="369DEFD3" w14:textId="3B54D257"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One country opted to combine MIA and NAPs under one EA.</w:t>
      </w:r>
    </w:p>
  </w:footnote>
  <w:footnote w:id="20">
    <w:p w14:paraId="79201F34" w14:textId="376C9357"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Excludes PPGs and Agency Fees.</w:t>
      </w:r>
    </w:p>
  </w:footnote>
  <w:footnote w:id="21">
    <w:p w14:paraId="6506CCD8" w14:textId="567F5442"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The three MSPs approved in the reporting period are global projects. These MSPs provide information that will inform future programming for Parties in the areas which they are exploring.</w:t>
      </w:r>
    </w:p>
  </w:footnote>
  <w:footnote w:id="22">
    <w:p w14:paraId="0D9E2919" w14:textId="216A7A6A"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According to the 2018 Co-financing Policy, co-financing is calculated based on GEF project financing for programs, FSPs and MSPs. EAs, PPGs and Agency fees are excluded.</w:t>
      </w:r>
    </w:p>
  </w:footnote>
  <w:footnote w:id="23">
    <w:p w14:paraId="60D0B5A4" w14:textId="0CE70AC1"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The </w:t>
      </w:r>
      <w:r w:rsidRPr="00C24517">
        <w:rPr>
          <w:rFonts w:ascii="Times New Roman" w:hAnsi="Times New Roman" w:cs="Times New Roman"/>
          <w:i/>
          <w:iCs/>
          <w:sz w:val="18"/>
          <w:szCs w:val="18"/>
        </w:rPr>
        <w:t>ISLANDS</w:t>
      </w:r>
      <w:r w:rsidRPr="00C24517">
        <w:rPr>
          <w:rFonts w:ascii="Times New Roman" w:hAnsi="Times New Roman" w:cs="Times New Roman"/>
          <w:sz w:val="18"/>
          <w:szCs w:val="18"/>
        </w:rPr>
        <w:t xml:space="preserve"> Program was included in the GEF Report to COP 3 and is included in this Report to COP 4 because new countries have been added in the reporting period through an addendum to the PFD. </w:t>
      </w:r>
    </w:p>
  </w:footnote>
  <w:footnote w:id="24">
    <w:p w14:paraId="190DDB41" w14:textId="7B47409B"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UNEP, 2018, </w:t>
      </w:r>
      <w:hyperlink r:id="rId8" w:history="1">
        <w:r w:rsidRPr="00C24517">
          <w:rPr>
            <w:rStyle w:val="Hyperlink"/>
            <w:rFonts w:ascii="Times New Roman" w:hAnsi="Times New Roman" w:cs="Times New Roman"/>
            <w:i/>
            <w:iCs/>
            <w:sz w:val="18"/>
            <w:szCs w:val="18"/>
          </w:rPr>
          <w:t>Global Mercury Assessment 2018</w:t>
        </w:r>
      </w:hyperlink>
    </w:p>
  </w:footnote>
  <w:footnote w:id="25">
    <w:p w14:paraId="1FB45FF7" w14:textId="1EC26C5D"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This does not include programs, because including programs with their lead implementing agency would lead to misinterpretation of data. </w:t>
      </w:r>
    </w:p>
  </w:footnote>
  <w:footnote w:id="26">
    <w:p w14:paraId="73FA4ECF" w14:textId="3675C3BF"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UNEP, 2019, </w:t>
      </w:r>
      <w:hyperlink r:id="rId9" w:history="1">
        <w:r w:rsidRPr="00C24517">
          <w:rPr>
            <w:rStyle w:val="Hyperlink"/>
            <w:rFonts w:ascii="Times New Roman" w:hAnsi="Times New Roman" w:cs="Times New Roman"/>
            <w:i/>
            <w:iCs/>
            <w:sz w:val="18"/>
            <w:szCs w:val="18"/>
          </w:rPr>
          <w:t>First review of the financial mechanism</w:t>
        </w:r>
      </w:hyperlink>
      <w:r w:rsidRPr="00C24517">
        <w:rPr>
          <w:rStyle w:val="Hyperlink"/>
          <w:rFonts w:ascii="Times New Roman" w:hAnsi="Times New Roman" w:cs="Times New Roman"/>
          <w:sz w:val="18"/>
          <w:szCs w:val="18"/>
        </w:rPr>
        <w:t>, Document UNEP/MC/COP.3/11</w:t>
      </w:r>
    </w:p>
  </w:footnote>
  <w:footnote w:id="27">
    <w:p w14:paraId="0B018722" w14:textId="4F420CFF"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w:t>
      </w:r>
      <w:proofErr w:type="spellStart"/>
      <w:r w:rsidRPr="00C24517">
        <w:rPr>
          <w:rFonts w:ascii="Times New Roman" w:hAnsi="Times New Roman" w:cs="Times New Roman"/>
          <w:sz w:val="18"/>
          <w:szCs w:val="18"/>
        </w:rPr>
        <w:t>planetGOLD</w:t>
      </w:r>
      <w:proofErr w:type="spellEnd"/>
      <w:r w:rsidRPr="00C24517">
        <w:rPr>
          <w:rFonts w:ascii="Times New Roman" w:hAnsi="Times New Roman" w:cs="Times New Roman"/>
          <w:sz w:val="18"/>
          <w:szCs w:val="18"/>
        </w:rPr>
        <w:t xml:space="preserve"> partnership covers all the countries included in </w:t>
      </w:r>
      <w:r w:rsidRPr="00C24517">
        <w:rPr>
          <w:rFonts w:ascii="Times New Roman" w:hAnsi="Times New Roman" w:cs="Times New Roman"/>
          <w:i/>
          <w:iCs/>
          <w:sz w:val="18"/>
          <w:szCs w:val="18"/>
        </w:rPr>
        <w:t>GOLD</w:t>
      </w:r>
      <w:r w:rsidRPr="00C24517">
        <w:rPr>
          <w:rFonts w:ascii="Times New Roman" w:hAnsi="Times New Roman" w:cs="Times New Roman"/>
          <w:sz w:val="18"/>
          <w:szCs w:val="18"/>
        </w:rPr>
        <w:t xml:space="preserve"> and </w:t>
      </w:r>
      <w:r w:rsidRPr="00C24517">
        <w:rPr>
          <w:rFonts w:ascii="Times New Roman" w:hAnsi="Times New Roman" w:cs="Times New Roman"/>
          <w:i/>
          <w:iCs/>
          <w:sz w:val="18"/>
          <w:szCs w:val="18"/>
        </w:rPr>
        <w:t>GOLD+</w:t>
      </w:r>
      <w:r w:rsidRPr="00C24517">
        <w:rPr>
          <w:rFonts w:ascii="Times New Roman" w:hAnsi="Times New Roman" w:cs="Times New Roman"/>
          <w:sz w:val="18"/>
          <w:szCs w:val="18"/>
        </w:rPr>
        <w:t xml:space="preserve"> programs (funded in GEF-6 and GEF-7, respectively). More information is available at: </w:t>
      </w:r>
      <w:hyperlink r:id="rId10" w:history="1">
        <w:r w:rsidRPr="00C24517">
          <w:rPr>
            <w:rStyle w:val="Hyperlink"/>
            <w:rFonts w:ascii="Times New Roman" w:hAnsi="Times New Roman" w:cs="Times New Roman"/>
            <w:sz w:val="18"/>
            <w:szCs w:val="18"/>
          </w:rPr>
          <w:t>https://www.planetgold.org</w:t>
        </w:r>
      </w:hyperlink>
      <w:r w:rsidRPr="00C24517">
        <w:rPr>
          <w:rFonts w:ascii="Times New Roman" w:hAnsi="Times New Roman" w:cs="Times New Roman"/>
          <w:sz w:val="18"/>
          <w:szCs w:val="18"/>
        </w:rPr>
        <w:t>.</w:t>
      </w:r>
    </w:p>
  </w:footnote>
  <w:footnote w:id="28">
    <w:p w14:paraId="68778206" w14:textId="26C6F233" w:rsidR="003032EA" w:rsidRPr="00C24517" w:rsidRDefault="003032EA" w:rsidP="00C24517">
      <w:pPr>
        <w:tabs>
          <w:tab w:val="left" w:pos="624"/>
        </w:tabs>
        <w:spacing w:before="20" w:after="40"/>
        <w:ind w:left="1247"/>
        <w:rPr>
          <w:sz w:val="18"/>
          <w:szCs w:val="18"/>
          <w:lang w:eastAsia="en-GB"/>
        </w:rPr>
      </w:pPr>
      <w:r w:rsidRPr="00C24517">
        <w:rPr>
          <w:rStyle w:val="FootnoteReference"/>
          <w:sz w:val="18"/>
          <w:szCs w:val="18"/>
        </w:rPr>
        <w:footnoteRef/>
      </w:r>
      <w:bookmarkStart w:id="60" w:name="_Hlk74120689"/>
      <w:r w:rsidRPr="00C24517">
        <w:rPr>
          <w:sz w:val="18"/>
          <w:szCs w:val="18"/>
        </w:rPr>
        <w:t xml:space="preserve"> GEF IEO, 2020, </w:t>
      </w:r>
      <w:hyperlink r:id="rId11" w:history="1">
        <w:r w:rsidRPr="00C24517">
          <w:rPr>
            <w:rStyle w:val="Hyperlink"/>
            <w:i/>
            <w:iCs/>
            <w:sz w:val="18"/>
            <w:szCs w:val="18"/>
          </w:rPr>
          <w:t>Evaluation of GEF Interventions in the Artisanal and Small-Scale Gold Mining Sector</w:t>
        </w:r>
      </w:hyperlink>
      <w:bookmarkEnd w:id="60"/>
      <w:r w:rsidRPr="00C24517">
        <w:rPr>
          <w:rStyle w:val="Hyperlink"/>
          <w:sz w:val="18"/>
          <w:szCs w:val="18"/>
        </w:rPr>
        <w:t xml:space="preserve">, Council Document </w:t>
      </w:r>
      <w:r w:rsidRPr="00C24517">
        <w:rPr>
          <w:sz w:val="18"/>
          <w:szCs w:val="18"/>
          <w:lang w:eastAsia="en-GB"/>
        </w:rPr>
        <w:t xml:space="preserve">GEF/E/C.59/02 </w:t>
      </w:r>
      <w:r w:rsidRPr="00C24517">
        <w:rPr>
          <w:rStyle w:val="Hyperlink"/>
          <w:color w:val="000000" w:themeColor="text1"/>
          <w:sz w:val="18"/>
          <w:szCs w:val="18"/>
          <w:u w:val="none"/>
        </w:rPr>
        <w:t>and</w:t>
      </w:r>
      <w:r w:rsidRPr="00C24517">
        <w:rPr>
          <w:rStyle w:val="Hyperlink"/>
          <w:i/>
          <w:iCs/>
          <w:sz w:val="18"/>
          <w:szCs w:val="18"/>
        </w:rPr>
        <w:t xml:space="preserve"> </w:t>
      </w:r>
      <w:r w:rsidRPr="00C24517">
        <w:rPr>
          <w:sz w:val="18"/>
          <w:szCs w:val="18"/>
        </w:rPr>
        <w:t xml:space="preserve">GEF, 2020, </w:t>
      </w:r>
      <w:hyperlink r:id="rId12" w:history="1">
        <w:r w:rsidRPr="00C24517">
          <w:rPr>
            <w:rStyle w:val="Hyperlink"/>
            <w:i/>
            <w:iCs/>
            <w:sz w:val="18"/>
            <w:szCs w:val="18"/>
          </w:rPr>
          <w:t>Management Response to Evaluation of GEF Interventions in the Artisanal and Small-Scale Gold Mining Sector</w:t>
        </w:r>
      </w:hyperlink>
      <w:r w:rsidRPr="00C24517">
        <w:rPr>
          <w:rStyle w:val="Hyperlink"/>
          <w:sz w:val="18"/>
          <w:szCs w:val="18"/>
        </w:rPr>
        <w:t xml:space="preserve">, Council Document </w:t>
      </w:r>
      <w:r w:rsidRPr="00C24517">
        <w:rPr>
          <w:sz w:val="18"/>
          <w:szCs w:val="18"/>
          <w:lang w:eastAsia="en-GB"/>
        </w:rPr>
        <w:t>GEF/E/C.59/06</w:t>
      </w:r>
    </w:p>
  </w:footnote>
  <w:footnote w:id="29">
    <w:p w14:paraId="5DFF269C" w14:textId="579B4F51" w:rsidR="003032EA" w:rsidRPr="00C24517" w:rsidRDefault="003032EA" w:rsidP="00C24517">
      <w:pPr>
        <w:tabs>
          <w:tab w:val="left" w:pos="624"/>
        </w:tabs>
        <w:spacing w:before="20" w:after="40"/>
        <w:ind w:left="1247"/>
        <w:rPr>
          <w:sz w:val="18"/>
          <w:szCs w:val="18"/>
          <w:lang w:eastAsia="en-GB"/>
        </w:rPr>
      </w:pPr>
      <w:r w:rsidRPr="00C24517">
        <w:rPr>
          <w:rStyle w:val="FootnoteReference"/>
          <w:sz w:val="18"/>
          <w:szCs w:val="18"/>
        </w:rPr>
        <w:footnoteRef/>
      </w:r>
      <w:r w:rsidRPr="00C24517">
        <w:rPr>
          <w:sz w:val="18"/>
          <w:szCs w:val="18"/>
        </w:rPr>
        <w:t xml:space="preserve"> GEF IEO, 2020, </w:t>
      </w:r>
      <w:hyperlink r:id="rId13" w:history="1">
        <w:r w:rsidRPr="00C24517">
          <w:rPr>
            <w:rStyle w:val="Hyperlink"/>
            <w:i/>
            <w:iCs/>
            <w:sz w:val="18"/>
            <w:szCs w:val="18"/>
          </w:rPr>
          <w:t>Evaluation of GEF Interventions in the Artisanal and Small-Scale Gold Mining Sector</w:t>
        </w:r>
      </w:hyperlink>
      <w:r w:rsidRPr="00C24517">
        <w:rPr>
          <w:rStyle w:val="Hyperlink"/>
          <w:sz w:val="18"/>
          <w:szCs w:val="18"/>
        </w:rPr>
        <w:t xml:space="preserve">, Council Document </w:t>
      </w:r>
      <w:r w:rsidRPr="00C24517">
        <w:rPr>
          <w:sz w:val="18"/>
          <w:szCs w:val="18"/>
          <w:lang w:eastAsia="en-GB"/>
        </w:rPr>
        <w:t>GEF/E/C.59/02</w:t>
      </w:r>
    </w:p>
    <w:p w14:paraId="6E8FA4F2" w14:textId="20790FEE"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p>
  </w:footnote>
  <w:footnote w:id="30">
    <w:p w14:paraId="1B5DDC82" w14:textId="05CB7E07"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2021, </w:t>
      </w:r>
      <w:hyperlink r:id="rId14" w:history="1">
        <w:r w:rsidRPr="00C24517">
          <w:rPr>
            <w:rStyle w:val="Hyperlink"/>
            <w:rFonts w:ascii="Times New Roman" w:hAnsi="Times New Roman" w:cs="Times New Roman"/>
            <w:i/>
            <w:iCs/>
            <w:sz w:val="18"/>
            <w:szCs w:val="18"/>
          </w:rPr>
          <w:t>GEF-7 Corporate Score Card</w:t>
        </w:r>
      </w:hyperlink>
      <w:r w:rsidRPr="00C24517">
        <w:rPr>
          <w:rFonts w:ascii="Times New Roman" w:hAnsi="Times New Roman" w:cs="Times New Roman"/>
          <w:sz w:val="18"/>
          <w:szCs w:val="18"/>
        </w:rPr>
        <w:t xml:space="preserve"> </w:t>
      </w:r>
    </w:p>
  </w:footnote>
  <w:footnote w:id="31">
    <w:p w14:paraId="150CB15D" w14:textId="7CE789A1"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2020, </w:t>
      </w:r>
      <w:hyperlink r:id="rId15" w:history="1">
        <w:r w:rsidRPr="00C24517">
          <w:rPr>
            <w:rStyle w:val="Hyperlink"/>
            <w:rFonts w:ascii="Times New Roman" w:hAnsi="Times New Roman" w:cs="Times New Roman"/>
            <w:i/>
            <w:iCs/>
            <w:sz w:val="18"/>
            <w:szCs w:val="18"/>
          </w:rPr>
          <w:t>GEF's Private Sector Engagement Strategy</w:t>
        </w:r>
      </w:hyperlink>
      <w:r w:rsidRPr="00C24517">
        <w:rPr>
          <w:rFonts w:ascii="Times New Roman" w:hAnsi="Times New Roman" w:cs="Times New Roman"/>
          <w:sz w:val="18"/>
          <w:szCs w:val="18"/>
        </w:rPr>
        <w:t>, Council Document GEF/C.59/07/Rev.01.</w:t>
      </w:r>
    </w:p>
    <w:p w14:paraId="22FCF4E9" w14:textId="77777777"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p>
  </w:footnote>
  <w:footnote w:id="32">
    <w:p w14:paraId="1F126B2E" w14:textId="1BA82E57"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2020, </w:t>
      </w:r>
      <w:hyperlink r:id="rId16" w:history="1">
        <w:r w:rsidRPr="00C24517">
          <w:rPr>
            <w:rStyle w:val="Hyperlink"/>
            <w:rFonts w:ascii="Times New Roman" w:hAnsi="Times New Roman" w:cs="Times New Roman"/>
            <w:i/>
            <w:iCs/>
            <w:sz w:val="18"/>
            <w:szCs w:val="18"/>
          </w:rPr>
          <w:t>White Paper on a COVID-19 Response Strategy</w:t>
        </w:r>
      </w:hyperlink>
      <w:r w:rsidRPr="00C24517">
        <w:rPr>
          <w:rFonts w:ascii="Times New Roman" w:hAnsi="Times New Roman" w:cs="Times New Roman"/>
          <w:sz w:val="18"/>
          <w:szCs w:val="18"/>
        </w:rPr>
        <w:t xml:space="preserve">, Council Document GEF/C.59/Inf.14. </w:t>
      </w:r>
    </w:p>
  </w:footnote>
  <w:footnote w:id="33">
    <w:p w14:paraId="20A67371" w14:textId="6AB19DBF"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2020, </w:t>
      </w:r>
      <w:hyperlink r:id="rId17" w:history="1">
        <w:r w:rsidRPr="00C24517">
          <w:rPr>
            <w:rStyle w:val="Hyperlink"/>
            <w:rFonts w:ascii="Times New Roman" w:hAnsi="Times New Roman" w:cs="Times New Roman"/>
            <w:i/>
            <w:iCs/>
            <w:sz w:val="18"/>
            <w:szCs w:val="18"/>
          </w:rPr>
          <w:t xml:space="preserve">Guidance on </w:t>
        </w:r>
        <w:r w:rsidRPr="00C24517">
          <w:rPr>
            <w:rStyle w:val="Hyperlink"/>
            <w:rFonts w:ascii="Times New Roman" w:hAnsi="Times New Roman" w:cs="Times New Roman"/>
            <w:i/>
            <w:iCs/>
            <w:sz w:val="18"/>
            <w:szCs w:val="18"/>
            <w:shd w:val="clear" w:color="auto" w:fill="FFFFFF"/>
          </w:rPr>
          <w:t>Project Design and Review Considerations in Response to the COVID-19 Crisis and the Mitigation of Future Pandemics</w:t>
        </w:r>
      </w:hyperlink>
      <w:r w:rsidRPr="00C24517">
        <w:rPr>
          <w:rFonts w:ascii="Times New Roman" w:hAnsi="Times New Roman" w:cs="Times New Roman"/>
          <w:sz w:val="18"/>
          <w:szCs w:val="18"/>
        </w:rPr>
        <w:t>, approved on September 25, 2020.</w:t>
      </w:r>
    </w:p>
  </w:footnote>
  <w:footnote w:id="34">
    <w:p w14:paraId="2A3129A9" w14:textId="3AFD8E71" w:rsidR="003032EA" w:rsidRPr="00C24517" w:rsidRDefault="003032EA" w:rsidP="00C24517">
      <w:pPr>
        <w:pStyle w:val="FootnoteText"/>
        <w:tabs>
          <w:tab w:val="left" w:pos="624"/>
        </w:tabs>
        <w:spacing w:before="20" w:after="40"/>
        <w:ind w:left="1247"/>
        <w:rPr>
          <w:rFonts w:ascii="Times New Roman" w:eastAsiaTheme="minorHAnsi"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2020, </w:t>
      </w:r>
      <w:hyperlink r:id="rId18" w:history="1">
        <w:r w:rsidRPr="00C24517">
          <w:rPr>
            <w:rStyle w:val="Hyperlink"/>
            <w:rFonts w:ascii="Times New Roman" w:hAnsi="Times New Roman" w:cs="Times New Roman"/>
            <w:i/>
            <w:iCs/>
            <w:sz w:val="18"/>
            <w:szCs w:val="18"/>
          </w:rPr>
          <w:t>Summary of the Chair</w:t>
        </w:r>
      </w:hyperlink>
      <w:r w:rsidRPr="00C24517">
        <w:rPr>
          <w:rFonts w:ascii="Times New Roman" w:hAnsi="Times New Roman" w:cs="Times New Roman"/>
          <w:sz w:val="18"/>
          <w:szCs w:val="18"/>
        </w:rPr>
        <w:t>, Council Document GEF/C.59/Summary.</w:t>
      </w:r>
    </w:p>
  </w:footnote>
  <w:footnote w:id="35">
    <w:p w14:paraId="3B17FE9A" w14:textId="16944437"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Documents of the first meeting of the GEF-8 replenishment can be found at:  </w:t>
      </w:r>
      <w:hyperlink r:id="rId19" w:history="1">
        <w:r w:rsidRPr="00C24517">
          <w:rPr>
            <w:rStyle w:val="Hyperlink"/>
            <w:rFonts w:ascii="Times New Roman" w:hAnsi="Times New Roman" w:cs="Times New Roman"/>
            <w:sz w:val="18"/>
            <w:szCs w:val="18"/>
          </w:rPr>
          <w:t>https://www.thegef.org/council-meetings/gef-8-replenishment-first-meeting</w:t>
        </w:r>
      </w:hyperlink>
      <w:r w:rsidRPr="00C24517">
        <w:rPr>
          <w:rStyle w:val="Hyperlink"/>
          <w:rFonts w:ascii="Times New Roman" w:hAnsi="Times New Roman" w:cs="Times New Roman"/>
          <w:sz w:val="18"/>
          <w:szCs w:val="18"/>
        </w:rPr>
        <w:t>.</w:t>
      </w:r>
    </w:p>
  </w:footnote>
  <w:footnote w:id="36">
    <w:p w14:paraId="67CAB5C8" w14:textId="5FE55C24"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EAs do not have PPG funding. </w:t>
      </w:r>
    </w:p>
  </w:footnote>
  <w:footnote w:id="37">
    <w:p w14:paraId="1B6FEC82" w14:textId="2BA15510"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This is the total number of countries receiving GEF EA support, including GEF-5, GEF-6 and GEF-7.</w:t>
      </w:r>
    </w:p>
  </w:footnote>
  <w:footnote w:id="38">
    <w:p w14:paraId="0C075EF7" w14:textId="5634C8DE"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Highlighted countries were non-Parties at the time of approval of GEF EA support but have since become Parties. </w:t>
      </w:r>
    </w:p>
  </w:footnote>
  <w:footnote w:id="39">
    <w:p w14:paraId="57446A86" w14:textId="6FF302A8"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GEF grant amount at CEO endorsement.</w:t>
      </w:r>
    </w:p>
  </w:footnote>
  <w:footnote w:id="40">
    <w:p w14:paraId="1C2869D3" w14:textId="58B9E715"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Agency fees at CEO endorsement. </w:t>
      </w:r>
    </w:p>
  </w:footnote>
  <w:footnote w:id="41">
    <w:p w14:paraId="4428D389" w14:textId="6EE2FACD" w:rsidR="003032EA" w:rsidRPr="00C24517" w:rsidRDefault="003032EA" w:rsidP="00C24517">
      <w:pPr>
        <w:pStyle w:val="FootnoteText"/>
        <w:tabs>
          <w:tab w:val="left" w:pos="624"/>
        </w:tabs>
        <w:spacing w:before="20" w:after="40"/>
        <w:ind w:left="1247"/>
        <w:rPr>
          <w:rFonts w:ascii="Times New Roman" w:hAnsi="Times New Roman" w:cs="Times New Roman"/>
          <w:sz w:val="18"/>
          <w:szCs w:val="18"/>
        </w:rPr>
      </w:pPr>
      <w:r w:rsidRPr="00C24517">
        <w:rPr>
          <w:rStyle w:val="FootnoteReference"/>
          <w:rFonts w:ascii="Times New Roman" w:hAnsi="Times New Roman" w:cs="Times New Roman"/>
          <w:sz w:val="18"/>
          <w:szCs w:val="18"/>
        </w:rPr>
        <w:footnoteRef/>
      </w:r>
      <w:r w:rsidRPr="00C24517">
        <w:rPr>
          <w:rFonts w:ascii="Times New Roman" w:hAnsi="Times New Roman" w:cs="Times New Roman"/>
          <w:sz w:val="18"/>
          <w:szCs w:val="18"/>
        </w:rPr>
        <w:t xml:space="preserve"> Co-financing at CEO endorsement.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61" w:type="dxa"/>
      <w:tblLayout w:type="fixed"/>
      <w:tblLook w:val="06A0" w:firstRow="1" w:lastRow="0" w:firstColumn="1" w:lastColumn="0" w:noHBand="1" w:noVBand="1"/>
    </w:tblPr>
    <w:tblGrid>
      <w:gridCol w:w="3287"/>
      <w:gridCol w:w="3287"/>
      <w:gridCol w:w="3287"/>
    </w:tblGrid>
    <w:tr w:rsidR="003032EA" w14:paraId="41528948" w14:textId="77777777" w:rsidTr="00EC4F56">
      <w:tc>
        <w:tcPr>
          <w:tcW w:w="3287" w:type="dxa"/>
        </w:tcPr>
        <w:p w14:paraId="0BAC8564" w14:textId="77777777" w:rsidR="003032EA" w:rsidRDefault="003032EA" w:rsidP="004B019F">
          <w:pPr>
            <w:pStyle w:val="Header"/>
            <w:ind w:left="-115"/>
            <w:jc w:val="both"/>
          </w:pPr>
        </w:p>
      </w:tc>
      <w:tc>
        <w:tcPr>
          <w:tcW w:w="3287" w:type="dxa"/>
        </w:tcPr>
        <w:p w14:paraId="748614F5" w14:textId="77777777" w:rsidR="003032EA" w:rsidRDefault="003032EA" w:rsidP="000A6A44">
          <w:pPr>
            <w:pStyle w:val="Header"/>
            <w:jc w:val="center"/>
          </w:pPr>
        </w:p>
      </w:tc>
      <w:tc>
        <w:tcPr>
          <w:tcW w:w="3287" w:type="dxa"/>
        </w:tcPr>
        <w:p w14:paraId="56DEEDB8" w14:textId="77777777" w:rsidR="003032EA" w:rsidRDefault="003032EA" w:rsidP="000A6A44">
          <w:pPr>
            <w:pStyle w:val="Header"/>
            <w:ind w:right="-115"/>
            <w:jc w:val="right"/>
          </w:pPr>
        </w:p>
      </w:tc>
    </w:tr>
  </w:tbl>
  <w:p w14:paraId="1669560B" w14:textId="753C15F5" w:rsidR="003032EA" w:rsidRPr="00EC4F56" w:rsidRDefault="003032EA" w:rsidP="004B019F">
    <w:pPr>
      <w:widowControl/>
      <w:pBdr>
        <w:bottom w:val="single" w:sz="4" w:space="1" w:color="auto"/>
      </w:pBdr>
      <w:tabs>
        <w:tab w:val="left" w:pos="1247"/>
        <w:tab w:val="center" w:pos="4536"/>
        <w:tab w:val="right" w:pos="9072"/>
      </w:tabs>
      <w:autoSpaceDE/>
      <w:autoSpaceDN/>
      <w:spacing w:after="120"/>
      <w:rPr>
        <w:b/>
        <w:sz w:val="18"/>
        <w:szCs w:val="20"/>
        <w:lang w:val="fr-CH"/>
      </w:rPr>
    </w:pPr>
    <w:r w:rsidRPr="00EC4F56">
      <w:rPr>
        <w:b/>
        <w:sz w:val="18"/>
        <w:szCs w:val="20"/>
        <w:lang w:val="fr-CH"/>
      </w:rPr>
      <w:t>UNEP/MC/COP.4/INF/7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3A7D" w14:textId="1960828E" w:rsidR="003032EA" w:rsidRDefault="003032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891D" w14:textId="4BED23AD" w:rsidR="003032EA" w:rsidRDefault="003032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3"/>
      <w:gridCol w:w="3193"/>
      <w:gridCol w:w="3193"/>
    </w:tblGrid>
    <w:tr w:rsidR="003032EA" w14:paraId="7D9FEDA9" w14:textId="77777777" w:rsidTr="073C8A79">
      <w:tc>
        <w:tcPr>
          <w:tcW w:w="3193" w:type="dxa"/>
        </w:tcPr>
        <w:p w14:paraId="245E3330" w14:textId="77777777" w:rsidR="003032EA" w:rsidRDefault="003032EA" w:rsidP="000A6A44">
          <w:pPr>
            <w:pStyle w:val="Header"/>
            <w:ind w:left="-115"/>
          </w:pPr>
        </w:p>
      </w:tc>
      <w:tc>
        <w:tcPr>
          <w:tcW w:w="3193" w:type="dxa"/>
        </w:tcPr>
        <w:p w14:paraId="4CDE6E9C" w14:textId="77777777" w:rsidR="003032EA" w:rsidRDefault="003032EA" w:rsidP="000A6A44">
          <w:pPr>
            <w:pStyle w:val="Header"/>
            <w:jc w:val="center"/>
          </w:pPr>
        </w:p>
      </w:tc>
      <w:tc>
        <w:tcPr>
          <w:tcW w:w="3193" w:type="dxa"/>
        </w:tcPr>
        <w:p w14:paraId="0C463D07" w14:textId="77777777" w:rsidR="003032EA" w:rsidRDefault="003032EA" w:rsidP="000A6A44">
          <w:pPr>
            <w:pStyle w:val="Header"/>
            <w:ind w:right="-115"/>
            <w:jc w:val="right"/>
          </w:pPr>
        </w:p>
      </w:tc>
    </w:tr>
  </w:tbl>
  <w:p w14:paraId="7B6D6E77" w14:textId="364970F6" w:rsidR="003032EA" w:rsidRDefault="003032EA" w:rsidP="000A6A44">
    <w:pPr>
      <w:pStyle w:val="Header"/>
    </w:pPr>
  </w:p>
  <w:p w14:paraId="3A7F61F6" w14:textId="43DDF6FB" w:rsidR="003032EA" w:rsidRDefault="003032EA" w:rsidP="000A6A44">
    <w:pPr>
      <w:pStyle w:val="Header"/>
    </w:pPr>
  </w:p>
  <w:p w14:paraId="3558C224" w14:textId="291CB972" w:rsidR="003032EA" w:rsidRDefault="003032EA" w:rsidP="000A6A44">
    <w:pPr>
      <w:pStyle w:val="Header"/>
    </w:pPr>
  </w:p>
  <w:p w14:paraId="4E030023" w14:textId="3C499825" w:rsidR="003032EA" w:rsidRPr="00EC4F56" w:rsidRDefault="003032EA" w:rsidP="00EC4F56">
    <w:pPr>
      <w:widowControl/>
      <w:pBdr>
        <w:bottom w:val="single" w:sz="4" w:space="1" w:color="auto"/>
      </w:pBdr>
      <w:tabs>
        <w:tab w:val="left" w:pos="1247"/>
        <w:tab w:val="center" w:pos="4536"/>
        <w:tab w:val="right" w:pos="9072"/>
      </w:tabs>
      <w:autoSpaceDE/>
      <w:autoSpaceDN/>
      <w:spacing w:after="120"/>
      <w:jc w:val="right"/>
      <w:rPr>
        <w:b/>
        <w:sz w:val="18"/>
        <w:szCs w:val="20"/>
        <w:lang w:val="fr-CH"/>
      </w:rPr>
    </w:pPr>
    <w:bookmarkStart w:id="77" w:name="_Hlk80045009"/>
    <w:bookmarkStart w:id="78" w:name="_Hlk80045010"/>
    <w:r w:rsidRPr="00EC4F56">
      <w:rPr>
        <w:b/>
        <w:sz w:val="18"/>
        <w:szCs w:val="20"/>
        <w:lang w:val="fr-CH"/>
      </w:rPr>
      <w:t>UNEP/MC/COP.4/INF/7</w:t>
    </w:r>
    <w:bookmarkEnd w:id="77"/>
    <w:bookmarkEnd w:id="78"/>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E9A" w14:textId="47DEDDBB" w:rsidR="003032EA" w:rsidRDefault="003032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675D" w14:textId="1C9669AF" w:rsidR="003032EA" w:rsidRDefault="003032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93"/>
      <w:gridCol w:w="4393"/>
      <w:gridCol w:w="4393"/>
    </w:tblGrid>
    <w:tr w:rsidR="003032EA" w14:paraId="3BB0B383" w14:textId="77777777" w:rsidTr="073C8A79">
      <w:tc>
        <w:tcPr>
          <w:tcW w:w="4393" w:type="dxa"/>
        </w:tcPr>
        <w:p w14:paraId="4FF31D58" w14:textId="77777777" w:rsidR="003032EA" w:rsidRDefault="003032EA" w:rsidP="000A6A44">
          <w:pPr>
            <w:pStyle w:val="Header"/>
            <w:ind w:left="-115"/>
          </w:pPr>
        </w:p>
      </w:tc>
      <w:tc>
        <w:tcPr>
          <w:tcW w:w="4393" w:type="dxa"/>
        </w:tcPr>
        <w:p w14:paraId="3CB99787" w14:textId="77777777" w:rsidR="003032EA" w:rsidRDefault="003032EA" w:rsidP="000A6A44">
          <w:pPr>
            <w:pStyle w:val="Header"/>
            <w:jc w:val="center"/>
          </w:pPr>
        </w:p>
      </w:tc>
      <w:tc>
        <w:tcPr>
          <w:tcW w:w="4393" w:type="dxa"/>
        </w:tcPr>
        <w:p w14:paraId="36F6F8B9" w14:textId="77777777" w:rsidR="003032EA" w:rsidRDefault="003032EA" w:rsidP="000A6A44">
          <w:pPr>
            <w:pStyle w:val="Header"/>
            <w:ind w:right="-115"/>
            <w:jc w:val="right"/>
          </w:pPr>
        </w:p>
      </w:tc>
    </w:tr>
  </w:tbl>
  <w:p w14:paraId="04E38E6C" w14:textId="67E77B2D" w:rsidR="003032EA" w:rsidRDefault="003032EA" w:rsidP="000A6A44">
    <w:pPr>
      <w:pStyle w:val="Header"/>
    </w:pPr>
  </w:p>
  <w:p w14:paraId="366D5E6A" w14:textId="1CCBE605" w:rsidR="003032EA" w:rsidRDefault="003032EA" w:rsidP="000A6A44">
    <w:pPr>
      <w:pStyle w:val="Header"/>
    </w:pPr>
  </w:p>
  <w:p w14:paraId="55441BAA" w14:textId="30E63E65" w:rsidR="003032EA" w:rsidRDefault="003032EA" w:rsidP="000A6A44">
    <w:pPr>
      <w:pStyle w:val="Header"/>
    </w:pPr>
  </w:p>
  <w:p w14:paraId="0BF48947" w14:textId="026E7D7F" w:rsidR="003032EA" w:rsidRPr="00070CC6" w:rsidRDefault="003032EA" w:rsidP="00070CC6">
    <w:pPr>
      <w:widowControl/>
      <w:pBdr>
        <w:bottom w:val="single" w:sz="4" w:space="1" w:color="auto"/>
      </w:pBdr>
      <w:tabs>
        <w:tab w:val="left" w:pos="1247"/>
        <w:tab w:val="center" w:pos="4536"/>
        <w:tab w:val="right" w:pos="9072"/>
      </w:tabs>
      <w:autoSpaceDE/>
      <w:autoSpaceDN/>
      <w:spacing w:after="120"/>
      <w:jc w:val="right"/>
      <w:rPr>
        <w:b/>
        <w:sz w:val="18"/>
        <w:szCs w:val="20"/>
        <w:lang w:val="fr-CH"/>
      </w:rPr>
    </w:pPr>
    <w:r w:rsidRPr="00EC4F56">
      <w:rPr>
        <w:b/>
        <w:sz w:val="18"/>
        <w:szCs w:val="20"/>
        <w:lang w:val="fr-CH"/>
      </w:rPr>
      <w:t>UNEP/MC/COP.4/INF/7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72CD" w14:textId="09299DC6" w:rsidR="003032EA" w:rsidRDefault="00303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1D7E" w14:textId="3E69EDD7" w:rsidR="003032EA" w:rsidRDefault="0030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61" w:type="dxa"/>
      <w:tblLayout w:type="fixed"/>
      <w:tblLook w:val="06A0" w:firstRow="1" w:lastRow="0" w:firstColumn="1" w:lastColumn="0" w:noHBand="1" w:noVBand="1"/>
    </w:tblPr>
    <w:tblGrid>
      <w:gridCol w:w="3287"/>
      <w:gridCol w:w="3287"/>
      <w:gridCol w:w="3287"/>
    </w:tblGrid>
    <w:tr w:rsidR="003032EA" w14:paraId="4C87441F" w14:textId="77777777" w:rsidTr="00EC4F56">
      <w:tc>
        <w:tcPr>
          <w:tcW w:w="3287" w:type="dxa"/>
        </w:tcPr>
        <w:p w14:paraId="0F40F0F0" w14:textId="77777777" w:rsidR="003032EA" w:rsidRDefault="003032EA" w:rsidP="000A6A44">
          <w:pPr>
            <w:pStyle w:val="Header"/>
            <w:ind w:left="-115"/>
          </w:pPr>
        </w:p>
      </w:tc>
      <w:tc>
        <w:tcPr>
          <w:tcW w:w="3287" w:type="dxa"/>
        </w:tcPr>
        <w:p w14:paraId="4967E886" w14:textId="77777777" w:rsidR="003032EA" w:rsidRDefault="003032EA" w:rsidP="000A6A44">
          <w:pPr>
            <w:pStyle w:val="Header"/>
            <w:jc w:val="center"/>
          </w:pPr>
        </w:p>
      </w:tc>
      <w:tc>
        <w:tcPr>
          <w:tcW w:w="3287" w:type="dxa"/>
        </w:tcPr>
        <w:p w14:paraId="32504581" w14:textId="77777777" w:rsidR="003032EA" w:rsidRDefault="003032EA" w:rsidP="000A6A44">
          <w:pPr>
            <w:pStyle w:val="Header"/>
            <w:ind w:right="-115"/>
            <w:jc w:val="right"/>
          </w:pPr>
        </w:p>
      </w:tc>
    </w:tr>
  </w:tbl>
  <w:p w14:paraId="7C4D466E" w14:textId="77777777" w:rsidR="003032EA" w:rsidRPr="00EC4F56" w:rsidRDefault="003032EA" w:rsidP="00EC4F56">
    <w:pPr>
      <w:widowControl/>
      <w:pBdr>
        <w:bottom w:val="single" w:sz="4" w:space="1" w:color="auto"/>
      </w:pBdr>
      <w:tabs>
        <w:tab w:val="left" w:pos="1247"/>
        <w:tab w:val="center" w:pos="4536"/>
        <w:tab w:val="right" w:pos="9072"/>
      </w:tabs>
      <w:autoSpaceDE/>
      <w:autoSpaceDN/>
      <w:spacing w:after="120"/>
      <w:jc w:val="right"/>
      <w:rPr>
        <w:b/>
        <w:sz w:val="18"/>
        <w:szCs w:val="20"/>
        <w:lang w:val="fr-CH"/>
      </w:rPr>
    </w:pPr>
    <w:r w:rsidRPr="00EC4F56">
      <w:rPr>
        <w:b/>
        <w:sz w:val="18"/>
        <w:szCs w:val="20"/>
        <w:lang w:val="fr-CH"/>
      </w:rPr>
      <w:t>UNEP/MC/COP.4/INF/7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B6AD" w14:textId="0C94AAD2" w:rsidR="003032EA" w:rsidRDefault="00303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1D71" w14:textId="7BD850A1" w:rsidR="003032EA" w:rsidRDefault="003032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3032EA" w14:paraId="1FDA3048" w14:textId="77777777" w:rsidTr="073C8A79">
      <w:tc>
        <w:tcPr>
          <w:tcW w:w="3120" w:type="dxa"/>
        </w:tcPr>
        <w:p w14:paraId="206A7D89" w14:textId="77777777" w:rsidR="003032EA" w:rsidRDefault="003032EA" w:rsidP="000A6A44">
          <w:pPr>
            <w:pStyle w:val="Header"/>
            <w:ind w:left="-115"/>
          </w:pPr>
        </w:p>
      </w:tc>
      <w:tc>
        <w:tcPr>
          <w:tcW w:w="3120" w:type="dxa"/>
        </w:tcPr>
        <w:p w14:paraId="305EC73D" w14:textId="77777777" w:rsidR="003032EA" w:rsidRDefault="003032EA" w:rsidP="000A6A44">
          <w:pPr>
            <w:pStyle w:val="Header"/>
            <w:jc w:val="center"/>
          </w:pPr>
        </w:p>
      </w:tc>
      <w:tc>
        <w:tcPr>
          <w:tcW w:w="3120" w:type="dxa"/>
        </w:tcPr>
        <w:p w14:paraId="3F0E3A2A" w14:textId="77777777" w:rsidR="003032EA" w:rsidRDefault="003032EA" w:rsidP="000A6A44">
          <w:pPr>
            <w:pStyle w:val="Header"/>
            <w:ind w:right="-115"/>
            <w:jc w:val="right"/>
          </w:pPr>
        </w:p>
      </w:tc>
    </w:tr>
  </w:tbl>
  <w:p w14:paraId="107AF787" w14:textId="0B4560FF" w:rsidR="003032EA" w:rsidRDefault="003032EA" w:rsidP="000A6A44">
    <w:pPr>
      <w:pStyle w:val="Header"/>
    </w:pPr>
  </w:p>
  <w:p w14:paraId="2A62A456" w14:textId="77777777" w:rsidR="003032EA" w:rsidRDefault="003032EA" w:rsidP="00EC4F56">
    <w:pPr>
      <w:widowControl/>
      <w:pBdr>
        <w:bottom w:val="single" w:sz="4" w:space="1" w:color="auto"/>
      </w:pBdr>
      <w:tabs>
        <w:tab w:val="left" w:pos="1247"/>
        <w:tab w:val="center" w:pos="4536"/>
        <w:tab w:val="right" w:pos="9072"/>
      </w:tabs>
      <w:autoSpaceDE/>
      <w:autoSpaceDN/>
      <w:spacing w:after="120"/>
      <w:rPr>
        <w:b/>
        <w:sz w:val="18"/>
        <w:szCs w:val="20"/>
        <w:lang w:val="fr-CH"/>
      </w:rPr>
    </w:pPr>
  </w:p>
  <w:p w14:paraId="11A9A7E4" w14:textId="2547325D" w:rsidR="003032EA" w:rsidRPr="00EC4F56" w:rsidRDefault="003032EA" w:rsidP="00EC4F56">
    <w:pPr>
      <w:widowControl/>
      <w:pBdr>
        <w:bottom w:val="single" w:sz="4" w:space="1" w:color="auto"/>
      </w:pBdr>
      <w:tabs>
        <w:tab w:val="left" w:pos="1247"/>
        <w:tab w:val="center" w:pos="4536"/>
        <w:tab w:val="right" w:pos="9072"/>
      </w:tabs>
      <w:autoSpaceDE/>
      <w:autoSpaceDN/>
      <w:spacing w:after="120"/>
      <w:jc w:val="right"/>
      <w:rPr>
        <w:b/>
        <w:sz w:val="18"/>
        <w:szCs w:val="20"/>
        <w:lang w:val="fr-CH"/>
      </w:rPr>
    </w:pPr>
    <w:r w:rsidRPr="00EC4F56">
      <w:rPr>
        <w:b/>
        <w:sz w:val="18"/>
        <w:szCs w:val="20"/>
        <w:lang w:val="fr-CH"/>
      </w:rPr>
      <w:t>UNEP/MC/COP.4/INF/7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5D2B" w14:textId="330C59A8" w:rsidR="003032EA" w:rsidRDefault="003032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D542" w14:textId="267D2EB2" w:rsidR="003032EA" w:rsidRDefault="003032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3"/>
      <w:gridCol w:w="3193"/>
      <w:gridCol w:w="3193"/>
    </w:tblGrid>
    <w:tr w:rsidR="003032EA" w14:paraId="60836BA1" w14:textId="77777777" w:rsidTr="073C8A79">
      <w:tc>
        <w:tcPr>
          <w:tcW w:w="3193" w:type="dxa"/>
        </w:tcPr>
        <w:p w14:paraId="59F654A3" w14:textId="77777777" w:rsidR="003032EA" w:rsidRDefault="003032EA" w:rsidP="000A6A44">
          <w:pPr>
            <w:pStyle w:val="Header"/>
            <w:ind w:left="-115"/>
          </w:pPr>
        </w:p>
      </w:tc>
      <w:tc>
        <w:tcPr>
          <w:tcW w:w="3193" w:type="dxa"/>
        </w:tcPr>
        <w:p w14:paraId="5A19CA87" w14:textId="77777777" w:rsidR="003032EA" w:rsidRDefault="003032EA" w:rsidP="000A6A44">
          <w:pPr>
            <w:pStyle w:val="Header"/>
            <w:jc w:val="center"/>
          </w:pPr>
        </w:p>
      </w:tc>
      <w:tc>
        <w:tcPr>
          <w:tcW w:w="3193" w:type="dxa"/>
        </w:tcPr>
        <w:p w14:paraId="2A7B8AAA" w14:textId="77777777" w:rsidR="003032EA" w:rsidRDefault="003032EA" w:rsidP="000A6A44">
          <w:pPr>
            <w:pStyle w:val="Header"/>
            <w:ind w:right="-115"/>
            <w:jc w:val="right"/>
          </w:pPr>
        </w:p>
      </w:tc>
    </w:tr>
  </w:tbl>
  <w:p w14:paraId="2CC4F175" w14:textId="48AACDE8" w:rsidR="003032EA" w:rsidRDefault="003032EA" w:rsidP="000A6A44">
    <w:pPr>
      <w:pStyle w:val="Header"/>
    </w:pPr>
  </w:p>
  <w:p w14:paraId="5BAA0BF4" w14:textId="25998534" w:rsidR="003032EA" w:rsidRDefault="003032EA" w:rsidP="000A6A44">
    <w:pPr>
      <w:pStyle w:val="Header"/>
    </w:pPr>
  </w:p>
  <w:p w14:paraId="0D97F582" w14:textId="19B238FF" w:rsidR="003032EA" w:rsidRDefault="003032EA" w:rsidP="000A6A44">
    <w:pPr>
      <w:pStyle w:val="Header"/>
    </w:pPr>
  </w:p>
  <w:p w14:paraId="65414E06" w14:textId="76EB2723" w:rsidR="003032EA" w:rsidRPr="00EC4F56" w:rsidRDefault="003032EA" w:rsidP="00EC4F56">
    <w:pPr>
      <w:widowControl/>
      <w:pBdr>
        <w:bottom w:val="single" w:sz="4" w:space="1" w:color="auto"/>
      </w:pBdr>
      <w:tabs>
        <w:tab w:val="left" w:pos="1247"/>
        <w:tab w:val="center" w:pos="4536"/>
        <w:tab w:val="right" w:pos="9072"/>
      </w:tabs>
      <w:autoSpaceDE/>
      <w:autoSpaceDN/>
      <w:spacing w:after="120"/>
      <w:jc w:val="right"/>
      <w:rPr>
        <w:b/>
        <w:sz w:val="18"/>
        <w:szCs w:val="20"/>
        <w:lang w:val="fr-CH"/>
      </w:rPr>
    </w:pPr>
    <w:r w:rsidRPr="00EC4F56">
      <w:rPr>
        <w:b/>
        <w:sz w:val="18"/>
        <w:szCs w:val="20"/>
        <w:lang w:val="fr-CH"/>
      </w:rPr>
      <w:t>UNEP/MC/COP.4/INF/7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3272"/>
    <w:multiLevelType w:val="hybridMultilevel"/>
    <w:tmpl w:val="12967144"/>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E993DCD"/>
    <w:multiLevelType w:val="hybridMultilevel"/>
    <w:tmpl w:val="B02068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E3521F"/>
    <w:multiLevelType w:val="hybridMultilevel"/>
    <w:tmpl w:val="0CC679DE"/>
    <w:lvl w:ilvl="0" w:tplc="AB08C980">
      <w:start w:val="1"/>
      <w:numFmt w:val="decimal"/>
      <w:pStyle w:val="NumPar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03BB6"/>
    <w:multiLevelType w:val="hybridMultilevel"/>
    <w:tmpl w:val="012074D0"/>
    <w:lvl w:ilvl="0" w:tplc="04090019">
      <w:start w:val="1"/>
      <w:numFmt w:val="lowerLetter"/>
      <w:lvlText w:val="%1."/>
      <w:lvlJc w:val="left"/>
      <w:pPr>
        <w:tabs>
          <w:tab w:val="num" w:pos="1060"/>
        </w:tabs>
        <w:ind w:left="1060" w:hanging="340"/>
      </w:pPr>
      <w:rPr>
        <w:rFonts w:hint="default"/>
        <w:b w:val="0"/>
        <w:bCs w:val="0"/>
        <w:i w:val="0"/>
        <w:iCs w:val="0"/>
        <w:caps w:val="0"/>
        <w:smallCaps w:val="0"/>
        <w:strike w:val="0"/>
        <w:dstrike w:val="0"/>
        <w:vanish w:val="0"/>
        <w:color w:val="000000" w:themeColor="text1"/>
        <w:spacing w:val="0"/>
        <w:kern w:val="0"/>
        <w:position w:val="0"/>
        <w:sz w:val="24"/>
        <w:szCs w:val="24"/>
        <w:u w:val="none"/>
        <w:vertAlign w:val="baseline"/>
      </w:rPr>
    </w:lvl>
    <w:lvl w:ilvl="1" w:tplc="04090001">
      <w:start w:val="1"/>
      <w:numFmt w:val="bullet"/>
      <w:lvlText w:val=""/>
      <w:lvlJc w:val="left"/>
      <w:pPr>
        <w:ind w:left="-990" w:hanging="360"/>
      </w:pPr>
      <w:rPr>
        <w:rFonts w:ascii="Symbol" w:hAnsi="Symbol" w:hint="default"/>
      </w:rPr>
    </w:lvl>
    <w:lvl w:ilvl="2" w:tplc="D09A50E6">
      <w:start w:val="1"/>
      <w:numFmt w:val="bullet"/>
      <w:lvlText w:val="•"/>
      <w:lvlJc w:val="left"/>
      <w:pPr>
        <w:ind w:left="-257" w:hanging="360"/>
      </w:pPr>
      <w:rPr>
        <w:rFonts w:ascii="Times New Roman" w:eastAsia="Arial Unicode MS" w:hAnsi="Times New Roman" w:hint="default"/>
      </w:rPr>
    </w:lvl>
    <w:lvl w:ilvl="3" w:tplc="94227E5A">
      <w:start w:val="1"/>
      <w:numFmt w:val="decimal"/>
      <w:lvlText w:val="%4)"/>
      <w:lvlJc w:val="left"/>
      <w:pPr>
        <w:ind w:left="283" w:hanging="360"/>
      </w:pPr>
      <w:rPr>
        <w:rFonts w:ascii="Times New Roman" w:hAnsi="Times New Roman" w:cs="Times New Roman" w:hint="default"/>
      </w:rPr>
    </w:lvl>
    <w:lvl w:ilvl="4" w:tplc="04090019">
      <w:start w:val="1"/>
      <w:numFmt w:val="lowerLetter"/>
      <w:lvlText w:val="%5."/>
      <w:lvlJc w:val="left"/>
      <w:pPr>
        <w:ind w:left="1003" w:hanging="360"/>
      </w:pPr>
      <w:rPr>
        <w:rFonts w:ascii="Times New Roman" w:hAnsi="Times New Roman" w:cs="Times New Roman"/>
      </w:rPr>
    </w:lvl>
    <w:lvl w:ilvl="5" w:tplc="0409001B">
      <w:start w:val="1"/>
      <w:numFmt w:val="lowerRoman"/>
      <w:lvlText w:val="%6."/>
      <w:lvlJc w:val="right"/>
      <w:pPr>
        <w:ind w:left="1723" w:hanging="180"/>
      </w:pPr>
      <w:rPr>
        <w:rFonts w:ascii="Times New Roman" w:hAnsi="Times New Roman" w:cs="Times New Roman"/>
      </w:rPr>
    </w:lvl>
    <w:lvl w:ilvl="6" w:tplc="0409000F">
      <w:start w:val="1"/>
      <w:numFmt w:val="decimal"/>
      <w:lvlText w:val="%7."/>
      <w:lvlJc w:val="left"/>
      <w:pPr>
        <w:ind w:left="2443" w:hanging="360"/>
      </w:pPr>
      <w:rPr>
        <w:rFonts w:ascii="Times New Roman" w:hAnsi="Times New Roman" w:cs="Times New Roman"/>
      </w:rPr>
    </w:lvl>
    <w:lvl w:ilvl="7" w:tplc="04090019">
      <w:start w:val="1"/>
      <w:numFmt w:val="lowerLetter"/>
      <w:lvlText w:val="%8."/>
      <w:lvlJc w:val="left"/>
      <w:pPr>
        <w:ind w:left="3163" w:hanging="360"/>
      </w:pPr>
      <w:rPr>
        <w:rFonts w:ascii="Times New Roman" w:hAnsi="Times New Roman" w:cs="Times New Roman"/>
      </w:rPr>
    </w:lvl>
    <w:lvl w:ilvl="8" w:tplc="0409001B">
      <w:start w:val="1"/>
      <w:numFmt w:val="lowerRoman"/>
      <w:lvlText w:val="%9."/>
      <w:lvlJc w:val="right"/>
      <w:pPr>
        <w:ind w:left="3883" w:hanging="180"/>
      </w:pPr>
      <w:rPr>
        <w:rFonts w:ascii="Times New Roman" w:hAnsi="Times New Roman" w:cs="Times New Roman"/>
      </w:rPr>
    </w:lvl>
  </w:abstractNum>
  <w:abstractNum w:abstractNumId="4" w15:restartNumberingAfterBreak="0">
    <w:nsid w:val="1AE03A1F"/>
    <w:multiLevelType w:val="hybridMultilevel"/>
    <w:tmpl w:val="BE7C334C"/>
    <w:lvl w:ilvl="0" w:tplc="461CFA1E">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767C0"/>
    <w:multiLevelType w:val="hybridMultilevel"/>
    <w:tmpl w:val="1D3CE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EC385B"/>
    <w:multiLevelType w:val="hybridMultilevel"/>
    <w:tmpl w:val="DDAED672"/>
    <w:lvl w:ilvl="0" w:tplc="5AC82442">
      <w:start w:val="1"/>
      <w:numFmt w:val="decimal"/>
      <w:pStyle w:val="MainParanoChapter"/>
      <w:lvlText w:val="%1."/>
      <w:lvlJc w:val="left"/>
      <w:pPr>
        <w:ind w:left="1080" w:hanging="360"/>
      </w:pPr>
      <w:rPr>
        <w:rFonts w:hint="default"/>
        <w:b w:val="0"/>
        <w:color w:val="auto"/>
        <w:sz w:val="24"/>
        <w:szCs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2725B1"/>
    <w:multiLevelType w:val="hybridMultilevel"/>
    <w:tmpl w:val="49967406"/>
    <w:lvl w:ilvl="0" w:tplc="A2D2DC34">
      <w:start w:val="1"/>
      <w:numFmt w:val="bullet"/>
      <w:lvlText w:val=""/>
      <w:lvlJc w:val="left"/>
      <w:pPr>
        <w:tabs>
          <w:tab w:val="num" w:pos="1440"/>
        </w:tabs>
        <w:ind w:left="1440" w:hanging="360"/>
      </w:pPr>
      <w:rPr>
        <w:rFonts w:ascii="Wingdings" w:hAnsi="Wingdings" w:hint="default"/>
      </w:rPr>
    </w:lvl>
    <w:lvl w:ilvl="1" w:tplc="3998C852" w:tentative="1">
      <w:start w:val="1"/>
      <w:numFmt w:val="bullet"/>
      <w:lvlText w:val=""/>
      <w:lvlJc w:val="left"/>
      <w:pPr>
        <w:tabs>
          <w:tab w:val="num" w:pos="2160"/>
        </w:tabs>
        <w:ind w:left="2160" w:hanging="360"/>
      </w:pPr>
      <w:rPr>
        <w:rFonts w:ascii="Wingdings" w:hAnsi="Wingdings" w:hint="default"/>
      </w:rPr>
    </w:lvl>
    <w:lvl w:ilvl="2" w:tplc="ACEC46DE" w:tentative="1">
      <w:start w:val="1"/>
      <w:numFmt w:val="bullet"/>
      <w:lvlText w:val=""/>
      <w:lvlJc w:val="left"/>
      <w:pPr>
        <w:tabs>
          <w:tab w:val="num" w:pos="2880"/>
        </w:tabs>
        <w:ind w:left="2880" w:hanging="360"/>
      </w:pPr>
      <w:rPr>
        <w:rFonts w:ascii="Wingdings" w:hAnsi="Wingdings" w:hint="default"/>
      </w:rPr>
    </w:lvl>
    <w:lvl w:ilvl="3" w:tplc="48C4FA0C" w:tentative="1">
      <w:start w:val="1"/>
      <w:numFmt w:val="bullet"/>
      <w:lvlText w:val=""/>
      <w:lvlJc w:val="left"/>
      <w:pPr>
        <w:tabs>
          <w:tab w:val="num" w:pos="3600"/>
        </w:tabs>
        <w:ind w:left="3600" w:hanging="360"/>
      </w:pPr>
      <w:rPr>
        <w:rFonts w:ascii="Wingdings" w:hAnsi="Wingdings" w:hint="default"/>
      </w:rPr>
    </w:lvl>
    <w:lvl w:ilvl="4" w:tplc="52308B5E" w:tentative="1">
      <w:start w:val="1"/>
      <w:numFmt w:val="bullet"/>
      <w:lvlText w:val=""/>
      <w:lvlJc w:val="left"/>
      <w:pPr>
        <w:tabs>
          <w:tab w:val="num" w:pos="4320"/>
        </w:tabs>
        <w:ind w:left="4320" w:hanging="360"/>
      </w:pPr>
      <w:rPr>
        <w:rFonts w:ascii="Wingdings" w:hAnsi="Wingdings" w:hint="default"/>
      </w:rPr>
    </w:lvl>
    <w:lvl w:ilvl="5" w:tplc="06B6BFC6" w:tentative="1">
      <w:start w:val="1"/>
      <w:numFmt w:val="bullet"/>
      <w:lvlText w:val=""/>
      <w:lvlJc w:val="left"/>
      <w:pPr>
        <w:tabs>
          <w:tab w:val="num" w:pos="5040"/>
        </w:tabs>
        <w:ind w:left="5040" w:hanging="360"/>
      </w:pPr>
      <w:rPr>
        <w:rFonts w:ascii="Wingdings" w:hAnsi="Wingdings" w:hint="default"/>
      </w:rPr>
    </w:lvl>
    <w:lvl w:ilvl="6" w:tplc="C7A45A00" w:tentative="1">
      <w:start w:val="1"/>
      <w:numFmt w:val="bullet"/>
      <w:lvlText w:val=""/>
      <w:lvlJc w:val="left"/>
      <w:pPr>
        <w:tabs>
          <w:tab w:val="num" w:pos="5760"/>
        </w:tabs>
        <w:ind w:left="5760" w:hanging="360"/>
      </w:pPr>
      <w:rPr>
        <w:rFonts w:ascii="Wingdings" w:hAnsi="Wingdings" w:hint="default"/>
      </w:rPr>
    </w:lvl>
    <w:lvl w:ilvl="7" w:tplc="20C6AEA4" w:tentative="1">
      <w:start w:val="1"/>
      <w:numFmt w:val="bullet"/>
      <w:lvlText w:val=""/>
      <w:lvlJc w:val="left"/>
      <w:pPr>
        <w:tabs>
          <w:tab w:val="num" w:pos="6480"/>
        </w:tabs>
        <w:ind w:left="6480" w:hanging="360"/>
      </w:pPr>
      <w:rPr>
        <w:rFonts w:ascii="Wingdings" w:hAnsi="Wingdings" w:hint="default"/>
      </w:rPr>
    </w:lvl>
    <w:lvl w:ilvl="8" w:tplc="41FCB83E"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B166FA6"/>
    <w:multiLevelType w:val="hybridMultilevel"/>
    <w:tmpl w:val="438E290C"/>
    <w:lvl w:ilvl="0" w:tplc="87F2C99E">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15:restartNumberingAfterBreak="0">
    <w:nsid w:val="3D2151AC"/>
    <w:multiLevelType w:val="hybridMultilevel"/>
    <w:tmpl w:val="48EA88E0"/>
    <w:lvl w:ilvl="0" w:tplc="82FA1514">
      <w:start w:val="1"/>
      <w:numFmt w:val="decimal"/>
      <w:lvlText w:val="%1."/>
      <w:lvlJc w:val="left"/>
      <w:pPr>
        <w:tabs>
          <w:tab w:val="num" w:pos="970"/>
        </w:tabs>
        <w:ind w:left="970" w:hanging="340"/>
      </w:pPr>
      <w:rPr>
        <w:rFonts w:asciiTheme="minorHAnsi" w:hAnsiTheme="minorHAnsi" w:cstheme="minorHAnsi" w:hint="default"/>
        <w:b w:val="0"/>
        <w:bCs w:val="0"/>
        <w:i w:val="0"/>
        <w:iCs w:val="0"/>
        <w:caps w:val="0"/>
        <w:smallCaps w:val="0"/>
        <w:strike w:val="0"/>
        <w:dstrike w:val="0"/>
        <w:vanish w:val="0"/>
        <w:color w:val="000000" w:themeColor="text1"/>
        <w:spacing w:val="0"/>
        <w:kern w:val="0"/>
        <w:position w:val="0"/>
        <w:sz w:val="24"/>
        <w:szCs w:val="24"/>
        <w:u w:val="none"/>
        <w:vertAlign w:val="baseline"/>
      </w:rPr>
    </w:lvl>
    <w:lvl w:ilvl="1" w:tplc="8B62CEF8">
      <w:start w:val="1"/>
      <w:numFmt w:val="decimal"/>
      <w:lvlText w:val="%2."/>
      <w:lvlJc w:val="left"/>
      <w:pPr>
        <w:ind w:left="432" w:hanging="360"/>
      </w:pPr>
      <w:rPr>
        <w:rFonts w:hint="default"/>
      </w:rPr>
    </w:lvl>
    <w:lvl w:ilvl="2" w:tplc="D09A50E6">
      <w:start w:val="1"/>
      <w:numFmt w:val="bullet"/>
      <w:lvlText w:val="•"/>
      <w:lvlJc w:val="left"/>
      <w:pPr>
        <w:ind w:left="2263" w:hanging="360"/>
      </w:pPr>
      <w:rPr>
        <w:rFonts w:ascii="Times New Roman" w:eastAsia="Arial Unicode MS" w:hAnsi="Times New Roman" w:hint="default"/>
      </w:rPr>
    </w:lvl>
    <w:lvl w:ilvl="3" w:tplc="94227E5A">
      <w:start w:val="1"/>
      <w:numFmt w:val="decimal"/>
      <w:lvlText w:val="%4)"/>
      <w:lvlJc w:val="left"/>
      <w:pPr>
        <w:ind w:left="2803" w:hanging="360"/>
      </w:pPr>
      <w:rPr>
        <w:rFonts w:ascii="Times New Roman" w:hAnsi="Times New Roman" w:cs="Times New Roman" w:hint="default"/>
      </w:rPr>
    </w:lvl>
    <w:lvl w:ilvl="4" w:tplc="04090019">
      <w:start w:val="1"/>
      <w:numFmt w:val="lowerLetter"/>
      <w:lvlText w:val="%5."/>
      <w:lvlJc w:val="left"/>
      <w:pPr>
        <w:ind w:left="3523" w:hanging="360"/>
      </w:pPr>
      <w:rPr>
        <w:rFonts w:ascii="Times New Roman" w:hAnsi="Times New Roman" w:cs="Times New Roman"/>
      </w:rPr>
    </w:lvl>
    <w:lvl w:ilvl="5" w:tplc="0409001B">
      <w:start w:val="1"/>
      <w:numFmt w:val="lowerRoman"/>
      <w:lvlText w:val="%6."/>
      <w:lvlJc w:val="right"/>
      <w:pPr>
        <w:ind w:left="4243" w:hanging="180"/>
      </w:pPr>
      <w:rPr>
        <w:rFonts w:ascii="Times New Roman" w:hAnsi="Times New Roman" w:cs="Times New Roman"/>
      </w:rPr>
    </w:lvl>
    <w:lvl w:ilvl="6" w:tplc="0409000F">
      <w:start w:val="1"/>
      <w:numFmt w:val="decimal"/>
      <w:lvlText w:val="%7."/>
      <w:lvlJc w:val="left"/>
      <w:pPr>
        <w:ind w:left="4963" w:hanging="360"/>
      </w:pPr>
      <w:rPr>
        <w:rFonts w:ascii="Times New Roman" w:hAnsi="Times New Roman" w:cs="Times New Roman"/>
      </w:rPr>
    </w:lvl>
    <w:lvl w:ilvl="7" w:tplc="04090019">
      <w:start w:val="1"/>
      <w:numFmt w:val="lowerLetter"/>
      <w:lvlText w:val="%8."/>
      <w:lvlJc w:val="left"/>
      <w:pPr>
        <w:ind w:left="5683" w:hanging="360"/>
      </w:pPr>
      <w:rPr>
        <w:rFonts w:ascii="Times New Roman" w:hAnsi="Times New Roman" w:cs="Times New Roman"/>
      </w:rPr>
    </w:lvl>
    <w:lvl w:ilvl="8" w:tplc="0409001B">
      <w:start w:val="1"/>
      <w:numFmt w:val="lowerRoman"/>
      <w:lvlText w:val="%9."/>
      <w:lvlJc w:val="right"/>
      <w:pPr>
        <w:ind w:left="6403" w:hanging="180"/>
      </w:pPr>
      <w:rPr>
        <w:rFonts w:ascii="Times New Roman" w:hAnsi="Times New Roman" w:cs="Times New Roman"/>
      </w:rPr>
    </w:lvl>
  </w:abstractNum>
  <w:abstractNum w:abstractNumId="10" w15:restartNumberingAfterBreak="0">
    <w:nsid w:val="450F114B"/>
    <w:multiLevelType w:val="hybridMultilevel"/>
    <w:tmpl w:val="438E290C"/>
    <w:lvl w:ilvl="0" w:tplc="87F2C99E">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45A217B9"/>
    <w:multiLevelType w:val="hybridMultilevel"/>
    <w:tmpl w:val="C42C54D8"/>
    <w:lvl w:ilvl="0" w:tplc="61EAB3A2">
      <w:start w:val="1"/>
      <w:numFmt w:val="decimal"/>
      <w:pStyle w:val="MainParagraphwith"/>
      <w:lvlText w:val="%1."/>
      <w:lvlJc w:val="left"/>
      <w:pPr>
        <w:ind w:left="3714" w:hanging="360"/>
      </w:pPr>
      <w:rPr>
        <w:b w:val="0"/>
        <w:sz w:val="24"/>
        <w:szCs w:val="24"/>
      </w:rPr>
    </w:lvl>
    <w:lvl w:ilvl="1" w:tplc="04090019" w:tentative="1">
      <w:start w:val="1"/>
      <w:numFmt w:val="lowerLetter"/>
      <w:lvlText w:val="%2."/>
      <w:lvlJc w:val="left"/>
      <w:pPr>
        <w:ind w:left="3994" w:hanging="360"/>
      </w:pPr>
    </w:lvl>
    <w:lvl w:ilvl="2" w:tplc="0409001B" w:tentative="1">
      <w:start w:val="1"/>
      <w:numFmt w:val="lowerRoman"/>
      <w:lvlText w:val="%3."/>
      <w:lvlJc w:val="right"/>
      <w:pPr>
        <w:ind w:left="4714" w:hanging="180"/>
      </w:pPr>
    </w:lvl>
    <w:lvl w:ilvl="3" w:tplc="0409000F" w:tentative="1">
      <w:start w:val="1"/>
      <w:numFmt w:val="decimal"/>
      <w:lvlText w:val="%4."/>
      <w:lvlJc w:val="left"/>
      <w:pPr>
        <w:ind w:left="5434" w:hanging="360"/>
      </w:pPr>
    </w:lvl>
    <w:lvl w:ilvl="4" w:tplc="04090019" w:tentative="1">
      <w:start w:val="1"/>
      <w:numFmt w:val="lowerLetter"/>
      <w:lvlText w:val="%5."/>
      <w:lvlJc w:val="left"/>
      <w:pPr>
        <w:ind w:left="6154" w:hanging="360"/>
      </w:pPr>
    </w:lvl>
    <w:lvl w:ilvl="5" w:tplc="0409001B" w:tentative="1">
      <w:start w:val="1"/>
      <w:numFmt w:val="lowerRoman"/>
      <w:lvlText w:val="%6."/>
      <w:lvlJc w:val="right"/>
      <w:pPr>
        <w:ind w:left="6874" w:hanging="180"/>
      </w:pPr>
    </w:lvl>
    <w:lvl w:ilvl="6" w:tplc="0409000F" w:tentative="1">
      <w:start w:val="1"/>
      <w:numFmt w:val="decimal"/>
      <w:lvlText w:val="%7."/>
      <w:lvlJc w:val="left"/>
      <w:pPr>
        <w:ind w:left="7594" w:hanging="360"/>
      </w:pPr>
    </w:lvl>
    <w:lvl w:ilvl="7" w:tplc="04090019" w:tentative="1">
      <w:start w:val="1"/>
      <w:numFmt w:val="lowerLetter"/>
      <w:lvlText w:val="%8."/>
      <w:lvlJc w:val="left"/>
      <w:pPr>
        <w:ind w:left="8314" w:hanging="360"/>
      </w:pPr>
    </w:lvl>
    <w:lvl w:ilvl="8" w:tplc="0409001B" w:tentative="1">
      <w:start w:val="1"/>
      <w:numFmt w:val="lowerRoman"/>
      <w:lvlText w:val="%9."/>
      <w:lvlJc w:val="right"/>
      <w:pPr>
        <w:ind w:left="9034" w:hanging="180"/>
      </w:pPr>
    </w:lvl>
  </w:abstractNum>
  <w:abstractNum w:abstractNumId="12" w15:restartNumberingAfterBreak="0">
    <w:nsid w:val="46212925"/>
    <w:multiLevelType w:val="hybridMultilevel"/>
    <w:tmpl w:val="68784256"/>
    <w:lvl w:ilvl="0" w:tplc="678AB224">
      <w:numFmt w:val="bullet"/>
      <w:lvlText w:val="-"/>
      <w:lvlJc w:val="left"/>
      <w:pPr>
        <w:ind w:left="103" w:hanging="128"/>
      </w:pPr>
      <w:rPr>
        <w:rFonts w:ascii="Times New Roman" w:eastAsia="Times New Roman" w:hAnsi="Times New Roman" w:cs="Times New Roman" w:hint="default"/>
        <w:w w:val="100"/>
        <w:sz w:val="22"/>
        <w:szCs w:val="22"/>
      </w:rPr>
    </w:lvl>
    <w:lvl w:ilvl="1" w:tplc="ABB24184">
      <w:numFmt w:val="bullet"/>
      <w:lvlText w:val="•"/>
      <w:lvlJc w:val="left"/>
      <w:pPr>
        <w:ind w:left="561" w:hanging="128"/>
      </w:pPr>
      <w:rPr>
        <w:rFonts w:hint="default"/>
      </w:rPr>
    </w:lvl>
    <w:lvl w:ilvl="2" w:tplc="BB22953E">
      <w:numFmt w:val="bullet"/>
      <w:lvlText w:val="•"/>
      <w:lvlJc w:val="left"/>
      <w:pPr>
        <w:ind w:left="1022" w:hanging="128"/>
      </w:pPr>
      <w:rPr>
        <w:rFonts w:hint="default"/>
      </w:rPr>
    </w:lvl>
    <w:lvl w:ilvl="3" w:tplc="FDC4FD50">
      <w:numFmt w:val="bullet"/>
      <w:lvlText w:val="•"/>
      <w:lvlJc w:val="left"/>
      <w:pPr>
        <w:ind w:left="1483" w:hanging="128"/>
      </w:pPr>
      <w:rPr>
        <w:rFonts w:hint="default"/>
      </w:rPr>
    </w:lvl>
    <w:lvl w:ilvl="4" w:tplc="98349468">
      <w:numFmt w:val="bullet"/>
      <w:lvlText w:val="•"/>
      <w:lvlJc w:val="left"/>
      <w:pPr>
        <w:ind w:left="1944" w:hanging="128"/>
      </w:pPr>
      <w:rPr>
        <w:rFonts w:hint="default"/>
      </w:rPr>
    </w:lvl>
    <w:lvl w:ilvl="5" w:tplc="D7268098">
      <w:numFmt w:val="bullet"/>
      <w:lvlText w:val="•"/>
      <w:lvlJc w:val="left"/>
      <w:pPr>
        <w:ind w:left="2405" w:hanging="128"/>
      </w:pPr>
      <w:rPr>
        <w:rFonts w:hint="default"/>
      </w:rPr>
    </w:lvl>
    <w:lvl w:ilvl="6" w:tplc="E744D1B2">
      <w:numFmt w:val="bullet"/>
      <w:lvlText w:val="•"/>
      <w:lvlJc w:val="left"/>
      <w:pPr>
        <w:ind w:left="2867" w:hanging="128"/>
      </w:pPr>
      <w:rPr>
        <w:rFonts w:hint="default"/>
      </w:rPr>
    </w:lvl>
    <w:lvl w:ilvl="7" w:tplc="30B01A4E">
      <w:numFmt w:val="bullet"/>
      <w:lvlText w:val="•"/>
      <w:lvlJc w:val="left"/>
      <w:pPr>
        <w:ind w:left="3328" w:hanging="128"/>
      </w:pPr>
      <w:rPr>
        <w:rFonts w:hint="default"/>
      </w:rPr>
    </w:lvl>
    <w:lvl w:ilvl="8" w:tplc="A2029E1C">
      <w:numFmt w:val="bullet"/>
      <w:lvlText w:val="•"/>
      <w:lvlJc w:val="left"/>
      <w:pPr>
        <w:ind w:left="3789" w:hanging="128"/>
      </w:pPr>
      <w:rPr>
        <w:rFonts w:hint="default"/>
      </w:rPr>
    </w:lvl>
  </w:abstractNum>
  <w:abstractNum w:abstractNumId="13" w15:restartNumberingAfterBreak="0">
    <w:nsid w:val="481B7EFF"/>
    <w:multiLevelType w:val="hybridMultilevel"/>
    <w:tmpl w:val="4B405B9E"/>
    <w:lvl w:ilvl="0" w:tplc="47D07EA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81B5E"/>
    <w:multiLevelType w:val="hybridMultilevel"/>
    <w:tmpl w:val="F03001A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D1437A9"/>
    <w:multiLevelType w:val="multilevel"/>
    <w:tmpl w:val="FCBE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DA14F5"/>
    <w:multiLevelType w:val="hybridMultilevel"/>
    <w:tmpl w:val="851ADBFE"/>
    <w:lvl w:ilvl="0" w:tplc="805CBB28">
      <w:start w:val="1"/>
      <w:numFmt w:val="decimal"/>
      <w:lvlText w:val="%1."/>
      <w:lvlJc w:val="left"/>
      <w:pPr>
        <w:ind w:left="720" w:hanging="360"/>
      </w:pPr>
      <w:rPr>
        <w:rFonts w:hint="default"/>
      </w:rPr>
    </w:lvl>
    <w:lvl w:ilvl="1" w:tplc="D41008D8">
      <w:start w:val="1"/>
      <w:numFmt w:val="lowerLetter"/>
      <w:lvlText w:val="%2."/>
      <w:lvlJc w:val="left"/>
      <w:pPr>
        <w:ind w:left="346" w:hanging="34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4161F"/>
    <w:multiLevelType w:val="hybridMultilevel"/>
    <w:tmpl w:val="8B3C26F4"/>
    <w:lvl w:ilvl="0" w:tplc="B2BA04F0">
      <w:start w:val="1"/>
      <w:numFmt w:val="bullet"/>
      <w:lvlText w:val="§"/>
      <w:lvlJc w:val="left"/>
      <w:pPr>
        <w:tabs>
          <w:tab w:val="num" w:pos="1440"/>
        </w:tabs>
        <w:ind w:left="1440" w:hanging="360"/>
      </w:pPr>
      <w:rPr>
        <w:rFonts w:ascii="Wingdings,Sans-Serif" w:hAnsi="Wingdings,Sans-Serif" w:hint="default"/>
      </w:rPr>
    </w:lvl>
    <w:lvl w:ilvl="1" w:tplc="C2A0222A" w:tentative="1">
      <w:start w:val="1"/>
      <w:numFmt w:val="bullet"/>
      <w:lvlText w:val="§"/>
      <w:lvlJc w:val="left"/>
      <w:pPr>
        <w:tabs>
          <w:tab w:val="num" w:pos="2160"/>
        </w:tabs>
        <w:ind w:left="2160" w:hanging="360"/>
      </w:pPr>
      <w:rPr>
        <w:rFonts w:ascii="Wingdings,Sans-Serif" w:hAnsi="Wingdings,Sans-Serif" w:hint="default"/>
      </w:rPr>
    </w:lvl>
    <w:lvl w:ilvl="2" w:tplc="08D648BE" w:tentative="1">
      <w:start w:val="1"/>
      <w:numFmt w:val="bullet"/>
      <w:lvlText w:val="§"/>
      <w:lvlJc w:val="left"/>
      <w:pPr>
        <w:tabs>
          <w:tab w:val="num" w:pos="2880"/>
        </w:tabs>
        <w:ind w:left="2880" w:hanging="360"/>
      </w:pPr>
      <w:rPr>
        <w:rFonts w:ascii="Wingdings,Sans-Serif" w:hAnsi="Wingdings,Sans-Serif" w:hint="default"/>
      </w:rPr>
    </w:lvl>
    <w:lvl w:ilvl="3" w:tplc="1CDC70D0" w:tentative="1">
      <w:start w:val="1"/>
      <w:numFmt w:val="bullet"/>
      <w:lvlText w:val="§"/>
      <w:lvlJc w:val="left"/>
      <w:pPr>
        <w:tabs>
          <w:tab w:val="num" w:pos="3600"/>
        </w:tabs>
        <w:ind w:left="3600" w:hanging="360"/>
      </w:pPr>
      <w:rPr>
        <w:rFonts w:ascii="Wingdings,Sans-Serif" w:hAnsi="Wingdings,Sans-Serif" w:hint="default"/>
      </w:rPr>
    </w:lvl>
    <w:lvl w:ilvl="4" w:tplc="37540402" w:tentative="1">
      <w:start w:val="1"/>
      <w:numFmt w:val="bullet"/>
      <w:lvlText w:val="§"/>
      <w:lvlJc w:val="left"/>
      <w:pPr>
        <w:tabs>
          <w:tab w:val="num" w:pos="4320"/>
        </w:tabs>
        <w:ind w:left="4320" w:hanging="360"/>
      </w:pPr>
      <w:rPr>
        <w:rFonts w:ascii="Wingdings,Sans-Serif" w:hAnsi="Wingdings,Sans-Serif" w:hint="default"/>
      </w:rPr>
    </w:lvl>
    <w:lvl w:ilvl="5" w:tplc="254EADA0" w:tentative="1">
      <w:start w:val="1"/>
      <w:numFmt w:val="bullet"/>
      <w:lvlText w:val="§"/>
      <w:lvlJc w:val="left"/>
      <w:pPr>
        <w:tabs>
          <w:tab w:val="num" w:pos="5040"/>
        </w:tabs>
        <w:ind w:left="5040" w:hanging="360"/>
      </w:pPr>
      <w:rPr>
        <w:rFonts w:ascii="Wingdings,Sans-Serif" w:hAnsi="Wingdings,Sans-Serif" w:hint="default"/>
      </w:rPr>
    </w:lvl>
    <w:lvl w:ilvl="6" w:tplc="4AA85C30" w:tentative="1">
      <w:start w:val="1"/>
      <w:numFmt w:val="bullet"/>
      <w:lvlText w:val="§"/>
      <w:lvlJc w:val="left"/>
      <w:pPr>
        <w:tabs>
          <w:tab w:val="num" w:pos="5760"/>
        </w:tabs>
        <w:ind w:left="5760" w:hanging="360"/>
      </w:pPr>
      <w:rPr>
        <w:rFonts w:ascii="Wingdings,Sans-Serif" w:hAnsi="Wingdings,Sans-Serif" w:hint="default"/>
      </w:rPr>
    </w:lvl>
    <w:lvl w:ilvl="7" w:tplc="F0F229AE" w:tentative="1">
      <w:start w:val="1"/>
      <w:numFmt w:val="bullet"/>
      <w:lvlText w:val="§"/>
      <w:lvlJc w:val="left"/>
      <w:pPr>
        <w:tabs>
          <w:tab w:val="num" w:pos="6480"/>
        </w:tabs>
        <w:ind w:left="6480" w:hanging="360"/>
      </w:pPr>
      <w:rPr>
        <w:rFonts w:ascii="Wingdings,Sans-Serif" w:hAnsi="Wingdings,Sans-Serif" w:hint="default"/>
      </w:rPr>
    </w:lvl>
    <w:lvl w:ilvl="8" w:tplc="48C042D0" w:tentative="1">
      <w:start w:val="1"/>
      <w:numFmt w:val="bullet"/>
      <w:lvlText w:val="§"/>
      <w:lvlJc w:val="left"/>
      <w:pPr>
        <w:tabs>
          <w:tab w:val="num" w:pos="7200"/>
        </w:tabs>
        <w:ind w:left="7200" w:hanging="360"/>
      </w:pPr>
      <w:rPr>
        <w:rFonts w:ascii="Wingdings,Sans-Serif" w:hAnsi="Wingdings,Sans-Serif" w:hint="default"/>
      </w:rPr>
    </w:lvl>
  </w:abstractNum>
  <w:abstractNum w:abstractNumId="18" w15:restartNumberingAfterBreak="0">
    <w:nsid w:val="67062D86"/>
    <w:multiLevelType w:val="hybridMultilevel"/>
    <w:tmpl w:val="438E290C"/>
    <w:lvl w:ilvl="0" w:tplc="87F2C99E">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15:restartNumberingAfterBreak="0">
    <w:nsid w:val="6C9E43F7"/>
    <w:multiLevelType w:val="hybridMultilevel"/>
    <w:tmpl w:val="00A04158"/>
    <w:lvl w:ilvl="0" w:tplc="6CF09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5357E"/>
    <w:multiLevelType w:val="hybridMultilevel"/>
    <w:tmpl w:val="DB8C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324EA"/>
    <w:multiLevelType w:val="hybridMultilevel"/>
    <w:tmpl w:val="C368FCA4"/>
    <w:lvl w:ilvl="0" w:tplc="AFE2F88C">
      <w:start w:val="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7C09406F"/>
    <w:multiLevelType w:val="hybridMultilevel"/>
    <w:tmpl w:val="F2F2DC44"/>
    <w:lvl w:ilvl="0" w:tplc="9CDC4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E7F24"/>
    <w:multiLevelType w:val="hybridMultilevel"/>
    <w:tmpl w:val="A8322C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11"/>
  </w:num>
  <w:num w:numId="4">
    <w:abstractNumId w:val="18"/>
  </w:num>
  <w:num w:numId="5">
    <w:abstractNumId w:val="1"/>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6"/>
  </w:num>
  <w:num w:numId="10">
    <w:abstractNumId w:val="19"/>
  </w:num>
  <w:num w:numId="11">
    <w:abstractNumId w:val="14"/>
  </w:num>
  <w:num w:numId="12">
    <w:abstractNumId w:val="2"/>
  </w:num>
  <w:num w:numId="13">
    <w:abstractNumId w:val="11"/>
    <w:lvlOverride w:ilvl="0">
      <w:startOverride w:val="1"/>
    </w:lvlOverride>
  </w:num>
  <w:num w:numId="14">
    <w:abstractNumId w:val="17"/>
  </w:num>
  <w:num w:numId="15">
    <w:abstractNumId w:val="7"/>
  </w:num>
  <w:num w:numId="16">
    <w:abstractNumId w:val="15"/>
  </w:num>
  <w:num w:numId="17">
    <w:abstractNumId w:val="5"/>
  </w:num>
  <w:num w:numId="18">
    <w:abstractNumId w:val="16"/>
  </w:num>
  <w:num w:numId="19">
    <w:abstractNumId w:val="9"/>
  </w:num>
  <w:num w:numId="20">
    <w:abstractNumId w:val="22"/>
  </w:num>
  <w:num w:numId="21">
    <w:abstractNumId w:val="3"/>
  </w:num>
  <w:num w:numId="22">
    <w:abstractNumId w:val="23"/>
  </w:num>
  <w:num w:numId="23">
    <w:abstractNumId w:val="21"/>
  </w:num>
  <w:num w:numId="24">
    <w:abstractNumId w:val="11"/>
    <w:lvlOverride w:ilvl="0">
      <w:startOverride w:val="51"/>
    </w:lvlOverride>
  </w:num>
  <w:num w:numId="25">
    <w:abstractNumId w:val="0"/>
  </w:num>
  <w:num w:numId="26">
    <w:abstractNumId w:val="11"/>
    <w:lvlOverride w:ilvl="0">
      <w:startOverride w:val="1"/>
    </w:lvlOverride>
  </w:num>
  <w:num w:numId="27">
    <w:abstractNumId w:val="4"/>
  </w:num>
  <w:num w:numId="28">
    <w:abstractNumId w:val="4"/>
  </w:num>
  <w:num w:numId="29">
    <w:abstractNumId w:val="4"/>
  </w:num>
  <w:num w:numId="30">
    <w:abstractNumId w:val="4"/>
  </w:num>
  <w:num w:numId="31">
    <w:abstractNumId w:val="4"/>
  </w:num>
  <w:num w:numId="32">
    <w:abstractNumId w:val="4"/>
    <w:lvlOverride w:ilvl="0">
      <w:startOverride w:val="1"/>
    </w:lvlOverride>
  </w:num>
  <w:num w:numId="33">
    <w:abstractNumId w:val="4"/>
  </w:num>
  <w:num w:numId="34">
    <w:abstractNumId w:val="4"/>
    <w:lvlOverride w:ilvl="0">
      <w:startOverride w:val="1"/>
    </w:lvlOverride>
  </w:num>
  <w:num w:numId="35">
    <w:abstractNumId w:val="4"/>
    <w:lvlOverride w:ilvl="0">
      <w:startOverride w:val="1"/>
    </w:lvlOverride>
  </w:num>
  <w:num w:numId="36">
    <w:abstractNumId w:val="20"/>
  </w:num>
  <w:num w:numId="37">
    <w:abstractNumId w:val="8"/>
  </w:num>
  <w:num w:numId="3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24"/>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2F"/>
    <w:rsid w:val="0000070E"/>
    <w:rsid w:val="0000077C"/>
    <w:rsid w:val="0000292F"/>
    <w:rsid w:val="00004034"/>
    <w:rsid w:val="00004AFE"/>
    <w:rsid w:val="0000589B"/>
    <w:rsid w:val="00006F92"/>
    <w:rsid w:val="00007D55"/>
    <w:rsid w:val="0001062E"/>
    <w:rsid w:val="000106FA"/>
    <w:rsid w:val="00010F63"/>
    <w:rsid w:val="00011BF1"/>
    <w:rsid w:val="0001206E"/>
    <w:rsid w:val="00012D37"/>
    <w:rsid w:val="00013EB5"/>
    <w:rsid w:val="00014563"/>
    <w:rsid w:val="00015153"/>
    <w:rsid w:val="000159B9"/>
    <w:rsid w:val="00016199"/>
    <w:rsid w:val="00016F6B"/>
    <w:rsid w:val="00017743"/>
    <w:rsid w:val="00020E51"/>
    <w:rsid w:val="00021754"/>
    <w:rsid w:val="00021ABF"/>
    <w:rsid w:val="00021EDC"/>
    <w:rsid w:val="000224DE"/>
    <w:rsid w:val="000228F2"/>
    <w:rsid w:val="000235C5"/>
    <w:rsid w:val="0002364A"/>
    <w:rsid w:val="000237DA"/>
    <w:rsid w:val="00023EC1"/>
    <w:rsid w:val="00024AD3"/>
    <w:rsid w:val="0002508A"/>
    <w:rsid w:val="00025249"/>
    <w:rsid w:val="00025EC2"/>
    <w:rsid w:val="00026CAD"/>
    <w:rsid w:val="00027055"/>
    <w:rsid w:val="000270BE"/>
    <w:rsid w:val="000276AA"/>
    <w:rsid w:val="000304EE"/>
    <w:rsid w:val="00031129"/>
    <w:rsid w:val="0003145E"/>
    <w:rsid w:val="0003264D"/>
    <w:rsid w:val="00033293"/>
    <w:rsid w:val="00033F0E"/>
    <w:rsid w:val="00034603"/>
    <w:rsid w:val="000357DB"/>
    <w:rsid w:val="0003662B"/>
    <w:rsid w:val="00036934"/>
    <w:rsid w:val="00037A3D"/>
    <w:rsid w:val="0004041A"/>
    <w:rsid w:val="00040ED3"/>
    <w:rsid w:val="00042458"/>
    <w:rsid w:val="00043ED9"/>
    <w:rsid w:val="000442AD"/>
    <w:rsid w:val="0004441B"/>
    <w:rsid w:val="00044566"/>
    <w:rsid w:val="00044992"/>
    <w:rsid w:val="00044F30"/>
    <w:rsid w:val="00045D92"/>
    <w:rsid w:val="00046DC1"/>
    <w:rsid w:val="00047A37"/>
    <w:rsid w:val="00047FB4"/>
    <w:rsid w:val="00050559"/>
    <w:rsid w:val="00050753"/>
    <w:rsid w:val="000517B6"/>
    <w:rsid w:val="0005299A"/>
    <w:rsid w:val="000529A8"/>
    <w:rsid w:val="0005336D"/>
    <w:rsid w:val="00053862"/>
    <w:rsid w:val="00053C5E"/>
    <w:rsid w:val="00054E1D"/>
    <w:rsid w:val="00054F65"/>
    <w:rsid w:val="0006004E"/>
    <w:rsid w:val="0006119B"/>
    <w:rsid w:val="00061DD0"/>
    <w:rsid w:val="00062051"/>
    <w:rsid w:val="000626E2"/>
    <w:rsid w:val="000629E6"/>
    <w:rsid w:val="000633DF"/>
    <w:rsid w:val="00070CC6"/>
    <w:rsid w:val="00071D47"/>
    <w:rsid w:val="000720F8"/>
    <w:rsid w:val="00072BAB"/>
    <w:rsid w:val="0007478B"/>
    <w:rsid w:val="00075A3A"/>
    <w:rsid w:val="00075A5D"/>
    <w:rsid w:val="00075BDA"/>
    <w:rsid w:val="00076532"/>
    <w:rsid w:val="0008000D"/>
    <w:rsid w:val="000811A8"/>
    <w:rsid w:val="00081285"/>
    <w:rsid w:val="00082014"/>
    <w:rsid w:val="0008332A"/>
    <w:rsid w:val="000843D2"/>
    <w:rsid w:val="0008789E"/>
    <w:rsid w:val="00087F2E"/>
    <w:rsid w:val="00090C62"/>
    <w:rsid w:val="00090FB5"/>
    <w:rsid w:val="0009173B"/>
    <w:rsid w:val="00092535"/>
    <w:rsid w:val="0009328C"/>
    <w:rsid w:val="0009401B"/>
    <w:rsid w:val="000943EE"/>
    <w:rsid w:val="0009448F"/>
    <w:rsid w:val="00096BDA"/>
    <w:rsid w:val="00096ED1"/>
    <w:rsid w:val="000A055D"/>
    <w:rsid w:val="000A0B69"/>
    <w:rsid w:val="000A0BCC"/>
    <w:rsid w:val="000A0D86"/>
    <w:rsid w:val="000A1F6B"/>
    <w:rsid w:val="000A2D44"/>
    <w:rsid w:val="000A4050"/>
    <w:rsid w:val="000A545C"/>
    <w:rsid w:val="000A61E5"/>
    <w:rsid w:val="000A63B6"/>
    <w:rsid w:val="000A6A44"/>
    <w:rsid w:val="000A6FC3"/>
    <w:rsid w:val="000A77E3"/>
    <w:rsid w:val="000B1416"/>
    <w:rsid w:val="000B150F"/>
    <w:rsid w:val="000B2F26"/>
    <w:rsid w:val="000B40CC"/>
    <w:rsid w:val="000B43FE"/>
    <w:rsid w:val="000B4FEF"/>
    <w:rsid w:val="000B630B"/>
    <w:rsid w:val="000B6681"/>
    <w:rsid w:val="000B7192"/>
    <w:rsid w:val="000B7C2C"/>
    <w:rsid w:val="000B7D4B"/>
    <w:rsid w:val="000B7F26"/>
    <w:rsid w:val="000C0079"/>
    <w:rsid w:val="000C04D9"/>
    <w:rsid w:val="000C07F8"/>
    <w:rsid w:val="000C0C26"/>
    <w:rsid w:val="000C3DC6"/>
    <w:rsid w:val="000C3E0D"/>
    <w:rsid w:val="000C5833"/>
    <w:rsid w:val="000C5A90"/>
    <w:rsid w:val="000C7A55"/>
    <w:rsid w:val="000D05BA"/>
    <w:rsid w:val="000D095E"/>
    <w:rsid w:val="000D0CFC"/>
    <w:rsid w:val="000D1518"/>
    <w:rsid w:val="000D1E1F"/>
    <w:rsid w:val="000D1EB3"/>
    <w:rsid w:val="000D21AA"/>
    <w:rsid w:val="000D5328"/>
    <w:rsid w:val="000D56FB"/>
    <w:rsid w:val="000D5761"/>
    <w:rsid w:val="000D5C12"/>
    <w:rsid w:val="000D601A"/>
    <w:rsid w:val="000D74CC"/>
    <w:rsid w:val="000E0B24"/>
    <w:rsid w:val="000E1341"/>
    <w:rsid w:val="000E16B9"/>
    <w:rsid w:val="000E1FC8"/>
    <w:rsid w:val="000E2069"/>
    <w:rsid w:val="000E27BB"/>
    <w:rsid w:val="000E36D7"/>
    <w:rsid w:val="000E3758"/>
    <w:rsid w:val="000E3E15"/>
    <w:rsid w:val="000E404C"/>
    <w:rsid w:val="000E581C"/>
    <w:rsid w:val="000E60CC"/>
    <w:rsid w:val="000E6577"/>
    <w:rsid w:val="000F0A52"/>
    <w:rsid w:val="000F1477"/>
    <w:rsid w:val="000F15A9"/>
    <w:rsid w:val="000F23DC"/>
    <w:rsid w:val="000F2FF4"/>
    <w:rsid w:val="000F3339"/>
    <w:rsid w:val="000F34B5"/>
    <w:rsid w:val="000F357E"/>
    <w:rsid w:val="000F41F6"/>
    <w:rsid w:val="000F4570"/>
    <w:rsid w:val="000F4744"/>
    <w:rsid w:val="000F4D27"/>
    <w:rsid w:val="000F4DDB"/>
    <w:rsid w:val="000F54D6"/>
    <w:rsid w:val="000F716E"/>
    <w:rsid w:val="000F73A6"/>
    <w:rsid w:val="001010AF"/>
    <w:rsid w:val="00102E0A"/>
    <w:rsid w:val="00104845"/>
    <w:rsid w:val="0010509E"/>
    <w:rsid w:val="00107C95"/>
    <w:rsid w:val="00107E0F"/>
    <w:rsid w:val="00110458"/>
    <w:rsid w:val="00110E0C"/>
    <w:rsid w:val="00111760"/>
    <w:rsid w:val="001118AB"/>
    <w:rsid w:val="00112119"/>
    <w:rsid w:val="00112A67"/>
    <w:rsid w:val="00112B3E"/>
    <w:rsid w:val="00116883"/>
    <w:rsid w:val="001179C2"/>
    <w:rsid w:val="00117AC3"/>
    <w:rsid w:val="00117DB5"/>
    <w:rsid w:val="0012002D"/>
    <w:rsid w:val="00120DA4"/>
    <w:rsid w:val="0012179B"/>
    <w:rsid w:val="00121B87"/>
    <w:rsid w:val="001235C4"/>
    <w:rsid w:val="00124BCB"/>
    <w:rsid w:val="00124EC2"/>
    <w:rsid w:val="001251B4"/>
    <w:rsid w:val="001254C0"/>
    <w:rsid w:val="00125EBF"/>
    <w:rsid w:val="001260D0"/>
    <w:rsid w:val="0012715F"/>
    <w:rsid w:val="001278CB"/>
    <w:rsid w:val="00130E37"/>
    <w:rsid w:val="00131CB5"/>
    <w:rsid w:val="00131F1F"/>
    <w:rsid w:val="0013224B"/>
    <w:rsid w:val="0013231D"/>
    <w:rsid w:val="00133009"/>
    <w:rsid w:val="001338DA"/>
    <w:rsid w:val="00133D5F"/>
    <w:rsid w:val="00136B91"/>
    <w:rsid w:val="00136E4E"/>
    <w:rsid w:val="00137D54"/>
    <w:rsid w:val="00140052"/>
    <w:rsid w:val="00140730"/>
    <w:rsid w:val="00141C85"/>
    <w:rsid w:val="001421E9"/>
    <w:rsid w:val="00142EB9"/>
    <w:rsid w:val="001435E9"/>
    <w:rsid w:val="001447D9"/>
    <w:rsid w:val="00145878"/>
    <w:rsid w:val="001459C1"/>
    <w:rsid w:val="00145B6F"/>
    <w:rsid w:val="0014618B"/>
    <w:rsid w:val="001461C4"/>
    <w:rsid w:val="00146A82"/>
    <w:rsid w:val="00147B29"/>
    <w:rsid w:val="00147C73"/>
    <w:rsid w:val="001502C9"/>
    <w:rsid w:val="00150ACE"/>
    <w:rsid w:val="0015132E"/>
    <w:rsid w:val="0015143A"/>
    <w:rsid w:val="00151FD4"/>
    <w:rsid w:val="001525AC"/>
    <w:rsid w:val="00153183"/>
    <w:rsid w:val="00153BF0"/>
    <w:rsid w:val="001543F2"/>
    <w:rsid w:val="00155C87"/>
    <w:rsid w:val="001561E3"/>
    <w:rsid w:val="00156240"/>
    <w:rsid w:val="00156872"/>
    <w:rsid w:val="00160B7D"/>
    <w:rsid w:val="00161130"/>
    <w:rsid w:val="0016279A"/>
    <w:rsid w:val="00162878"/>
    <w:rsid w:val="00162E36"/>
    <w:rsid w:val="00163633"/>
    <w:rsid w:val="00163BFE"/>
    <w:rsid w:val="00164FD4"/>
    <w:rsid w:val="00165007"/>
    <w:rsid w:val="001653DA"/>
    <w:rsid w:val="00165719"/>
    <w:rsid w:val="00165BA4"/>
    <w:rsid w:val="00165C87"/>
    <w:rsid w:val="00167677"/>
    <w:rsid w:val="001700E3"/>
    <w:rsid w:val="001703E1"/>
    <w:rsid w:val="00170EF4"/>
    <w:rsid w:val="00172562"/>
    <w:rsid w:val="00172E90"/>
    <w:rsid w:val="00172FE0"/>
    <w:rsid w:val="0017311E"/>
    <w:rsid w:val="00173146"/>
    <w:rsid w:val="00173A8B"/>
    <w:rsid w:val="00174824"/>
    <w:rsid w:val="00176820"/>
    <w:rsid w:val="001769F6"/>
    <w:rsid w:val="00176A05"/>
    <w:rsid w:val="001778DE"/>
    <w:rsid w:val="00180C11"/>
    <w:rsid w:val="00180D47"/>
    <w:rsid w:val="00181085"/>
    <w:rsid w:val="001811BE"/>
    <w:rsid w:val="001813E4"/>
    <w:rsid w:val="001831FA"/>
    <w:rsid w:val="00183C1E"/>
    <w:rsid w:val="0018458A"/>
    <w:rsid w:val="00184848"/>
    <w:rsid w:val="00184989"/>
    <w:rsid w:val="00185652"/>
    <w:rsid w:val="00185D48"/>
    <w:rsid w:val="00186251"/>
    <w:rsid w:val="00187D49"/>
    <w:rsid w:val="00190EEB"/>
    <w:rsid w:val="00191333"/>
    <w:rsid w:val="00191B17"/>
    <w:rsid w:val="00191B87"/>
    <w:rsid w:val="001921BA"/>
    <w:rsid w:val="001929EE"/>
    <w:rsid w:val="00193181"/>
    <w:rsid w:val="001940C3"/>
    <w:rsid w:val="001953DE"/>
    <w:rsid w:val="00196030"/>
    <w:rsid w:val="0019719D"/>
    <w:rsid w:val="001978AA"/>
    <w:rsid w:val="001A2394"/>
    <w:rsid w:val="001A2658"/>
    <w:rsid w:val="001A2A5B"/>
    <w:rsid w:val="001A3569"/>
    <w:rsid w:val="001A39F1"/>
    <w:rsid w:val="001A5626"/>
    <w:rsid w:val="001A63CF"/>
    <w:rsid w:val="001A799A"/>
    <w:rsid w:val="001A7DD6"/>
    <w:rsid w:val="001B14C9"/>
    <w:rsid w:val="001B1E5D"/>
    <w:rsid w:val="001B2D55"/>
    <w:rsid w:val="001B3B56"/>
    <w:rsid w:val="001B45D8"/>
    <w:rsid w:val="001B583A"/>
    <w:rsid w:val="001B5A21"/>
    <w:rsid w:val="001B7085"/>
    <w:rsid w:val="001B7F2B"/>
    <w:rsid w:val="001C081A"/>
    <w:rsid w:val="001C0A80"/>
    <w:rsid w:val="001C20EA"/>
    <w:rsid w:val="001C22DF"/>
    <w:rsid w:val="001C26B3"/>
    <w:rsid w:val="001C3FDF"/>
    <w:rsid w:val="001C4782"/>
    <w:rsid w:val="001C5802"/>
    <w:rsid w:val="001C5E4F"/>
    <w:rsid w:val="001C7E0B"/>
    <w:rsid w:val="001D0005"/>
    <w:rsid w:val="001D1A97"/>
    <w:rsid w:val="001D3A5A"/>
    <w:rsid w:val="001D4158"/>
    <w:rsid w:val="001D4798"/>
    <w:rsid w:val="001D4B12"/>
    <w:rsid w:val="001D4EE2"/>
    <w:rsid w:val="001D51A0"/>
    <w:rsid w:val="001D622B"/>
    <w:rsid w:val="001D66A0"/>
    <w:rsid w:val="001E19D2"/>
    <w:rsid w:val="001E1C8C"/>
    <w:rsid w:val="001E2E4F"/>
    <w:rsid w:val="001E343A"/>
    <w:rsid w:val="001E3918"/>
    <w:rsid w:val="001E4824"/>
    <w:rsid w:val="001E4B5E"/>
    <w:rsid w:val="001E50E7"/>
    <w:rsid w:val="001E53FD"/>
    <w:rsid w:val="001E5BBC"/>
    <w:rsid w:val="001E7203"/>
    <w:rsid w:val="001E7DF4"/>
    <w:rsid w:val="001F002C"/>
    <w:rsid w:val="001F239D"/>
    <w:rsid w:val="001F2661"/>
    <w:rsid w:val="001F330F"/>
    <w:rsid w:val="001F4A76"/>
    <w:rsid w:val="001F502F"/>
    <w:rsid w:val="001F5117"/>
    <w:rsid w:val="001F52B2"/>
    <w:rsid w:val="001F6079"/>
    <w:rsid w:val="001F65B3"/>
    <w:rsid w:val="001F690A"/>
    <w:rsid w:val="001F7D9A"/>
    <w:rsid w:val="00200037"/>
    <w:rsid w:val="00200261"/>
    <w:rsid w:val="00200294"/>
    <w:rsid w:val="00200DB2"/>
    <w:rsid w:val="002013D8"/>
    <w:rsid w:val="00202174"/>
    <w:rsid w:val="00202C68"/>
    <w:rsid w:val="00205A9D"/>
    <w:rsid w:val="00206845"/>
    <w:rsid w:val="0021056C"/>
    <w:rsid w:val="00210624"/>
    <w:rsid w:val="0021105A"/>
    <w:rsid w:val="00211D4A"/>
    <w:rsid w:val="002131D2"/>
    <w:rsid w:val="0021357A"/>
    <w:rsid w:val="00214406"/>
    <w:rsid w:val="00215520"/>
    <w:rsid w:val="00216458"/>
    <w:rsid w:val="00216FEA"/>
    <w:rsid w:val="0021704A"/>
    <w:rsid w:val="00217278"/>
    <w:rsid w:val="00220F12"/>
    <w:rsid w:val="0022205A"/>
    <w:rsid w:val="002231A2"/>
    <w:rsid w:val="002233B8"/>
    <w:rsid w:val="00224A87"/>
    <w:rsid w:val="00225851"/>
    <w:rsid w:val="00226A64"/>
    <w:rsid w:val="002273F9"/>
    <w:rsid w:val="00230C78"/>
    <w:rsid w:val="0023219A"/>
    <w:rsid w:val="002326C9"/>
    <w:rsid w:val="00232CAA"/>
    <w:rsid w:val="0023301F"/>
    <w:rsid w:val="00233A2C"/>
    <w:rsid w:val="002340DD"/>
    <w:rsid w:val="002345C4"/>
    <w:rsid w:val="00235475"/>
    <w:rsid w:val="002358F7"/>
    <w:rsid w:val="00235D1D"/>
    <w:rsid w:val="00236DF9"/>
    <w:rsid w:val="002373F2"/>
    <w:rsid w:val="0023755E"/>
    <w:rsid w:val="00237AA8"/>
    <w:rsid w:val="002405AA"/>
    <w:rsid w:val="002408BF"/>
    <w:rsid w:val="00240AB4"/>
    <w:rsid w:val="00240E32"/>
    <w:rsid w:val="00242394"/>
    <w:rsid w:val="0024270B"/>
    <w:rsid w:val="002430CC"/>
    <w:rsid w:val="00244DD1"/>
    <w:rsid w:val="00246A27"/>
    <w:rsid w:val="00246FAC"/>
    <w:rsid w:val="0025062B"/>
    <w:rsid w:val="002506FB"/>
    <w:rsid w:val="00251716"/>
    <w:rsid w:val="002525A1"/>
    <w:rsid w:val="00254213"/>
    <w:rsid w:val="00254BC9"/>
    <w:rsid w:val="00254F74"/>
    <w:rsid w:val="002551D5"/>
    <w:rsid w:val="00256F10"/>
    <w:rsid w:val="002571B2"/>
    <w:rsid w:val="00260ECF"/>
    <w:rsid w:val="00261095"/>
    <w:rsid w:val="002610C8"/>
    <w:rsid w:val="002619AB"/>
    <w:rsid w:val="002622F0"/>
    <w:rsid w:val="0026355C"/>
    <w:rsid w:val="00264137"/>
    <w:rsid w:val="00264F56"/>
    <w:rsid w:val="00265331"/>
    <w:rsid w:val="002654C5"/>
    <w:rsid w:val="002660B6"/>
    <w:rsid w:val="0026644A"/>
    <w:rsid w:val="00266E59"/>
    <w:rsid w:val="00266EC1"/>
    <w:rsid w:val="00266EE7"/>
    <w:rsid w:val="0027038D"/>
    <w:rsid w:val="00270FDA"/>
    <w:rsid w:val="00271583"/>
    <w:rsid w:val="00274030"/>
    <w:rsid w:val="00274979"/>
    <w:rsid w:val="00275EBB"/>
    <w:rsid w:val="00275FD9"/>
    <w:rsid w:val="0027627B"/>
    <w:rsid w:val="00277631"/>
    <w:rsid w:val="00277A55"/>
    <w:rsid w:val="00277EBD"/>
    <w:rsid w:val="00280B9D"/>
    <w:rsid w:val="002815EF"/>
    <w:rsid w:val="00283396"/>
    <w:rsid w:val="00283C21"/>
    <w:rsid w:val="00284757"/>
    <w:rsid w:val="00287143"/>
    <w:rsid w:val="0028755E"/>
    <w:rsid w:val="002902A4"/>
    <w:rsid w:val="0029293A"/>
    <w:rsid w:val="00292C94"/>
    <w:rsid w:val="00293440"/>
    <w:rsid w:val="00293C11"/>
    <w:rsid w:val="00295B63"/>
    <w:rsid w:val="00295FE2"/>
    <w:rsid w:val="00297158"/>
    <w:rsid w:val="00297EF7"/>
    <w:rsid w:val="002A02A0"/>
    <w:rsid w:val="002A19C3"/>
    <w:rsid w:val="002A1EA0"/>
    <w:rsid w:val="002A1EF8"/>
    <w:rsid w:val="002A261C"/>
    <w:rsid w:val="002A38C7"/>
    <w:rsid w:val="002A46ED"/>
    <w:rsid w:val="002A6A69"/>
    <w:rsid w:val="002A70E2"/>
    <w:rsid w:val="002A7F8B"/>
    <w:rsid w:val="002B1CFC"/>
    <w:rsid w:val="002B1E5C"/>
    <w:rsid w:val="002B2124"/>
    <w:rsid w:val="002B2DAF"/>
    <w:rsid w:val="002B30EB"/>
    <w:rsid w:val="002B423B"/>
    <w:rsid w:val="002B5D5C"/>
    <w:rsid w:val="002B5F9C"/>
    <w:rsid w:val="002B6561"/>
    <w:rsid w:val="002B7BAC"/>
    <w:rsid w:val="002B7CEE"/>
    <w:rsid w:val="002C0A9D"/>
    <w:rsid w:val="002C1877"/>
    <w:rsid w:val="002C1CA8"/>
    <w:rsid w:val="002C3118"/>
    <w:rsid w:val="002C32B7"/>
    <w:rsid w:val="002C3C7C"/>
    <w:rsid w:val="002C444F"/>
    <w:rsid w:val="002C542F"/>
    <w:rsid w:val="002C5927"/>
    <w:rsid w:val="002C5DEF"/>
    <w:rsid w:val="002C6AF9"/>
    <w:rsid w:val="002C7233"/>
    <w:rsid w:val="002C728F"/>
    <w:rsid w:val="002C7653"/>
    <w:rsid w:val="002D0716"/>
    <w:rsid w:val="002D1C70"/>
    <w:rsid w:val="002D20C1"/>
    <w:rsid w:val="002D240B"/>
    <w:rsid w:val="002D3739"/>
    <w:rsid w:val="002D4162"/>
    <w:rsid w:val="002D47E1"/>
    <w:rsid w:val="002D4A77"/>
    <w:rsid w:val="002D4CA0"/>
    <w:rsid w:val="002D5818"/>
    <w:rsid w:val="002D5DE6"/>
    <w:rsid w:val="002E108A"/>
    <w:rsid w:val="002E10D6"/>
    <w:rsid w:val="002E2319"/>
    <w:rsid w:val="002E2F32"/>
    <w:rsid w:val="002E3683"/>
    <w:rsid w:val="002E4628"/>
    <w:rsid w:val="002E478B"/>
    <w:rsid w:val="002E6A83"/>
    <w:rsid w:val="002E6D65"/>
    <w:rsid w:val="002E6DF0"/>
    <w:rsid w:val="002E6E85"/>
    <w:rsid w:val="002E72FF"/>
    <w:rsid w:val="002E760E"/>
    <w:rsid w:val="002F0113"/>
    <w:rsid w:val="002F04B1"/>
    <w:rsid w:val="002F070A"/>
    <w:rsid w:val="002F0CA7"/>
    <w:rsid w:val="002F15DE"/>
    <w:rsid w:val="002F3214"/>
    <w:rsid w:val="002F3FFE"/>
    <w:rsid w:val="002F4594"/>
    <w:rsid w:val="002F4CF7"/>
    <w:rsid w:val="002F547B"/>
    <w:rsid w:val="00300080"/>
    <w:rsid w:val="003000F5"/>
    <w:rsid w:val="003006DF"/>
    <w:rsid w:val="0030099A"/>
    <w:rsid w:val="00301441"/>
    <w:rsid w:val="003018C2"/>
    <w:rsid w:val="00301AC0"/>
    <w:rsid w:val="0030268C"/>
    <w:rsid w:val="003032EA"/>
    <w:rsid w:val="00303B94"/>
    <w:rsid w:val="00303F5E"/>
    <w:rsid w:val="00305993"/>
    <w:rsid w:val="00305EAB"/>
    <w:rsid w:val="0030691F"/>
    <w:rsid w:val="00306B4D"/>
    <w:rsid w:val="00310A2F"/>
    <w:rsid w:val="0031115B"/>
    <w:rsid w:val="003116BE"/>
    <w:rsid w:val="003125D8"/>
    <w:rsid w:val="00313ADB"/>
    <w:rsid w:val="00313B78"/>
    <w:rsid w:val="00314FA2"/>
    <w:rsid w:val="00315698"/>
    <w:rsid w:val="00315DBA"/>
    <w:rsid w:val="00316730"/>
    <w:rsid w:val="003176E0"/>
    <w:rsid w:val="003206AE"/>
    <w:rsid w:val="00320910"/>
    <w:rsid w:val="003215F8"/>
    <w:rsid w:val="00322719"/>
    <w:rsid w:val="00322EA0"/>
    <w:rsid w:val="00323BC6"/>
    <w:rsid w:val="00323C16"/>
    <w:rsid w:val="00324529"/>
    <w:rsid w:val="00324C27"/>
    <w:rsid w:val="00324D52"/>
    <w:rsid w:val="00325AED"/>
    <w:rsid w:val="00325E63"/>
    <w:rsid w:val="00327238"/>
    <w:rsid w:val="003300F2"/>
    <w:rsid w:val="00330267"/>
    <w:rsid w:val="0033074D"/>
    <w:rsid w:val="00331E4D"/>
    <w:rsid w:val="00332B70"/>
    <w:rsid w:val="0033378C"/>
    <w:rsid w:val="00334276"/>
    <w:rsid w:val="003348CD"/>
    <w:rsid w:val="00335877"/>
    <w:rsid w:val="00336D5D"/>
    <w:rsid w:val="00336E31"/>
    <w:rsid w:val="00336F94"/>
    <w:rsid w:val="00336FD9"/>
    <w:rsid w:val="003377FF"/>
    <w:rsid w:val="003414A1"/>
    <w:rsid w:val="003419CC"/>
    <w:rsid w:val="003429D5"/>
    <w:rsid w:val="00342F9A"/>
    <w:rsid w:val="00343180"/>
    <w:rsid w:val="00343640"/>
    <w:rsid w:val="00343B2B"/>
    <w:rsid w:val="00343D3D"/>
    <w:rsid w:val="003443D5"/>
    <w:rsid w:val="00344D92"/>
    <w:rsid w:val="003453EA"/>
    <w:rsid w:val="00345F1E"/>
    <w:rsid w:val="0034665F"/>
    <w:rsid w:val="00350770"/>
    <w:rsid w:val="00350A24"/>
    <w:rsid w:val="00350AD1"/>
    <w:rsid w:val="00353CAB"/>
    <w:rsid w:val="00354375"/>
    <w:rsid w:val="00354630"/>
    <w:rsid w:val="003550E0"/>
    <w:rsid w:val="003552FD"/>
    <w:rsid w:val="00355894"/>
    <w:rsid w:val="00355C0E"/>
    <w:rsid w:val="00356351"/>
    <w:rsid w:val="00356E72"/>
    <w:rsid w:val="0035725D"/>
    <w:rsid w:val="00357737"/>
    <w:rsid w:val="00357CB6"/>
    <w:rsid w:val="0036457B"/>
    <w:rsid w:val="00365A25"/>
    <w:rsid w:val="0037057D"/>
    <w:rsid w:val="00370AB7"/>
    <w:rsid w:val="00370CF7"/>
    <w:rsid w:val="003714A1"/>
    <w:rsid w:val="003728B8"/>
    <w:rsid w:val="00373E25"/>
    <w:rsid w:val="0037435C"/>
    <w:rsid w:val="003746E8"/>
    <w:rsid w:val="00374824"/>
    <w:rsid w:val="00374A9F"/>
    <w:rsid w:val="00374C63"/>
    <w:rsid w:val="00376080"/>
    <w:rsid w:val="00376DF4"/>
    <w:rsid w:val="0037780A"/>
    <w:rsid w:val="00377B65"/>
    <w:rsid w:val="0038005B"/>
    <w:rsid w:val="00380402"/>
    <w:rsid w:val="00380431"/>
    <w:rsid w:val="0038072E"/>
    <w:rsid w:val="00380CBE"/>
    <w:rsid w:val="00380E5D"/>
    <w:rsid w:val="0038252C"/>
    <w:rsid w:val="003836AC"/>
    <w:rsid w:val="0038406A"/>
    <w:rsid w:val="003860BD"/>
    <w:rsid w:val="0038795D"/>
    <w:rsid w:val="00391EF4"/>
    <w:rsid w:val="0039201E"/>
    <w:rsid w:val="003921F2"/>
    <w:rsid w:val="00394234"/>
    <w:rsid w:val="003943F1"/>
    <w:rsid w:val="003953CD"/>
    <w:rsid w:val="00395A86"/>
    <w:rsid w:val="00396478"/>
    <w:rsid w:val="00396E45"/>
    <w:rsid w:val="003979D1"/>
    <w:rsid w:val="003A16C3"/>
    <w:rsid w:val="003A2B81"/>
    <w:rsid w:val="003A3DF0"/>
    <w:rsid w:val="003A4508"/>
    <w:rsid w:val="003A5101"/>
    <w:rsid w:val="003A577C"/>
    <w:rsid w:val="003A5DB8"/>
    <w:rsid w:val="003A6707"/>
    <w:rsid w:val="003A6EB2"/>
    <w:rsid w:val="003A7FB2"/>
    <w:rsid w:val="003B0C4A"/>
    <w:rsid w:val="003B142A"/>
    <w:rsid w:val="003B218D"/>
    <w:rsid w:val="003B3045"/>
    <w:rsid w:val="003B3213"/>
    <w:rsid w:val="003B406E"/>
    <w:rsid w:val="003B409A"/>
    <w:rsid w:val="003B4B3C"/>
    <w:rsid w:val="003B4F85"/>
    <w:rsid w:val="003B6112"/>
    <w:rsid w:val="003B6EAC"/>
    <w:rsid w:val="003B793B"/>
    <w:rsid w:val="003C219F"/>
    <w:rsid w:val="003C2779"/>
    <w:rsid w:val="003C27A0"/>
    <w:rsid w:val="003C2832"/>
    <w:rsid w:val="003C2E93"/>
    <w:rsid w:val="003C311A"/>
    <w:rsid w:val="003C3B5E"/>
    <w:rsid w:val="003C69FB"/>
    <w:rsid w:val="003D01F6"/>
    <w:rsid w:val="003D0DB4"/>
    <w:rsid w:val="003D106E"/>
    <w:rsid w:val="003D10A6"/>
    <w:rsid w:val="003D1250"/>
    <w:rsid w:val="003D1715"/>
    <w:rsid w:val="003D3552"/>
    <w:rsid w:val="003D35C8"/>
    <w:rsid w:val="003D3A6F"/>
    <w:rsid w:val="003D416B"/>
    <w:rsid w:val="003D70ED"/>
    <w:rsid w:val="003D7E44"/>
    <w:rsid w:val="003E020C"/>
    <w:rsid w:val="003E067A"/>
    <w:rsid w:val="003E08E8"/>
    <w:rsid w:val="003E0D29"/>
    <w:rsid w:val="003E1B48"/>
    <w:rsid w:val="003E4205"/>
    <w:rsid w:val="003E4899"/>
    <w:rsid w:val="003E570C"/>
    <w:rsid w:val="003E7378"/>
    <w:rsid w:val="003E782B"/>
    <w:rsid w:val="003E7E8F"/>
    <w:rsid w:val="003F0161"/>
    <w:rsid w:val="003F0203"/>
    <w:rsid w:val="003F02EB"/>
    <w:rsid w:val="003F032C"/>
    <w:rsid w:val="003F18F0"/>
    <w:rsid w:val="003F1EDC"/>
    <w:rsid w:val="003F225E"/>
    <w:rsid w:val="003F3784"/>
    <w:rsid w:val="003F465F"/>
    <w:rsid w:val="003F48D7"/>
    <w:rsid w:val="003F4B67"/>
    <w:rsid w:val="003F4CA0"/>
    <w:rsid w:val="003F4FAF"/>
    <w:rsid w:val="003F59D9"/>
    <w:rsid w:val="003F6632"/>
    <w:rsid w:val="003F6F12"/>
    <w:rsid w:val="003F7909"/>
    <w:rsid w:val="0040097D"/>
    <w:rsid w:val="00400E32"/>
    <w:rsid w:val="00401F50"/>
    <w:rsid w:val="00402094"/>
    <w:rsid w:val="00402291"/>
    <w:rsid w:val="004024B1"/>
    <w:rsid w:val="00402662"/>
    <w:rsid w:val="0040502B"/>
    <w:rsid w:val="00405D62"/>
    <w:rsid w:val="0040610A"/>
    <w:rsid w:val="0040617C"/>
    <w:rsid w:val="00406BE1"/>
    <w:rsid w:val="00406DAF"/>
    <w:rsid w:val="00407DB5"/>
    <w:rsid w:val="00407F39"/>
    <w:rsid w:val="004103BB"/>
    <w:rsid w:val="0041144A"/>
    <w:rsid w:val="004119C1"/>
    <w:rsid w:val="004127F5"/>
    <w:rsid w:val="004133BD"/>
    <w:rsid w:val="00413B35"/>
    <w:rsid w:val="00413C95"/>
    <w:rsid w:val="00413D91"/>
    <w:rsid w:val="00413FE6"/>
    <w:rsid w:val="004145F6"/>
    <w:rsid w:val="00414C90"/>
    <w:rsid w:val="00415D9D"/>
    <w:rsid w:val="00416D96"/>
    <w:rsid w:val="0042052A"/>
    <w:rsid w:val="00422131"/>
    <w:rsid w:val="004227CA"/>
    <w:rsid w:val="00423335"/>
    <w:rsid w:val="0042380A"/>
    <w:rsid w:val="004239D6"/>
    <w:rsid w:val="00423B4D"/>
    <w:rsid w:val="0042404F"/>
    <w:rsid w:val="00426E1A"/>
    <w:rsid w:val="004274F6"/>
    <w:rsid w:val="0042753A"/>
    <w:rsid w:val="00427FBD"/>
    <w:rsid w:val="00431012"/>
    <w:rsid w:val="004316E2"/>
    <w:rsid w:val="00431FA1"/>
    <w:rsid w:val="004327AF"/>
    <w:rsid w:val="0043339D"/>
    <w:rsid w:val="0043346A"/>
    <w:rsid w:val="00434447"/>
    <w:rsid w:val="00436116"/>
    <w:rsid w:val="00436DF4"/>
    <w:rsid w:val="0043758A"/>
    <w:rsid w:val="00437D92"/>
    <w:rsid w:val="00440C10"/>
    <w:rsid w:val="00441A9B"/>
    <w:rsid w:val="00441EDA"/>
    <w:rsid w:val="00442FBD"/>
    <w:rsid w:val="0044418F"/>
    <w:rsid w:val="00444547"/>
    <w:rsid w:val="00445110"/>
    <w:rsid w:val="00446BD1"/>
    <w:rsid w:val="00447515"/>
    <w:rsid w:val="004520D4"/>
    <w:rsid w:val="0045284B"/>
    <w:rsid w:val="0045348C"/>
    <w:rsid w:val="0045356A"/>
    <w:rsid w:val="004538D6"/>
    <w:rsid w:val="004546B0"/>
    <w:rsid w:val="00454BE2"/>
    <w:rsid w:val="004554AF"/>
    <w:rsid w:val="004558E6"/>
    <w:rsid w:val="00455AA5"/>
    <w:rsid w:val="004562C2"/>
    <w:rsid w:val="00457F2B"/>
    <w:rsid w:val="00460BCD"/>
    <w:rsid w:val="00461121"/>
    <w:rsid w:val="0046136D"/>
    <w:rsid w:val="00461EB3"/>
    <w:rsid w:val="0046223A"/>
    <w:rsid w:val="00462A00"/>
    <w:rsid w:val="00463410"/>
    <w:rsid w:val="00463B7E"/>
    <w:rsid w:val="004647AF"/>
    <w:rsid w:val="00465789"/>
    <w:rsid w:val="00466069"/>
    <w:rsid w:val="0046638B"/>
    <w:rsid w:val="00466BF0"/>
    <w:rsid w:val="00470A84"/>
    <w:rsid w:val="00471995"/>
    <w:rsid w:val="0047222E"/>
    <w:rsid w:val="00472BAE"/>
    <w:rsid w:val="00472D27"/>
    <w:rsid w:val="00473966"/>
    <w:rsid w:val="00473C86"/>
    <w:rsid w:val="00473EB2"/>
    <w:rsid w:val="00475AD6"/>
    <w:rsid w:val="00475F5A"/>
    <w:rsid w:val="0047700E"/>
    <w:rsid w:val="004800D0"/>
    <w:rsid w:val="00480C24"/>
    <w:rsid w:val="00481969"/>
    <w:rsid w:val="00484AB5"/>
    <w:rsid w:val="00484CF9"/>
    <w:rsid w:val="004854F0"/>
    <w:rsid w:val="004858D7"/>
    <w:rsid w:val="00485A9F"/>
    <w:rsid w:val="0048640A"/>
    <w:rsid w:val="00486653"/>
    <w:rsid w:val="00486732"/>
    <w:rsid w:val="00486F8E"/>
    <w:rsid w:val="004872A6"/>
    <w:rsid w:val="004907D7"/>
    <w:rsid w:val="00491C88"/>
    <w:rsid w:val="004923BA"/>
    <w:rsid w:val="00492A95"/>
    <w:rsid w:val="00492E07"/>
    <w:rsid w:val="004938FB"/>
    <w:rsid w:val="00493C77"/>
    <w:rsid w:val="00494956"/>
    <w:rsid w:val="00497E4F"/>
    <w:rsid w:val="004A1DAA"/>
    <w:rsid w:val="004A1F5F"/>
    <w:rsid w:val="004A3114"/>
    <w:rsid w:val="004A3828"/>
    <w:rsid w:val="004A394A"/>
    <w:rsid w:val="004A3F67"/>
    <w:rsid w:val="004A45E3"/>
    <w:rsid w:val="004A587C"/>
    <w:rsid w:val="004A5AF4"/>
    <w:rsid w:val="004A7280"/>
    <w:rsid w:val="004B001A"/>
    <w:rsid w:val="004B019F"/>
    <w:rsid w:val="004B085C"/>
    <w:rsid w:val="004B0B8F"/>
    <w:rsid w:val="004B13CB"/>
    <w:rsid w:val="004B1467"/>
    <w:rsid w:val="004B25A3"/>
    <w:rsid w:val="004B2C13"/>
    <w:rsid w:val="004B2D62"/>
    <w:rsid w:val="004B2E04"/>
    <w:rsid w:val="004B30B7"/>
    <w:rsid w:val="004B3125"/>
    <w:rsid w:val="004B369F"/>
    <w:rsid w:val="004B3869"/>
    <w:rsid w:val="004B5F8D"/>
    <w:rsid w:val="004B6AA6"/>
    <w:rsid w:val="004B7244"/>
    <w:rsid w:val="004B72D4"/>
    <w:rsid w:val="004C0608"/>
    <w:rsid w:val="004C15E8"/>
    <w:rsid w:val="004C228F"/>
    <w:rsid w:val="004C3D63"/>
    <w:rsid w:val="004C42D1"/>
    <w:rsid w:val="004C4665"/>
    <w:rsid w:val="004C4C0A"/>
    <w:rsid w:val="004C4C4B"/>
    <w:rsid w:val="004C5175"/>
    <w:rsid w:val="004C5958"/>
    <w:rsid w:val="004C5DF3"/>
    <w:rsid w:val="004C68C6"/>
    <w:rsid w:val="004C7D0B"/>
    <w:rsid w:val="004D206F"/>
    <w:rsid w:val="004D2AA7"/>
    <w:rsid w:val="004D3226"/>
    <w:rsid w:val="004D3614"/>
    <w:rsid w:val="004D438D"/>
    <w:rsid w:val="004D48E9"/>
    <w:rsid w:val="004D5728"/>
    <w:rsid w:val="004D7D83"/>
    <w:rsid w:val="004E03BB"/>
    <w:rsid w:val="004E15F5"/>
    <w:rsid w:val="004E1C99"/>
    <w:rsid w:val="004E221B"/>
    <w:rsid w:val="004E551F"/>
    <w:rsid w:val="004E5948"/>
    <w:rsid w:val="004F0BB0"/>
    <w:rsid w:val="004F1669"/>
    <w:rsid w:val="004F1B55"/>
    <w:rsid w:val="004F23F7"/>
    <w:rsid w:val="004F2C0C"/>
    <w:rsid w:val="004F2C0D"/>
    <w:rsid w:val="004F336D"/>
    <w:rsid w:val="004F33F4"/>
    <w:rsid w:val="004F46DD"/>
    <w:rsid w:val="004F51EB"/>
    <w:rsid w:val="004F5834"/>
    <w:rsid w:val="004F6A0C"/>
    <w:rsid w:val="004F725C"/>
    <w:rsid w:val="004F7E3C"/>
    <w:rsid w:val="00500E43"/>
    <w:rsid w:val="0050375A"/>
    <w:rsid w:val="00503A00"/>
    <w:rsid w:val="00503ACF"/>
    <w:rsid w:val="00504A72"/>
    <w:rsid w:val="00504B61"/>
    <w:rsid w:val="00505E6D"/>
    <w:rsid w:val="005060EE"/>
    <w:rsid w:val="0050789F"/>
    <w:rsid w:val="00507CFF"/>
    <w:rsid w:val="00510006"/>
    <w:rsid w:val="00510231"/>
    <w:rsid w:val="00511FB7"/>
    <w:rsid w:val="005121D6"/>
    <w:rsid w:val="00512A26"/>
    <w:rsid w:val="005138BC"/>
    <w:rsid w:val="00513C67"/>
    <w:rsid w:val="00513ED6"/>
    <w:rsid w:val="005141DF"/>
    <w:rsid w:val="005154A9"/>
    <w:rsid w:val="00516045"/>
    <w:rsid w:val="00516437"/>
    <w:rsid w:val="005176BE"/>
    <w:rsid w:val="00517B9F"/>
    <w:rsid w:val="00520B7B"/>
    <w:rsid w:val="00520D26"/>
    <w:rsid w:val="005217EC"/>
    <w:rsid w:val="00522109"/>
    <w:rsid w:val="00522D62"/>
    <w:rsid w:val="0052328C"/>
    <w:rsid w:val="005238AE"/>
    <w:rsid w:val="00523BC2"/>
    <w:rsid w:val="00523C0E"/>
    <w:rsid w:val="00524BA0"/>
    <w:rsid w:val="00524BED"/>
    <w:rsid w:val="00527972"/>
    <w:rsid w:val="005300F5"/>
    <w:rsid w:val="005304AD"/>
    <w:rsid w:val="00532150"/>
    <w:rsid w:val="005355C0"/>
    <w:rsid w:val="00535FFA"/>
    <w:rsid w:val="00536381"/>
    <w:rsid w:val="00536D51"/>
    <w:rsid w:val="00537990"/>
    <w:rsid w:val="005402BD"/>
    <w:rsid w:val="005414BA"/>
    <w:rsid w:val="00541809"/>
    <w:rsid w:val="005423DA"/>
    <w:rsid w:val="0054348E"/>
    <w:rsid w:val="00543D1C"/>
    <w:rsid w:val="00545C7A"/>
    <w:rsid w:val="005477C8"/>
    <w:rsid w:val="00547BA0"/>
    <w:rsid w:val="00547CA7"/>
    <w:rsid w:val="00547DA9"/>
    <w:rsid w:val="00547ECA"/>
    <w:rsid w:val="00547EEC"/>
    <w:rsid w:val="00551CEB"/>
    <w:rsid w:val="0055237C"/>
    <w:rsid w:val="005523D9"/>
    <w:rsid w:val="0055260E"/>
    <w:rsid w:val="005527D5"/>
    <w:rsid w:val="00554141"/>
    <w:rsid w:val="005546C1"/>
    <w:rsid w:val="00554D15"/>
    <w:rsid w:val="005550BA"/>
    <w:rsid w:val="005554BC"/>
    <w:rsid w:val="00555E7C"/>
    <w:rsid w:val="0055725B"/>
    <w:rsid w:val="005573D9"/>
    <w:rsid w:val="0056045C"/>
    <w:rsid w:val="00560E67"/>
    <w:rsid w:val="0056230E"/>
    <w:rsid w:val="005633C0"/>
    <w:rsid w:val="0056362D"/>
    <w:rsid w:val="0056388A"/>
    <w:rsid w:val="005641B5"/>
    <w:rsid w:val="0056435D"/>
    <w:rsid w:val="005648EF"/>
    <w:rsid w:val="00564987"/>
    <w:rsid w:val="00564B9A"/>
    <w:rsid w:val="00564C18"/>
    <w:rsid w:val="00565EF4"/>
    <w:rsid w:val="005664E3"/>
    <w:rsid w:val="005666D5"/>
    <w:rsid w:val="00566996"/>
    <w:rsid w:val="00566B5E"/>
    <w:rsid w:val="0056708C"/>
    <w:rsid w:val="0056720A"/>
    <w:rsid w:val="005703A8"/>
    <w:rsid w:val="005706D5"/>
    <w:rsid w:val="00570B7C"/>
    <w:rsid w:val="00571CA3"/>
    <w:rsid w:val="005727E6"/>
    <w:rsid w:val="00572A4A"/>
    <w:rsid w:val="00572B3F"/>
    <w:rsid w:val="0057355E"/>
    <w:rsid w:val="00573E11"/>
    <w:rsid w:val="00575EDA"/>
    <w:rsid w:val="00576DFA"/>
    <w:rsid w:val="00577A85"/>
    <w:rsid w:val="00577D9D"/>
    <w:rsid w:val="0058028E"/>
    <w:rsid w:val="005805D7"/>
    <w:rsid w:val="00580E34"/>
    <w:rsid w:val="00580ED6"/>
    <w:rsid w:val="00582918"/>
    <w:rsid w:val="00582C05"/>
    <w:rsid w:val="005844AD"/>
    <w:rsid w:val="00584A06"/>
    <w:rsid w:val="00585673"/>
    <w:rsid w:val="005858D4"/>
    <w:rsid w:val="00585A65"/>
    <w:rsid w:val="00585A9E"/>
    <w:rsid w:val="00585CF3"/>
    <w:rsid w:val="00585E1F"/>
    <w:rsid w:val="00585E28"/>
    <w:rsid w:val="005866C3"/>
    <w:rsid w:val="00587703"/>
    <w:rsid w:val="00587BFD"/>
    <w:rsid w:val="00587EA4"/>
    <w:rsid w:val="00590CD2"/>
    <w:rsid w:val="00591571"/>
    <w:rsid w:val="0059484A"/>
    <w:rsid w:val="00596506"/>
    <w:rsid w:val="005968E7"/>
    <w:rsid w:val="00596C4D"/>
    <w:rsid w:val="00596FBC"/>
    <w:rsid w:val="005A0A96"/>
    <w:rsid w:val="005A0F28"/>
    <w:rsid w:val="005A14AE"/>
    <w:rsid w:val="005A1549"/>
    <w:rsid w:val="005A2047"/>
    <w:rsid w:val="005A22A2"/>
    <w:rsid w:val="005A337C"/>
    <w:rsid w:val="005A3946"/>
    <w:rsid w:val="005A4407"/>
    <w:rsid w:val="005A5A62"/>
    <w:rsid w:val="005A6F4B"/>
    <w:rsid w:val="005A7771"/>
    <w:rsid w:val="005B0295"/>
    <w:rsid w:val="005B0CEC"/>
    <w:rsid w:val="005B1BE3"/>
    <w:rsid w:val="005B2D50"/>
    <w:rsid w:val="005B2F01"/>
    <w:rsid w:val="005B355B"/>
    <w:rsid w:val="005B53B1"/>
    <w:rsid w:val="005B5914"/>
    <w:rsid w:val="005B5DB1"/>
    <w:rsid w:val="005B61D0"/>
    <w:rsid w:val="005B6270"/>
    <w:rsid w:val="005B63AF"/>
    <w:rsid w:val="005B6459"/>
    <w:rsid w:val="005B7126"/>
    <w:rsid w:val="005C05B5"/>
    <w:rsid w:val="005C0852"/>
    <w:rsid w:val="005C268E"/>
    <w:rsid w:val="005C2EB1"/>
    <w:rsid w:val="005C2FB2"/>
    <w:rsid w:val="005C30E6"/>
    <w:rsid w:val="005C417F"/>
    <w:rsid w:val="005C43C2"/>
    <w:rsid w:val="005C4FA0"/>
    <w:rsid w:val="005C5754"/>
    <w:rsid w:val="005C5982"/>
    <w:rsid w:val="005C670D"/>
    <w:rsid w:val="005C7CB3"/>
    <w:rsid w:val="005D1B83"/>
    <w:rsid w:val="005D1D35"/>
    <w:rsid w:val="005D1E90"/>
    <w:rsid w:val="005D251A"/>
    <w:rsid w:val="005D2FB4"/>
    <w:rsid w:val="005D4850"/>
    <w:rsid w:val="005D53EC"/>
    <w:rsid w:val="005D60CB"/>
    <w:rsid w:val="005D62FD"/>
    <w:rsid w:val="005D6819"/>
    <w:rsid w:val="005D69A2"/>
    <w:rsid w:val="005D69EC"/>
    <w:rsid w:val="005D7BA2"/>
    <w:rsid w:val="005D7C1E"/>
    <w:rsid w:val="005E0177"/>
    <w:rsid w:val="005E02E8"/>
    <w:rsid w:val="005E058A"/>
    <w:rsid w:val="005E0FF6"/>
    <w:rsid w:val="005E12CD"/>
    <w:rsid w:val="005E1A35"/>
    <w:rsid w:val="005E371B"/>
    <w:rsid w:val="005E57C6"/>
    <w:rsid w:val="005E58AB"/>
    <w:rsid w:val="005E613A"/>
    <w:rsid w:val="005E76FE"/>
    <w:rsid w:val="005F07DD"/>
    <w:rsid w:val="005F1A3B"/>
    <w:rsid w:val="005F2649"/>
    <w:rsid w:val="005F2F39"/>
    <w:rsid w:val="005F32D3"/>
    <w:rsid w:val="005F3B02"/>
    <w:rsid w:val="005F4645"/>
    <w:rsid w:val="005F46A2"/>
    <w:rsid w:val="005F4944"/>
    <w:rsid w:val="005F5585"/>
    <w:rsid w:val="005F63FE"/>
    <w:rsid w:val="005F6C9C"/>
    <w:rsid w:val="005F6EC9"/>
    <w:rsid w:val="005F7388"/>
    <w:rsid w:val="005F7D36"/>
    <w:rsid w:val="00600131"/>
    <w:rsid w:val="006001E4"/>
    <w:rsid w:val="00600434"/>
    <w:rsid w:val="00600B76"/>
    <w:rsid w:val="006019F4"/>
    <w:rsid w:val="0060478B"/>
    <w:rsid w:val="006068D1"/>
    <w:rsid w:val="006100FA"/>
    <w:rsid w:val="006111BC"/>
    <w:rsid w:val="0061140C"/>
    <w:rsid w:val="006117CB"/>
    <w:rsid w:val="006120DD"/>
    <w:rsid w:val="00612805"/>
    <w:rsid w:val="0061317E"/>
    <w:rsid w:val="00614034"/>
    <w:rsid w:val="0061442E"/>
    <w:rsid w:val="00614C81"/>
    <w:rsid w:val="00615880"/>
    <w:rsid w:val="00615967"/>
    <w:rsid w:val="00616301"/>
    <w:rsid w:val="00616FE6"/>
    <w:rsid w:val="006173BD"/>
    <w:rsid w:val="00617AD9"/>
    <w:rsid w:val="006202EA"/>
    <w:rsid w:val="006206C9"/>
    <w:rsid w:val="00620C6D"/>
    <w:rsid w:val="00620FD4"/>
    <w:rsid w:val="006221EB"/>
    <w:rsid w:val="00622984"/>
    <w:rsid w:val="00625428"/>
    <w:rsid w:val="00625E1B"/>
    <w:rsid w:val="00625FE2"/>
    <w:rsid w:val="00626FF9"/>
    <w:rsid w:val="006270CE"/>
    <w:rsid w:val="0062720B"/>
    <w:rsid w:val="006301DA"/>
    <w:rsid w:val="00631369"/>
    <w:rsid w:val="00631E0A"/>
    <w:rsid w:val="00631F31"/>
    <w:rsid w:val="00632826"/>
    <w:rsid w:val="006329DC"/>
    <w:rsid w:val="00632C0B"/>
    <w:rsid w:val="00633693"/>
    <w:rsid w:val="00633B5B"/>
    <w:rsid w:val="0063601B"/>
    <w:rsid w:val="006367D0"/>
    <w:rsid w:val="00637C9B"/>
    <w:rsid w:val="00640B36"/>
    <w:rsid w:val="00640DE1"/>
    <w:rsid w:val="0064104D"/>
    <w:rsid w:val="006414A9"/>
    <w:rsid w:val="00642DE2"/>
    <w:rsid w:val="0064465A"/>
    <w:rsid w:val="00644B15"/>
    <w:rsid w:val="00644F3E"/>
    <w:rsid w:val="006455D5"/>
    <w:rsid w:val="00646C5E"/>
    <w:rsid w:val="00650966"/>
    <w:rsid w:val="00650B53"/>
    <w:rsid w:val="00650C3C"/>
    <w:rsid w:val="00652C8D"/>
    <w:rsid w:val="00652E2B"/>
    <w:rsid w:val="00653059"/>
    <w:rsid w:val="006533A2"/>
    <w:rsid w:val="006536B9"/>
    <w:rsid w:val="006550BE"/>
    <w:rsid w:val="00656B48"/>
    <w:rsid w:val="0065723F"/>
    <w:rsid w:val="00657650"/>
    <w:rsid w:val="0065E91E"/>
    <w:rsid w:val="006610A2"/>
    <w:rsid w:val="006611BA"/>
    <w:rsid w:val="00661BB3"/>
    <w:rsid w:val="00662194"/>
    <w:rsid w:val="0066238C"/>
    <w:rsid w:val="00662BEF"/>
    <w:rsid w:val="006640F4"/>
    <w:rsid w:val="00665FEC"/>
    <w:rsid w:val="00666496"/>
    <w:rsid w:val="0066736F"/>
    <w:rsid w:val="00667C76"/>
    <w:rsid w:val="00667EBD"/>
    <w:rsid w:val="00671E65"/>
    <w:rsid w:val="00671FAB"/>
    <w:rsid w:val="00672812"/>
    <w:rsid w:val="00672E42"/>
    <w:rsid w:val="00673430"/>
    <w:rsid w:val="00673538"/>
    <w:rsid w:val="006741DD"/>
    <w:rsid w:val="00674399"/>
    <w:rsid w:val="00674580"/>
    <w:rsid w:val="00676346"/>
    <w:rsid w:val="00676847"/>
    <w:rsid w:val="00676A55"/>
    <w:rsid w:val="00681C8E"/>
    <w:rsid w:val="00682B77"/>
    <w:rsid w:val="0068417A"/>
    <w:rsid w:val="006852AE"/>
    <w:rsid w:val="006867A6"/>
    <w:rsid w:val="006867D3"/>
    <w:rsid w:val="00686C35"/>
    <w:rsid w:val="00687F34"/>
    <w:rsid w:val="00690A31"/>
    <w:rsid w:val="00690BFA"/>
    <w:rsid w:val="00690CDC"/>
    <w:rsid w:val="00691260"/>
    <w:rsid w:val="00692223"/>
    <w:rsid w:val="00694088"/>
    <w:rsid w:val="0069485E"/>
    <w:rsid w:val="006951A4"/>
    <w:rsid w:val="00697B16"/>
    <w:rsid w:val="006A031F"/>
    <w:rsid w:val="006A052A"/>
    <w:rsid w:val="006A1D6F"/>
    <w:rsid w:val="006A20CB"/>
    <w:rsid w:val="006A22A0"/>
    <w:rsid w:val="006A2593"/>
    <w:rsid w:val="006A2BB0"/>
    <w:rsid w:val="006A2D04"/>
    <w:rsid w:val="006A3C0D"/>
    <w:rsid w:val="006A3C58"/>
    <w:rsid w:val="006A40B5"/>
    <w:rsid w:val="006A4440"/>
    <w:rsid w:val="006A5402"/>
    <w:rsid w:val="006A6C9C"/>
    <w:rsid w:val="006A70FF"/>
    <w:rsid w:val="006A770B"/>
    <w:rsid w:val="006A79C0"/>
    <w:rsid w:val="006A7CFD"/>
    <w:rsid w:val="006B006C"/>
    <w:rsid w:val="006B0F26"/>
    <w:rsid w:val="006B1186"/>
    <w:rsid w:val="006B118B"/>
    <w:rsid w:val="006B12B6"/>
    <w:rsid w:val="006B200E"/>
    <w:rsid w:val="006B3282"/>
    <w:rsid w:val="006B3ED0"/>
    <w:rsid w:val="006B4A51"/>
    <w:rsid w:val="006B5EF5"/>
    <w:rsid w:val="006C1DBB"/>
    <w:rsid w:val="006C2B03"/>
    <w:rsid w:val="006C31C2"/>
    <w:rsid w:val="006C469F"/>
    <w:rsid w:val="006C4E36"/>
    <w:rsid w:val="006C5A50"/>
    <w:rsid w:val="006C6E54"/>
    <w:rsid w:val="006C72C4"/>
    <w:rsid w:val="006C782D"/>
    <w:rsid w:val="006D014C"/>
    <w:rsid w:val="006D098D"/>
    <w:rsid w:val="006D09D0"/>
    <w:rsid w:val="006D1A34"/>
    <w:rsid w:val="006D1D9B"/>
    <w:rsid w:val="006D1FA1"/>
    <w:rsid w:val="006D2025"/>
    <w:rsid w:val="006D2E9F"/>
    <w:rsid w:val="006D316C"/>
    <w:rsid w:val="006D3513"/>
    <w:rsid w:val="006D52C2"/>
    <w:rsid w:val="006D5C11"/>
    <w:rsid w:val="006D601D"/>
    <w:rsid w:val="006D62F8"/>
    <w:rsid w:val="006D643E"/>
    <w:rsid w:val="006D6D6D"/>
    <w:rsid w:val="006E0A69"/>
    <w:rsid w:val="006E160B"/>
    <w:rsid w:val="006E1DFC"/>
    <w:rsid w:val="006E276C"/>
    <w:rsid w:val="006E2DAD"/>
    <w:rsid w:val="006E3300"/>
    <w:rsid w:val="006E3360"/>
    <w:rsid w:val="006E3759"/>
    <w:rsid w:val="006E3ADF"/>
    <w:rsid w:val="006E58DA"/>
    <w:rsid w:val="006E6E15"/>
    <w:rsid w:val="006E7612"/>
    <w:rsid w:val="006E7F1E"/>
    <w:rsid w:val="006F16C9"/>
    <w:rsid w:val="006F255D"/>
    <w:rsid w:val="006F278B"/>
    <w:rsid w:val="006F38C0"/>
    <w:rsid w:val="006F3F96"/>
    <w:rsid w:val="006F5A29"/>
    <w:rsid w:val="006F680D"/>
    <w:rsid w:val="006F79EE"/>
    <w:rsid w:val="0070042D"/>
    <w:rsid w:val="007032DC"/>
    <w:rsid w:val="0070372C"/>
    <w:rsid w:val="00704B30"/>
    <w:rsid w:val="007057BA"/>
    <w:rsid w:val="00705B34"/>
    <w:rsid w:val="00706607"/>
    <w:rsid w:val="0070672E"/>
    <w:rsid w:val="007068DC"/>
    <w:rsid w:val="00706BF9"/>
    <w:rsid w:val="00710322"/>
    <w:rsid w:val="00710560"/>
    <w:rsid w:val="007107CC"/>
    <w:rsid w:val="0071190D"/>
    <w:rsid w:val="00713BD5"/>
    <w:rsid w:val="007141F4"/>
    <w:rsid w:val="00714DA3"/>
    <w:rsid w:val="00715DD8"/>
    <w:rsid w:val="00717343"/>
    <w:rsid w:val="00720448"/>
    <w:rsid w:val="007207D5"/>
    <w:rsid w:val="00720A12"/>
    <w:rsid w:val="00720BF9"/>
    <w:rsid w:val="00720E75"/>
    <w:rsid w:val="00721096"/>
    <w:rsid w:val="00721154"/>
    <w:rsid w:val="00722088"/>
    <w:rsid w:val="007221D7"/>
    <w:rsid w:val="00722C03"/>
    <w:rsid w:val="00723236"/>
    <w:rsid w:val="00723E34"/>
    <w:rsid w:val="00723FFC"/>
    <w:rsid w:val="00724AB8"/>
    <w:rsid w:val="00725107"/>
    <w:rsid w:val="007252BF"/>
    <w:rsid w:val="00726E9F"/>
    <w:rsid w:val="00727FE2"/>
    <w:rsid w:val="00731177"/>
    <w:rsid w:val="00731283"/>
    <w:rsid w:val="00731624"/>
    <w:rsid w:val="0073179C"/>
    <w:rsid w:val="00731A3E"/>
    <w:rsid w:val="00732426"/>
    <w:rsid w:val="007324EB"/>
    <w:rsid w:val="007351FA"/>
    <w:rsid w:val="007365E4"/>
    <w:rsid w:val="00737A10"/>
    <w:rsid w:val="007409C9"/>
    <w:rsid w:val="00741FC4"/>
    <w:rsid w:val="0074340F"/>
    <w:rsid w:val="00743876"/>
    <w:rsid w:val="00743905"/>
    <w:rsid w:val="00743955"/>
    <w:rsid w:val="00743AFD"/>
    <w:rsid w:val="00743B65"/>
    <w:rsid w:val="00743C5A"/>
    <w:rsid w:val="007450AB"/>
    <w:rsid w:val="007453C6"/>
    <w:rsid w:val="00745B15"/>
    <w:rsid w:val="00745C5A"/>
    <w:rsid w:val="00746A37"/>
    <w:rsid w:val="00747260"/>
    <w:rsid w:val="00747AA0"/>
    <w:rsid w:val="007500DB"/>
    <w:rsid w:val="0075055A"/>
    <w:rsid w:val="00750C00"/>
    <w:rsid w:val="0075124A"/>
    <w:rsid w:val="00752129"/>
    <w:rsid w:val="00752F31"/>
    <w:rsid w:val="00753A01"/>
    <w:rsid w:val="00753F78"/>
    <w:rsid w:val="00754306"/>
    <w:rsid w:val="00754D0D"/>
    <w:rsid w:val="007553DC"/>
    <w:rsid w:val="00755B7A"/>
    <w:rsid w:val="00755D98"/>
    <w:rsid w:val="00756792"/>
    <w:rsid w:val="00757453"/>
    <w:rsid w:val="0076005D"/>
    <w:rsid w:val="0076082C"/>
    <w:rsid w:val="00760D27"/>
    <w:rsid w:val="00760EC0"/>
    <w:rsid w:val="00761D3C"/>
    <w:rsid w:val="0076229C"/>
    <w:rsid w:val="00763413"/>
    <w:rsid w:val="0076364D"/>
    <w:rsid w:val="007639E8"/>
    <w:rsid w:val="00764617"/>
    <w:rsid w:val="00764EBD"/>
    <w:rsid w:val="007650CD"/>
    <w:rsid w:val="007655A5"/>
    <w:rsid w:val="00765921"/>
    <w:rsid w:val="00765A5C"/>
    <w:rsid w:val="00765FA9"/>
    <w:rsid w:val="00766280"/>
    <w:rsid w:val="0076633D"/>
    <w:rsid w:val="007663BA"/>
    <w:rsid w:val="00766E96"/>
    <w:rsid w:val="0076725C"/>
    <w:rsid w:val="00767C21"/>
    <w:rsid w:val="00767E79"/>
    <w:rsid w:val="00770B46"/>
    <w:rsid w:val="00770D7A"/>
    <w:rsid w:val="00770EC2"/>
    <w:rsid w:val="00770F06"/>
    <w:rsid w:val="00771340"/>
    <w:rsid w:val="00771AB2"/>
    <w:rsid w:val="007742AA"/>
    <w:rsid w:val="0077490A"/>
    <w:rsid w:val="00775256"/>
    <w:rsid w:val="00775EFA"/>
    <w:rsid w:val="007774EB"/>
    <w:rsid w:val="007779B4"/>
    <w:rsid w:val="007828BB"/>
    <w:rsid w:val="007828CB"/>
    <w:rsid w:val="00782C2A"/>
    <w:rsid w:val="00784592"/>
    <w:rsid w:val="0078490E"/>
    <w:rsid w:val="00784B2E"/>
    <w:rsid w:val="0078691D"/>
    <w:rsid w:val="00786ACB"/>
    <w:rsid w:val="00787147"/>
    <w:rsid w:val="007874CA"/>
    <w:rsid w:val="00790009"/>
    <w:rsid w:val="007900EB"/>
    <w:rsid w:val="007909C2"/>
    <w:rsid w:val="00790B7B"/>
    <w:rsid w:val="00792029"/>
    <w:rsid w:val="00792999"/>
    <w:rsid w:val="00792D9C"/>
    <w:rsid w:val="00794E04"/>
    <w:rsid w:val="00794FC5"/>
    <w:rsid w:val="00797527"/>
    <w:rsid w:val="007A063F"/>
    <w:rsid w:val="007A13D0"/>
    <w:rsid w:val="007A194C"/>
    <w:rsid w:val="007A2B6D"/>
    <w:rsid w:val="007A35EC"/>
    <w:rsid w:val="007A3798"/>
    <w:rsid w:val="007A3968"/>
    <w:rsid w:val="007A3D25"/>
    <w:rsid w:val="007A4348"/>
    <w:rsid w:val="007A5879"/>
    <w:rsid w:val="007A6FF9"/>
    <w:rsid w:val="007A7876"/>
    <w:rsid w:val="007A7BF0"/>
    <w:rsid w:val="007B055E"/>
    <w:rsid w:val="007B0D5C"/>
    <w:rsid w:val="007B12DD"/>
    <w:rsid w:val="007B18CE"/>
    <w:rsid w:val="007B1A28"/>
    <w:rsid w:val="007B22F6"/>
    <w:rsid w:val="007B275C"/>
    <w:rsid w:val="007B465B"/>
    <w:rsid w:val="007B48A1"/>
    <w:rsid w:val="007B4F66"/>
    <w:rsid w:val="007B6117"/>
    <w:rsid w:val="007B6C94"/>
    <w:rsid w:val="007B6FC7"/>
    <w:rsid w:val="007B7BED"/>
    <w:rsid w:val="007C0102"/>
    <w:rsid w:val="007C0D19"/>
    <w:rsid w:val="007C25E3"/>
    <w:rsid w:val="007C4153"/>
    <w:rsid w:val="007C52C2"/>
    <w:rsid w:val="007C56BD"/>
    <w:rsid w:val="007C6C68"/>
    <w:rsid w:val="007C715C"/>
    <w:rsid w:val="007C7E69"/>
    <w:rsid w:val="007D0157"/>
    <w:rsid w:val="007D063A"/>
    <w:rsid w:val="007D176E"/>
    <w:rsid w:val="007D240D"/>
    <w:rsid w:val="007D261D"/>
    <w:rsid w:val="007D3BC3"/>
    <w:rsid w:val="007D3CBB"/>
    <w:rsid w:val="007D4214"/>
    <w:rsid w:val="007D4CAF"/>
    <w:rsid w:val="007D58F9"/>
    <w:rsid w:val="007D6DC4"/>
    <w:rsid w:val="007D6DC9"/>
    <w:rsid w:val="007D707C"/>
    <w:rsid w:val="007D7682"/>
    <w:rsid w:val="007D76B4"/>
    <w:rsid w:val="007D7C1E"/>
    <w:rsid w:val="007E02F4"/>
    <w:rsid w:val="007E0452"/>
    <w:rsid w:val="007E2D80"/>
    <w:rsid w:val="007E31A9"/>
    <w:rsid w:val="007E321B"/>
    <w:rsid w:val="007E54E6"/>
    <w:rsid w:val="007E5629"/>
    <w:rsid w:val="007E705A"/>
    <w:rsid w:val="007E72CE"/>
    <w:rsid w:val="007E7514"/>
    <w:rsid w:val="007E7692"/>
    <w:rsid w:val="007F0525"/>
    <w:rsid w:val="007F0F55"/>
    <w:rsid w:val="007F167F"/>
    <w:rsid w:val="007F2B11"/>
    <w:rsid w:val="007F3240"/>
    <w:rsid w:val="007F384C"/>
    <w:rsid w:val="007F40AA"/>
    <w:rsid w:val="007F41CA"/>
    <w:rsid w:val="007F5104"/>
    <w:rsid w:val="007F5348"/>
    <w:rsid w:val="007F555F"/>
    <w:rsid w:val="007F5FD7"/>
    <w:rsid w:val="007F618F"/>
    <w:rsid w:val="007F64E8"/>
    <w:rsid w:val="007F6BD2"/>
    <w:rsid w:val="007F6D27"/>
    <w:rsid w:val="007F6D8E"/>
    <w:rsid w:val="007F7623"/>
    <w:rsid w:val="007F78A0"/>
    <w:rsid w:val="007F78DC"/>
    <w:rsid w:val="007F7B9C"/>
    <w:rsid w:val="00802112"/>
    <w:rsid w:val="00803093"/>
    <w:rsid w:val="008032C4"/>
    <w:rsid w:val="00804804"/>
    <w:rsid w:val="00805A40"/>
    <w:rsid w:val="008069E3"/>
    <w:rsid w:val="00806A59"/>
    <w:rsid w:val="00807E41"/>
    <w:rsid w:val="00810589"/>
    <w:rsid w:val="00810E71"/>
    <w:rsid w:val="008112BA"/>
    <w:rsid w:val="00811F3A"/>
    <w:rsid w:val="00811F7F"/>
    <w:rsid w:val="00812931"/>
    <w:rsid w:val="00812DA8"/>
    <w:rsid w:val="00813E74"/>
    <w:rsid w:val="008160DF"/>
    <w:rsid w:val="00817442"/>
    <w:rsid w:val="00820E63"/>
    <w:rsid w:val="0082514E"/>
    <w:rsid w:val="00825197"/>
    <w:rsid w:val="00825203"/>
    <w:rsid w:val="00825C9D"/>
    <w:rsid w:val="00826509"/>
    <w:rsid w:val="00826A9C"/>
    <w:rsid w:val="0082752B"/>
    <w:rsid w:val="00827624"/>
    <w:rsid w:val="008279CB"/>
    <w:rsid w:val="00833329"/>
    <w:rsid w:val="008345C1"/>
    <w:rsid w:val="00835A51"/>
    <w:rsid w:val="00835CB7"/>
    <w:rsid w:val="00836C6A"/>
    <w:rsid w:val="00836E46"/>
    <w:rsid w:val="00844704"/>
    <w:rsid w:val="0084478D"/>
    <w:rsid w:val="008458BA"/>
    <w:rsid w:val="00845BED"/>
    <w:rsid w:val="00845D62"/>
    <w:rsid w:val="008462FA"/>
    <w:rsid w:val="00846D58"/>
    <w:rsid w:val="008472C9"/>
    <w:rsid w:val="00851165"/>
    <w:rsid w:val="008554B4"/>
    <w:rsid w:val="0085763B"/>
    <w:rsid w:val="008576CD"/>
    <w:rsid w:val="00860928"/>
    <w:rsid w:val="00861225"/>
    <w:rsid w:val="00861C1D"/>
    <w:rsid w:val="00864E52"/>
    <w:rsid w:val="00864FBF"/>
    <w:rsid w:val="00865568"/>
    <w:rsid w:val="00865C23"/>
    <w:rsid w:val="008665D3"/>
    <w:rsid w:val="00866F21"/>
    <w:rsid w:val="00866FA2"/>
    <w:rsid w:val="0086757B"/>
    <w:rsid w:val="00867A6F"/>
    <w:rsid w:val="00872874"/>
    <w:rsid w:val="00872FCC"/>
    <w:rsid w:val="008732A2"/>
    <w:rsid w:val="008737B5"/>
    <w:rsid w:val="0087488C"/>
    <w:rsid w:val="00874B6D"/>
    <w:rsid w:val="00874E8B"/>
    <w:rsid w:val="00874EC7"/>
    <w:rsid w:val="008764AD"/>
    <w:rsid w:val="00877804"/>
    <w:rsid w:val="0088298A"/>
    <w:rsid w:val="00883D8F"/>
    <w:rsid w:val="0088410F"/>
    <w:rsid w:val="0088490B"/>
    <w:rsid w:val="008850BA"/>
    <w:rsid w:val="008857AD"/>
    <w:rsid w:val="0088602B"/>
    <w:rsid w:val="00886613"/>
    <w:rsid w:val="00886876"/>
    <w:rsid w:val="008870F8"/>
    <w:rsid w:val="0088722B"/>
    <w:rsid w:val="0088735E"/>
    <w:rsid w:val="00887C8D"/>
    <w:rsid w:val="0089017E"/>
    <w:rsid w:val="00891214"/>
    <w:rsid w:val="00891A48"/>
    <w:rsid w:val="008929DC"/>
    <w:rsid w:val="00892EED"/>
    <w:rsid w:val="00893108"/>
    <w:rsid w:val="00893940"/>
    <w:rsid w:val="0089399D"/>
    <w:rsid w:val="0089403A"/>
    <w:rsid w:val="008945E6"/>
    <w:rsid w:val="00895751"/>
    <w:rsid w:val="00895B25"/>
    <w:rsid w:val="0089651F"/>
    <w:rsid w:val="00896734"/>
    <w:rsid w:val="008970B0"/>
    <w:rsid w:val="00897CD5"/>
    <w:rsid w:val="008A05CE"/>
    <w:rsid w:val="008A09D8"/>
    <w:rsid w:val="008A0FEE"/>
    <w:rsid w:val="008A1390"/>
    <w:rsid w:val="008A2500"/>
    <w:rsid w:val="008A2839"/>
    <w:rsid w:val="008A28E8"/>
    <w:rsid w:val="008A2C8F"/>
    <w:rsid w:val="008A38DB"/>
    <w:rsid w:val="008A44E6"/>
    <w:rsid w:val="008A4A7C"/>
    <w:rsid w:val="008A52D3"/>
    <w:rsid w:val="008A5C3B"/>
    <w:rsid w:val="008A6B7A"/>
    <w:rsid w:val="008A7EEF"/>
    <w:rsid w:val="008B209C"/>
    <w:rsid w:val="008B27B7"/>
    <w:rsid w:val="008B288F"/>
    <w:rsid w:val="008B2ED7"/>
    <w:rsid w:val="008B3BF7"/>
    <w:rsid w:val="008B411D"/>
    <w:rsid w:val="008B427B"/>
    <w:rsid w:val="008B4621"/>
    <w:rsid w:val="008B4CD8"/>
    <w:rsid w:val="008B510A"/>
    <w:rsid w:val="008B5508"/>
    <w:rsid w:val="008B577A"/>
    <w:rsid w:val="008B6EB4"/>
    <w:rsid w:val="008B6ECA"/>
    <w:rsid w:val="008B7C14"/>
    <w:rsid w:val="008C009A"/>
    <w:rsid w:val="008C06D2"/>
    <w:rsid w:val="008C0B24"/>
    <w:rsid w:val="008C561F"/>
    <w:rsid w:val="008C56FD"/>
    <w:rsid w:val="008C5831"/>
    <w:rsid w:val="008C604F"/>
    <w:rsid w:val="008C61B9"/>
    <w:rsid w:val="008C6249"/>
    <w:rsid w:val="008C6500"/>
    <w:rsid w:val="008C6957"/>
    <w:rsid w:val="008C6B9A"/>
    <w:rsid w:val="008C6CA1"/>
    <w:rsid w:val="008C739B"/>
    <w:rsid w:val="008D1113"/>
    <w:rsid w:val="008D156C"/>
    <w:rsid w:val="008D2F2F"/>
    <w:rsid w:val="008D337C"/>
    <w:rsid w:val="008D4673"/>
    <w:rsid w:val="008D51F6"/>
    <w:rsid w:val="008D6B62"/>
    <w:rsid w:val="008E0734"/>
    <w:rsid w:val="008E1E26"/>
    <w:rsid w:val="008E3D69"/>
    <w:rsid w:val="008E3D8E"/>
    <w:rsid w:val="008E46DB"/>
    <w:rsid w:val="008E55AD"/>
    <w:rsid w:val="008E5732"/>
    <w:rsid w:val="008E6CD7"/>
    <w:rsid w:val="008E6E21"/>
    <w:rsid w:val="008E711F"/>
    <w:rsid w:val="008E7DDC"/>
    <w:rsid w:val="008E7E50"/>
    <w:rsid w:val="008F016E"/>
    <w:rsid w:val="008F04BF"/>
    <w:rsid w:val="008F061A"/>
    <w:rsid w:val="008F1396"/>
    <w:rsid w:val="008F434E"/>
    <w:rsid w:val="008F4B5E"/>
    <w:rsid w:val="008F5363"/>
    <w:rsid w:val="008F5A30"/>
    <w:rsid w:val="008F5D20"/>
    <w:rsid w:val="008F76A3"/>
    <w:rsid w:val="008F7DAA"/>
    <w:rsid w:val="009000C6"/>
    <w:rsid w:val="00900F9E"/>
    <w:rsid w:val="00901CB6"/>
    <w:rsid w:val="00902BA0"/>
    <w:rsid w:val="00904077"/>
    <w:rsid w:val="009048B7"/>
    <w:rsid w:val="00904E2E"/>
    <w:rsid w:val="00905314"/>
    <w:rsid w:val="009061EE"/>
    <w:rsid w:val="009063D5"/>
    <w:rsid w:val="00906C9B"/>
    <w:rsid w:val="00906DD4"/>
    <w:rsid w:val="009077B6"/>
    <w:rsid w:val="00907ADE"/>
    <w:rsid w:val="0091073D"/>
    <w:rsid w:val="00911DBF"/>
    <w:rsid w:val="00913865"/>
    <w:rsid w:val="0091437F"/>
    <w:rsid w:val="00914BA4"/>
    <w:rsid w:val="009154BD"/>
    <w:rsid w:val="0091603B"/>
    <w:rsid w:val="009167C6"/>
    <w:rsid w:val="00916A83"/>
    <w:rsid w:val="009176AB"/>
    <w:rsid w:val="00917AF2"/>
    <w:rsid w:val="00921E18"/>
    <w:rsid w:val="009231E2"/>
    <w:rsid w:val="009236C9"/>
    <w:rsid w:val="00923F32"/>
    <w:rsid w:val="009241FA"/>
    <w:rsid w:val="00925402"/>
    <w:rsid w:val="00925B5C"/>
    <w:rsid w:val="00925C05"/>
    <w:rsid w:val="0092613E"/>
    <w:rsid w:val="00926141"/>
    <w:rsid w:val="0093074E"/>
    <w:rsid w:val="00931284"/>
    <w:rsid w:val="00931CBF"/>
    <w:rsid w:val="00931EAB"/>
    <w:rsid w:val="00931F0F"/>
    <w:rsid w:val="00932DDF"/>
    <w:rsid w:val="00932E64"/>
    <w:rsid w:val="00932F84"/>
    <w:rsid w:val="00934330"/>
    <w:rsid w:val="00934AD9"/>
    <w:rsid w:val="00934D90"/>
    <w:rsid w:val="00935EAA"/>
    <w:rsid w:val="009366A8"/>
    <w:rsid w:val="00937105"/>
    <w:rsid w:val="00937A76"/>
    <w:rsid w:val="00937E73"/>
    <w:rsid w:val="00941410"/>
    <w:rsid w:val="00942196"/>
    <w:rsid w:val="00942789"/>
    <w:rsid w:val="0094304A"/>
    <w:rsid w:val="00944367"/>
    <w:rsid w:val="0094604E"/>
    <w:rsid w:val="00947A39"/>
    <w:rsid w:val="00952712"/>
    <w:rsid w:val="009529BA"/>
    <w:rsid w:val="00952CB5"/>
    <w:rsid w:val="00953239"/>
    <w:rsid w:val="0095349B"/>
    <w:rsid w:val="009539F2"/>
    <w:rsid w:val="00953E96"/>
    <w:rsid w:val="00955BD7"/>
    <w:rsid w:val="00957088"/>
    <w:rsid w:val="00957193"/>
    <w:rsid w:val="00957235"/>
    <w:rsid w:val="00957243"/>
    <w:rsid w:val="00960A0D"/>
    <w:rsid w:val="00961005"/>
    <w:rsid w:val="00961ACD"/>
    <w:rsid w:val="00962781"/>
    <w:rsid w:val="00963268"/>
    <w:rsid w:val="009646D4"/>
    <w:rsid w:val="009651FC"/>
    <w:rsid w:val="00965478"/>
    <w:rsid w:val="00965C21"/>
    <w:rsid w:val="009660AB"/>
    <w:rsid w:val="00966471"/>
    <w:rsid w:val="009664BC"/>
    <w:rsid w:val="009664E5"/>
    <w:rsid w:val="009667F4"/>
    <w:rsid w:val="009668FE"/>
    <w:rsid w:val="00966DE4"/>
    <w:rsid w:val="00967DC0"/>
    <w:rsid w:val="0097009F"/>
    <w:rsid w:val="0097035A"/>
    <w:rsid w:val="0097054F"/>
    <w:rsid w:val="009711E7"/>
    <w:rsid w:val="00972136"/>
    <w:rsid w:val="00972199"/>
    <w:rsid w:val="009730F6"/>
    <w:rsid w:val="009734AA"/>
    <w:rsid w:val="009734B5"/>
    <w:rsid w:val="00973D77"/>
    <w:rsid w:val="00973F23"/>
    <w:rsid w:val="00974857"/>
    <w:rsid w:val="009756BF"/>
    <w:rsid w:val="0098057F"/>
    <w:rsid w:val="00980BC6"/>
    <w:rsid w:val="009849DE"/>
    <w:rsid w:val="009865FF"/>
    <w:rsid w:val="00987626"/>
    <w:rsid w:val="009876FC"/>
    <w:rsid w:val="009911FA"/>
    <w:rsid w:val="00991406"/>
    <w:rsid w:val="00991B2F"/>
    <w:rsid w:val="0099251A"/>
    <w:rsid w:val="00994ED5"/>
    <w:rsid w:val="009967C7"/>
    <w:rsid w:val="00997001"/>
    <w:rsid w:val="00997488"/>
    <w:rsid w:val="009977F2"/>
    <w:rsid w:val="009A02B7"/>
    <w:rsid w:val="009A03B1"/>
    <w:rsid w:val="009A13DF"/>
    <w:rsid w:val="009A14A6"/>
    <w:rsid w:val="009A1B34"/>
    <w:rsid w:val="009A2D44"/>
    <w:rsid w:val="009A3527"/>
    <w:rsid w:val="009A359E"/>
    <w:rsid w:val="009A44ED"/>
    <w:rsid w:val="009A5C65"/>
    <w:rsid w:val="009A6C2D"/>
    <w:rsid w:val="009A7040"/>
    <w:rsid w:val="009A71E2"/>
    <w:rsid w:val="009A727F"/>
    <w:rsid w:val="009B0000"/>
    <w:rsid w:val="009B0917"/>
    <w:rsid w:val="009B0A71"/>
    <w:rsid w:val="009B0BFC"/>
    <w:rsid w:val="009B1C4F"/>
    <w:rsid w:val="009B1D31"/>
    <w:rsid w:val="009B29F0"/>
    <w:rsid w:val="009B32F3"/>
    <w:rsid w:val="009B3451"/>
    <w:rsid w:val="009B64C2"/>
    <w:rsid w:val="009B7A71"/>
    <w:rsid w:val="009C0811"/>
    <w:rsid w:val="009C1E61"/>
    <w:rsid w:val="009C39A0"/>
    <w:rsid w:val="009C4BDE"/>
    <w:rsid w:val="009C4FD6"/>
    <w:rsid w:val="009C6E77"/>
    <w:rsid w:val="009C717C"/>
    <w:rsid w:val="009C73EC"/>
    <w:rsid w:val="009C7F6F"/>
    <w:rsid w:val="009D0BBD"/>
    <w:rsid w:val="009D179E"/>
    <w:rsid w:val="009D2EBA"/>
    <w:rsid w:val="009D30F8"/>
    <w:rsid w:val="009D32F3"/>
    <w:rsid w:val="009D4AB5"/>
    <w:rsid w:val="009D5DCD"/>
    <w:rsid w:val="009D7658"/>
    <w:rsid w:val="009D7D84"/>
    <w:rsid w:val="009E0032"/>
    <w:rsid w:val="009E02C4"/>
    <w:rsid w:val="009E02FC"/>
    <w:rsid w:val="009E0CF1"/>
    <w:rsid w:val="009E19CF"/>
    <w:rsid w:val="009E229B"/>
    <w:rsid w:val="009E314B"/>
    <w:rsid w:val="009E35CC"/>
    <w:rsid w:val="009E378C"/>
    <w:rsid w:val="009E5E53"/>
    <w:rsid w:val="009E739D"/>
    <w:rsid w:val="009F2ACD"/>
    <w:rsid w:val="009F2CB6"/>
    <w:rsid w:val="009F3247"/>
    <w:rsid w:val="009F3778"/>
    <w:rsid w:val="009F391A"/>
    <w:rsid w:val="009F60D5"/>
    <w:rsid w:val="009F6EB0"/>
    <w:rsid w:val="009F7704"/>
    <w:rsid w:val="009F7D3A"/>
    <w:rsid w:val="00A009EB"/>
    <w:rsid w:val="00A00CEA"/>
    <w:rsid w:val="00A01924"/>
    <w:rsid w:val="00A02314"/>
    <w:rsid w:val="00A03B32"/>
    <w:rsid w:val="00A042C6"/>
    <w:rsid w:val="00A04B35"/>
    <w:rsid w:val="00A05063"/>
    <w:rsid w:val="00A05451"/>
    <w:rsid w:val="00A07CE7"/>
    <w:rsid w:val="00A1108A"/>
    <w:rsid w:val="00A11532"/>
    <w:rsid w:val="00A11812"/>
    <w:rsid w:val="00A11826"/>
    <w:rsid w:val="00A143AE"/>
    <w:rsid w:val="00A1467F"/>
    <w:rsid w:val="00A14BC4"/>
    <w:rsid w:val="00A14E23"/>
    <w:rsid w:val="00A1516B"/>
    <w:rsid w:val="00A15779"/>
    <w:rsid w:val="00A157CF"/>
    <w:rsid w:val="00A16268"/>
    <w:rsid w:val="00A1689A"/>
    <w:rsid w:val="00A20155"/>
    <w:rsid w:val="00A21A57"/>
    <w:rsid w:val="00A21BBF"/>
    <w:rsid w:val="00A222B8"/>
    <w:rsid w:val="00A2262C"/>
    <w:rsid w:val="00A23795"/>
    <w:rsid w:val="00A23FB4"/>
    <w:rsid w:val="00A2509C"/>
    <w:rsid w:val="00A25A4A"/>
    <w:rsid w:val="00A27290"/>
    <w:rsid w:val="00A27943"/>
    <w:rsid w:val="00A30AC8"/>
    <w:rsid w:val="00A30BA0"/>
    <w:rsid w:val="00A310E7"/>
    <w:rsid w:val="00A31B04"/>
    <w:rsid w:val="00A32400"/>
    <w:rsid w:val="00A34CD6"/>
    <w:rsid w:val="00A34DFC"/>
    <w:rsid w:val="00A35349"/>
    <w:rsid w:val="00A35801"/>
    <w:rsid w:val="00A363F9"/>
    <w:rsid w:val="00A36BE1"/>
    <w:rsid w:val="00A36DE8"/>
    <w:rsid w:val="00A36E90"/>
    <w:rsid w:val="00A402C0"/>
    <w:rsid w:val="00A40AC9"/>
    <w:rsid w:val="00A40CB9"/>
    <w:rsid w:val="00A40E98"/>
    <w:rsid w:val="00A4287D"/>
    <w:rsid w:val="00A4313F"/>
    <w:rsid w:val="00A4355E"/>
    <w:rsid w:val="00A456FE"/>
    <w:rsid w:val="00A45BC7"/>
    <w:rsid w:val="00A45C07"/>
    <w:rsid w:val="00A46744"/>
    <w:rsid w:val="00A469CC"/>
    <w:rsid w:val="00A4754B"/>
    <w:rsid w:val="00A47AFA"/>
    <w:rsid w:val="00A50705"/>
    <w:rsid w:val="00A50EB5"/>
    <w:rsid w:val="00A51B35"/>
    <w:rsid w:val="00A51E11"/>
    <w:rsid w:val="00A520D3"/>
    <w:rsid w:val="00A52A86"/>
    <w:rsid w:val="00A53FDF"/>
    <w:rsid w:val="00A54BA4"/>
    <w:rsid w:val="00A550C6"/>
    <w:rsid w:val="00A57352"/>
    <w:rsid w:val="00A5776C"/>
    <w:rsid w:val="00A61C6D"/>
    <w:rsid w:val="00A61D3B"/>
    <w:rsid w:val="00A62E7C"/>
    <w:rsid w:val="00A62FBC"/>
    <w:rsid w:val="00A63E90"/>
    <w:rsid w:val="00A659D2"/>
    <w:rsid w:val="00A6658D"/>
    <w:rsid w:val="00A66719"/>
    <w:rsid w:val="00A6671B"/>
    <w:rsid w:val="00A66D47"/>
    <w:rsid w:val="00A66F68"/>
    <w:rsid w:val="00A703B8"/>
    <w:rsid w:val="00A708F1"/>
    <w:rsid w:val="00A72664"/>
    <w:rsid w:val="00A7289B"/>
    <w:rsid w:val="00A72B65"/>
    <w:rsid w:val="00A738C1"/>
    <w:rsid w:val="00A7402A"/>
    <w:rsid w:val="00A74FEF"/>
    <w:rsid w:val="00A75A3B"/>
    <w:rsid w:val="00A75C2D"/>
    <w:rsid w:val="00A76789"/>
    <w:rsid w:val="00A76E43"/>
    <w:rsid w:val="00A77DC9"/>
    <w:rsid w:val="00A8255A"/>
    <w:rsid w:val="00A82983"/>
    <w:rsid w:val="00A82EE7"/>
    <w:rsid w:val="00A834A9"/>
    <w:rsid w:val="00A83620"/>
    <w:rsid w:val="00A8627B"/>
    <w:rsid w:val="00A877FD"/>
    <w:rsid w:val="00A9052C"/>
    <w:rsid w:val="00A9126A"/>
    <w:rsid w:val="00A919B8"/>
    <w:rsid w:val="00A91A3B"/>
    <w:rsid w:val="00A9387F"/>
    <w:rsid w:val="00A954BD"/>
    <w:rsid w:val="00A959C1"/>
    <w:rsid w:val="00A95AB4"/>
    <w:rsid w:val="00A96ABD"/>
    <w:rsid w:val="00A96FC1"/>
    <w:rsid w:val="00A97804"/>
    <w:rsid w:val="00AA16D2"/>
    <w:rsid w:val="00AA1FB9"/>
    <w:rsid w:val="00AA20D4"/>
    <w:rsid w:val="00AA2AEF"/>
    <w:rsid w:val="00AA35E7"/>
    <w:rsid w:val="00AA47D7"/>
    <w:rsid w:val="00AA4876"/>
    <w:rsid w:val="00AA603D"/>
    <w:rsid w:val="00AA67B1"/>
    <w:rsid w:val="00AA6F2E"/>
    <w:rsid w:val="00AA7BF6"/>
    <w:rsid w:val="00AB04F6"/>
    <w:rsid w:val="00AB0755"/>
    <w:rsid w:val="00AB1F08"/>
    <w:rsid w:val="00AB210F"/>
    <w:rsid w:val="00AB378B"/>
    <w:rsid w:val="00AB3A7D"/>
    <w:rsid w:val="00AB4731"/>
    <w:rsid w:val="00AB4CDC"/>
    <w:rsid w:val="00AB5998"/>
    <w:rsid w:val="00AB5E14"/>
    <w:rsid w:val="00AB6D0E"/>
    <w:rsid w:val="00AB72AE"/>
    <w:rsid w:val="00AB74B1"/>
    <w:rsid w:val="00AB788A"/>
    <w:rsid w:val="00AC061D"/>
    <w:rsid w:val="00AC1D2D"/>
    <w:rsid w:val="00AC2791"/>
    <w:rsid w:val="00AC3874"/>
    <w:rsid w:val="00AC436C"/>
    <w:rsid w:val="00AC472C"/>
    <w:rsid w:val="00AC4CE3"/>
    <w:rsid w:val="00AC5A04"/>
    <w:rsid w:val="00AC649C"/>
    <w:rsid w:val="00AC6CF5"/>
    <w:rsid w:val="00AC6E7B"/>
    <w:rsid w:val="00AC7039"/>
    <w:rsid w:val="00AC781A"/>
    <w:rsid w:val="00AD0AFD"/>
    <w:rsid w:val="00AD195B"/>
    <w:rsid w:val="00AD19BD"/>
    <w:rsid w:val="00AD5871"/>
    <w:rsid w:val="00AD736D"/>
    <w:rsid w:val="00AE0921"/>
    <w:rsid w:val="00AE180A"/>
    <w:rsid w:val="00AE2984"/>
    <w:rsid w:val="00AE31BB"/>
    <w:rsid w:val="00AE3B8F"/>
    <w:rsid w:val="00AE4376"/>
    <w:rsid w:val="00AE5601"/>
    <w:rsid w:val="00AE674B"/>
    <w:rsid w:val="00AE67FC"/>
    <w:rsid w:val="00AE71D5"/>
    <w:rsid w:val="00AE7EB2"/>
    <w:rsid w:val="00AF08F9"/>
    <w:rsid w:val="00AF096E"/>
    <w:rsid w:val="00AF0D88"/>
    <w:rsid w:val="00AF206A"/>
    <w:rsid w:val="00AF2AD1"/>
    <w:rsid w:val="00AF319F"/>
    <w:rsid w:val="00AF410A"/>
    <w:rsid w:val="00AF4316"/>
    <w:rsid w:val="00AF4AC8"/>
    <w:rsid w:val="00AF4C83"/>
    <w:rsid w:val="00AF5772"/>
    <w:rsid w:val="00AF5FA9"/>
    <w:rsid w:val="00AF630D"/>
    <w:rsid w:val="00AF6DB2"/>
    <w:rsid w:val="00AF6E87"/>
    <w:rsid w:val="00AF7615"/>
    <w:rsid w:val="00AF7D93"/>
    <w:rsid w:val="00B00152"/>
    <w:rsid w:val="00B00171"/>
    <w:rsid w:val="00B00407"/>
    <w:rsid w:val="00B00732"/>
    <w:rsid w:val="00B01948"/>
    <w:rsid w:val="00B024F2"/>
    <w:rsid w:val="00B0277F"/>
    <w:rsid w:val="00B030B6"/>
    <w:rsid w:val="00B03120"/>
    <w:rsid w:val="00B03C2B"/>
    <w:rsid w:val="00B041F6"/>
    <w:rsid w:val="00B044D0"/>
    <w:rsid w:val="00B046C0"/>
    <w:rsid w:val="00B0528F"/>
    <w:rsid w:val="00B06C95"/>
    <w:rsid w:val="00B10883"/>
    <w:rsid w:val="00B11AD4"/>
    <w:rsid w:val="00B13116"/>
    <w:rsid w:val="00B13BB4"/>
    <w:rsid w:val="00B15796"/>
    <w:rsid w:val="00B15C29"/>
    <w:rsid w:val="00B16FF5"/>
    <w:rsid w:val="00B20BC2"/>
    <w:rsid w:val="00B22668"/>
    <w:rsid w:val="00B23C06"/>
    <w:rsid w:val="00B259D6"/>
    <w:rsid w:val="00B2625D"/>
    <w:rsid w:val="00B27443"/>
    <w:rsid w:val="00B300D3"/>
    <w:rsid w:val="00B30A5F"/>
    <w:rsid w:val="00B312CC"/>
    <w:rsid w:val="00B31BC6"/>
    <w:rsid w:val="00B3237F"/>
    <w:rsid w:val="00B326D5"/>
    <w:rsid w:val="00B3392A"/>
    <w:rsid w:val="00B33AB6"/>
    <w:rsid w:val="00B33EF5"/>
    <w:rsid w:val="00B3400E"/>
    <w:rsid w:val="00B34569"/>
    <w:rsid w:val="00B349AB"/>
    <w:rsid w:val="00B34A79"/>
    <w:rsid w:val="00B34B5F"/>
    <w:rsid w:val="00B3543D"/>
    <w:rsid w:val="00B360D6"/>
    <w:rsid w:val="00B36D27"/>
    <w:rsid w:val="00B37691"/>
    <w:rsid w:val="00B37817"/>
    <w:rsid w:val="00B409BF"/>
    <w:rsid w:val="00B4136E"/>
    <w:rsid w:val="00B4223A"/>
    <w:rsid w:val="00B42BF3"/>
    <w:rsid w:val="00B43461"/>
    <w:rsid w:val="00B43B83"/>
    <w:rsid w:val="00B44224"/>
    <w:rsid w:val="00B44638"/>
    <w:rsid w:val="00B4670C"/>
    <w:rsid w:val="00B4764A"/>
    <w:rsid w:val="00B47926"/>
    <w:rsid w:val="00B47D47"/>
    <w:rsid w:val="00B50455"/>
    <w:rsid w:val="00B51248"/>
    <w:rsid w:val="00B528FA"/>
    <w:rsid w:val="00B5290A"/>
    <w:rsid w:val="00B53334"/>
    <w:rsid w:val="00B546FC"/>
    <w:rsid w:val="00B5476C"/>
    <w:rsid w:val="00B54874"/>
    <w:rsid w:val="00B54C1C"/>
    <w:rsid w:val="00B55529"/>
    <w:rsid w:val="00B55632"/>
    <w:rsid w:val="00B55B06"/>
    <w:rsid w:val="00B55D2E"/>
    <w:rsid w:val="00B568BE"/>
    <w:rsid w:val="00B5705C"/>
    <w:rsid w:val="00B5754E"/>
    <w:rsid w:val="00B60CD1"/>
    <w:rsid w:val="00B60FCD"/>
    <w:rsid w:val="00B61CF9"/>
    <w:rsid w:val="00B63272"/>
    <w:rsid w:val="00B634A7"/>
    <w:rsid w:val="00B63578"/>
    <w:rsid w:val="00B637D5"/>
    <w:rsid w:val="00B653DD"/>
    <w:rsid w:val="00B6639D"/>
    <w:rsid w:val="00B6722D"/>
    <w:rsid w:val="00B67369"/>
    <w:rsid w:val="00B70105"/>
    <w:rsid w:val="00B701F0"/>
    <w:rsid w:val="00B7026D"/>
    <w:rsid w:val="00B704F2"/>
    <w:rsid w:val="00B708CC"/>
    <w:rsid w:val="00B70EFD"/>
    <w:rsid w:val="00B724CE"/>
    <w:rsid w:val="00B74516"/>
    <w:rsid w:val="00B7581D"/>
    <w:rsid w:val="00B75B93"/>
    <w:rsid w:val="00B76DF2"/>
    <w:rsid w:val="00B81F7E"/>
    <w:rsid w:val="00B823CE"/>
    <w:rsid w:val="00B83AD7"/>
    <w:rsid w:val="00B84FBE"/>
    <w:rsid w:val="00B85514"/>
    <w:rsid w:val="00B85C7D"/>
    <w:rsid w:val="00B85E27"/>
    <w:rsid w:val="00B87900"/>
    <w:rsid w:val="00B8791B"/>
    <w:rsid w:val="00B879C6"/>
    <w:rsid w:val="00B87A0E"/>
    <w:rsid w:val="00B90327"/>
    <w:rsid w:val="00B90673"/>
    <w:rsid w:val="00B91A2D"/>
    <w:rsid w:val="00B91BAE"/>
    <w:rsid w:val="00B91BBB"/>
    <w:rsid w:val="00B920DA"/>
    <w:rsid w:val="00B9286E"/>
    <w:rsid w:val="00B928B9"/>
    <w:rsid w:val="00B929ED"/>
    <w:rsid w:val="00B92CC4"/>
    <w:rsid w:val="00B931E8"/>
    <w:rsid w:val="00B934E1"/>
    <w:rsid w:val="00B938F1"/>
    <w:rsid w:val="00B93F1B"/>
    <w:rsid w:val="00B94386"/>
    <w:rsid w:val="00B945DC"/>
    <w:rsid w:val="00B95023"/>
    <w:rsid w:val="00B96268"/>
    <w:rsid w:val="00B96F76"/>
    <w:rsid w:val="00B97897"/>
    <w:rsid w:val="00B97DFF"/>
    <w:rsid w:val="00BA0D6D"/>
    <w:rsid w:val="00BA0F80"/>
    <w:rsid w:val="00BA1E59"/>
    <w:rsid w:val="00BA325A"/>
    <w:rsid w:val="00BA464C"/>
    <w:rsid w:val="00BA5100"/>
    <w:rsid w:val="00BA64EC"/>
    <w:rsid w:val="00BA6CB7"/>
    <w:rsid w:val="00BA7473"/>
    <w:rsid w:val="00BA78A9"/>
    <w:rsid w:val="00BB06F1"/>
    <w:rsid w:val="00BB0821"/>
    <w:rsid w:val="00BB0F61"/>
    <w:rsid w:val="00BB1BA1"/>
    <w:rsid w:val="00BB1C14"/>
    <w:rsid w:val="00BB237E"/>
    <w:rsid w:val="00BB242A"/>
    <w:rsid w:val="00BB2C61"/>
    <w:rsid w:val="00BB2CF5"/>
    <w:rsid w:val="00BB3731"/>
    <w:rsid w:val="00BB4ADD"/>
    <w:rsid w:val="00BB4D36"/>
    <w:rsid w:val="00BC0185"/>
    <w:rsid w:val="00BC06B9"/>
    <w:rsid w:val="00BC0D72"/>
    <w:rsid w:val="00BC0E3F"/>
    <w:rsid w:val="00BC1F51"/>
    <w:rsid w:val="00BC2992"/>
    <w:rsid w:val="00BC2A40"/>
    <w:rsid w:val="00BC41AD"/>
    <w:rsid w:val="00BC46FD"/>
    <w:rsid w:val="00BC4B48"/>
    <w:rsid w:val="00BC4C86"/>
    <w:rsid w:val="00BC539D"/>
    <w:rsid w:val="00BC7735"/>
    <w:rsid w:val="00BD046C"/>
    <w:rsid w:val="00BD09CF"/>
    <w:rsid w:val="00BD114A"/>
    <w:rsid w:val="00BD168D"/>
    <w:rsid w:val="00BD17D4"/>
    <w:rsid w:val="00BD1999"/>
    <w:rsid w:val="00BD1AF1"/>
    <w:rsid w:val="00BD1E7C"/>
    <w:rsid w:val="00BD2429"/>
    <w:rsid w:val="00BD2489"/>
    <w:rsid w:val="00BD325F"/>
    <w:rsid w:val="00BD393A"/>
    <w:rsid w:val="00BD3BC7"/>
    <w:rsid w:val="00BD4CA6"/>
    <w:rsid w:val="00BD4F24"/>
    <w:rsid w:val="00BD581E"/>
    <w:rsid w:val="00BD5E04"/>
    <w:rsid w:val="00BD6039"/>
    <w:rsid w:val="00BD6267"/>
    <w:rsid w:val="00BD694F"/>
    <w:rsid w:val="00BD7490"/>
    <w:rsid w:val="00BE0816"/>
    <w:rsid w:val="00BE1A9F"/>
    <w:rsid w:val="00BE2113"/>
    <w:rsid w:val="00BE24C6"/>
    <w:rsid w:val="00BE2B53"/>
    <w:rsid w:val="00BE2C8F"/>
    <w:rsid w:val="00BE4530"/>
    <w:rsid w:val="00BE4697"/>
    <w:rsid w:val="00BE46CF"/>
    <w:rsid w:val="00BE4EF4"/>
    <w:rsid w:val="00BE54EA"/>
    <w:rsid w:val="00BE5D05"/>
    <w:rsid w:val="00BE62FE"/>
    <w:rsid w:val="00BE7D8B"/>
    <w:rsid w:val="00BF0461"/>
    <w:rsid w:val="00BF050E"/>
    <w:rsid w:val="00BF0ACE"/>
    <w:rsid w:val="00BF0D68"/>
    <w:rsid w:val="00BF1566"/>
    <w:rsid w:val="00BF26FA"/>
    <w:rsid w:val="00BF2D73"/>
    <w:rsid w:val="00BF33E3"/>
    <w:rsid w:val="00BF3BFC"/>
    <w:rsid w:val="00BF3E42"/>
    <w:rsid w:val="00BF4281"/>
    <w:rsid w:val="00BF4649"/>
    <w:rsid w:val="00BF48AC"/>
    <w:rsid w:val="00BF55B3"/>
    <w:rsid w:val="00BF6BFF"/>
    <w:rsid w:val="00C00AAD"/>
    <w:rsid w:val="00C01197"/>
    <w:rsid w:val="00C01EDB"/>
    <w:rsid w:val="00C02166"/>
    <w:rsid w:val="00C02568"/>
    <w:rsid w:val="00C0283B"/>
    <w:rsid w:val="00C02A4D"/>
    <w:rsid w:val="00C02B44"/>
    <w:rsid w:val="00C02F3D"/>
    <w:rsid w:val="00C0307C"/>
    <w:rsid w:val="00C033BA"/>
    <w:rsid w:val="00C03F97"/>
    <w:rsid w:val="00C0535A"/>
    <w:rsid w:val="00C05E59"/>
    <w:rsid w:val="00C06BF9"/>
    <w:rsid w:val="00C1296A"/>
    <w:rsid w:val="00C12C36"/>
    <w:rsid w:val="00C12FC1"/>
    <w:rsid w:val="00C14241"/>
    <w:rsid w:val="00C14346"/>
    <w:rsid w:val="00C1751F"/>
    <w:rsid w:val="00C2023C"/>
    <w:rsid w:val="00C205A2"/>
    <w:rsid w:val="00C20F2B"/>
    <w:rsid w:val="00C224F3"/>
    <w:rsid w:val="00C24517"/>
    <w:rsid w:val="00C270E6"/>
    <w:rsid w:val="00C271D8"/>
    <w:rsid w:val="00C27905"/>
    <w:rsid w:val="00C30138"/>
    <w:rsid w:val="00C30959"/>
    <w:rsid w:val="00C30B49"/>
    <w:rsid w:val="00C30E1A"/>
    <w:rsid w:val="00C3186B"/>
    <w:rsid w:val="00C32757"/>
    <w:rsid w:val="00C3314E"/>
    <w:rsid w:val="00C3392B"/>
    <w:rsid w:val="00C33A2C"/>
    <w:rsid w:val="00C33C61"/>
    <w:rsid w:val="00C345A5"/>
    <w:rsid w:val="00C349A3"/>
    <w:rsid w:val="00C361F0"/>
    <w:rsid w:val="00C36425"/>
    <w:rsid w:val="00C36CD5"/>
    <w:rsid w:val="00C36F74"/>
    <w:rsid w:val="00C422A3"/>
    <w:rsid w:val="00C43127"/>
    <w:rsid w:val="00C43494"/>
    <w:rsid w:val="00C46FFF"/>
    <w:rsid w:val="00C47BFF"/>
    <w:rsid w:val="00C50A93"/>
    <w:rsid w:val="00C5128A"/>
    <w:rsid w:val="00C5221F"/>
    <w:rsid w:val="00C5316F"/>
    <w:rsid w:val="00C53582"/>
    <w:rsid w:val="00C5362B"/>
    <w:rsid w:val="00C55C75"/>
    <w:rsid w:val="00C55F8D"/>
    <w:rsid w:val="00C560C1"/>
    <w:rsid w:val="00C604A6"/>
    <w:rsid w:val="00C61547"/>
    <w:rsid w:val="00C61605"/>
    <w:rsid w:val="00C62EA4"/>
    <w:rsid w:val="00C63B2F"/>
    <w:rsid w:val="00C64709"/>
    <w:rsid w:val="00C65DB9"/>
    <w:rsid w:val="00C679BB"/>
    <w:rsid w:val="00C67FDE"/>
    <w:rsid w:val="00C7283E"/>
    <w:rsid w:val="00C72B5E"/>
    <w:rsid w:val="00C730AA"/>
    <w:rsid w:val="00C735C3"/>
    <w:rsid w:val="00C738D6"/>
    <w:rsid w:val="00C73C0F"/>
    <w:rsid w:val="00C75275"/>
    <w:rsid w:val="00C76A52"/>
    <w:rsid w:val="00C76E1A"/>
    <w:rsid w:val="00C77196"/>
    <w:rsid w:val="00C8127D"/>
    <w:rsid w:val="00C81300"/>
    <w:rsid w:val="00C81EC8"/>
    <w:rsid w:val="00C82E17"/>
    <w:rsid w:val="00C837F0"/>
    <w:rsid w:val="00C839AD"/>
    <w:rsid w:val="00C83C78"/>
    <w:rsid w:val="00C84737"/>
    <w:rsid w:val="00C85715"/>
    <w:rsid w:val="00C85C9F"/>
    <w:rsid w:val="00C866E9"/>
    <w:rsid w:val="00C86822"/>
    <w:rsid w:val="00C87FE1"/>
    <w:rsid w:val="00C90330"/>
    <w:rsid w:val="00C906AB"/>
    <w:rsid w:val="00C90AB2"/>
    <w:rsid w:val="00C90C92"/>
    <w:rsid w:val="00C9120C"/>
    <w:rsid w:val="00C912F6"/>
    <w:rsid w:val="00C92445"/>
    <w:rsid w:val="00C924A5"/>
    <w:rsid w:val="00C966D5"/>
    <w:rsid w:val="00C96936"/>
    <w:rsid w:val="00CA0B81"/>
    <w:rsid w:val="00CA1323"/>
    <w:rsid w:val="00CA1345"/>
    <w:rsid w:val="00CA188A"/>
    <w:rsid w:val="00CA2871"/>
    <w:rsid w:val="00CA2C55"/>
    <w:rsid w:val="00CA3C00"/>
    <w:rsid w:val="00CA3CC9"/>
    <w:rsid w:val="00CA4569"/>
    <w:rsid w:val="00CA47F6"/>
    <w:rsid w:val="00CA4AF4"/>
    <w:rsid w:val="00CA4C5E"/>
    <w:rsid w:val="00CA4DBC"/>
    <w:rsid w:val="00CA5291"/>
    <w:rsid w:val="00CA530C"/>
    <w:rsid w:val="00CA605B"/>
    <w:rsid w:val="00CA63AD"/>
    <w:rsid w:val="00CA6C0D"/>
    <w:rsid w:val="00CA716F"/>
    <w:rsid w:val="00CA777F"/>
    <w:rsid w:val="00CA779C"/>
    <w:rsid w:val="00CA791C"/>
    <w:rsid w:val="00CA7AA6"/>
    <w:rsid w:val="00CB05BD"/>
    <w:rsid w:val="00CB1FEC"/>
    <w:rsid w:val="00CB3FA6"/>
    <w:rsid w:val="00CB3FB2"/>
    <w:rsid w:val="00CB441D"/>
    <w:rsid w:val="00CB4694"/>
    <w:rsid w:val="00CB4B69"/>
    <w:rsid w:val="00CB5085"/>
    <w:rsid w:val="00CB52EE"/>
    <w:rsid w:val="00CB5306"/>
    <w:rsid w:val="00CB5D46"/>
    <w:rsid w:val="00CB6412"/>
    <w:rsid w:val="00CC29CF"/>
    <w:rsid w:val="00CC3636"/>
    <w:rsid w:val="00CC4304"/>
    <w:rsid w:val="00CC4626"/>
    <w:rsid w:val="00CC53C2"/>
    <w:rsid w:val="00CC5402"/>
    <w:rsid w:val="00CC57C6"/>
    <w:rsid w:val="00CC62B0"/>
    <w:rsid w:val="00CC631E"/>
    <w:rsid w:val="00CC6411"/>
    <w:rsid w:val="00CC74F3"/>
    <w:rsid w:val="00CC76EB"/>
    <w:rsid w:val="00CC7825"/>
    <w:rsid w:val="00CD04D9"/>
    <w:rsid w:val="00CD150C"/>
    <w:rsid w:val="00CD19E4"/>
    <w:rsid w:val="00CD23B4"/>
    <w:rsid w:val="00CD275F"/>
    <w:rsid w:val="00CD3948"/>
    <w:rsid w:val="00CD530D"/>
    <w:rsid w:val="00CD5D37"/>
    <w:rsid w:val="00CD71C5"/>
    <w:rsid w:val="00CD760B"/>
    <w:rsid w:val="00CD7657"/>
    <w:rsid w:val="00CE0B7B"/>
    <w:rsid w:val="00CE170F"/>
    <w:rsid w:val="00CE1CC5"/>
    <w:rsid w:val="00CE32D4"/>
    <w:rsid w:val="00CE4405"/>
    <w:rsid w:val="00CE4491"/>
    <w:rsid w:val="00CE474E"/>
    <w:rsid w:val="00CE55CE"/>
    <w:rsid w:val="00CE606E"/>
    <w:rsid w:val="00CE7E25"/>
    <w:rsid w:val="00CF0526"/>
    <w:rsid w:val="00CF1035"/>
    <w:rsid w:val="00CF1E4C"/>
    <w:rsid w:val="00CF200F"/>
    <w:rsid w:val="00CF2263"/>
    <w:rsid w:val="00CF2554"/>
    <w:rsid w:val="00CF2D86"/>
    <w:rsid w:val="00CF3B88"/>
    <w:rsid w:val="00CF3DC6"/>
    <w:rsid w:val="00CF41B1"/>
    <w:rsid w:val="00CF4636"/>
    <w:rsid w:val="00CF5169"/>
    <w:rsid w:val="00CF5652"/>
    <w:rsid w:val="00CF5E0F"/>
    <w:rsid w:val="00CF653E"/>
    <w:rsid w:val="00CF7E78"/>
    <w:rsid w:val="00D005DD"/>
    <w:rsid w:val="00D00C95"/>
    <w:rsid w:val="00D00E5A"/>
    <w:rsid w:val="00D017AF"/>
    <w:rsid w:val="00D03043"/>
    <w:rsid w:val="00D0304F"/>
    <w:rsid w:val="00D0328B"/>
    <w:rsid w:val="00D03F70"/>
    <w:rsid w:val="00D04B70"/>
    <w:rsid w:val="00D05424"/>
    <w:rsid w:val="00D054AD"/>
    <w:rsid w:val="00D058A2"/>
    <w:rsid w:val="00D05D4E"/>
    <w:rsid w:val="00D0687A"/>
    <w:rsid w:val="00D06902"/>
    <w:rsid w:val="00D06FAC"/>
    <w:rsid w:val="00D0741E"/>
    <w:rsid w:val="00D07A33"/>
    <w:rsid w:val="00D07EDF"/>
    <w:rsid w:val="00D10694"/>
    <w:rsid w:val="00D10819"/>
    <w:rsid w:val="00D118DE"/>
    <w:rsid w:val="00D12174"/>
    <w:rsid w:val="00D121DF"/>
    <w:rsid w:val="00D1247E"/>
    <w:rsid w:val="00D12AEF"/>
    <w:rsid w:val="00D13265"/>
    <w:rsid w:val="00D14216"/>
    <w:rsid w:val="00D14A06"/>
    <w:rsid w:val="00D15B83"/>
    <w:rsid w:val="00D15E73"/>
    <w:rsid w:val="00D16421"/>
    <w:rsid w:val="00D17420"/>
    <w:rsid w:val="00D177ED"/>
    <w:rsid w:val="00D17E52"/>
    <w:rsid w:val="00D21570"/>
    <w:rsid w:val="00D21B3B"/>
    <w:rsid w:val="00D21C79"/>
    <w:rsid w:val="00D220C2"/>
    <w:rsid w:val="00D2337A"/>
    <w:rsid w:val="00D23508"/>
    <w:rsid w:val="00D23D90"/>
    <w:rsid w:val="00D24362"/>
    <w:rsid w:val="00D24CA4"/>
    <w:rsid w:val="00D25C45"/>
    <w:rsid w:val="00D26356"/>
    <w:rsid w:val="00D26529"/>
    <w:rsid w:val="00D27A46"/>
    <w:rsid w:val="00D3076D"/>
    <w:rsid w:val="00D308C6"/>
    <w:rsid w:val="00D312F7"/>
    <w:rsid w:val="00D31620"/>
    <w:rsid w:val="00D32A2E"/>
    <w:rsid w:val="00D3322A"/>
    <w:rsid w:val="00D337DE"/>
    <w:rsid w:val="00D339D5"/>
    <w:rsid w:val="00D33EB0"/>
    <w:rsid w:val="00D34495"/>
    <w:rsid w:val="00D34672"/>
    <w:rsid w:val="00D351DD"/>
    <w:rsid w:val="00D35AA8"/>
    <w:rsid w:val="00D37192"/>
    <w:rsid w:val="00D371E3"/>
    <w:rsid w:val="00D411D5"/>
    <w:rsid w:val="00D41895"/>
    <w:rsid w:val="00D424A6"/>
    <w:rsid w:val="00D432AD"/>
    <w:rsid w:val="00D441F6"/>
    <w:rsid w:val="00D46136"/>
    <w:rsid w:val="00D46529"/>
    <w:rsid w:val="00D467A2"/>
    <w:rsid w:val="00D46FD9"/>
    <w:rsid w:val="00D513D2"/>
    <w:rsid w:val="00D52607"/>
    <w:rsid w:val="00D5384D"/>
    <w:rsid w:val="00D53BF9"/>
    <w:rsid w:val="00D54053"/>
    <w:rsid w:val="00D55230"/>
    <w:rsid w:val="00D55325"/>
    <w:rsid w:val="00D55B01"/>
    <w:rsid w:val="00D55CC5"/>
    <w:rsid w:val="00D560C1"/>
    <w:rsid w:val="00D565F4"/>
    <w:rsid w:val="00D601CB"/>
    <w:rsid w:val="00D614D4"/>
    <w:rsid w:val="00D616F7"/>
    <w:rsid w:val="00D6385E"/>
    <w:rsid w:val="00D63A48"/>
    <w:rsid w:val="00D64B44"/>
    <w:rsid w:val="00D65182"/>
    <w:rsid w:val="00D654C7"/>
    <w:rsid w:val="00D65B1F"/>
    <w:rsid w:val="00D6694D"/>
    <w:rsid w:val="00D67D4D"/>
    <w:rsid w:val="00D7014E"/>
    <w:rsid w:val="00D72FB5"/>
    <w:rsid w:val="00D73214"/>
    <w:rsid w:val="00D73759"/>
    <w:rsid w:val="00D73C3D"/>
    <w:rsid w:val="00D73ED1"/>
    <w:rsid w:val="00D7621A"/>
    <w:rsid w:val="00D76C79"/>
    <w:rsid w:val="00D779B1"/>
    <w:rsid w:val="00D80964"/>
    <w:rsid w:val="00D81AEC"/>
    <w:rsid w:val="00D81F43"/>
    <w:rsid w:val="00D84A18"/>
    <w:rsid w:val="00D84D44"/>
    <w:rsid w:val="00D8619C"/>
    <w:rsid w:val="00D86448"/>
    <w:rsid w:val="00D86E92"/>
    <w:rsid w:val="00D86F6D"/>
    <w:rsid w:val="00D86FD9"/>
    <w:rsid w:val="00D87B16"/>
    <w:rsid w:val="00D87C70"/>
    <w:rsid w:val="00D87F9B"/>
    <w:rsid w:val="00D91BA4"/>
    <w:rsid w:val="00D938E6"/>
    <w:rsid w:val="00D93EB6"/>
    <w:rsid w:val="00D95316"/>
    <w:rsid w:val="00D976FA"/>
    <w:rsid w:val="00DA16C6"/>
    <w:rsid w:val="00DA2647"/>
    <w:rsid w:val="00DA2C4F"/>
    <w:rsid w:val="00DA2EB0"/>
    <w:rsid w:val="00DA3C51"/>
    <w:rsid w:val="00DA3FD2"/>
    <w:rsid w:val="00DA423D"/>
    <w:rsid w:val="00DA4EAA"/>
    <w:rsid w:val="00DA5D84"/>
    <w:rsid w:val="00DA5DC3"/>
    <w:rsid w:val="00DA7AA8"/>
    <w:rsid w:val="00DA7B1F"/>
    <w:rsid w:val="00DB0A59"/>
    <w:rsid w:val="00DB137A"/>
    <w:rsid w:val="00DB1812"/>
    <w:rsid w:val="00DB1FE2"/>
    <w:rsid w:val="00DB272F"/>
    <w:rsid w:val="00DB2BFB"/>
    <w:rsid w:val="00DB2DA6"/>
    <w:rsid w:val="00DB37BD"/>
    <w:rsid w:val="00DB55F5"/>
    <w:rsid w:val="00DB56EC"/>
    <w:rsid w:val="00DB630C"/>
    <w:rsid w:val="00DB6EC8"/>
    <w:rsid w:val="00DB768C"/>
    <w:rsid w:val="00DB7FA2"/>
    <w:rsid w:val="00DC2150"/>
    <w:rsid w:val="00DC4252"/>
    <w:rsid w:val="00DC49B8"/>
    <w:rsid w:val="00DC536B"/>
    <w:rsid w:val="00DC6233"/>
    <w:rsid w:val="00DC6669"/>
    <w:rsid w:val="00DC7107"/>
    <w:rsid w:val="00DC7711"/>
    <w:rsid w:val="00DD0677"/>
    <w:rsid w:val="00DD0857"/>
    <w:rsid w:val="00DD27D3"/>
    <w:rsid w:val="00DD2AE7"/>
    <w:rsid w:val="00DD2D50"/>
    <w:rsid w:val="00DD3525"/>
    <w:rsid w:val="00DD387E"/>
    <w:rsid w:val="00DD3F40"/>
    <w:rsid w:val="00DD4193"/>
    <w:rsid w:val="00DD41F7"/>
    <w:rsid w:val="00DD48BE"/>
    <w:rsid w:val="00DD4950"/>
    <w:rsid w:val="00DD5FCE"/>
    <w:rsid w:val="00DD6250"/>
    <w:rsid w:val="00DD6A03"/>
    <w:rsid w:val="00DD7C14"/>
    <w:rsid w:val="00DD7D3D"/>
    <w:rsid w:val="00DE03BB"/>
    <w:rsid w:val="00DE04A9"/>
    <w:rsid w:val="00DE1B6A"/>
    <w:rsid w:val="00DE1DD4"/>
    <w:rsid w:val="00DE291C"/>
    <w:rsid w:val="00DE2CCE"/>
    <w:rsid w:val="00DE3D06"/>
    <w:rsid w:val="00DE4297"/>
    <w:rsid w:val="00DE4AEE"/>
    <w:rsid w:val="00DE4ECE"/>
    <w:rsid w:val="00DE5F37"/>
    <w:rsid w:val="00DE5FB9"/>
    <w:rsid w:val="00DE65DF"/>
    <w:rsid w:val="00DE67F9"/>
    <w:rsid w:val="00DE75A1"/>
    <w:rsid w:val="00DF029D"/>
    <w:rsid w:val="00DF08AB"/>
    <w:rsid w:val="00DF09F9"/>
    <w:rsid w:val="00DF1214"/>
    <w:rsid w:val="00DF2647"/>
    <w:rsid w:val="00DF3710"/>
    <w:rsid w:val="00DF3AA4"/>
    <w:rsid w:val="00DF3E55"/>
    <w:rsid w:val="00DF48B5"/>
    <w:rsid w:val="00DF4915"/>
    <w:rsid w:val="00DF5C07"/>
    <w:rsid w:val="00DF5FDE"/>
    <w:rsid w:val="00DF6C30"/>
    <w:rsid w:val="00DF6EC1"/>
    <w:rsid w:val="00DF7240"/>
    <w:rsid w:val="00DF76D0"/>
    <w:rsid w:val="00DF7C1C"/>
    <w:rsid w:val="00E006A4"/>
    <w:rsid w:val="00E0079E"/>
    <w:rsid w:val="00E00E2A"/>
    <w:rsid w:val="00E0269F"/>
    <w:rsid w:val="00E02CE9"/>
    <w:rsid w:val="00E04B04"/>
    <w:rsid w:val="00E0510D"/>
    <w:rsid w:val="00E05311"/>
    <w:rsid w:val="00E0532E"/>
    <w:rsid w:val="00E0617D"/>
    <w:rsid w:val="00E06603"/>
    <w:rsid w:val="00E06731"/>
    <w:rsid w:val="00E06BCA"/>
    <w:rsid w:val="00E07763"/>
    <w:rsid w:val="00E07A25"/>
    <w:rsid w:val="00E07A51"/>
    <w:rsid w:val="00E07ABE"/>
    <w:rsid w:val="00E1006E"/>
    <w:rsid w:val="00E10323"/>
    <w:rsid w:val="00E113B7"/>
    <w:rsid w:val="00E13E54"/>
    <w:rsid w:val="00E13F1A"/>
    <w:rsid w:val="00E14163"/>
    <w:rsid w:val="00E141C8"/>
    <w:rsid w:val="00E14939"/>
    <w:rsid w:val="00E1620B"/>
    <w:rsid w:val="00E16992"/>
    <w:rsid w:val="00E16D2A"/>
    <w:rsid w:val="00E16F4E"/>
    <w:rsid w:val="00E17275"/>
    <w:rsid w:val="00E17761"/>
    <w:rsid w:val="00E17C0F"/>
    <w:rsid w:val="00E20F6D"/>
    <w:rsid w:val="00E243C1"/>
    <w:rsid w:val="00E2477D"/>
    <w:rsid w:val="00E25B0A"/>
    <w:rsid w:val="00E25FB0"/>
    <w:rsid w:val="00E273C2"/>
    <w:rsid w:val="00E27837"/>
    <w:rsid w:val="00E27FF2"/>
    <w:rsid w:val="00E30919"/>
    <w:rsid w:val="00E31A8C"/>
    <w:rsid w:val="00E31FB0"/>
    <w:rsid w:val="00E32E60"/>
    <w:rsid w:val="00E33C70"/>
    <w:rsid w:val="00E33F3C"/>
    <w:rsid w:val="00E342B4"/>
    <w:rsid w:val="00E35362"/>
    <w:rsid w:val="00E364E3"/>
    <w:rsid w:val="00E3702A"/>
    <w:rsid w:val="00E3788E"/>
    <w:rsid w:val="00E41B9E"/>
    <w:rsid w:val="00E42A25"/>
    <w:rsid w:val="00E432E1"/>
    <w:rsid w:val="00E437EC"/>
    <w:rsid w:val="00E43886"/>
    <w:rsid w:val="00E45080"/>
    <w:rsid w:val="00E45BF7"/>
    <w:rsid w:val="00E45CA0"/>
    <w:rsid w:val="00E46434"/>
    <w:rsid w:val="00E46D92"/>
    <w:rsid w:val="00E471D1"/>
    <w:rsid w:val="00E47796"/>
    <w:rsid w:val="00E47D7F"/>
    <w:rsid w:val="00E503FF"/>
    <w:rsid w:val="00E54005"/>
    <w:rsid w:val="00E54317"/>
    <w:rsid w:val="00E547AF"/>
    <w:rsid w:val="00E54C6F"/>
    <w:rsid w:val="00E558FD"/>
    <w:rsid w:val="00E5665A"/>
    <w:rsid w:val="00E573C1"/>
    <w:rsid w:val="00E573F9"/>
    <w:rsid w:val="00E577A0"/>
    <w:rsid w:val="00E57D32"/>
    <w:rsid w:val="00E57DE4"/>
    <w:rsid w:val="00E613B9"/>
    <w:rsid w:val="00E61B0D"/>
    <w:rsid w:val="00E628C0"/>
    <w:rsid w:val="00E62DD0"/>
    <w:rsid w:val="00E63603"/>
    <w:rsid w:val="00E65693"/>
    <w:rsid w:val="00E659E3"/>
    <w:rsid w:val="00E65BA6"/>
    <w:rsid w:val="00E6609F"/>
    <w:rsid w:val="00E6676E"/>
    <w:rsid w:val="00E66CF2"/>
    <w:rsid w:val="00E67366"/>
    <w:rsid w:val="00E67446"/>
    <w:rsid w:val="00E72381"/>
    <w:rsid w:val="00E7685E"/>
    <w:rsid w:val="00E7759D"/>
    <w:rsid w:val="00E7791E"/>
    <w:rsid w:val="00E77E6D"/>
    <w:rsid w:val="00E80B74"/>
    <w:rsid w:val="00E80EFE"/>
    <w:rsid w:val="00E81F08"/>
    <w:rsid w:val="00E820EB"/>
    <w:rsid w:val="00E839F1"/>
    <w:rsid w:val="00E84371"/>
    <w:rsid w:val="00E84F88"/>
    <w:rsid w:val="00E85960"/>
    <w:rsid w:val="00E866E6"/>
    <w:rsid w:val="00E86D5F"/>
    <w:rsid w:val="00E86D9D"/>
    <w:rsid w:val="00E9089F"/>
    <w:rsid w:val="00E91249"/>
    <w:rsid w:val="00E91725"/>
    <w:rsid w:val="00E9190E"/>
    <w:rsid w:val="00E919DF"/>
    <w:rsid w:val="00E95249"/>
    <w:rsid w:val="00E952CC"/>
    <w:rsid w:val="00E95B41"/>
    <w:rsid w:val="00E96214"/>
    <w:rsid w:val="00E963C5"/>
    <w:rsid w:val="00E966FF"/>
    <w:rsid w:val="00E96937"/>
    <w:rsid w:val="00E96A0F"/>
    <w:rsid w:val="00E9712E"/>
    <w:rsid w:val="00E9738E"/>
    <w:rsid w:val="00E97F2F"/>
    <w:rsid w:val="00EA050C"/>
    <w:rsid w:val="00EA155C"/>
    <w:rsid w:val="00EA1935"/>
    <w:rsid w:val="00EA19E4"/>
    <w:rsid w:val="00EA2C4B"/>
    <w:rsid w:val="00EA3429"/>
    <w:rsid w:val="00EA3BB2"/>
    <w:rsid w:val="00EA4428"/>
    <w:rsid w:val="00EA4AEA"/>
    <w:rsid w:val="00EA4E11"/>
    <w:rsid w:val="00EA5677"/>
    <w:rsid w:val="00EA64FF"/>
    <w:rsid w:val="00EA6CA1"/>
    <w:rsid w:val="00EA77EC"/>
    <w:rsid w:val="00EA7D49"/>
    <w:rsid w:val="00EB02B7"/>
    <w:rsid w:val="00EB0AD4"/>
    <w:rsid w:val="00EB2540"/>
    <w:rsid w:val="00EB2D18"/>
    <w:rsid w:val="00EB3BBA"/>
    <w:rsid w:val="00EB3D80"/>
    <w:rsid w:val="00EB443A"/>
    <w:rsid w:val="00EB46EA"/>
    <w:rsid w:val="00EB4948"/>
    <w:rsid w:val="00EB4FDE"/>
    <w:rsid w:val="00EB53AC"/>
    <w:rsid w:val="00EB6506"/>
    <w:rsid w:val="00EB650F"/>
    <w:rsid w:val="00EB7AC3"/>
    <w:rsid w:val="00EB7D04"/>
    <w:rsid w:val="00EC09F7"/>
    <w:rsid w:val="00EC1059"/>
    <w:rsid w:val="00EC1DFC"/>
    <w:rsid w:val="00EC2AF1"/>
    <w:rsid w:val="00EC2F99"/>
    <w:rsid w:val="00EC33CC"/>
    <w:rsid w:val="00EC351E"/>
    <w:rsid w:val="00EC4C6F"/>
    <w:rsid w:val="00EC4F56"/>
    <w:rsid w:val="00EC7409"/>
    <w:rsid w:val="00ED062D"/>
    <w:rsid w:val="00ED091A"/>
    <w:rsid w:val="00ED0A05"/>
    <w:rsid w:val="00ED0FC5"/>
    <w:rsid w:val="00ED1C9F"/>
    <w:rsid w:val="00ED1DAB"/>
    <w:rsid w:val="00ED208D"/>
    <w:rsid w:val="00ED20FF"/>
    <w:rsid w:val="00ED249E"/>
    <w:rsid w:val="00ED28F8"/>
    <w:rsid w:val="00ED44A3"/>
    <w:rsid w:val="00ED51E9"/>
    <w:rsid w:val="00ED5F2A"/>
    <w:rsid w:val="00ED78DE"/>
    <w:rsid w:val="00ED7E64"/>
    <w:rsid w:val="00EE2322"/>
    <w:rsid w:val="00EE343C"/>
    <w:rsid w:val="00EE4585"/>
    <w:rsid w:val="00EE4F80"/>
    <w:rsid w:val="00EE5084"/>
    <w:rsid w:val="00EE619C"/>
    <w:rsid w:val="00EE6D14"/>
    <w:rsid w:val="00EF08AC"/>
    <w:rsid w:val="00EF0D55"/>
    <w:rsid w:val="00EF154B"/>
    <w:rsid w:val="00EF255C"/>
    <w:rsid w:val="00EF3871"/>
    <w:rsid w:val="00EF3A80"/>
    <w:rsid w:val="00EF49EB"/>
    <w:rsid w:val="00EF4E83"/>
    <w:rsid w:val="00EF54E9"/>
    <w:rsid w:val="00EF5C2D"/>
    <w:rsid w:val="00EF6356"/>
    <w:rsid w:val="00EF6EDC"/>
    <w:rsid w:val="00F006CA"/>
    <w:rsid w:val="00F00A01"/>
    <w:rsid w:val="00F02F00"/>
    <w:rsid w:val="00F03240"/>
    <w:rsid w:val="00F03316"/>
    <w:rsid w:val="00F04205"/>
    <w:rsid w:val="00F044BC"/>
    <w:rsid w:val="00F05303"/>
    <w:rsid w:val="00F05B1E"/>
    <w:rsid w:val="00F05FD4"/>
    <w:rsid w:val="00F0692A"/>
    <w:rsid w:val="00F073F4"/>
    <w:rsid w:val="00F07C65"/>
    <w:rsid w:val="00F114A0"/>
    <w:rsid w:val="00F11F45"/>
    <w:rsid w:val="00F12895"/>
    <w:rsid w:val="00F13566"/>
    <w:rsid w:val="00F13ED9"/>
    <w:rsid w:val="00F14984"/>
    <w:rsid w:val="00F156BB"/>
    <w:rsid w:val="00F16455"/>
    <w:rsid w:val="00F169F6"/>
    <w:rsid w:val="00F17FE1"/>
    <w:rsid w:val="00F20086"/>
    <w:rsid w:val="00F20445"/>
    <w:rsid w:val="00F20FD8"/>
    <w:rsid w:val="00F21441"/>
    <w:rsid w:val="00F22EA6"/>
    <w:rsid w:val="00F23035"/>
    <w:rsid w:val="00F2335D"/>
    <w:rsid w:val="00F23443"/>
    <w:rsid w:val="00F23752"/>
    <w:rsid w:val="00F250AA"/>
    <w:rsid w:val="00F25A11"/>
    <w:rsid w:val="00F25EE0"/>
    <w:rsid w:val="00F26800"/>
    <w:rsid w:val="00F26BBB"/>
    <w:rsid w:val="00F26F95"/>
    <w:rsid w:val="00F27998"/>
    <w:rsid w:val="00F30C50"/>
    <w:rsid w:val="00F31DD1"/>
    <w:rsid w:val="00F31F83"/>
    <w:rsid w:val="00F32966"/>
    <w:rsid w:val="00F32F81"/>
    <w:rsid w:val="00F3339D"/>
    <w:rsid w:val="00F33EF2"/>
    <w:rsid w:val="00F353E2"/>
    <w:rsid w:val="00F356D9"/>
    <w:rsid w:val="00F35AD7"/>
    <w:rsid w:val="00F35BF9"/>
    <w:rsid w:val="00F35C2A"/>
    <w:rsid w:val="00F35CB4"/>
    <w:rsid w:val="00F35D74"/>
    <w:rsid w:val="00F363F7"/>
    <w:rsid w:val="00F369D3"/>
    <w:rsid w:val="00F36A7A"/>
    <w:rsid w:val="00F36F6B"/>
    <w:rsid w:val="00F36FF1"/>
    <w:rsid w:val="00F37349"/>
    <w:rsid w:val="00F401DA"/>
    <w:rsid w:val="00F40AFA"/>
    <w:rsid w:val="00F40E1E"/>
    <w:rsid w:val="00F41CB4"/>
    <w:rsid w:val="00F4261D"/>
    <w:rsid w:val="00F42BB4"/>
    <w:rsid w:val="00F43A96"/>
    <w:rsid w:val="00F43BC0"/>
    <w:rsid w:val="00F44C2C"/>
    <w:rsid w:val="00F44F9E"/>
    <w:rsid w:val="00F45E6F"/>
    <w:rsid w:val="00F45F7B"/>
    <w:rsid w:val="00F46053"/>
    <w:rsid w:val="00F50156"/>
    <w:rsid w:val="00F519FC"/>
    <w:rsid w:val="00F52C08"/>
    <w:rsid w:val="00F52DE9"/>
    <w:rsid w:val="00F54325"/>
    <w:rsid w:val="00F56139"/>
    <w:rsid w:val="00F56581"/>
    <w:rsid w:val="00F569D0"/>
    <w:rsid w:val="00F56E9E"/>
    <w:rsid w:val="00F57382"/>
    <w:rsid w:val="00F57924"/>
    <w:rsid w:val="00F6021C"/>
    <w:rsid w:val="00F60F5F"/>
    <w:rsid w:val="00F61050"/>
    <w:rsid w:val="00F633D7"/>
    <w:rsid w:val="00F64D8A"/>
    <w:rsid w:val="00F66434"/>
    <w:rsid w:val="00F66EA0"/>
    <w:rsid w:val="00F6737E"/>
    <w:rsid w:val="00F67435"/>
    <w:rsid w:val="00F67454"/>
    <w:rsid w:val="00F700AD"/>
    <w:rsid w:val="00F70407"/>
    <w:rsid w:val="00F7059B"/>
    <w:rsid w:val="00F70F0E"/>
    <w:rsid w:val="00F711D5"/>
    <w:rsid w:val="00F71E0B"/>
    <w:rsid w:val="00F727A3"/>
    <w:rsid w:val="00F72FC0"/>
    <w:rsid w:val="00F73919"/>
    <w:rsid w:val="00F74234"/>
    <w:rsid w:val="00F75E63"/>
    <w:rsid w:val="00F76E86"/>
    <w:rsid w:val="00F77159"/>
    <w:rsid w:val="00F80625"/>
    <w:rsid w:val="00F8137D"/>
    <w:rsid w:val="00F8165D"/>
    <w:rsid w:val="00F8192A"/>
    <w:rsid w:val="00F81AB0"/>
    <w:rsid w:val="00F81BF8"/>
    <w:rsid w:val="00F81D32"/>
    <w:rsid w:val="00F823E2"/>
    <w:rsid w:val="00F82506"/>
    <w:rsid w:val="00F833B3"/>
    <w:rsid w:val="00F838A9"/>
    <w:rsid w:val="00F8390E"/>
    <w:rsid w:val="00F852BB"/>
    <w:rsid w:val="00F869B7"/>
    <w:rsid w:val="00F9048F"/>
    <w:rsid w:val="00F90940"/>
    <w:rsid w:val="00F9133E"/>
    <w:rsid w:val="00F91620"/>
    <w:rsid w:val="00F918F1"/>
    <w:rsid w:val="00F9232A"/>
    <w:rsid w:val="00F9236E"/>
    <w:rsid w:val="00F92967"/>
    <w:rsid w:val="00F93266"/>
    <w:rsid w:val="00F93A98"/>
    <w:rsid w:val="00F94E9D"/>
    <w:rsid w:val="00F955CF"/>
    <w:rsid w:val="00F96211"/>
    <w:rsid w:val="00F96B88"/>
    <w:rsid w:val="00FA14DC"/>
    <w:rsid w:val="00FA321C"/>
    <w:rsid w:val="00FA3594"/>
    <w:rsid w:val="00FA35A2"/>
    <w:rsid w:val="00FA35F1"/>
    <w:rsid w:val="00FA37C0"/>
    <w:rsid w:val="00FA394A"/>
    <w:rsid w:val="00FA4C12"/>
    <w:rsid w:val="00FA6D8A"/>
    <w:rsid w:val="00FA7C2A"/>
    <w:rsid w:val="00FB11C5"/>
    <w:rsid w:val="00FB183A"/>
    <w:rsid w:val="00FB18CE"/>
    <w:rsid w:val="00FB1968"/>
    <w:rsid w:val="00FB2BBA"/>
    <w:rsid w:val="00FB5491"/>
    <w:rsid w:val="00FB58CE"/>
    <w:rsid w:val="00FB662A"/>
    <w:rsid w:val="00FB70EC"/>
    <w:rsid w:val="00FB7775"/>
    <w:rsid w:val="00FC04E2"/>
    <w:rsid w:val="00FC15C3"/>
    <w:rsid w:val="00FC2668"/>
    <w:rsid w:val="00FC2837"/>
    <w:rsid w:val="00FC3EF0"/>
    <w:rsid w:val="00FC4EE7"/>
    <w:rsid w:val="00FC54E3"/>
    <w:rsid w:val="00FC6278"/>
    <w:rsid w:val="00FC70EE"/>
    <w:rsid w:val="00FC762D"/>
    <w:rsid w:val="00FD02F1"/>
    <w:rsid w:val="00FD07B8"/>
    <w:rsid w:val="00FD1457"/>
    <w:rsid w:val="00FD1740"/>
    <w:rsid w:val="00FD2137"/>
    <w:rsid w:val="00FD23B5"/>
    <w:rsid w:val="00FD2DCB"/>
    <w:rsid w:val="00FD3B43"/>
    <w:rsid w:val="00FD3F6D"/>
    <w:rsid w:val="00FD4BC4"/>
    <w:rsid w:val="00FD66EE"/>
    <w:rsid w:val="00FD7142"/>
    <w:rsid w:val="00FD7C3B"/>
    <w:rsid w:val="00FE0AF9"/>
    <w:rsid w:val="00FE0C48"/>
    <w:rsid w:val="00FE20B7"/>
    <w:rsid w:val="00FE21F9"/>
    <w:rsid w:val="00FE2662"/>
    <w:rsid w:val="00FE38FE"/>
    <w:rsid w:val="00FE3D14"/>
    <w:rsid w:val="00FE525D"/>
    <w:rsid w:val="00FE53A3"/>
    <w:rsid w:val="00FE5EB7"/>
    <w:rsid w:val="00FE5EC0"/>
    <w:rsid w:val="00FE6482"/>
    <w:rsid w:val="00FE6A20"/>
    <w:rsid w:val="00FE6A87"/>
    <w:rsid w:val="00FE6C2F"/>
    <w:rsid w:val="00FE7A5E"/>
    <w:rsid w:val="00FF0EF7"/>
    <w:rsid w:val="00FF1271"/>
    <w:rsid w:val="00FF236B"/>
    <w:rsid w:val="00FF353C"/>
    <w:rsid w:val="00FF5C49"/>
    <w:rsid w:val="00FF64CF"/>
    <w:rsid w:val="00FF688D"/>
    <w:rsid w:val="00FF6B47"/>
    <w:rsid w:val="00FF7867"/>
    <w:rsid w:val="00FF7A4E"/>
    <w:rsid w:val="0228DA37"/>
    <w:rsid w:val="02B755AA"/>
    <w:rsid w:val="0421C4D4"/>
    <w:rsid w:val="04857505"/>
    <w:rsid w:val="073C8A79"/>
    <w:rsid w:val="0746879B"/>
    <w:rsid w:val="0ACF6C8D"/>
    <w:rsid w:val="0BEA9D5C"/>
    <w:rsid w:val="0EB7E8D6"/>
    <w:rsid w:val="12E86ADD"/>
    <w:rsid w:val="13784D08"/>
    <w:rsid w:val="162B7862"/>
    <w:rsid w:val="18876702"/>
    <w:rsid w:val="1ABFC1A5"/>
    <w:rsid w:val="1BF0826E"/>
    <w:rsid w:val="1C68DB66"/>
    <w:rsid w:val="1F40E6E6"/>
    <w:rsid w:val="2487F541"/>
    <w:rsid w:val="25AD679D"/>
    <w:rsid w:val="2878AC72"/>
    <w:rsid w:val="2CBE5BE1"/>
    <w:rsid w:val="34974FDD"/>
    <w:rsid w:val="3781E5E7"/>
    <w:rsid w:val="37CE64BA"/>
    <w:rsid w:val="38C73C81"/>
    <w:rsid w:val="3E9367CA"/>
    <w:rsid w:val="4096BAF3"/>
    <w:rsid w:val="424FED09"/>
    <w:rsid w:val="42A0C079"/>
    <w:rsid w:val="49A8B848"/>
    <w:rsid w:val="4EF5A5C0"/>
    <w:rsid w:val="515EC757"/>
    <w:rsid w:val="53D16910"/>
    <w:rsid w:val="5405EE76"/>
    <w:rsid w:val="5A66B7AA"/>
    <w:rsid w:val="5B66FB86"/>
    <w:rsid w:val="5C413B78"/>
    <w:rsid w:val="5D7FE384"/>
    <w:rsid w:val="5E77D2BE"/>
    <w:rsid w:val="64DEE6DB"/>
    <w:rsid w:val="67D323A4"/>
    <w:rsid w:val="67F78AED"/>
    <w:rsid w:val="6BE98344"/>
    <w:rsid w:val="71C30380"/>
    <w:rsid w:val="72D80299"/>
    <w:rsid w:val="75BC341C"/>
    <w:rsid w:val="7B16064D"/>
    <w:rsid w:val="7C8AD90C"/>
    <w:rsid w:val="7E17FE4C"/>
    <w:rsid w:val="7FBC85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310E4"/>
  <w15:docId w15:val="{DBA4FB61-3F2F-4738-B89F-5B616B42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70CC6"/>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D7C1E"/>
    <w:pPr>
      <w:outlineLvl w:val="0"/>
    </w:pPr>
    <w:rPr>
      <w:rFonts w:asciiTheme="minorHAnsi" w:eastAsia="Cambria" w:hAnsiTheme="minorHAnsi" w:cs="Calibri (Body)"/>
      <w:b/>
      <w:bCs/>
      <w:smallCaps/>
      <w:sz w:val="28"/>
      <w:szCs w:val="28"/>
    </w:rPr>
  </w:style>
  <w:style w:type="paragraph" w:styleId="Heading2">
    <w:name w:val="heading 2"/>
    <w:basedOn w:val="Normal"/>
    <w:link w:val="Heading2Char"/>
    <w:autoRedefine/>
    <w:uiPriority w:val="1"/>
    <w:qFormat/>
    <w:rsid w:val="002D4A77"/>
    <w:pPr>
      <w:numPr>
        <w:numId w:val="27"/>
      </w:numPr>
      <w:outlineLvl w:val="1"/>
    </w:pPr>
    <w:rPr>
      <w:rFonts w:ascii="Calibri" w:eastAsiaTheme="majorEastAsia" w:hAnsi="Calibri"/>
      <w:b/>
      <w:bCs/>
    </w:rPr>
  </w:style>
  <w:style w:type="paragraph" w:styleId="Heading3">
    <w:name w:val="heading 3"/>
    <w:basedOn w:val="Normal"/>
    <w:uiPriority w:val="1"/>
    <w:qFormat/>
    <w:pPr>
      <w:ind w:left="100"/>
      <w:outlineLvl w:val="2"/>
    </w:pPr>
    <w:rPr>
      <w:rFonts w:ascii="TimesNewRomanPS-BoldItalicMT" w:eastAsia="TimesNewRomanPS-BoldItalicMT" w:hAnsi="TimesNewRomanPS-BoldItalicMT" w:cs="TimesNewRomanPS-BoldItalicMT"/>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rPr>
  </w:style>
  <w:style w:type="paragraph" w:styleId="TOC2">
    <w:name w:val="toc 2"/>
    <w:basedOn w:val="Normal"/>
    <w:uiPriority w:val="39"/>
    <w:qFormat/>
    <w:pPr>
      <w:spacing w:before="120"/>
      <w:ind w:left="240"/>
    </w:pPr>
    <w:rPr>
      <w:rFonts w:asciiTheme="minorHAnsi" w:hAnsiTheme="minorHAnsi" w:cstheme="minorHAnsi"/>
      <w:b/>
      <w:bCs/>
      <w:sz w:val="22"/>
      <w:szCs w:val="22"/>
    </w:rPr>
  </w:style>
  <w:style w:type="paragraph" w:styleId="TOC3">
    <w:name w:val="toc 3"/>
    <w:basedOn w:val="Normal"/>
    <w:uiPriority w:val="39"/>
    <w:qFormat/>
    <w:pPr>
      <w:ind w:left="480"/>
    </w:pPr>
    <w:rPr>
      <w:rFonts w:asciiTheme="minorHAnsi" w:hAnsiTheme="minorHAnsi" w:cstheme="minorHAnsi"/>
      <w:sz w:val="20"/>
      <w:szCs w:val="20"/>
    </w:rPr>
  </w:style>
  <w:style w:type="paragraph" w:styleId="TOC4">
    <w:name w:val="toc 4"/>
    <w:basedOn w:val="Normal"/>
    <w:uiPriority w:val="1"/>
    <w:qFormat/>
    <w:pPr>
      <w:ind w:left="720"/>
    </w:pPr>
    <w:rPr>
      <w:rFonts w:asciiTheme="minorHAnsi" w:hAnsiTheme="minorHAnsi" w:cstheme="minorHAnsi"/>
      <w:sz w:val="20"/>
      <w:szCs w:val="20"/>
    </w:rPr>
  </w:style>
  <w:style w:type="paragraph" w:styleId="BodyText">
    <w:name w:val="Body Text"/>
    <w:basedOn w:val="Normal"/>
    <w:link w:val="BodyTextChar"/>
    <w:uiPriority w:val="1"/>
    <w:qFormat/>
  </w:style>
  <w:style w:type="paragraph" w:styleId="ListParagraph">
    <w:name w:val="List Paragraph"/>
    <w:aliases w:val="Bullets,List Paragraph1,Bullets1,List Paragraph11,Bullets2,List Paragraph12,Bullets3,List Paragraph13,Dot pt,F5 List Paragraph,No Spacing1,List Paragraph Char Char Char,Indicator Text,Colorful List - Accent 11,Numbered Para 1,Bullet 1,Ha"/>
    <w:basedOn w:val="Normal"/>
    <w:link w:val="ListParagraphChar"/>
    <w:uiPriority w:val="34"/>
    <w:qFormat/>
    <w:pPr>
      <w:ind w:left="640" w:hanging="540"/>
    </w:pPr>
  </w:style>
  <w:style w:type="paragraph" w:customStyle="1" w:styleId="TableParagraph">
    <w:name w:val="Table Paragraph"/>
    <w:basedOn w:val="Normal"/>
    <w:uiPriority w:val="1"/>
    <w:qFormat/>
    <w:pPr>
      <w:spacing w:before="53"/>
    </w:pPr>
  </w:style>
  <w:style w:type="paragraph" w:styleId="FootnoteText">
    <w:name w:val="footnote text"/>
    <w:aliases w:val="fn,Geneva 9,Font: Geneva 9,Boston 10,f,Testo nota a piè di pagina Carattere Carattere,Testo nota a piè di pagina Carattere,Testo nota a piè di pagina Carattere1 Carattere,Testo nota a piè di pagina Carattere Carattere Carattere Carattere"/>
    <w:basedOn w:val="Normal"/>
    <w:link w:val="FootnoteTextChar"/>
    <w:uiPriority w:val="99"/>
    <w:unhideWhenUsed/>
    <w:qFormat/>
    <w:rsid w:val="006D1D9B"/>
    <w:pPr>
      <w:spacing w:before="240"/>
    </w:pPr>
    <w:rPr>
      <w:rFonts w:asciiTheme="minorHAnsi" w:eastAsiaTheme="minorEastAsia" w:hAnsiTheme="minorHAnsi" w:cstheme="minorBidi"/>
      <w:sz w:val="20"/>
      <w:szCs w:val="20"/>
    </w:rPr>
  </w:style>
  <w:style w:type="character" w:customStyle="1" w:styleId="FootnoteTextChar">
    <w:name w:val="Footnote Text Char"/>
    <w:aliases w:val="fn Char,Geneva 9 Char,Font: Geneva 9 Char,Boston 10 Char,f Char,Testo nota a piè di pagina Carattere Carattere Char,Testo nota a piè di pagina Carattere Char,Testo nota a piè di pagina Carattere1 Carattere Char"/>
    <w:basedOn w:val="DefaultParagraphFont"/>
    <w:link w:val="FootnoteText"/>
    <w:uiPriority w:val="99"/>
    <w:rsid w:val="006D1D9B"/>
    <w:rPr>
      <w:rFonts w:eastAsiaTheme="minorEastAsia"/>
      <w:sz w:val="20"/>
      <w:szCs w:val="20"/>
    </w:rPr>
  </w:style>
  <w:style w:type="character" w:styleId="FootnoteReference">
    <w:name w:val="footnote reference"/>
    <w:aliases w:val="16 Point,Superscript 6 Point,Superscript 6 Point + 11 pt,ftref,Appel note de bas de page,number,Footnote Reference Superscript,-E Fußnotenzeichen,(Diplomarbeit FZ),(Diplomarbeit FZ)1,(Diplomarbeit FZ)2,(Diplomarbeit FZ)3,16 Poin,Ref"/>
    <w:basedOn w:val="DefaultParagraphFont"/>
    <w:link w:val="BVIfnrChar"/>
    <w:uiPriority w:val="99"/>
    <w:unhideWhenUsed/>
    <w:qFormat/>
    <w:rsid w:val="006D1D9B"/>
    <w:rPr>
      <w:vertAlign w:val="superscript"/>
    </w:rPr>
  </w:style>
  <w:style w:type="character" w:styleId="Hyperlink">
    <w:name w:val="Hyperlink"/>
    <w:basedOn w:val="DefaultParagraphFont"/>
    <w:uiPriority w:val="99"/>
    <w:unhideWhenUsed/>
    <w:rsid w:val="006D1D9B"/>
    <w:rPr>
      <w:color w:val="0000FF" w:themeColor="hyperlink"/>
      <w:u w:val="single"/>
    </w:rPr>
  </w:style>
  <w:style w:type="paragraph" w:styleId="Caption">
    <w:name w:val="caption"/>
    <w:basedOn w:val="Normal"/>
    <w:next w:val="Normal"/>
    <w:uiPriority w:val="35"/>
    <w:unhideWhenUsed/>
    <w:qFormat/>
    <w:rsid w:val="003F225E"/>
    <w:pPr>
      <w:spacing w:before="120"/>
      <w:jc w:val="both"/>
    </w:pPr>
    <w:rPr>
      <w:rFonts w:asciiTheme="minorHAnsi" w:eastAsiaTheme="minorEastAsia" w:hAnsiTheme="minorHAnsi" w:cstheme="minorBidi"/>
      <w:b/>
      <w:bCs/>
      <w:szCs w:val="18"/>
      <w:lang w:val="en-GB"/>
    </w:rPr>
  </w:style>
  <w:style w:type="character" w:customStyle="1" w:styleId="ListParagraphChar">
    <w:name w:val="List Paragraph Char"/>
    <w:aliases w:val="Bullets Char,List Paragraph1 Char,Bullets1 Char,List Paragraph11 Char,Bullets2 Char,List Paragraph12 Char,Bullets3 Char,List Paragraph13 Char,Dot pt Char,F5 List Paragraph Char,No Spacing1 Char,List Paragraph Char Char Char Char"/>
    <w:link w:val="ListParagraph"/>
    <w:uiPriority w:val="34"/>
    <w:qFormat/>
    <w:locked/>
    <w:rsid w:val="006D1D9B"/>
    <w:rPr>
      <w:rFonts w:ascii="Times New Roman" w:eastAsia="Times New Roman" w:hAnsi="Times New Roman" w:cs="Times New Roman"/>
    </w:rPr>
  </w:style>
  <w:style w:type="character" w:customStyle="1" w:styleId="containertitle">
    <w:name w:val="containertitle"/>
    <w:basedOn w:val="DefaultParagraphFont"/>
    <w:rsid w:val="006D1D9B"/>
  </w:style>
  <w:style w:type="table" w:styleId="GridTable5Dark-Accent1">
    <w:name w:val="Grid Table 5 Dark Accent 1"/>
    <w:basedOn w:val="TableNormal"/>
    <w:uiPriority w:val="50"/>
    <w:rsid w:val="006D1D9B"/>
    <w:pPr>
      <w:widowControl/>
      <w:autoSpaceDE/>
      <w:autoSpaceDN/>
    </w:pPr>
    <w:rPr>
      <w:rFonts w:ascii="Times New Roman" w:eastAsia="MS Mincho" w:hAnsi="Times New Roman" w:cs="Times New Roman"/>
      <w:sz w:val="20"/>
      <w:szCs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C1751F"/>
    <w:rPr>
      <w:sz w:val="16"/>
      <w:szCs w:val="16"/>
    </w:rPr>
  </w:style>
  <w:style w:type="paragraph" w:styleId="CommentText">
    <w:name w:val="annotation text"/>
    <w:basedOn w:val="Normal"/>
    <w:link w:val="CommentTextChar"/>
    <w:uiPriority w:val="99"/>
    <w:unhideWhenUsed/>
    <w:rsid w:val="00C1751F"/>
    <w:rPr>
      <w:sz w:val="20"/>
      <w:szCs w:val="20"/>
    </w:rPr>
  </w:style>
  <w:style w:type="character" w:customStyle="1" w:styleId="CommentTextChar">
    <w:name w:val="Comment Text Char"/>
    <w:basedOn w:val="DefaultParagraphFont"/>
    <w:link w:val="CommentText"/>
    <w:uiPriority w:val="99"/>
    <w:rsid w:val="00C175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51F"/>
    <w:rPr>
      <w:b/>
      <w:bCs/>
    </w:rPr>
  </w:style>
  <w:style w:type="character" w:customStyle="1" w:styleId="CommentSubjectChar">
    <w:name w:val="Comment Subject Char"/>
    <w:basedOn w:val="CommentTextChar"/>
    <w:link w:val="CommentSubject"/>
    <w:uiPriority w:val="99"/>
    <w:semiHidden/>
    <w:rsid w:val="00C175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7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51F"/>
    <w:rPr>
      <w:rFonts w:ascii="Segoe UI" w:eastAsia="Times New Roman" w:hAnsi="Segoe UI" w:cs="Segoe UI"/>
      <w:sz w:val="18"/>
      <w:szCs w:val="18"/>
    </w:rPr>
  </w:style>
  <w:style w:type="table" w:styleId="TableGrid">
    <w:name w:val="Table Grid"/>
    <w:basedOn w:val="TableNormal"/>
    <w:uiPriority w:val="39"/>
    <w:rsid w:val="002C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D4A77"/>
    <w:rPr>
      <w:rFonts w:ascii="Calibri" w:eastAsiaTheme="majorEastAsia" w:hAnsi="Calibri" w:cs="Times New Roman"/>
      <w:b/>
      <w:bCs/>
      <w:sz w:val="24"/>
      <w:szCs w:val="24"/>
    </w:rPr>
  </w:style>
  <w:style w:type="character" w:customStyle="1" w:styleId="BodyTextChar">
    <w:name w:val="Body Text Char"/>
    <w:basedOn w:val="DefaultParagraphFont"/>
    <w:link w:val="BodyText"/>
    <w:uiPriority w:val="1"/>
    <w:rsid w:val="003C27A0"/>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07ABE"/>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EA050C"/>
    <w:pPr>
      <w:tabs>
        <w:tab w:val="center" w:pos="4680"/>
        <w:tab w:val="right" w:pos="9360"/>
      </w:tabs>
    </w:pPr>
  </w:style>
  <w:style w:type="character" w:customStyle="1" w:styleId="HeaderChar">
    <w:name w:val="Header Char"/>
    <w:basedOn w:val="DefaultParagraphFont"/>
    <w:link w:val="Header"/>
    <w:uiPriority w:val="99"/>
    <w:rsid w:val="00EA050C"/>
    <w:rPr>
      <w:rFonts w:ascii="Times New Roman" w:eastAsia="Times New Roman" w:hAnsi="Times New Roman" w:cs="Times New Roman"/>
    </w:rPr>
  </w:style>
  <w:style w:type="paragraph" w:styleId="Footer">
    <w:name w:val="footer"/>
    <w:basedOn w:val="Normal"/>
    <w:link w:val="FooterChar"/>
    <w:uiPriority w:val="99"/>
    <w:unhideWhenUsed/>
    <w:rsid w:val="00EA050C"/>
    <w:pPr>
      <w:tabs>
        <w:tab w:val="center" w:pos="4680"/>
        <w:tab w:val="right" w:pos="9360"/>
      </w:tabs>
    </w:pPr>
  </w:style>
  <w:style w:type="character" w:customStyle="1" w:styleId="FooterChar">
    <w:name w:val="Footer Char"/>
    <w:basedOn w:val="DefaultParagraphFont"/>
    <w:link w:val="Footer"/>
    <w:uiPriority w:val="99"/>
    <w:rsid w:val="00EA050C"/>
    <w:rPr>
      <w:rFonts w:ascii="Times New Roman" w:eastAsia="Times New Roman" w:hAnsi="Times New Roman" w:cs="Times New Roman"/>
    </w:rPr>
  </w:style>
  <w:style w:type="paragraph" w:styleId="Revision">
    <w:name w:val="Revision"/>
    <w:hidden/>
    <w:uiPriority w:val="99"/>
    <w:semiHidden/>
    <w:rsid w:val="0034665F"/>
    <w:pPr>
      <w:widowControl/>
      <w:autoSpaceDE/>
      <w:autoSpaceDN/>
    </w:pPr>
    <w:rPr>
      <w:rFonts w:ascii="Times New Roman" w:eastAsia="Times New Roman" w:hAnsi="Times New Roman" w:cs="Times New Roman"/>
    </w:rPr>
  </w:style>
  <w:style w:type="table" w:styleId="ListTable1Light-Accent3">
    <w:name w:val="List Table 1 Light Accent 3"/>
    <w:basedOn w:val="TableNormal"/>
    <w:uiPriority w:val="46"/>
    <w:rsid w:val="0030691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30691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1"/>
    <w:rsid w:val="005D7C1E"/>
    <w:rPr>
      <w:rFonts w:eastAsia="Cambria" w:cs="Calibri (Body)"/>
      <w:b/>
      <w:bCs/>
      <w:smallCaps/>
      <w:sz w:val="28"/>
      <w:szCs w:val="28"/>
    </w:rPr>
  </w:style>
  <w:style w:type="character" w:styleId="UnresolvedMention">
    <w:name w:val="Unresolved Mention"/>
    <w:basedOn w:val="DefaultParagraphFont"/>
    <w:uiPriority w:val="99"/>
    <w:semiHidden/>
    <w:unhideWhenUsed/>
    <w:rsid w:val="00486653"/>
    <w:rPr>
      <w:color w:val="808080"/>
      <w:shd w:val="clear" w:color="auto" w:fill="E6E6E6"/>
    </w:rPr>
  </w:style>
  <w:style w:type="character" w:styleId="FollowedHyperlink">
    <w:name w:val="FollowedHyperlink"/>
    <w:basedOn w:val="DefaultParagraphFont"/>
    <w:uiPriority w:val="99"/>
    <w:semiHidden/>
    <w:unhideWhenUsed/>
    <w:rsid w:val="00486653"/>
    <w:rPr>
      <w:color w:val="800080" w:themeColor="followedHyperlink"/>
      <w:u w:val="single"/>
    </w:rPr>
  </w:style>
  <w:style w:type="paragraph" w:customStyle="1" w:styleId="MainParagraphwith">
    <w:name w:val="Main Paragraph with #"/>
    <w:basedOn w:val="ListParagraph"/>
    <w:next w:val="Normal"/>
    <w:link w:val="MainParagraphwithChar"/>
    <w:autoRedefine/>
    <w:qFormat/>
    <w:rsid w:val="00B7581D"/>
    <w:pPr>
      <w:numPr>
        <w:numId w:val="3"/>
      </w:numPr>
      <w:adjustRightInd w:val="0"/>
      <w:spacing w:before="240" w:after="240"/>
      <w:ind w:left="0" w:firstLine="0"/>
    </w:pPr>
    <w:rPr>
      <w:rFonts w:asciiTheme="minorHAnsi" w:eastAsiaTheme="minorEastAsia" w:hAnsiTheme="minorHAnsi" w:cs="Verdana"/>
      <w:bCs/>
      <w:color w:val="000000"/>
      <w:lang w:eastAsia="zh-CN"/>
    </w:rPr>
  </w:style>
  <w:style w:type="character" w:customStyle="1" w:styleId="MainParagraphwithChar">
    <w:name w:val="Main Paragraph with # Char"/>
    <w:basedOn w:val="DefaultParagraphFont"/>
    <w:link w:val="MainParagraphwith"/>
    <w:rsid w:val="00B7581D"/>
    <w:rPr>
      <w:rFonts w:eastAsiaTheme="minorEastAsia" w:cs="Verdana"/>
      <w:bCs/>
      <w:color w:val="000000"/>
      <w:sz w:val="24"/>
      <w:szCs w:val="24"/>
      <w:lang w:eastAsia="zh-CN"/>
    </w:rPr>
  </w:style>
  <w:style w:type="paragraph" w:styleId="TableofFigures">
    <w:name w:val="table of figures"/>
    <w:basedOn w:val="Normal"/>
    <w:next w:val="Normal"/>
    <w:uiPriority w:val="99"/>
    <w:unhideWhenUsed/>
    <w:rsid w:val="00B44224"/>
  </w:style>
  <w:style w:type="paragraph" w:customStyle="1" w:styleId="SubParagraphLevel1">
    <w:name w:val="Sub Paragraph Level 1"/>
    <w:basedOn w:val="ListParagraph"/>
    <w:link w:val="SubParagraphLevel1Char"/>
    <w:qFormat/>
    <w:rsid w:val="00B90673"/>
    <w:pPr>
      <w:spacing w:before="120" w:after="120"/>
      <w:ind w:left="0" w:firstLine="0"/>
    </w:pPr>
    <w:rPr>
      <w:rFonts w:asciiTheme="minorHAnsi" w:eastAsiaTheme="minorEastAsia" w:hAnsiTheme="minorHAnsi"/>
      <w:color w:val="000000"/>
      <w:lang w:eastAsia="zh-CN"/>
    </w:rPr>
  </w:style>
  <w:style w:type="character" w:customStyle="1" w:styleId="SubParagraphLevel1Char">
    <w:name w:val="Sub Paragraph Level 1 Char"/>
    <w:basedOn w:val="DefaultParagraphFont"/>
    <w:link w:val="SubParagraphLevel1"/>
    <w:rsid w:val="00B90673"/>
    <w:rPr>
      <w:rFonts w:eastAsiaTheme="minorEastAsia" w:cs="Times New Roman"/>
      <w:color w:val="000000"/>
      <w:sz w:val="24"/>
      <w:szCs w:val="24"/>
      <w:lang w:eastAsia="zh-CN"/>
    </w:rPr>
  </w:style>
  <w:style w:type="table" w:styleId="GridTable6Colorful-Accent5">
    <w:name w:val="Grid Table 6 Colorful Accent 5"/>
    <w:basedOn w:val="TableNormal"/>
    <w:uiPriority w:val="51"/>
    <w:rsid w:val="00935EA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69222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69222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1">
    <w:name w:val="Grid Table 6 Colorful Accent 1"/>
    <w:basedOn w:val="TableNormal"/>
    <w:uiPriority w:val="51"/>
    <w:rsid w:val="0069222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9911FA"/>
  </w:style>
  <w:style w:type="paragraph" w:customStyle="1" w:styleId="Default">
    <w:name w:val="Default"/>
    <w:link w:val="DefaultChar"/>
    <w:rsid w:val="004858D7"/>
    <w:pPr>
      <w:widowControl/>
      <w:adjustRightInd w:val="0"/>
    </w:pPr>
    <w:rPr>
      <w:rFonts w:ascii="Times New Roman" w:hAnsi="Times New Roman" w:cs="Times New Roman"/>
      <w:color w:val="000000"/>
      <w:sz w:val="24"/>
      <w:szCs w:val="24"/>
    </w:rPr>
  </w:style>
  <w:style w:type="paragraph" w:customStyle="1" w:styleId="MainParanoChapter">
    <w:name w:val="Main Para no Chapter #"/>
    <w:basedOn w:val="Normal"/>
    <w:link w:val="MainParanoChapterChar"/>
    <w:autoRedefine/>
    <w:qFormat/>
    <w:rsid w:val="00E66CF2"/>
    <w:pPr>
      <w:numPr>
        <w:numId w:val="9"/>
      </w:numPr>
      <w:spacing w:after="240"/>
      <w:ind w:left="0" w:firstLine="0"/>
      <w:outlineLvl w:val="1"/>
    </w:pPr>
    <w:rPr>
      <w:rFonts w:asciiTheme="minorHAnsi" w:hAnsiTheme="minorHAnsi" w:cstheme="minorHAnsi"/>
    </w:rPr>
  </w:style>
  <w:style w:type="character" w:customStyle="1" w:styleId="MainParanoChapterChar">
    <w:name w:val="Main Para no Chapter # Char"/>
    <w:basedOn w:val="DefaultParagraphFont"/>
    <w:link w:val="MainParanoChapter"/>
    <w:rsid w:val="00E66CF2"/>
    <w:rPr>
      <w:rFonts w:eastAsia="Times New Roman" w:cstheme="minorHAnsi"/>
      <w:sz w:val="24"/>
      <w:szCs w:val="24"/>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E66CF2"/>
    <w:pPr>
      <w:spacing w:after="160" w:line="240" w:lineRule="exact"/>
    </w:pPr>
    <w:rPr>
      <w:rFonts w:asciiTheme="minorHAnsi" w:eastAsiaTheme="minorHAnsi" w:hAnsiTheme="minorHAnsi" w:cstheme="minorBidi"/>
      <w:sz w:val="22"/>
      <w:szCs w:val="22"/>
      <w:vertAlign w:val="superscript"/>
    </w:rPr>
  </w:style>
  <w:style w:type="paragraph" w:customStyle="1" w:styleId="1Paragraph">
    <w:name w:val="1. Paragraph"/>
    <w:basedOn w:val="Normal"/>
    <w:link w:val="1ParagraphChar"/>
    <w:qFormat/>
    <w:rsid w:val="001D4EE2"/>
    <w:pPr>
      <w:spacing w:before="240" w:after="240"/>
    </w:pPr>
    <w:rPr>
      <w:rFonts w:asciiTheme="minorHAnsi" w:eastAsiaTheme="minorEastAsia" w:hAnsiTheme="minorHAnsi" w:cstheme="minorHAnsi"/>
      <w:lang w:eastAsia="zh-CN"/>
    </w:rPr>
  </w:style>
  <w:style w:type="character" w:customStyle="1" w:styleId="1ParagraphChar">
    <w:name w:val="1. Paragraph Char"/>
    <w:basedOn w:val="DefaultParagraphFont"/>
    <w:link w:val="1Paragraph"/>
    <w:rsid w:val="001D4EE2"/>
    <w:rPr>
      <w:rFonts w:eastAsiaTheme="minorEastAsia" w:cstheme="minorHAnsi"/>
      <w:sz w:val="24"/>
      <w:szCs w:val="24"/>
      <w:lang w:eastAsia="zh-CN"/>
    </w:rPr>
  </w:style>
  <w:style w:type="paragraph" w:customStyle="1" w:styleId="NumPara">
    <w:name w:val="NumPara"/>
    <w:basedOn w:val="1Paragraph"/>
    <w:link w:val="NumParaChar"/>
    <w:qFormat/>
    <w:rsid w:val="001D4EE2"/>
    <w:pPr>
      <w:numPr>
        <w:numId w:val="12"/>
      </w:numPr>
      <w:ind w:left="0" w:firstLine="0"/>
    </w:pPr>
  </w:style>
  <w:style w:type="character" w:customStyle="1" w:styleId="NumParaChar">
    <w:name w:val="NumPara Char"/>
    <w:basedOn w:val="1ParagraphChar"/>
    <w:link w:val="NumPara"/>
    <w:rsid w:val="001D4EE2"/>
    <w:rPr>
      <w:rFonts w:eastAsiaTheme="minorEastAsia" w:cstheme="minorHAnsi"/>
      <w:sz w:val="24"/>
      <w:szCs w:val="24"/>
      <w:lang w:eastAsia="zh-CN"/>
    </w:rPr>
  </w:style>
  <w:style w:type="paragraph" w:styleId="TOC5">
    <w:name w:val="toc 5"/>
    <w:basedOn w:val="Normal"/>
    <w:next w:val="Normal"/>
    <w:autoRedefine/>
    <w:uiPriority w:val="39"/>
    <w:semiHidden/>
    <w:unhideWhenUsed/>
    <w:rsid w:val="003A450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A450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A450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A450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A4508"/>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165007"/>
  </w:style>
  <w:style w:type="paragraph" w:customStyle="1" w:styleId="msonormal0">
    <w:name w:val="msonormal"/>
    <w:basedOn w:val="Normal"/>
    <w:rsid w:val="007639E8"/>
    <w:pPr>
      <w:spacing w:before="100" w:beforeAutospacing="1" w:after="100" w:afterAutospacing="1"/>
    </w:pPr>
  </w:style>
  <w:style w:type="paragraph" w:customStyle="1" w:styleId="xl66">
    <w:name w:val="xl66"/>
    <w:basedOn w:val="Normal"/>
    <w:rsid w:val="00763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763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763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styleId="EndnoteText">
    <w:name w:val="endnote text"/>
    <w:basedOn w:val="Normal"/>
    <w:link w:val="EndnoteTextChar"/>
    <w:uiPriority w:val="99"/>
    <w:rsid w:val="00240AB4"/>
    <w:pPr>
      <w:adjustRightInd w:val="0"/>
      <w:jc w:val="both"/>
    </w:pPr>
    <w:rPr>
      <w:rFonts w:eastAsia="Arial Unicode MS"/>
      <w:position w:val="4"/>
      <w:sz w:val="20"/>
      <w:szCs w:val="20"/>
    </w:rPr>
  </w:style>
  <w:style w:type="character" w:customStyle="1" w:styleId="EndnoteTextChar">
    <w:name w:val="Endnote Text Char"/>
    <w:basedOn w:val="DefaultParagraphFont"/>
    <w:link w:val="EndnoteText"/>
    <w:uiPriority w:val="99"/>
    <w:rsid w:val="00240AB4"/>
    <w:rPr>
      <w:rFonts w:ascii="Times New Roman" w:eastAsia="Arial Unicode MS" w:hAnsi="Times New Roman" w:cs="Times New Roman"/>
      <w:position w:val="4"/>
      <w:sz w:val="20"/>
      <w:szCs w:val="20"/>
    </w:rPr>
  </w:style>
  <w:style w:type="character" w:styleId="EndnoteReference">
    <w:name w:val="endnote reference"/>
    <w:basedOn w:val="DefaultParagraphFont"/>
    <w:uiPriority w:val="99"/>
    <w:rsid w:val="00240AB4"/>
    <w:rPr>
      <w:rFonts w:ascii="Times New Roman" w:hAnsi="Times New Roman" w:cs="Times New Roman"/>
      <w:vertAlign w:val="superscript"/>
    </w:rPr>
  </w:style>
  <w:style w:type="character" w:customStyle="1" w:styleId="DefaultChar">
    <w:name w:val="Default Char"/>
    <w:basedOn w:val="DefaultParagraphFont"/>
    <w:link w:val="Default"/>
    <w:rsid w:val="00240AB4"/>
    <w:rPr>
      <w:rFonts w:ascii="Times New Roman" w:hAnsi="Times New Roman" w:cs="Times New Roman"/>
      <w:color w:val="000000"/>
      <w:sz w:val="24"/>
      <w:szCs w:val="24"/>
    </w:rPr>
  </w:style>
  <w:style w:type="character" w:customStyle="1" w:styleId="normaltextrun">
    <w:name w:val="normaltextrun"/>
    <w:basedOn w:val="DefaultParagraphFont"/>
    <w:rsid w:val="00240AB4"/>
  </w:style>
  <w:style w:type="paragraph" w:customStyle="1" w:styleId="xl65">
    <w:name w:val="xl65"/>
    <w:basedOn w:val="Normal"/>
    <w:rsid w:val="00CB3F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color w:val="000000"/>
    </w:rPr>
  </w:style>
  <w:style w:type="paragraph" w:customStyle="1" w:styleId="xl69">
    <w:name w:val="xl69"/>
    <w:basedOn w:val="Normal"/>
    <w:rsid w:val="00CB3F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markedcontent">
    <w:name w:val="markedcontent"/>
    <w:basedOn w:val="DefaultParagraphFont"/>
    <w:rsid w:val="00202174"/>
  </w:style>
  <w:style w:type="paragraph" w:customStyle="1" w:styleId="CH2">
    <w:name w:val="CH2"/>
    <w:basedOn w:val="Normal"/>
    <w:next w:val="Normal"/>
    <w:link w:val="CH2Char"/>
    <w:rsid w:val="00125EBF"/>
    <w:pPr>
      <w:keepNext/>
      <w:keepLines/>
      <w:widowControl/>
      <w:tabs>
        <w:tab w:val="right" w:pos="851"/>
        <w:tab w:val="left" w:pos="1247"/>
        <w:tab w:val="left" w:pos="1814"/>
        <w:tab w:val="left" w:pos="2381"/>
        <w:tab w:val="left" w:pos="2948"/>
        <w:tab w:val="left" w:pos="3515"/>
        <w:tab w:val="left" w:pos="4082"/>
      </w:tabs>
      <w:suppressAutoHyphens/>
      <w:autoSpaceDE/>
      <w:autoSpaceDN/>
      <w:spacing w:before="240" w:after="120"/>
      <w:ind w:left="1247" w:right="284" w:hanging="1247"/>
    </w:pPr>
    <w:rPr>
      <w:b/>
      <w:lang w:val="en-GB"/>
    </w:rPr>
  </w:style>
  <w:style w:type="paragraph" w:customStyle="1" w:styleId="Normal-pool">
    <w:name w:val="Normal-pool"/>
    <w:link w:val="Normal-poolChar"/>
    <w:qFormat/>
    <w:rsid w:val="00125EBF"/>
    <w:pPr>
      <w:widowControl/>
      <w:tabs>
        <w:tab w:val="left" w:pos="1247"/>
        <w:tab w:val="left" w:pos="1814"/>
        <w:tab w:val="left" w:pos="2381"/>
        <w:tab w:val="left" w:pos="2948"/>
        <w:tab w:val="left" w:pos="3515"/>
        <w:tab w:val="left" w:pos="4082"/>
      </w:tabs>
      <w:autoSpaceDE/>
      <w:autoSpaceDN/>
    </w:pPr>
    <w:rPr>
      <w:rFonts w:ascii="Times New Roman" w:eastAsia="Times New Roman" w:hAnsi="Times New Roman" w:cs="Times New Roman"/>
      <w:sz w:val="20"/>
      <w:szCs w:val="20"/>
      <w:lang w:val="en-GB"/>
    </w:rPr>
  </w:style>
  <w:style w:type="paragraph" w:customStyle="1" w:styleId="AATitle">
    <w:name w:val="AA_Title"/>
    <w:basedOn w:val="Normal"/>
    <w:rsid w:val="00125EBF"/>
    <w:pPr>
      <w:keepNext/>
      <w:keepLines/>
      <w:widowControl/>
      <w:tabs>
        <w:tab w:val="left" w:pos="1247"/>
        <w:tab w:val="left" w:pos="1814"/>
        <w:tab w:val="left" w:pos="2381"/>
        <w:tab w:val="left" w:pos="2948"/>
        <w:tab w:val="left" w:pos="3515"/>
        <w:tab w:val="left" w:pos="4082"/>
      </w:tabs>
      <w:suppressAutoHyphens/>
      <w:autoSpaceDE/>
      <w:autoSpaceDN/>
      <w:ind w:right="5103"/>
    </w:pPr>
    <w:rPr>
      <w:b/>
      <w:sz w:val="20"/>
      <w:szCs w:val="20"/>
      <w:lang w:val="en-GB"/>
    </w:rPr>
  </w:style>
  <w:style w:type="paragraph" w:customStyle="1" w:styleId="BBTitle">
    <w:name w:val="BB_Title"/>
    <w:basedOn w:val="Normal"/>
    <w:link w:val="BBTitleChar"/>
    <w:rsid w:val="00125EBF"/>
    <w:pPr>
      <w:keepNext/>
      <w:keepLines/>
      <w:widowControl/>
      <w:tabs>
        <w:tab w:val="left" w:pos="1247"/>
        <w:tab w:val="left" w:pos="1814"/>
        <w:tab w:val="left" w:pos="2381"/>
        <w:tab w:val="left" w:pos="2948"/>
        <w:tab w:val="left" w:pos="3515"/>
        <w:tab w:val="left" w:pos="4082"/>
      </w:tabs>
      <w:suppressAutoHyphens/>
      <w:autoSpaceDE/>
      <w:autoSpaceDN/>
      <w:spacing w:before="320" w:after="240"/>
      <w:ind w:left="1247" w:right="567"/>
    </w:pPr>
    <w:rPr>
      <w:b/>
      <w:sz w:val="28"/>
      <w:szCs w:val="28"/>
      <w:lang w:val="en-GB"/>
    </w:rPr>
  </w:style>
  <w:style w:type="paragraph" w:customStyle="1" w:styleId="ZZAnxheader">
    <w:name w:val="ZZ_Anx_header"/>
    <w:basedOn w:val="Normal"/>
    <w:link w:val="ZZAnxheaderChar"/>
    <w:rsid w:val="00125EBF"/>
    <w:pPr>
      <w:widowControl/>
      <w:tabs>
        <w:tab w:val="left" w:pos="1247"/>
        <w:tab w:val="left" w:pos="1814"/>
        <w:tab w:val="left" w:pos="2381"/>
        <w:tab w:val="left" w:pos="2948"/>
        <w:tab w:val="left" w:pos="3515"/>
        <w:tab w:val="left" w:pos="4082"/>
      </w:tabs>
      <w:autoSpaceDE/>
      <w:autoSpaceDN/>
    </w:pPr>
    <w:rPr>
      <w:b/>
      <w:bCs/>
      <w:sz w:val="28"/>
      <w:szCs w:val="22"/>
      <w:lang w:val="en-GB"/>
    </w:rPr>
  </w:style>
  <w:style w:type="character" w:customStyle="1" w:styleId="BBTitleChar">
    <w:name w:val="BB_Title Char"/>
    <w:link w:val="BBTitle"/>
    <w:rsid w:val="00125EBF"/>
    <w:rPr>
      <w:rFonts w:ascii="Times New Roman" w:eastAsia="Times New Roman" w:hAnsi="Times New Roman" w:cs="Times New Roman"/>
      <w:b/>
      <w:sz w:val="28"/>
      <w:szCs w:val="28"/>
      <w:lang w:val="en-GB"/>
    </w:rPr>
  </w:style>
  <w:style w:type="character" w:customStyle="1" w:styleId="CH2Char">
    <w:name w:val="CH2 Char"/>
    <w:link w:val="CH2"/>
    <w:rsid w:val="00125EBF"/>
    <w:rPr>
      <w:rFonts w:ascii="Times New Roman" w:eastAsia="Times New Roman" w:hAnsi="Times New Roman" w:cs="Times New Roman"/>
      <w:b/>
      <w:sz w:val="24"/>
      <w:szCs w:val="24"/>
      <w:lang w:val="en-GB"/>
    </w:rPr>
  </w:style>
  <w:style w:type="character" w:customStyle="1" w:styleId="ZZAnxheaderChar">
    <w:name w:val="ZZ_Anx_header Char"/>
    <w:link w:val="ZZAnxheader"/>
    <w:rsid w:val="00125EBF"/>
    <w:rPr>
      <w:rFonts w:ascii="Times New Roman" w:eastAsia="Times New Roman" w:hAnsi="Times New Roman" w:cs="Times New Roman"/>
      <w:b/>
      <w:bCs/>
      <w:sz w:val="28"/>
      <w:lang w:val="en-GB"/>
    </w:rPr>
  </w:style>
  <w:style w:type="character" w:customStyle="1" w:styleId="Normal-poolChar">
    <w:name w:val="Normal-pool Char"/>
    <w:link w:val="Normal-pool"/>
    <w:rsid w:val="00125EBF"/>
    <w:rPr>
      <w:rFonts w:ascii="Times New Roman" w:eastAsia="Times New Roman" w:hAnsi="Times New Roman" w:cs="Times New Roman"/>
      <w:sz w:val="20"/>
      <w:szCs w:val="20"/>
      <w:lang w:val="en-GB"/>
    </w:rPr>
  </w:style>
  <w:style w:type="paragraph" w:customStyle="1" w:styleId="AATitle2">
    <w:name w:val="AA_Title2"/>
    <w:basedOn w:val="AATitle"/>
    <w:qFormat/>
    <w:rsid w:val="00D53BF9"/>
    <w:pPr>
      <w:tabs>
        <w:tab w:val="clear" w:pos="4082"/>
      </w:tabs>
      <w:spacing w:before="60"/>
      <w:ind w:right="4536"/>
    </w:pPr>
    <w:rPr>
      <w:rFonts w:eastAsia="SimSun"/>
    </w:rPr>
  </w:style>
  <w:style w:type="character" w:customStyle="1" w:styleId="job-label">
    <w:name w:val="job-label"/>
    <w:basedOn w:val="DefaultParagraphFont"/>
    <w:rsid w:val="00314FA2"/>
  </w:style>
  <w:style w:type="character" w:customStyle="1" w:styleId="job-value">
    <w:name w:val="job-value"/>
    <w:basedOn w:val="DefaultParagraphFont"/>
    <w:rsid w:val="0031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20503">
      <w:bodyDiv w:val="1"/>
      <w:marLeft w:val="0"/>
      <w:marRight w:val="0"/>
      <w:marTop w:val="0"/>
      <w:marBottom w:val="0"/>
      <w:divBdr>
        <w:top w:val="none" w:sz="0" w:space="0" w:color="auto"/>
        <w:left w:val="none" w:sz="0" w:space="0" w:color="auto"/>
        <w:bottom w:val="none" w:sz="0" w:space="0" w:color="auto"/>
        <w:right w:val="none" w:sz="0" w:space="0" w:color="auto"/>
      </w:divBdr>
    </w:div>
    <w:div w:id="69432259">
      <w:bodyDiv w:val="1"/>
      <w:marLeft w:val="0"/>
      <w:marRight w:val="0"/>
      <w:marTop w:val="0"/>
      <w:marBottom w:val="0"/>
      <w:divBdr>
        <w:top w:val="none" w:sz="0" w:space="0" w:color="auto"/>
        <w:left w:val="none" w:sz="0" w:space="0" w:color="auto"/>
        <w:bottom w:val="none" w:sz="0" w:space="0" w:color="auto"/>
        <w:right w:val="none" w:sz="0" w:space="0" w:color="auto"/>
      </w:divBdr>
    </w:div>
    <w:div w:id="84351060">
      <w:bodyDiv w:val="1"/>
      <w:marLeft w:val="0"/>
      <w:marRight w:val="0"/>
      <w:marTop w:val="0"/>
      <w:marBottom w:val="0"/>
      <w:divBdr>
        <w:top w:val="none" w:sz="0" w:space="0" w:color="auto"/>
        <w:left w:val="none" w:sz="0" w:space="0" w:color="auto"/>
        <w:bottom w:val="none" w:sz="0" w:space="0" w:color="auto"/>
        <w:right w:val="none" w:sz="0" w:space="0" w:color="auto"/>
      </w:divBdr>
    </w:div>
    <w:div w:id="104086513">
      <w:bodyDiv w:val="1"/>
      <w:marLeft w:val="0"/>
      <w:marRight w:val="0"/>
      <w:marTop w:val="0"/>
      <w:marBottom w:val="0"/>
      <w:divBdr>
        <w:top w:val="none" w:sz="0" w:space="0" w:color="auto"/>
        <w:left w:val="none" w:sz="0" w:space="0" w:color="auto"/>
        <w:bottom w:val="none" w:sz="0" w:space="0" w:color="auto"/>
        <w:right w:val="none" w:sz="0" w:space="0" w:color="auto"/>
      </w:divBdr>
    </w:div>
    <w:div w:id="286282244">
      <w:bodyDiv w:val="1"/>
      <w:marLeft w:val="0"/>
      <w:marRight w:val="0"/>
      <w:marTop w:val="0"/>
      <w:marBottom w:val="0"/>
      <w:divBdr>
        <w:top w:val="none" w:sz="0" w:space="0" w:color="auto"/>
        <w:left w:val="none" w:sz="0" w:space="0" w:color="auto"/>
        <w:bottom w:val="none" w:sz="0" w:space="0" w:color="auto"/>
        <w:right w:val="none" w:sz="0" w:space="0" w:color="auto"/>
      </w:divBdr>
      <w:divsChild>
        <w:div w:id="1657761396">
          <w:marLeft w:val="0"/>
          <w:marRight w:val="0"/>
          <w:marTop w:val="0"/>
          <w:marBottom w:val="0"/>
          <w:divBdr>
            <w:top w:val="none" w:sz="0" w:space="0" w:color="auto"/>
            <w:left w:val="none" w:sz="0" w:space="0" w:color="auto"/>
            <w:bottom w:val="none" w:sz="0" w:space="0" w:color="auto"/>
            <w:right w:val="none" w:sz="0" w:space="0" w:color="auto"/>
          </w:divBdr>
          <w:divsChild>
            <w:div w:id="346178067">
              <w:marLeft w:val="0"/>
              <w:marRight w:val="0"/>
              <w:marTop w:val="0"/>
              <w:marBottom w:val="0"/>
              <w:divBdr>
                <w:top w:val="none" w:sz="0" w:space="0" w:color="auto"/>
                <w:left w:val="none" w:sz="0" w:space="0" w:color="auto"/>
                <w:bottom w:val="none" w:sz="0" w:space="0" w:color="auto"/>
                <w:right w:val="none" w:sz="0" w:space="0" w:color="auto"/>
              </w:divBdr>
              <w:divsChild>
                <w:div w:id="306588242">
                  <w:marLeft w:val="0"/>
                  <w:marRight w:val="0"/>
                  <w:marTop w:val="0"/>
                  <w:marBottom w:val="0"/>
                  <w:divBdr>
                    <w:top w:val="none" w:sz="0" w:space="0" w:color="auto"/>
                    <w:left w:val="none" w:sz="0" w:space="0" w:color="auto"/>
                    <w:bottom w:val="none" w:sz="0" w:space="0" w:color="auto"/>
                    <w:right w:val="none" w:sz="0" w:space="0" w:color="auto"/>
                  </w:divBdr>
                  <w:divsChild>
                    <w:div w:id="19248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2940">
      <w:bodyDiv w:val="1"/>
      <w:marLeft w:val="0"/>
      <w:marRight w:val="0"/>
      <w:marTop w:val="0"/>
      <w:marBottom w:val="0"/>
      <w:divBdr>
        <w:top w:val="none" w:sz="0" w:space="0" w:color="auto"/>
        <w:left w:val="none" w:sz="0" w:space="0" w:color="auto"/>
        <w:bottom w:val="none" w:sz="0" w:space="0" w:color="auto"/>
        <w:right w:val="none" w:sz="0" w:space="0" w:color="auto"/>
      </w:divBdr>
    </w:div>
    <w:div w:id="521673836">
      <w:bodyDiv w:val="1"/>
      <w:marLeft w:val="0"/>
      <w:marRight w:val="0"/>
      <w:marTop w:val="0"/>
      <w:marBottom w:val="0"/>
      <w:divBdr>
        <w:top w:val="none" w:sz="0" w:space="0" w:color="auto"/>
        <w:left w:val="none" w:sz="0" w:space="0" w:color="auto"/>
        <w:bottom w:val="none" w:sz="0" w:space="0" w:color="auto"/>
        <w:right w:val="none" w:sz="0" w:space="0" w:color="auto"/>
      </w:divBdr>
    </w:div>
    <w:div w:id="586618546">
      <w:bodyDiv w:val="1"/>
      <w:marLeft w:val="0"/>
      <w:marRight w:val="0"/>
      <w:marTop w:val="0"/>
      <w:marBottom w:val="0"/>
      <w:divBdr>
        <w:top w:val="none" w:sz="0" w:space="0" w:color="auto"/>
        <w:left w:val="none" w:sz="0" w:space="0" w:color="auto"/>
        <w:bottom w:val="none" w:sz="0" w:space="0" w:color="auto"/>
        <w:right w:val="none" w:sz="0" w:space="0" w:color="auto"/>
      </w:divBdr>
    </w:div>
    <w:div w:id="609819256">
      <w:bodyDiv w:val="1"/>
      <w:marLeft w:val="0"/>
      <w:marRight w:val="0"/>
      <w:marTop w:val="0"/>
      <w:marBottom w:val="0"/>
      <w:divBdr>
        <w:top w:val="none" w:sz="0" w:space="0" w:color="auto"/>
        <w:left w:val="none" w:sz="0" w:space="0" w:color="auto"/>
        <w:bottom w:val="none" w:sz="0" w:space="0" w:color="auto"/>
        <w:right w:val="none" w:sz="0" w:space="0" w:color="auto"/>
      </w:divBdr>
    </w:div>
    <w:div w:id="693574226">
      <w:bodyDiv w:val="1"/>
      <w:marLeft w:val="0"/>
      <w:marRight w:val="0"/>
      <w:marTop w:val="0"/>
      <w:marBottom w:val="0"/>
      <w:divBdr>
        <w:top w:val="none" w:sz="0" w:space="0" w:color="auto"/>
        <w:left w:val="none" w:sz="0" w:space="0" w:color="auto"/>
        <w:bottom w:val="none" w:sz="0" w:space="0" w:color="auto"/>
        <w:right w:val="none" w:sz="0" w:space="0" w:color="auto"/>
      </w:divBdr>
    </w:div>
    <w:div w:id="727655139">
      <w:bodyDiv w:val="1"/>
      <w:marLeft w:val="0"/>
      <w:marRight w:val="0"/>
      <w:marTop w:val="0"/>
      <w:marBottom w:val="0"/>
      <w:divBdr>
        <w:top w:val="none" w:sz="0" w:space="0" w:color="auto"/>
        <w:left w:val="none" w:sz="0" w:space="0" w:color="auto"/>
        <w:bottom w:val="none" w:sz="0" w:space="0" w:color="auto"/>
        <w:right w:val="none" w:sz="0" w:space="0" w:color="auto"/>
      </w:divBdr>
    </w:div>
    <w:div w:id="820846447">
      <w:bodyDiv w:val="1"/>
      <w:marLeft w:val="0"/>
      <w:marRight w:val="0"/>
      <w:marTop w:val="0"/>
      <w:marBottom w:val="0"/>
      <w:divBdr>
        <w:top w:val="none" w:sz="0" w:space="0" w:color="auto"/>
        <w:left w:val="none" w:sz="0" w:space="0" w:color="auto"/>
        <w:bottom w:val="none" w:sz="0" w:space="0" w:color="auto"/>
        <w:right w:val="none" w:sz="0" w:space="0" w:color="auto"/>
      </w:divBdr>
    </w:div>
    <w:div w:id="827550233">
      <w:bodyDiv w:val="1"/>
      <w:marLeft w:val="0"/>
      <w:marRight w:val="0"/>
      <w:marTop w:val="0"/>
      <w:marBottom w:val="0"/>
      <w:divBdr>
        <w:top w:val="none" w:sz="0" w:space="0" w:color="auto"/>
        <w:left w:val="none" w:sz="0" w:space="0" w:color="auto"/>
        <w:bottom w:val="none" w:sz="0" w:space="0" w:color="auto"/>
        <w:right w:val="none" w:sz="0" w:space="0" w:color="auto"/>
      </w:divBdr>
    </w:div>
    <w:div w:id="836774616">
      <w:bodyDiv w:val="1"/>
      <w:marLeft w:val="0"/>
      <w:marRight w:val="0"/>
      <w:marTop w:val="0"/>
      <w:marBottom w:val="0"/>
      <w:divBdr>
        <w:top w:val="none" w:sz="0" w:space="0" w:color="auto"/>
        <w:left w:val="none" w:sz="0" w:space="0" w:color="auto"/>
        <w:bottom w:val="none" w:sz="0" w:space="0" w:color="auto"/>
        <w:right w:val="none" w:sz="0" w:space="0" w:color="auto"/>
      </w:divBdr>
    </w:div>
    <w:div w:id="917985536">
      <w:bodyDiv w:val="1"/>
      <w:marLeft w:val="0"/>
      <w:marRight w:val="0"/>
      <w:marTop w:val="0"/>
      <w:marBottom w:val="0"/>
      <w:divBdr>
        <w:top w:val="none" w:sz="0" w:space="0" w:color="auto"/>
        <w:left w:val="none" w:sz="0" w:space="0" w:color="auto"/>
        <w:bottom w:val="none" w:sz="0" w:space="0" w:color="auto"/>
        <w:right w:val="none" w:sz="0" w:space="0" w:color="auto"/>
      </w:divBdr>
    </w:div>
    <w:div w:id="922648065">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70751589">
      <w:bodyDiv w:val="1"/>
      <w:marLeft w:val="0"/>
      <w:marRight w:val="0"/>
      <w:marTop w:val="0"/>
      <w:marBottom w:val="0"/>
      <w:divBdr>
        <w:top w:val="none" w:sz="0" w:space="0" w:color="auto"/>
        <w:left w:val="none" w:sz="0" w:space="0" w:color="auto"/>
        <w:bottom w:val="none" w:sz="0" w:space="0" w:color="auto"/>
        <w:right w:val="none" w:sz="0" w:space="0" w:color="auto"/>
      </w:divBdr>
    </w:div>
    <w:div w:id="1014503921">
      <w:bodyDiv w:val="1"/>
      <w:marLeft w:val="0"/>
      <w:marRight w:val="0"/>
      <w:marTop w:val="0"/>
      <w:marBottom w:val="0"/>
      <w:divBdr>
        <w:top w:val="none" w:sz="0" w:space="0" w:color="auto"/>
        <w:left w:val="none" w:sz="0" w:space="0" w:color="auto"/>
        <w:bottom w:val="none" w:sz="0" w:space="0" w:color="auto"/>
        <w:right w:val="none" w:sz="0" w:space="0" w:color="auto"/>
      </w:divBdr>
    </w:div>
    <w:div w:id="1031153137">
      <w:bodyDiv w:val="1"/>
      <w:marLeft w:val="0"/>
      <w:marRight w:val="0"/>
      <w:marTop w:val="0"/>
      <w:marBottom w:val="0"/>
      <w:divBdr>
        <w:top w:val="none" w:sz="0" w:space="0" w:color="auto"/>
        <w:left w:val="none" w:sz="0" w:space="0" w:color="auto"/>
        <w:bottom w:val="none" w:sz="0" w:space="0" w:color="auto"/>
        <w:right w:val="none" w:sz="0" w:space="0" w:color="auto"/>
      </w:divBdr>
    </w:div>
    <w:div w:id="1153258861">
      <w:bodyDiv w:val="1"/>
      <w:marLeft w:val="0"/>
      <w:marRight w:val="0"/>
      <w:marTop w:val="0"/>
      <w:marBottom w:val="0"/>
      <w:divBdr>
        <w:top w:val="none" w:sz="0" w:space="0" w:color="auto"/>
        <w:left w:val="none" w:sz="0" w:space="0" w:color="auto"/>
        <w:bottom w:val="none" w:sz="0" w:space="0" w:color="auto"/>
        <w:right w:val="none" w:sz="0" w:space="0" w:color="auto"/>
      </w:divBdr>
      <w:divsChild>
        <w:div w:id="393506242">
          <w:marLeft w:val="0"/>
          <w:marRight w:val="0"/>
          <w:marTop w:val="0"/>
          <w:marBottom w:val="0"/>
          <w:divBdr>
            <w:top w:val="none" w:sz="0" w:space="0" w:color="auto"/>
            <w:left w:val="none" w:sz="0" w:space="0" w:color="auto"/>
            <w:bottom w:val="none" w:sz="0" w:space="0" w:color="auto"/>
            <w:right w:val="none" w:sz="0" w:space="0" w:color="auto"/>
          </w:divBdr>
          <w:divsChild>
            <w:div w:id="741870503">
              <w:marLeft w:val="0"/>
              <w:marRight w:val="0"/>
              <w:marTop w:val="0"/>
              <w:marBottom w:val="0"/>
              <w:divBdr>
                <w:top w:val="none" w:sz="0" w:space="0" w:color="auto"/>
                <w:left w:val="none" w:sz="0" w:space="0" w:color="auto"/>
                <w:bottom w:val="none" w:sz="0" w:space="0" w:color="auto"/>
                <w:right w:val="none" w:sz="0" w:space="0" w:color="auto"/>
              </w:divBdr>
              <w:divsChild>
                <w:div w:id="1181163296">
                  <w:marLeft w:val="0"/>
                  <w:marRight w:val="0"/>
                  <w:marTop w:val="0"/>
                  <w:marBottom w:val="0"/>
                  <w:divBdr>
                    <w:top w:val="none" w:sz="0" w:space="0" w:color="auto"/>
                    <w:left w:val="none" w:sz="0" w:space="0" w:color="auto"/>
                    <w:bottom w:val="none" w:sz="0" w:space="0" w:color="auto"/>
                    <w:right w:val="none" w:sz="0" w:space="0" w:color="auto"/>
                  </w:divBdr>
                  <w:divsChild>
                    <w:div w:id="13324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56323">
      <w:bodyDiv w:val="1"/>
      <w:marLeft w:val="0"/>
      <w:marRight w:val="0"/>
      <w:marTop w:val="0"/>
      <w:marBottom w:val="0"/>
      <w:divBdr>
        <w:top w:val="none" w:sz="0" w:space="0" w:color="auto"/>
        <w:left w:val="none" w:sz="0" w:space="0" w:color="auto"/>
        <w:bottom w:val="none" w:sz="0" w:space="0" w:color="auto"/>
        <w:right w:val="none" w:sz="0" w:space="0" w:color="auto"/>
      </w:divBdr>
    </w:div>
    <w:div w:id="1256398574">
      <w:bodyDiv w:val="1"/>
      <w:marLeft w:val="0"/>
      <w:marRight w:val="0"/>
      <w:marTop w:val="0"/>
      <w:marBottom w:val="0"/>
      <w:divBdr>
        <w:top w:val="none" w:sz="0" w:space="0" w:color="auto"/>
        <w:left w:val="none" w:sz="0" w:space="0" w:color="auto"/>
        <w:bottom w:val="none" w:sz="0" w:space="0" w:color="auto"/>
        <w:right w:val="none" w:sz="0" w:space="0" w:color="auto"/>
      </w:divBdr>
    </w:div>
    <w:div w:id="1335038871">
      <w:bodyDiv w:val="1"/>
      <w:marLeft w:val="0"/>
      <w:marRight w:val="0"/>
      <w:marTop w:val="0"/>
      <w:marBottom w:val="0"/>
      <w:divBdr>
        <w:top w:val="none" w:sz="0" w:space="0" w:color="auto"/>
        <w:left w:val="none" w:sz="0" w:space="0" w:color="auto"/>
        <w:bottom w:val="none" w:sz="0" w:space="0" w:color="auto"/>
        <w:right w:val="none" w:sz="0" w:space="0" w:color="auto"/>
      </w:divBdr>
    </w:div>
    <w:div w:id="1351688726">
      <w:bodyDiv w:val="1"/>
      <w:marLeft w:val="0"/>
      <w:marRight w:val="0"/>
      <w:marTop w:val="0"/>
      <w:marBottom w:val="0"/>
      <w:divBdr>
        <w:top w:val="none" w:sz="0" w:space="0" w:color="auto"/>
        <w:left w:val="none" w:sz="0" w:space="0" w:color="auto"/>
        <w:bottom w:val="none" w:sz="0" w:space="0" w:color="auto"/>
        <w:right w:val="none" w:sz="0" w:space="0" w:color="auto"/>
      </w:divBdr>
    </w:div>
    <w:div w:id="1356276128">
      <w:bodyDiv w:val="1"/>
      <w:marLeft w:val="0"/>
      <w:marRight w:val="0"/>
      <w:marTop w:val="0"/>
      <w:marBottom w:val="0"/>
      <w:divBdr>
        <w:top w:val="none" w:sz="0" w:space="0" w:color="auto"/>
        <w:left w:val="none" w:sz="0" w:space="0" w:color="auto"/>
        <w:bottom w:val="none" w:sz="0" w:space="0" w:color="auto"/>
        <w:right w:val="none" w:sz="0" w:space="0" w:color="auto"/>
      </w:divBdr>
    </w:div>
    <w:div w:id="1414429510">
      <w:bodyDiv w:val="1"/>
      <w:marLeft w:val="0"/>
      <w:marRight w:val="0"/>
      <w:marTop w:val="0"/>
      <w:marBottom w:val="0"/>
      <w:divBdr>
        <w:top w:val="none" w:sz="0" w:space="0" w:color="auto"/>
        <w:left w:val="none" w:sz="0" w:space="0" w:color="auto"/>
        <w:bottom w:val="none" w:sz="0" w:space="0" w:color="auto"/>
        <w:right w:val="none" w:sz="0" w:space="0" w:color="auto"/>
      </w:divBdr>
    </w:div>
    <w:div w:id="1426076582">
      <w:bodyDiv w:val="1"/>
      <w:marLeft w:val="0"/>
      <w:marRight w:val="0"/>
      <w:marTop w:val="0"/>
      <w:marBottom w:val="0"/>
      <w:divBdr>
        <w:top w:val="none" w:sz="0" w:space="0" w:color="auto"/>
        <w:left w:val="none" w:sz="0" w:space="0" w:color="auto"/>
        <w:bottom w:val="none" w:sz="0" w:space="0" w:color="auto"/>
        <w:right w:val="none" w:sz="0" w:space="0" w:color="auto"/>
      </w:divBdr>
    </w:div>
    <w:div w:id="1524976843">
      <w:bodyDiv w:val="1"/>
      <w:marLeft w:val="0"/>
      <w:marRight w:val="0"/>
      <w:marTop w:val="0"/>
      <w:marBottom w:val="0"/>
      <w:divBdr>
        <w:top w:val="none" w:sz="0" w:space="0" w:color="auto"/>
        <w:left w:val="none" w:sz="0" w:space="0" w:color="auto"/>
        <w:bottom w:val="none" w:sz="0" w:space="0" w:color="auto"/>
        <w:right w:val="none" w:sz="0" w:space="0" w:color="auto"/>
      </w:divBdr>
    </w:div>
    <w:div w:id="1529024898">
      <w:bodyDiv w:val="1"/>
      <w:marLeft w:val="0"/>
      <w:marRight w:val="0"/>
      <w:marTop w:val="0"/>
      <w:marBottom w:val="0"/>
      <w:divBdr>
        <w:top w:val="none" w:sz="0" w:space="0" w:color="auto"/>
        <w:left w:val="none" w:sz="0" w:space="0" w:color="auto"/>
        <w:bottom w:val="none" w:sz="0" w:space="0" w:color="auto"/>
        <w:right w:val="none" w:sz="0" w:space="0" w:color="auto"/>
      </w:divBdr>
    </w:div>
    <w:div w:id="1547836433">
      <w:bodyDiv w:val="1"/>
      <w:marLeft w:val="0"/>
      <w:marRight w:val="0"/>
      <w:marTop w:val="0"/>
      <w:marBottom w:val="0"/>
      <w:divBdr>
        <w:top w:val="none" w:sz="0" w:space="0" w:color="auto"/>
        <w:left w:val="none" w:sz="0" w:space="0" w:color="auto"/>
        <w:bottom w:val="none" w:sz="0" w:space="0" w:color="auto"/>
        <w:right w:val="none" w:sz="0" w:space="0" w:color="auto"/>
      </w:divBdr>
    </w:div>
    <w:div w:id="1550414376">
      <w:bodyDiv w:val="1"/>
      <w:marLeft w:val="0"/>
      <w:marRight w:val="0"/>
      <w:marTop w:val="0"/>
      <w:marBottom w:val="0"/>
      <w:divBdr>
        <w:top w:val="none" w:sz="0" w:space="0" w:color="auto"/>
        <w:left w:val="none" w:sz="0" w:space="0" w:color="auto"/>
        <w:bottom w:val="none" w:sz="0" w:space="0" w:color="auto"/>
        <w:right w:val="none" w:sz="0" w:space="0" w:color="auto"/>
      </w:divBdr>
    </w:div>
    <w:div w:id="1659848451">
      <w:bodyDiv w:val="1"/>
      <w:marLeft w:val="0"/>
      <w:marRight w:val="0"/>
      <w:marTop w:val="0"/>
      <w:marBottom w:val="0"/>
      <w:divBdr>
        <w:top w:val="none" w:sz="0" w:space="0" w:color="auto"/>
        <w:left w:val="none" w:sz="0" w:space="0" w:color="auto"/>
        <w:bottom w:val="none" w:sz="0" w:space="0" w:color="auto"/>
        <w:right w:val="none" w:sz="0" w:space="0" w:color="auto"/>
      </w:divBdr>
    </w:div>
    <w:div w:id="1731421981">
      <w:bodyDiv w:val="1"/>
      <w:marLeft w:val="0"/>
      <w:marRight w:val="0"/>
      <w:marTop w:val="0"/>
      <w:marBottom w:val="0"/>
      <w:divBdr>
        <w:top w:val="none" w:sz="0" w:space="0" w:color="auto"/>
        <w:left w:val="none" w:sz="0" w:space="0" w:color="auto"/>
        <w:bottom w:val="none" w:sz="0" w:space="0" w:color="auto"/>
        <w:right w:val="none" w:sz="0" w:space="0" w:color="auto"/>
      </w:divBdr>
    </w:div>
    <w:div w:id="1783694605">
      <w:bodyDiv w:val="1"/>
      <w:marLeft w:val="0"/>
      <w:marRight w:val="0"/>
      <w:marTop w:val="0"/>
      <w:marBottom w:val="0"/>
      <w:divBdr>
        <w:top w:val="none" w:sz="0" w:space="0" w:color="auto"/>
        <w:left w:val="none" w:sz="0" w:space="0" w:color="auto"/>
        <w:bottom w:val="none" w:sz="0" w:space="0" w:color="auto"/>
        <w:right w:val="none" w:sz="0" w:space="0" w:color="auto"/>
      </w:divBdr>
    </w:div>
    <w:div w:id="1835949074">
      <w:bodyDiv w:val="1"/>
      <w:marLeft w:val="0"/>
      <w:marRight w:val="0"/>
      <w:marTop w:val="0"/>
      <w:marBottom w:val="0"/>
      <w:divBdr>
        <w:top w:val="none" w:sz="0" w:space="0" w:color="auto"/>
        <w:left w:val="none" w:sz="0" w:space="0" w:color="auto"/>
        <w:bottom w:val="none" w:sz="0" w:space="0" w:color="auto"/>
        <w:right w:val="none" w:sz="0" w:space="0" w:color="auto"/>
      </w:divBdr>
    </w:div>
    <w:div w:id="1858420679">
      <w:bodyDiv w:val="1"/>
      <w:marLeft w:val="0"/>
      <w:marRight w:val="0"/>
      <w:marTop w:val="0"/>
      <w:marBottom w:val="0"/>
      <w:divBdr>
        <w:top w:val="none" w:sz="0" w:space="0" w:color="auto"/>
        <w:left w:val="none" w:sz="0" w:space="0" w:color="auto"/>
        <w:bottom w:val="none" w:sz="0" w:space="0" w:color="auto"/>
        <w:right w:val="none" w:sz="0" w:space="0" w:color="auto"/>
      </w:divBdr>
    </w:div>
    <w:div w:id="1859852710">
      <w:bodyDiv w:val="1"/>
      <w:marLeft w:val="0"/>
      <w:marRight w:val="0"/>
      <w:marTop w:val="0"/>
      <w:marBottom w:val="0"/>
      <w:divBdr>
        <w:top w:val="none" w:sz="0" w:space="0" w:color="auto"/>
        <w:left w:val="none" w:sz="0" w:space="0" w:color="auto"/>
        <w:bottom w:val="none" w:sz="0" w:space="0" w:color="auto"/>
        <w:right w:val="none" w:sz="0" w:space="0" w:color="auto"/>
      </w:divBdr>
    </w:div>
    <w:div w:id="1889758958">
      <w:bodyDiv w:val="1"/>
      <w:marLeft w:val="0"/>
      <w:marRight w:val="0"/>
      <w:marTop w:val="0"/>
      <w:marBottom w:val="0"/>
      <w:divBdr>
        <w:top w:val="none" w:sz="0" w:space="0" w:color="auto"/>
        <w:left w:val="none" w:sz="0" w:space="0" w:color="auto"/>
        <w:bottom w:val="none" w:sz="0" w:space="0" w:color="auto"/>
        <w:right w:val="none" w:sz="0" w:space="0" w:color="auto"/>
      </w:divBdr>
    </w:div>
    <w:div w:id="1938711089">
      <w:bodyDiv w:val="1"/>
      <w:marLeft w:val="0"/>
      <w:marRight w:val="0"/>
      <w:marTop w:val="0"/>
      <w:marBottom w:val="0"/>
      <w:divBdr>
        <w:top w:val="none" w:sz="0" w:space="0" w:color="auto"/>
        <w:left w:val="none" w:sz="0" w:space="0" w:color="auto"/>
        <w:bottom w:val="none" w:sz="0" w:space="0" w:color="auto"/>
        <w:right w:val="none" w:sz="0" w:space="0" w:color="auto"/>
      </w:divBdr>
    </w:div>
    <w:div w:id="1951350030">
      <w:bodyDiv w:val="1"/>
      <w:marLeft w:val="0"/>
      <w:marRight w:val="0"/>
      <w:marTop w:val="0"/>
      <w:marBottom w:val="0"/>
      <w:divBdr>
        <w:top w:val="none" w:sz="0" w:space="0" w:color="auto"/>
        <w:left w:val="none" w:sz="0" w:space="0" w:color="auto"/>
        <w:bottom w:val="none" w:sz="0" w:space="0" w:color="auto"/>
        <w:right w:val="none" w:sz="0" w:space="0" w:color="auto"/>
      </w:divBdr>
    </w:div>
    <w:div w:id="1979843312">
      <w:bodyDiv w:val="1"/>
      <w:marLeft w:val="0"/>
      <w:marRight w:val="0"/>
      <w:marTop w:val="0"/>
      <w:marBottom w:val="0"/>
      <w:divBdr>
        <w:top w:val="none" w:sz="0" w:space="0" w:color="auto"/>
        <w:left w:val="none" w:sz="0" w:space="0" w:color="auto"/>
        <w:bottom w:val="none" w:sz="0" w:space="0" w:color="auto"/>
        <w:right w:val="none" w:sz="0" w:space="0" w:color="auto"/>
      </w:divBdr>
    </w:div>
    <w:div w:id="2041589738">
      <w:bodyDiv w:val="1"/>
      <w:marLeft w:val="0"/>
      <w:marRight w:val="0"/>
      <w:marTop w:val="0"/>
      <w:marBottom w:val="0"/>
      <w:divBdr>
        <w:top w:val="none" w:sz="0" w:space="0" w:color="auto"/>
        <w:left w:val="none" w:sz="0" w:space="0" w:color="auto"/>
        <w:bottom w:val="none" w:sz="0" w:space="0" w:color="auto"/>
        <w:right w:val="none" w:sz="0" w:space="0" w:color="auto"/>
      </w:divBdr>
    </w:div>
    <w:div w:id="2049063221">
      <w:bodyDiv w:val="1"/>
      <w:marLeft w:val="0"/>
      <w:marRight w:val="0"/>
      <w:marTop w:val="0"/>
      <w:marBottom w:val="0"/>
      <w:divBdr>
        <w:top w:val="none" w:sz="0" w:space="0" w:color="auto"/>
        <w:left w:val="none" w:sz="0" w:space="0" w:color="auto"/>
        <w:bottom w:val="none" w:sz="0" w:space="0" w:color="auto"/>
        <w:right w:val="none" w:sz="0" w:space="0" w:color="auto"/>
      </w:divBdr>
    </w:div>
    <w:div w:id="2101412953">
      <w:bodyDiv w:val="1"/>
      <w:marLeft w:val="0"/>
      <w:marRight w:val="0"/>
      <w:marTop w:val="0"/>
      <w:marBottom w:val="0"/>
      <w:divBdr>
        <w:top w:val="none" w:sz="0" w:space="0" w:color="auto"/>
        <w:left w:val="none" w:sz="0" w:space="0" w:color="auto"/>
        <w:bottom w:val="none" w:sz="0" w:space="0" w:color="auto"/>
        <w:right w:val="none" w:sz="0" w:space="0" w:color="auto"/>
      </w:divBdr>
    </w:div>
    <w:div w:id="2134981430">
      <w:bodyDiv w:val="1"/>
      <w:marLeft w:val="0"/>
      <w:marRight w:val="0"/>
      <w:marTop w:val="0"/>
      <w:marBottom w:val="0"/>
      <w:divBdr>
        <w:top w:val="none" w:sz="0" w:space="0" w:color="auto"/>
        <w:left w:val="none" w:sz="0" w:space="0" w:color="auto"/>
        <w:bottom w:val="none" w:sz="0" w:space="0" w:color="auto"/>
        <w:right w:val="none" w:sz="0" w:space="0" w:color="auto"/>
      </w:divBdr>
    </w:div>
    <w:div w:id="214677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image" Target="media/image5.png"/><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chart" Target="charts/char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image" Target="media/image4.png"/><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chart" Target="charts/chart2.xml"/><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8" Type="http://schemas.openxmlformats.org/officeDocument/2006/relationships/hyperlink" Target="https://www.unep.org/explore-topics/chemicals-waste/what-we-do/mercury/global-mercury-assessment" TargetMode="External"/><Relationship Id="rId13" Type="http://schemas.openxmlformats.org/officeDocument/2006/relationships/hyperlink" Target="https://www.gefieo.org/evaluations/gold" TargetMode="External"/><Relationship Id="rId18" Type="http://schemas.openxmlformats.org/officeDocument/2006/relationships/hyperlink" Target="https://www.thegef.org/sites/default/files/council-meeting-documents/EN_GEF.C.59_Summary_of_the_Chair_0.pdf" TargetMode="External"/><Relationship Id="rId3" Type="http://schemas.openxmlformats.org/officeDocument/2006/relationships/hyperlink" Target="https://www.thegef.org/sites/default/files/council-meeting-documents/GEF-7%20Programming%20Directions%20-%20GEF_R.7_19.pdf" TargetMode="External"/><Relationship Id="rId7" Type="http://schemas.openxmlformats.org/officeDocument/2006/relationships/hyperlink" Target="https://www.thegef.org/sites/default/files/council-meeting-documents/EN_GEF.C.59.07.Rev_.01_GEFs%20Private%20Sector%20Engagement%20Strategy_.pdf" TargetMode="External"/><Relationship Id="rId12" Type="http://schemas.openxmlformats.org/officeDocument/2006/relationships/hyperlink" Target="https://www.thegef.org/sites/default/files/council-meeting-documents/EN_GEF_E_C.59_06_Management%20Response%20to%20IEO%20Evaluations.pdf" TargetMode="External"/><Relationship Id="rId17" Type="http://schemas.openxmlformats.org/officeDocument/2006/relationships/hyperlink" Target="https://www.thegef.org/sites/default/files/documents/GEF_COVID_Project_Design_Review_Considerations_20200925.pdf" TargetMode="External"/><Relationship Id="rId2" Type="http://schemas.openxmlformats.org/officeDocument/2006/relationships/hyperlink" Target="https://www.mercuryconvention.org/Countries/Parties/NationalActionPlans/tabid/7966/language/en-US/Default.aspx" TargetMode="External"/><Relationship Id="rId16" Type="http://schemas.openxmlformats.org/officeDocument/2006/relationships/hyperlink" Target="http://www.thegef.org/sites/default/files/council-meeting-documents/EN_GEF_C.59_Inf.14_White%20Paper%20on%20a%20GEF%20COVID-19%20Response%20Strategy_.pdf" TargetMode="External"/><Relationship Id="rId1" Type="http://schemas.openxmlformats.org/officeDocument/2006/relationships/hyperlink" Target="https://www.mercuryconvention.org/Countries/Parties/MinamataInitialAssessments/tabid/6166/language/en-US/Default.aspx" TargetMode="External"/><Relationship Id="rId6" Type="http://schemas.openxmlformats.org/officeDocument/2006/relationships/hyperlink" Target="https://www.thegef.org/sites/default/files/council-meeting-documents/GEF.A6.05.Rev_.01_Replenishment.pdf" TargetMode="External"/><Relationship Id="rId11" Type="http://schemas.openxmlformats.org/officeDocument/2006/relationships/hyperlink" Target="https://www.gefieo.org/evaluations/gold" TargetMode="External"/><Relationship Id="rId5" Type="http://schemas.openxmlformats.org/officeDocument/2006/relationships/hyperlink" Target="https://www.thegef.org/sites/default/files/council-meeting-documents/GEF.C.45.Inf_.05.Rev_.1_Initial_Guidelines_for_Enabling_Activities_for_the__Minamata_Convention_on_Mercury_Jan_23_2014_4.pdf" TargetMode="External"/><Relationship Id="rId15" Type="http://schemas.openxmlformats.org/officeDocument/2006/relationships/hyperlink" Target="https://www.thegef.org/sites/default/files/council-meeting-documents/EN_GEF.C.59.07.Rev_.01_GEFs%20Private%20Sector%20Engagement%20Strategy_.pdf" TargetMode="External"/><Relationship Id="rId10" Type="http://schemas.openxmlformats.org/officeDocument/2006/relationships/hyperlink" Target="https://www.planetgold.org/" TargetMode="External"/><Relationship Id="rId19" Type="http://schemas.openxmlformats.org/officeDocument/2006/relationships/hyperlink" Target="https://www.thegef.org/council-meetings/gef-8-replenishment-first-meeting" TargetMode="External"/><Relationship Id="rId4" Type="http://schemas.openxmlformats.org/officeDocument/2006/relationships/hyperlink" Target="https://www.thegef.org/sites/default/files/council-meeting-documents/EN_GEF.C.56.10.Rev_.01_Approval%20of%20the%20Memorandum%20of%20Understanding%20Between%20the%20Conference%20of%20the%20Parties%20to%20the%20Minamata%20Convention%20on%20Mercury%20and%20the%20Council%20of%20the%20Global%20Environment%20Facility.pdf" TargetMode="External"/><Relationship Id="rId9" Type="http://schemas.openxmlformats.org/officeDocument/2006/relationships/hyperlink" Target="https://www.mercuryconvention.org/Meetings/COP3/tabid/7854/language/en-US/Default.aspx" TargetMode="External"/><Relationship Id="rId14" Type="http://schemas.openxmlformats.org/officeDocument/2006/relationships/hyperlink" Target="https://www.thegef.org/sites/default/files/publications/GEF%20Scorecard_2021_June_CRA_bl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worldbankgroup-my.sharepoint.com/personal/eswain_thegef_org/Documents/Documents/Mercury/COP%204/Mecury%20Funded%20Project%20data%20for%20COP%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asa\Desktop\GEF%204\Mecury%20Funded%20Project%20data%20for%20COP%204%20chang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asa\Downloads\Mecury%20Funded%20Project%20data%20for%20COP%20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[Mecury Funded Project data for COP 4.xlsx]Thematic Distrobution!PivotTable62</c:name>
    <c:fmtId val="-1"/>
  </c:pivotSource>
  <c:chart>
    <c:autoTitleDeleted val="1"/>
    <c:pivotFmts>
      <c:pivotFmt>
        <c:idx val="0"/>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1"/>
          </a:solidFill>
          <a:ln w="19050">
            <a:solidFill>
              <a:schemeClr val="lt1"/>
            </a:solidFill>
          </a:ln>
          <a:effectLst/>
        </c:spPr>
        <c:dLbl>
          <c:idx val="0"/>
          <c:layout>
            <c:manualLayout>
              <c:x val="-2.1066831273241896E-2"/>
              <c:y val="-0.2146489963620880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728298781008013"/>
                  <c:h val="0.11500297141470914"/>
                </c:manualLayout>
              </c15:layout>
            </c:ext>
          </c:extLst>
        </c:dLbl>
      </c:pivotFmt>
      <c:pivotFmt>
        <c:idx val="2"/>
        <c:spPr>
          <a:solidFill>
            <a:schemeClr val="accent1"/>
          </a:solidFill>
          <a:ln w="19050">
            <a:solidFill>
              <a:schemeClr val="lt1"/>
            </a:solidFill>
          </a:ln>
          <a:effectLst/>
        </c:spPr>
        <c:dLbl>
          <c:idx val="0"/>
          <c:layout>
            <c:manualLayout>
              <c:x val="-9.8199672667757795E-2"/>
              <c:y val="-0.13984758222927718"/>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
        <c:spPr>
          <a:solidFill>
            <a:schemeClr val="accent1"/>
          </a:solidFill>
          <a:ln w="19050">
            <a:solidFill>
              <a:schemeClr val="lt1"/>
            </a:solidFill>
          </a:ln>
          <a:effectLst/>
        </c:spPr>
        <c:dLbl>
          <c:idx val="0"/>
          <c:layout>
            <c:manualLayout>
              <c:x val="-6.1102018548827082E-2"/>
              <c:y val="-7.888837971907949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
        <c:spPr>
          <a:solidFill>
            <a:schemeClr val="accent1"/>
          </a:solidFill>
          <a:ln w="19050">
            <a:solidFill>
              <a:schemeClr val="lt1"/>
            </a:solidFill>
          </a:ln>
          <a:effectLst/>
        </c:spPr>
        <c:dLbl>
          <c:idx val="0"/>
          <c:layout>
            <c:manualLayout>
              <c:x val="-6.6585152506603601E-2"/>
              <c:y val="2.33821228664241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
        <c:spPr>
          <a:solidFill>
            <a:schemeClr val="accent1"/>
          </a:solidFill>
          <a:ln w="19050">
            <a:solidFill>
              <a:schemeClr val="lt1"/>
            </a:solidFill>
          </a:ln>
          <a:effectLst/>
        </c:spPr>
        <c:dLbl>
          <c:idx val="0"/>
          <c:layout>
            <c:manualLayout>
              <c:x val="-0.11906917564488149"/>
              <c:y val="8.9044009692064427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
        <c:spPr>
          <a:solidFill>
            <a:schemeClr val="accent1"/>
          </a:solidFill>
          <a:ln w="19050">
            <a:solidFill>
              <a:schemeClr val="lt1"/>
            </a:solidFill>
          </a:ln>
          <a:effectLst/>
        </c:spPr>
        <c:dLbl>
          <c:idx val="0"/>
          <c:layout>
            <c:manualLayout>
              <c:x val="-9.4339256062399776E-2"/>
              <c:y val="0.18207519481321696"/>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7"/>
        <c:spPr>
          <a:solidFill>
            <a:schemeClr val="accent1"/>
          </a:solidFill>
          <a:ln w="19050">
            <a:solidFill>
              <a:schemeClr val="lt1"/>
            </a:solidFill>
          </a:ln>
          <a:effectLst/>
        </c:spPr>
        <c:dLbl>
          <c:idx val="0"/>
          <c:layout>
            <c:manualLayout>
              <c:x val="8.7288597926896191E-3"/>
              <c:y val="3.227251897598704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8.7288597926896191E-3"/>
              <c:y val="3.227251897598704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5"/>
        <c:spPr>
          <a:solidFill>
            <a:schemeClr val="accent1"/>
          </a:solidFill>
          <a:ln w="19050">
            <a:solidFill>
              <a:schemeClr val="lt1"/>
            </a:solidFill>
          </a:ln>
          <a:effectLst/>
        </c:spPr>
        <c:dLbl>
          <c:idx val="0"/>
          <c:layout>
            <c:manualLayout>
              <c:x val="-9.4339256062399776E-2"/>
              <c:y val="0.18207519481321696"/>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6"/>
        <c:spPr>
          <a:solidFill>
            <a:schemeClr val="accent1"/>
          </a:solidFill>
          <a:ln w="19050">
            <a:solidFill>
              <a:schemeClr val="lt1"/>
            </a:solidFill>
          </a:ln>
          <a:effectLst/>
        </c:spPr>
        <c:dLbl>
          <c:idx val="0"/>
          <c:layout>
            <c:manualLayout>
              <c:x val="-0.11906917564488149"/>
              <c:y val="8.9044009692064427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7"/>
        <c:spPr>
          <a:solidFill>
            <a:schemeClr val="accent1"/>
          </a:solidFill>
          <a:ln w="19050">
            <a:solidFill>
              <a:schemeClr val="lt1"/>
            </a:solidFill>
          </a:ln>
          <a:effectLst/>
        </c:spPr>
        <c:dLbl>
          <c:idx val="0"/>
          <c:layout>
            <c:manualLayout>
              <c:x val="-6.6585152506603601E-2"/>
              <c:y val="2.33821228664241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8"/>
        <c:spPr>
          <a:solidFill>
            <a:schemeClr val="accent1"/>
          </a:solidFill>
          <a:ln w="19050">
            <a:solidFill>
              <a:schemeClr val="lt1"/>
            </a:solidFill>
          </a:ln>
          <a:effectLst/>
        </c:spPr>
        <c:dLbl>
          <c:idx val="0"/>
          <c:layout>
            <c:manualLayout>
              <c:x val="-6.1102018548827082E-2"/>
              <c:y val="-7.888837971907949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9"/>
        <c:spPr>
          <a:solidFill>
            <a:schemeClr val="accent1"/>
          </a:solidFill>
          <a:ln w="19050">
            <a:solidFill>
              <a:schemeClr val="lt1"/>
            </a:solidFill>
          </a:ln>
          <a:effectLst/>
        </c:spPr>
        <c:dLbl>
          <c:idx val="0"/>
          <c:layout>
            <c:manualLayout>
              <c:x val="-9.8199672667757795E-2"/>
              <c:y val="-0.13984758222927718"/>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0"/>
        <c:spPr>
          <a:solidFill>
            <a:schemeClr val="accent1"/>
          </a:solidFill>
          <a:ln w="19050">
            <a:solidFill>
              <a:schemeClr val="lt1"/>
            </a:solidFill>
          </a:ln>
          <a:effectLst/>
        </c:spPr>
        <c:dLbl>
          <c:idx val="0"/>
          <c:layout>
            <c:manualLayout>
              <c:x val="-2.1066831273241896E-2"/>
              <c:y val="-0.2146489963620880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728298781008013"/>
                  <c:h val="0.11500297141470914"/>
                </c:manualLayout>
              </c15:layout>
            </c:ext>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dLbl>
          <c:idx val="0"/>
          <c:layout>
            <c:manualLayout>
              <c:x val="8.7288597926896191E-3"/>
              <c:y val="3.227251897598704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6"/>
        <c:spPr>
          <a:solidFill>
            <a:schemeClr val="accent1"/>
          </a:solidFill>
          <a:ln w="19050">
            <a:solidFill>
              <a:schemeClr val="lt1"/>
            </a:solidFill>
          </a:ln>
          <a:effectLst/>
        </c:spPr>
        <c:dLbl>
          <c:idx val="0"/>
          <c:layout>
            <c:manualLayout>
              <c:x val="-9.4339256062399776E-2"/>
              <c:y val="0.18207519481321696"/>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7"/>
        <c:spPr>
          <a:solidFill>
            <a:schemeClr val="accent1"/>
          </a:solidFill>
          <a:ln w="19050">
            <a:solidFill>
              <a:schemeClr val="lt1"/>
            </a:solidFill>
          </a:ln>
          <a:effectLst/>
        </c:spPr>
        <c:dLbl>
          <c:idx val="0"/>
          <c:layout>
            <c:manualLayout>
              <c:x val="-0.11906917564488149"/>
              <c:y val="8.9044009692064427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8"/>
        <c:spPr>
          <a:solidFill>
            <a:schemeClr val="accent1"/>
          </a:solidFill>
          <a:ln w="19050">
            <a:solidFill>
              <a:schemeClr val="lt1"/>
            </a:solidFill>
          </a:ln>
          <a:effectLst/>
        </c:spPr>
        <c:dLbl>
          <c:idx val="0"/>
          <c:layout>
            <c:manualLayout>
              <c:x val="-6.6585152506603601E-2"/>
              <c:y val="2.33821228664241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9"/>
        <c:spPr>
          <a:solidFill>
            <a:schemeClr val="accent1"/>
          </a:solidFill>
          <a:ln w="19050">
            <a:solidFill>
              <a:schemeClr val="lt1"/>
            </a:solidFill>
          </a:ln>
          <a:effectLst/>
        </c:spPr>
        <c:dLbl>
          <c:idx val="0"/>
          <c:layout>
            <c:manualLayout>
              <c:x val="-6.1102018548827082E-2"/>
              <c:y val="-7.888837971907949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0"/>
        <c:spPr>
          <a:solidFill>
            <a:schemeClr val="accent1"/>
          </a:solidFill>
          <a:ln w="19050">
            <a:solidFill>
              <a:schemeClr val="lt1"/>
            </a:solidFill>
          </a:ln>
          <a:effectLst/>
        </c:spPr>
        <c:dLbl>
          <c:idx val="0"/>
          <c:layout>
            <c:manualLayout>
              <c:x val="-9.8199672667757795E-2"/>
              <c:y val="-0.13984758222927718"/>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1"/>
        <c:spPr>
          <a:solidFill>
            <a:schemeClr val="accent1"/>
          </a:solidFill>
          <a:ln w="19050">
            <a:solidFill>
              <a:schemeClr val="lt1"/>
            </a:solidFill>
          </a:ln>
          <a:effectLst/>
        </c:spPr>
        <c:dLbl>
          <c:idx val="0"/>
          <c:layout>
            <c:manualLayout>
              <c:x val="-2.1066831273241896E-2"/>
              <c:y val="-0.2146489963620880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728298781008013"/>
                  <c:h val="0.11500297141470914"/>
                </c:manualLayout>
              </c15:layout>
            </c:ext>
          </c:extLst>
        </c:dLbl>
      </c:pivotFmt>
      <c:pivotFmt>
        <c:idx val="32"/>
        <c:spPr>
          <a:solidFill>
            <a:schemeClr val="accent1"/>
          </a:solidFill>
          <a:ln w="19050">
            <a:solidFill>
              <a:schemeClr val="lt1"/>
            </a:solidFill>
          </a:ln>
          <a:effectLst/>
        </c:spPr>
      </c:pivotFmt>
    </c:pivotFmts>
    <c:plotArea>
      <c:layout/>
      <c:pieChart>
        <c:varyColors val="1"/>
        <c:ser>
          <c:idx val="0"/>
          <c:order val="0"/>
          <c:tx>
            <c:strRef>
              <c:f>'Thematic Distrobution'!$J$19</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957-4C8D-9341-3DC8BE9DE88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957-4C8D-9341-3DC8BE9DE88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957-4C8D-9341-3DC8BE9DE88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957-4C8D-9341-3DC8BE9DE88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957-4C8D-9341-3DC8BE9DE88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957-4C8D-9341-3DC8BE9DE88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957-4C8D-9341-3DC8BE9DE88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957-4C8D-9341-3DC8BE9DE88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957-4C8D-9341-3DC8BE9DE88E}"/>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957-4C8D-9341-3DC8BE9DE88E}"/>
              </c:ext>
            </c:extLst>
          </c:dPt>
          <c:dLbls>
            <c:dLbl>
              <c:idx val="0"/>
              <c:tx>
                <c:rich>
                  <a:bodyPr/>
                  <a:lstStyle/>
                  <a:p>
                    <a:fld id="{36EE9338-E7D3-4846-98CF-63E263E63A1A}" type="CATEGORYNAME">
                      <a:rPr lang="en-US"/>
                      <a:pPr/>
                      <a:t>[CATEGORY NAME]</a:t>
                    </a:fld>
                    <a:r>
                      <a:rPr lang="en-US" baseline="0"/>
                      <a:t>
$78.0 M (</a:t>
                    </a:r>
                    <a:fld id="{0BCF6927-5DE7-48BC-B096-EA394E87F166}" type="PERCENTAGE">
                      <a:rPr lang="en-US" baseline="0"/>
                      <a:pPr/>
                      <a:t>[PERCENTAGE]</a:t>
                    </a:fld>
                    <a:r>
                      <a:rPr lang="en-US" baseline="0"/>
                      <a: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957-4C8D-9341-3DC8BE9DE88E}"/>
                </c:ext>
              </c:extLst>
            </c:dLbl>
            <c:dLbl>
              <c:idx val="1"/>
              <c:layout>
                <c:manualLayout>
                  <c:x val="0.53816584294343772"/>
                  <c:y val="-6.1042075430564641E-2"/>
                </c:manualLayout>
              </c:layout>
              <c:tx>
                <c:rich>
                  <a:bodyPr/>
                  <a:lstStyle/>
                  <a:p>
                    <a:fld id="{31979609-170F-462F-AB9C-BEF669C452C5}" type="CATEGORYNAME">
                      <a:rPr lang="en-US"/>
                      <a:pPr/>
                      <a:t>[CATEGORY NAME]</a:t>
                    </a:fld>
                    <a:r>
                      <a:rPr lang="en-US" baseline="0"/>
                      <a:t>
$12.0 M (</a:t>
                    </a:r>
                    <a:fld id="{D8CD2F54-B5F5-4B86-A9F2-B5EB23C7DA3A}"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957-4C8D-9341-3DC8BE9DE88E}"/>
                </c:ext>
              </c:extLst>
            </c:dLbl>
            <c:dLbl>
              <c:idx val="2"/>
              <c:layout>
                <c:manualLayout>
                  <c:x val="7.8745346288056642E-2"/>
                  <c:y val="0.20896875774516152"/>
                </c:manualLayout>
              </c:layout>
              <c:tx>
                <c:rich>
                  <a:bodyPr/>
                  <a:lstStyle/>
                  <a:p>
                    <a:fld id="{8024B9C7-038F-491E-A950-1239CA65C8D4}" type="CATEGORYNAME">
                      <a:rPr lang="en-US"/>
                      <a:pPr/>
                      <a:t>[CATEGORY NAME]</a:t>
                    </a:fld>
                    <a:r>
                      <a:rPr lang="en-US" baseline="0"/>
                      <a:t>
$5.6 M (</a:t>
                    </a:r>
                    <a:fld id="{D78E6BA6-94CA-465E-A31E-31D3F085EA79}"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15420379907206819"/>
                      <c:h val="0.12323681220184431"/>
                    </c:manualLayout>
                  </c15:layout>
                  <c15:dlblFieldTable/>
                  <c15:showDataLabelsRange val="0"/>
                </c:ext>
                <c:ext xmlns:c16="http://schemas.microsoft.com/office/drawing/2014/chart" uri="{C3380CC4-5D6E-409C-BE32-E72D297353CC}">
                  <c16:uniqueId val="{00000005-7957-4C8D-9341-3DC8BE9DE88E}"/>
                </c:ext>
              </c:extLst>
            </c:dLbl>
            <c:dLbl>
              <c:idx val="3"/>
              <c:layout>
                <c:manualLayout>
                  <c:x val="-8.0610506470875656E-2"/>
                  <c:y val="0.25183769948965651"/>
                </c:manualLayout>
              </c:layout>
              <c:tx>
                <c:rich>
                  <a:bodyPr/>
                  <a:lstStyle/>
                  <a:p>
                    <a:fld id="{C1ABFDEF-1EC2-4F89-BF71-AACC11C4C3F0}" type="CATEGORYNAME">
                      <a:rPr lang="en-US"/>
                      <a:pPr/>
                      <a:t>[CATEGORY NAME]</a:t>
                    </a:fld>
                    <a:r>
                      <a:rPr lang="en-US" baseline="0"/>
                      <a:t>
$0.5 M (</a:t>
                    </a:r>
                    <a:fld id="{CFCF3445-7C66-4738-B6E9-9243BB3DF562}"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957-4C8D-9341-3DC8BE9DE88E}"/>
                </c:ext>
              </c:extLst>
            </c:dLbl>
            <c:dLbl>
              <c:idx val="4"/>
              <c:layout>
                <c:manualLayout>
                  <c:x val="-6.8257468640143218E-2"/>
                  <c:y val="4.544235763858491E-2"/>
                </c:manualLayout>
              </c:layout>
              <c:tx>
                <c:rich>
                  <a:bodyPr/>
                  <a:lstStyle/>
                  <a:p>
                    <a:fld id="{05AC0E08-F189-48E2-B348-99FF9605278B}" type="CATEGORYNAME">
                      <a:rPr lang="en-US"/>
                      <a:pPr/>
                      <a:t>[CATEGORY NAME]</a:t>
                    </a:fld>
                    <a:r>
                      <a:rPr lang="en-US" baseline="0"/>
                      <a:t>
$1 M (</a:t>
                    </a:r>
                    <a:fld id="{CD7164CB-6385-4D70-9B41-A919D2958AAD}"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957-4C8D-9341-3DC8BE9DE88E}"/>
                </c:ext>
              </c:extLst>
            </c:dLbl>
            <c:dLbl>
              <c:idx val="5"/>
              <c:layout>
                <c:manualLayout>
                  <c:x val="-4.7248634694962967E-2"/>
                  <c:y val="-4.5623286624816108E-2"/>
                </c:manualLayout>
              </c:layout>
              <c:tx>
                <c:rich>
                  <a:bodyPr/>
                  <a:lstStyle/>
                  <a:p>
                    <a:fld id="{C7EA406D-86AD-4078-960E-5B114254B489}" type="CATEGORYNAME">
                      <a:rPr lang="en-US"/>
                      <a:pPr/>
                      <a:t>[CATEGORY NAME]</a:t>
                    </a:fld>
                    <a:r>
                      <a:rPr lang="en-US" baseline="0"/>
                      <a:t>
$ 2.0 M (</a:t>
                    </a:r>
                    <a:fld id="{E75FE9F4-E89C-46B3-B6EB-838B85625E86}"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957-4C8D-9341-3DC8BE9DE88E}"/>
                </c:ext>
              </c:extLst>
            </c:dLbl>
            <c:dLbl>
              <c:idx val="6"/>
              <c:layout>
                <c:manualLayout>
                  <c:x val="-4.8344121729429618E-2"/>
                  <c:y val="-0.16173128784016447"/>
                </c:manualLayout>
              </c:layout>
              <c:tx>
                <c:rich>
                  <a:bodyPr/>
                  <a:lstStyle/>
                  <a:p>
                    <a:fld id="{C58F94B9-1A67-4C68-A48F-77A9EF8784AE}" type="CATEGORYNAME">
                      <a:rPr lang="en-US"/>
                      <a:pPr/>
                      <a:t>[CATEGORY NAME]</a:t>
                    </a:fld>
                    <a:r>
                      <a:rPr lang="en-US" baseline="0"/>
                      <a:t>
$2.2 M (</a:t>
                    </a:r>
                    <a:fld id="{B5DB9493-7C01-43A4-8A32-057EF61587AF}"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957-4C8D-9341-3DC8BE9DE88E}"/>
                </c:ext>
              </c:extLst>
            </c:dLbl>
            <c:dLbl>
              <c:idx val="7"/>
              <c:layout>
                <c:manualLayout>
                  <c:x val="-2.1318865207746888E-2"/>
                  <c:y val="-0.23141057662102249"/>
                </c:manualLayout>
              </c:layout>
              <c:tx>
                <c:rich>
                  <a:bodyPr/>
                  <a:lstStyle/>
                  <a:p>
                    <a:fld id="{7BDEEF56-0E3B-44BD-A7FA-331F1E8B8C7A}" type="CATEGORYNAME">
                      <a:rPr lang="en-US"/>
                      <a:pPr/>
                      <a:t>[CATEGORY NAME]</a:t>
                    </a:fld>
                    <a:r>
                      <a:rPr lang="en-US" baseline="0"/>
                      <a:t>
$3 M (</a:t>
                    </a:r>
                    <a:fld id="{C4560673-537B-4008-9057-4241C9903650}"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7957-4C8D-9341-3DC8BE9DE88E}"/>
                </c:ext>
              </c:extLst>
            </c:dLbl>
            <c:dLbl>
              <c:idx val="8"/>
              <c:layout>
                <c:manualLayout>
                  <c:x val="5.032246278111447E-2"/>
                  <c:y val="-0.28441144006770247"/>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D6FDEFC3-515F-4FFE-92BF-207846EDD2FB}" type="CATEGORYNAME">
                      <a:rPr lang="en-US"/>
                      <a:pPr>
                        <a:defRPr/>
                      </a:pPr>
                      <a:t>[CATEGORY NAME]</a:t>
                    </a:fld>
                    <a:r>
                      <a:rPr lang="en-US" baseline="0"/>
                      <a:t>
$4.5 M (</a:t>
                    </a:r>
                    <a:fld id="{388E9003-6086-4FF3-872C-BB1EDE3FB442}" type="PERCENTAGE">
                      <a:rPr lang="en-US" baseline="0"/>
                      <a:pPr>
                        <a:defRPr/>
                      </a:pPr>
                      <a:t>[PERCENTAGE]</a:t>
                    </a:fld>
                    <a:r>
                      <a:rPr lang="en-US" baseline="0"/>
                      <a:t>)</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728298781008013"/>
                      <c:h val="0.11500297141470914"/>
                    </c:manualLayout>
                  </c15:layout>
                  <c15:dlblFieldTable/>
                  <c15:showDataLabelsRange val="0"/>
                </c:ext>
                <c:ext xmlns:c16="http://schemas.microsoft.com/office/drawing/2014/chart" uri="{C3380CC4-5D6E-409C-BE32-E72D297353CC}">
                  <c16:uniqueId val="{00000011-7957-4C8D-9341-3DC8BE9DE88E}"/>
                </c:ext>
              </c:extLst>
            </c:dLbl>
            <c:dLbl>
              <c:idx val="9"/>
              <c:layout>
                <c:manualLayout>
                  <c:x val="0.12904997254255904"/>
                  <c:y val="-5.6681927185524311E-2"/>
                </c:manualLayout>
              </c:layout>
              <c:tx>
                <c:rich>
                  <a:bodyPr/>
                  <a:lstStyle/>
                  <a:p>
                    <a:fld id="{93F752CE-98C7-4F02-9939-9F1D84409357}" type="CATEGORYNAME">
                      <a:rPr lang="en-US"/>
                      <a:pPr/>
                      <a:t>[CATEGORY NAME]</a:t>
                    </a:fld>
                    <a:r>
                      <a:rPr lang="en-US" baseline="0"/>
                      <a:t>
$27.6 M (</a:t>
                    </a:r>
                    <a:fld id="{EC2F199B-374E-4290-9C2B-34CBCC4F6145}" type="PERCENTAGE">
                      <a:rPr lang="en-US" baseline="0"/>
                      <a:pPr/>
                      <a:t>[PERCENTAGE]</a:t>
                    </a:fld>
                    <a:r>
                      <a:rPr lang="en-US" baseline="0"/>
                      <a:t>)</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7957-4C8D-9341-3DC8BE9DE88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'Thematic Distrobution'!$I$20:$I$30</c:f>
              <c:strCache>
                <c:ptCount val="10"/>
                <c:pt idx="0">
                  <c:v>ASGM</c:v>
                </c:pt>
                <c:pt idx="1">
                  <c:v>Chlor Alkali</c:v>
                </c:pt>
                <c:pt idx="2">
                  <c:v>EA</c:v>
                </c:pt>
                <c:pt idx="3">
                  <c:v>Emissions</c:v>
                </c:pt>
                <c:pt idx="4">
                  <c:v>Fashion Sector</c:v>
                </c:pt>
                <c:pt idx="5">
                  <c:v>Green Chemistry</c:v>
                </c:pt>
                <c:pt idx="6">
                  <c:v>Healthcare waste</c:v>
                </c:pt>
                <c:pt idx="7">
                  <c:v>ISLANDS</c:v>
                </c:pt>
                <c:pt idx="8">
                  <c:v>Mercury Waste</c:v>
                </c:pt>
                <c:pt idx="9">
                  <c:v>Products</c:v>
                </c:pt>
              </c:strCache>
            </c:strRef>
          </c:cat>
          <c:val>
            <c:numRef>
              <c:f>'Thematic Distrobution'!$J$20:$J$30</c:f>
              <c:numCache>
                <c:formatCode>General</c:formatCode>
                <c:ptCount val="10"/>
                <c:pt idx="0">
                  <c:v>77988251</c:v>
                </c:pt>
                <c:pt idx="1">
                  <c:v>12000000</c:v>
                </c:pt>
                <c:pt idx="2">
                  <c:v>4885000</c:v>
                </c:pt>
                <c:pt idx="3">
                  <c:v>500000</c:v>
                </c:pt>
                <c:pt idx="4">
                  <c:v>1000000</c:v>
                </c:pt>
                <c:pt idx="5">
                  <c:v>2000000</c:v>
                </c:pt>
                <c:pt idx="6">
                  <c:v>2190000</c:v>
                </c:pt>
                <c:pt idx="7">
                  <c:v>3000000</c:v>
                </c:pt>
                <c:pt idx="8">
                  <c:v>4470000</c:v>
                </c:pt>
                <c:pt idx="9">
                  <c:v>27580050</c:v>
                </c:pt>
              </c:numCache>
            </c:numRef>
          </c:val>
          <c:extLst>
            <c:ext xmlns:c16="http://schemas.microsoft.com/office/drawing/2014/chart" uri="{C3380CC4-5D6E-409C-BE32-E72D297353CC}">
              <c16:uniqueId val="{00000014-7957-4C8D-9341-3DC8BE9DE88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'Regional Distrobution by Theme '!$B$13</c:f>
              <c:strCache>
                <c:ptCount val="1"/>
                <c:pt idx="0">
                  <c:v>ASGM</c:v>
                </c:pt>
              </c:strCache>
            </c:strRef>
          </c:tx>
          <c:spPr>
            <a:solidFill>
              <a:schemeClr val="accent1"/>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'!$B$14:$B$19</c:f>
              <c:numCache>
                <c:formatCode>_(* #,##0.0_);_(* \(#,##0.0\);_(* "-"??_);_(@_)</c:formatCode>
                <c:ptCount val="6"/>
                <c:pt idx="1">
                  <c:v>0</c:v>
                </c:pt>
                <c:pt idx="2">
                  <c:v>74.3</c:v>
                </c:pt>
                <c:pt idx="3">
                  <c:v>0</c:v>
                </c:pt>
                <c:pt idx="4">
                  <c:v>3.6697250000000001</c:v>
                </c:pt>
                <c:pt idx="5">
                  <c:v>0</c:v>
                </c:pt>
              </c:numCache>
            </c:numRef>
          </c:val>
          <c:extLst>
            <c:ext xmlns:c16="http://schemas.microsoft.com/office/drawing/2014/chart" uri="{C3380CC4-5D6E-409C-BE32-E72D297353CC}">
              <c16:uniqueId val="{00000000-4B06-6E42-B6DE-62A05E4859BF}"/>
            </c:ext>
          </c:extLst>
        </c:ser>
        <c:ser>
          <c:idx val="1"/>
          <c:order val="1"/>
          <c:tx>
            <c:strRef>
              <c:f>'Regional Distrobution by Theme '!$C$13</c:f>
              <c:strCache>
                <c:ptCount val="1"/>
                <c:pt idx="0">
                  <c:v>Chlor Alkali</c:v>
                </c:pt>
              </c:strCache>
            </c:strRef>
          </c:tx>
          <c:spPr>
            <a:solidFill>
              <a:schemeClr val="accent2"/>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'!$C$14:$C$19</c:f>
              <c:numCache>
                <c:formatCode>_(* #,##0.0_);_(* \(#,##0.0\);_(* "-"??_);_(@_)</c:formatCode>
                <c:ptCount val="6"/>
                <c:pt idx="0">
                  <c:v>0</c:v>
                </c:pt>
                <c:pt idx="1">
                  <c:v>0</c:v>
                </c:pt>
                <c:pt idx="2">
                  <c:v>0</c:v>
                </c:pt>
                <c:pt idx="3">
                  <c:v>12</c:v>
                </c:pt>
                <c:pt idx="4">
                  <c:v>0</c:v>
                </c:pt>
                <c:pt idx="5">
                  <c:v>0</c:v>
                </c:pt>
              </c:numCache>
            </c:numRef>
          </c:val>
          <c:extLst>
            <c:ext xmlns:c16="http://schemas.microsoft.com/office/drawing/2014/chart" uri="{C3380CC4-5D6E-409C-BE32-E72D297353CC}">
              <c16:uniqueId val="{00000001-4B06-6E42-B6DE-62A05E4859BF}"/>
            </c:ext>
          </c:extLst>
        </c:ser>
        <c:ser>
          <c:idx val="2"/>
          <c:order val="2"/>
          <c:tx>
            <c:strRef>
              <c:f>'Regional Distrobution by Theme '!$D$13</c:f>
              <c:strCache>
                <c:ptCount val="1"/>
                <c:pt idx="0">
                  <c:v>EAs</c:v>
                </c:pt>
              </c:strCache>
            </c:strRef>
          </c:tx>
          <c:spPr>
            <a:solidFill>
              <a:schemeClr val="accent3"/>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'!$D$14:$D$19</c:f>
              <c:numCache>
                <c:formatCode>_(* #,##0.0_);_(* \(#,##0.0\);_(* "-"??_);_(@_)</c:formatCode>
                <c:ptCount val="6"/>
                <c:pt idx="0">
                  <c:v>2</c:v>
                </c:pt>
                <c:pt idx="1">
                  <c:v>0.9</c:v>
                </c:pt>
                <c:pt idx="2">
                  <c:v>0</c:v>
                </c:pt>
                <c:pt idx="3">
                  <c:v>2.2000000000000002</c:v>
                </c:pt>
                <c:pt idx="4">
                  <c:v>0</c:v>
                </c:pt>
                <c:pt idx="5">
                  <c:v>0.48499999999999999</c:v>
                </c:pt>
              </c:numCache>
            </c:numRef>
          </c:val>
          <c:extLst>
            <c:ext xmlns:c16="http://schemas.microsoft.com/office/drawing/2014/chart" uri="{C3380CC4-5D6E-409C-BE32-E72D297353CC}">
              <c16:uniqueId val="{00000002-4B06-6E42-B6DE-62A05E4859BF}"/>
            </c:ext>
          </c:extLst>
        </c:ser>
        <c:ser>
          <c:idx val="3"/>
          <c:order val="3"/>
          <c:tx>
            <c:strRef>
              <c:f>'Regional Distrobution by Theme '!$E$13</c:f>
              <c:strCache>
                <c:ptCount val="1"/>
                <c:pt idx="0">
                  <c:v>Emissions</c:v>
                </c:pt>
              </c:strCache>
            </c:strRef>
          </c:tx>
          <c:spPr>
            <a:solidFill>
              <a:schemeClr val="accent4"/>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'!$E$14:$E$19</c:f>
              <c:numCache>
                <c:formatCode>_(* #,##0.0_);_(* \(#,##0.0\);_(* "-"??_);_(@_)</c:formatCode>
                <c:ptCount val="6"/>
                <c:pt idx="0">
                  <c:v>0</c:v>
                </c:pt>
                <c:pt idx="1">
                  <c:v>0</c:v>
                </c:pt>
                <c:pt idx="2">
                  <c:v>0.5</c:v>
                </c:pt>
                <c:pt idx="3">
                  <c:v>0</c:v>
                </c:pt>
                <c:pt idx="4">
                  <c:v>0</c:v>
                </c:pt>
                <c:pt idx="5">
                  <c:v>0</c:v>
                </c:pt>
              </c:numCache>
            </c:numRef>
          </c:val>
          <c:extLst>
            <c:ext xmlns:c16="http://schemas.microsoft.com/office/drawing/2014/chart" uri="{C3380CC4-5D6E-409C-BE32-E72D297353CC}">
              <c16:uniqueId val="{00000003-4B06-6E42-B6DE-62A05E4859BF}"/>
            </c:ext>
          </c:extLst>
        </c:ser>
        <c:ser>
          <c:idx val="4"/>
          <c:order val="4"/>
          <c:tx>
            <c:strRef>
              <c:f>'Regional Distrobution by Theme '!$F$13</c:f>
              <c:strCache>
                <c:ptCount val="1"/>
                <c:pt idx="0">
                  <c:v>Fashion Sector</c:v>
                </c:pt>
              </c:strCache>
            </c:strRef>
          </c:tx>
          <c:spPr>
            <a:solidFill>
              <a:schemeClr val="accent5"/>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'!$F$14:$F$19</c:f>
              <c:numCache>
                <c:formatCode>_(* #,##0.0_);_(* \(#,##0.0\);_(* "-"??_);_(@_)</c:formatCode>
                <c:ptCount val="6"/>
                <c:pt idx="0">
                  <c:v>0</c:v>
                </c:pt>
                <c:pt idx="1">
                  <c:v>0</c:v>
                </c:pt>
                <c:pt idx="2">
                  <c:v>1</c:v>
                </c:pt>
                <c:pt idx="3">
                  <c:v>0</c:v>
                </c:pt>
                <c:pt idx="4">
                  <c:v>0</c:v>
                </c:pt>
                <c:pt idx="5">
                  <c:v>0</c:v>
                </c:pt>
              </c:numCache>
            </c:numRef>
          </c:val>
          <c:extLst>
            <c:ext xmlns:c16="http://schemas.microsoft.com/office/drawing/2014/chart" uri="{C3380CC4-5D6E-409C-BE32-E72D297353CC}">
              <c16:uniqueId val="{00000004-4B06-6E42-B6DE-62A05E4859BF}"/>
            </c:ext>
          </c:extLst>
        </c:ser>
        <c:ser>
          <c:idx val="5"/>
          <c:order val="5"/>
          <c:tx>
            <c:strRef>
              <c:f>'Regional Distrobution by Theme '!$G$13</c:f>
              <c:strCache>
                <c:ptCount val="1"/>
                <c:pt idx="0">
                  <c:v>Green Chemistry</c:v>
                </c:pt>
              </c:strCache>
            </c:strRef>
          </c:tx>
          <c:spPr>
            <a:solidFill>
              <a:srgbClr val="FFFF00"/>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'!$G$14:$G$19</c:f>
              <c:numCache>
                <c:formatCode>_(* #,##0.0_);_(* \(#,##0.0\);_(* "-"??_);_(@_)</c:formatCode>
                <c:ptCount val="6"/>
                <c:pt idx="0">
                  <c:v>0</c:v>
                </c:pt>
                <c:pt idx="1">
                  <c:v>0</c:v>
                </c:pt>
                <c:pt idx="2">
                  <c:v>2</c:v>
                </c:pt>
                <c:pt idx="3">
                  <c:v>0</c:v>
                </c:pt>
                <c:pt idx="4">
                  <c:v>0</c:v>
                </c:pt>
                <c:pt idx="5">
                  <c:v>0</c:v>
                </c:pt>
              </c:numCache>
            </c:numRef>
          </c:val>
          <c:extLst>
            <c:ext xmlns:c16="http://schemas.microsoft.com/office/drawing/2014/chart" uri="{C3380CC4-5D6E-409C-BE32-E72D297353CC}">
              <c16:uniqueId val="{00000005-4B06-6E42-B6DE-62A05E4859BF}"/>
            </c:ext>
          </c:extLst>
        </c:ser>
        <c:ser>
          <c:idx val="6"/>
          <c:order val="6"/>
          <c:tx>
            <c:strRef>
              <c:f>'Regional Distrobution by Theme '!$H$13</c:f>
              <c:strCache>
                <c:ptCount val="1"/>
                <c:pt idx="0">
                  <c:v>Healthcare waste</c:v>
                </c:pt>
              </c:strCache>
            </c:strRef>
          </c:tx>
          <c:spPr>
            <a:solidFill>
              <a:schemeClr val="accent1">
                <a:lumMod val="60000"/>
              </a:schemeClr>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'!$H$14:$H$19</c:f>
              <c:numCache>
                <c:formatCode>_(* #,##0.0_);_(* \(#,##0.0\);_(* "-"??_);_(@_)</c:formatCode>
                <c:ptCount val="6"/>
                <c:pt idx="0">
                  <c:v>0</c:v>
                </c:pt>
                <c:pt idx="1">
                  <c:v>2.19</c:v>
                </c:pt>
                <c:pt idx="2">
                  <c:v>0</c:v>
                </c:pt>
                <c:pt idx="3">
                  <c:v>0</c:v>
                </c:pt>
                <c:pt idx="4">
                  <c:v>0</c:v>
                </c:pt>
                <c:pt idx="5">
                  <c:v>0</c:v>
                </c:pt>
              </c:numCache>
            </c:numRef>
          </c:val>
          <c:extLst>
            <c:ext xmlns:c16="http://schemas.microsoft.com/office/drawing/2014/chart" uri="{C3380CC4-5D6E-409C-BE32-E72D297353CC}">
              <c16:uniqueId val="{00000006-4B06-6E42-B6DE-62A05E4859BF}"/>
            </c:ext>
          </c:extLst>
        </c:ser>
        <c:ser>
          <c:idx val="7"/>
          <c:order val="7"/>
          <c:tx>
            <c:strRef>
              <c:f>'Regional Distrobution by Theme '!$I$13</c:f>
              <c:strCache>
                <c:ptCount val="1"/>
                <c:pt idx="0">
                  <c:v>ISLANDS</c:v>
                </c:pt>
              </c:strCache>
            </c:strRef>
          </c:tx>
          <c:spPr>
            <a:solidFill>
              <a:schemeClr val="accent2">
                <a:lumMod val="60000"/>
              </a:schemeClr>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'!$I$14:$I$19</c:f>
              <c:numCache>
                <c:formatCode>_(* #,##0.0_);_(* \(#,##0.0\);_(* "-"??_);_(@_)</c:formatCode>
                <c:ptCount val="6"/>
                <c:pt idx="0">
                  <c:v>0</c:v>
                </c:pt>
                <c:pt idx="1">
                  <c:v>0</c:v>
                </c:pt>
                <c:pt idx="2">
                  <c:v>0</c:v>
                </c:pt>
                <c:pt idx="3">
                  <c:v>0</c:v>
                </c:pt>
                <c:pt idx="4">
                  <c:v>3</c:v>
                </c:pt>
                <c:pt idx="5">
                  <c:v>0</c:v>
                </c:pt>
              </c:numCache>
            </c:numRef>
          </c:val>
          <c:extLst>
            <c:ext xmlns:c16="http://schemas.microsoft.com/office/drawing/2014/chart" uri="{C3380CC4-5D6E-409C-BE32-E72D297353CC}">
              <c16:uniqueId val="{00000007-4B06-6E42-B6DE-62A05E4859BF}"/>
            </c:ext>
          </c:extLst>
        </c:ser>
        <c:ser>
          <c:idx val="8"/>
          <c:order val="8"/>
          <c:tx>
            <c:strRef>
              <c:f>'Regional Distrobution by Theme '!$J$13</c:f>
              <c:strCache>
                <c:ptCount val="1"/>
                <c:pt idx="0">
                  <c:v>Mercury Waste</c:v>
                </c:pt>
              </c:strCache>
            </c:strRef>
          </c:tx>
          <c:spPr>
            <a:solidFill>
              <a:schemeClr val="accent3">
                <a:lumMod val="60000"/>
              </a:schemeClr>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'!$J$14:$J$19</c:f>
              <c:numCache>
                <c:formatCode>_(* #,##0.0_);_(* \(#,##0.0\);_(* "-"??_);_(@_)</c:formatCode>
                <c:ptCount val="6"/>
                <c:pt idx="0">
                  <c:v>1.26</c:v>
                </c:pt>
                <c:pt idx="1">
                  <c:v>0</c:v>
                </c:pt>
                <c:pt idx="2">
                  <c:v>0</c:v>
                </c:pt>
                <c:pt idx="3">
                  <c:v>3.21</c:v>
                </c:pt>
                <c:pt idx="4">
                  <c:v>0</c:v>
                </c:pt>
                <c:pt idx="5">
                  <c:v>0</c:v>
                </c:pt>
              </c:numCache>
            </c:numRef>
          </c:val>
          <c:extLst>
            <c:ext xmlns:c16="http://schemas.microsoft.com/office/drawing/2014/chart" uri="{C3380CC4-5D6E-409C-BE32-E72D297353CC}">
              <c16:uniqueId val="{00000008-4B06-6E42-B6DE-62A05E4859BF}"/>
            </c:ext>
          </c:extLst>
        </c:ser>
        <c:ser>
          <c:idx val="9"/>
          <c:order val="9"/>
          <c:tx>
            <c:strRef>
              <c:f>'Regional Distrobution by Theme '!$K$13</c:f>
              <c:strCache>
                <c:ptCount val="1"/>
                <c:pt idx="0">
                  <c:v>Products</c:v>
                </c:pt>
              </c:strCache>
            </c:strRef>
          </c:tx>
          <c:spPr>
            <a:solidFill>
              <a:srgbClr val="00B050"/>
            </a:solidFill>
            <a:ln>
              <a:noFill/>
            </a:ln>
            <a:effectLst/>
          </c:spPr>
          <c:invertIfNegative val="0"/>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'!$K$14:$K$19</c:f>
              <c:numCache>
                <c:formatCode>_(* #,##0.0_);_(* \(#,##0.0\);_(* "-"??_);_(@_)</c:formatCode>
                <c:ptCount val="6"/>
                <c:pt idx="0">
                  <c:v>0</c:v>
                </c:pt>
                <c:pt idx="1">
                  <c:v>17.60005</c:v>
                </c:pt>
                <c:pt idx="2">
                  <c:v>9.98</c:v>
                </c:pt>
                <c:pt idx="3">
                  <c:v>0</c:v>
                </c:pt>
                <c:pt idx="4">
                  <c:v>0</c:v>
                </c:pt>
                <c:pt idx="5">
                  <c:v>0</c:v>
                </c:pt>
              </c:numCache>
            </c:numRef>
          </c:val>
          <c:extLst>
            <c:ext xmlns:c16="http://schemas.microsoft.com/office/drawing/2014/chart" uri="{C3380CC4-5D6E-409C-BE32-E72D297353CC}">
              <c16:uniqueId val="{00000009-4B06-6E42-B6DE-62A05E4859BF}"/>
            </c:ext>
          </c:extLst>
        </c:ser>
        <c:dLbls>
          <c:showLegendKey val="0"/>
          <c:showVal val="0"/>
          <c:showCatName val="0"/>
          <c:showSerName val="0"/>
          <c:showPercent val="0"/>
          <c:showBubbleSize val="0"/>
        </c:dLbls>
        <c:gapWidth val="150"/>
        <c:overlap val="100"/>
        <c:axId val="1921784287"/>
        <c:axId val="475614384"/>
      </c:barChart>
      <c:lineChart>
        <c:grouping val="standard"/>
        <c:varyColors val="0"/>
        <c:ser>
          <c:idx val="10"/>
          <c:order val="10"/>
          <c:tx>
            <c:strRef>
              <c:f>'Regional Distrobution by Theme '!$L$13</c:f>
              <c:strCache>
                <c:ptCount val="1"/>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 Distrobution by Theme '!$A$14:$A$19</c:f>
              <c:strCache>
                <c:ptCount val="6"/>
                <c:pt idx="0">
                  <c:v>Africa</c:v>
                </c:pt>
                <c:pt idx="1">
                  <c:v>Asia</c:v>
                </c:pt>
                <c:pt idx="2">
                  <c:v>Global</c:v>
                </c:pt>
                <c:pt idx="3">
                  <c:v>Latin America</c:v>
                </c:pt>
                <c:pt idx="4">
                  <c:v>Regional</c:v>
                </c:pt>
                <c:pt idx="5">
                  <c:v>SIDS</c:v>
                </c:pt>
              </c:strCache>
            </c:strRef>
          </c:cat>
          <c:val>
            <c:numRef>
              <c:f>'Regional Distrobution by Theme '!$L$14:$L$19</c:f>
              <c:numCache>
                <c:formatCode>_(* #,##0.0_);_(* \(#,##0.0\);_(* "-"??_);_(@_)</c:formatCode>
                <c:ptCount val="6"/>
                <c:pt idx="0">
                  <c:v>3.26</c:v>
                </c:pt>
                <c:pt idx="1">
                  <c:v>20.690049999999999</c:v>
                </c:pt>
                <c:pt idx="2">
                  <c:v>87.78</c:v>
                </c:pt>
                <c:pt idx="3">
                  <c:v>17.399999999999999</c:v>
                </c:pt>
                <c:pt idx="4">
                  <c:v>6.6697249999999997</c:v>
                </c:pt>
                <c:pt idx="5" formatCode="General">
                  <c:v>0.5</c:v>
                </c:pt>
              </c:numCache>
            </c:numRef>
          </c:val>
          <c:smooth val="0"/>
          <c:extLst>
            <c:ext xmlns:c16="http://schemas.microsoft.com/office/drawing/2014/chart" uri="{C3380CC4-5D6E-409C-BE32-E72D297353CC}">
              <c16:uniqueId val="{0000000A-4B06-6E42-B6DE-62A05E4859BF}"/>
            </c:ext>
          </c:extLst>
        </c:ser>
        <c:dLbls>
          <c:showLegendKey val="0"/>
          <c:showVal val="0"/>
          <c:showCatName val="0"/>
          <c:showSerName val="0"/>
          <c:showPercent val="0"/>
          <c:showBubbleSize val="0"/>
        </c:dLbls>
        <c:marker val="1"/>
        <c:smooth val="0"/>
        <c:axId val="1921784287"/>
        <c:axId val="475614384"/>
      </c:lineChart>
      <c:catAx>
        <c:axId val="192178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614384"/>
        <c:crosses val="autoZero"/>
        <c:auto val="1"/>
        <c:lblAlgn val="ctr"/>
        <c:lblOffset val="100"/>
        <c:noMultiLvlLbl val="0"/>
      </c:catAx>
      <c:valAx>
        <c:axId val="47561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GEF-7</a:t>
                </a:r>
                <a:r>
                  <a:rPr lang="en-US" baseline="0"/>
                  <a:t> Programmed Resources ($ million)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178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'Agency Distribution Chart'!$H$4</c:f>
              <c:strCache>
                <c:ptCount val="1"/>
                <c:pt idx="0">
                  <c:v>EA</c:v>
                </c:pt>
              </c:strCache>
            </c:strRef>
          </c:tx>
          <c:spPr>
            <a:solidFill>
              <a:schemeClr val="accent1"/>
            </a:solidFill>
            <a:ln>
              <a:noFill/>
            </a:ln>
            <a:effectLst/>
          </c:spPr>
          <c:invertIfNegative val="0"/>
          <c:cat>
            <c:strRef>
              <c:f>'Agency Distribution Chart'!$G$5:$G$9</c:f>
              <c:strCache>
                <c:ptCount val="5"/>
                <c:pt idx="0">
                  <c:v>CI</c:v>
                </c:pt>
                <c:pt idx="1">
                  <c:v>UNDP</c:v>
                </c:pt>
                <c:pt idx="2">
                  <c:v>UNEP</c:v>
                </c:pt>
                <c:pt idx="3">
                  <c:v>UNIDO</c:v>
                </c:pt>
                <c:pt idx="4">
                  <c:v>World Bank</c:v>
                </c:pt>
              </c:strCache>
            </c:strRef>
          </c:cat>
          <c:val>
            <c:numRef>
              <c:f>'Agency Distribution Chart'!$H$5:$H$9</c:f>
              <c:numCache>
                <c:formatCode>0</c:formatCode>
                <c:ptCount val="5"/>
                <c:pt idx="0">
                  <c:v>0</c:v>
                </c:pt>
                <c:pt idx="1">
                  <c:v>0</c:v>
                </c:pt>
                <c:pt idx="2">
                  <c:v>3.1850000000000001</c:v>
                </c:pt>
                <c:pt idx="3">
                  <c:v>1.7</c:v>
                </c:pt>
                <c:pt idx="4">
                  <c:v>0</c:v>
                </c:pt>
              </c:numCache>
            </c:numRef>
          </c:val>
          <c:extLst>
            <c:ext xmlns:c16="http://schemas.microsoft.com/office/drawing/2014/chart" uri="{C3380CC4-5D6E-409C-BE32-E72D297353CC}">
              <c16:uniqueId val="{00000000-4150-1C40-A8CC-FB5928650FCB}"/>
            </c:ext>
          </c:extLst>
        </c:ser>
        <c:ser>
          <c:idx val="1"/>
          <c:order val="1"/>
          <c:tx>
            <c:strRef>
              <c:f>'Agency Distribution Chart'!$I$4</c:f>
              <c:strCache>
                <c:ptCount val="1"/>
                <c:pt idx="0">
                  <c:v>FSP</c:v>
                </c:pt>
              </c:strCache>
            </c:strRef>
          </c:tx>
          <c:spPr>
            <a:solidFill>
              <a:srgbClr val="00B050"/>
            </a:solidFill>
            <a:ln>
              <a:noFill/>
            </a:ln>
            <a:effectLst/>
          </c:spPr>
          <c:invertIfNegative val="0"/>
          <c:cat>
            <c:strRef>
              <c:f>'Agency Distribution Chart'!$G$5:$G$9</c:f>
              <c:strCache>
                <c:ptCount val="5"/>
                <c:pt idx="0">
                  <c:v>CI</c:v>
                </c:pt>
                <c:pt idx="1">
                  <c:v>UNDP</c:v>
                </c:pt>
                <c:pt idx="2">
                  <c:v>UNEP</c:v>
                </c:pt>
                <c:pt idx="3">
                  <c:v>UNIDO</c:v>
                </c:pt>
                <c:pt idx="4">
                  <c:v>World Bank</c:v>
                </c:pt>
              </c:strCache>
            </c:strRef>
          </c:cat>
          <c:val>
            <c:numRef>
              <c:f>'Agency Distribution Chart'!$I$5:$I$9</c:f>
              <c:numCache>
                <c:formatCode>0</c:formatCode>
                <c:ptCount val="5"/>
                <c:pt idx="0">
                  <c:v>0</c:v>
                </c:pt>
                <c:pt idx="1">
                  <c:v>21.070049999999998</c:v>
                </c:pt>
                <c:pt idx="2">
                  <c:v>19.98</c:v>
                </c:pt>
                <c:pt idx="3">
                  <c:v>5.19</c:v>
                </c:pt>
                <c:pt idx="4">
                  <c:v>3.6697250000000001</c:v>
                </c:pt>
              </c:numCache>
            </c:numRef>
          </c:val>
          <c:extLst>
            <c:ext xmlns:c16="http://schemas.microsoft.com/office/drawing/2014/chart" uri="{C3380CC4-5D6E-409C-BE32-E72D297353CC}">
              <c16:uniqueId val="{00000001-4150-1C40-A8CC-FB5928650FCB}"/>
            </c:ext>
          </c:extLst>
        </c:ser>
        <c:ser>
          <c:idx val="2"/>
          <c:order val="2"/>
          <c:tx>
            <c:strRef>
              <c:f>'Agency Distribution Chart'!$J$4</c:f>
              <c:strCache>
                <c:ptCount val="1"/>
                <c:pt idx="0">
                  <c:v>MSP</c:v>
                </c:pt>
              </c:strCache>
            </c:strRef>
          </c:tx>
          <c:spPr>
            <a:solidFill>
              <a:schemeClr val="accent6"/>
            </a:solidFill>
            <a:ln>
              <a:noFill/>
            </a:ln>
            <a:effectLst/>
          </c:spPr>
          <c:invertIfNegative val="0"/>
          <c:cat>
            <c:strRef>
              <c:f>'Agency Distribution Chart'!$G$5:$G$9</c:f>
              <c:strCache>
                <c:ptCount val="5"/>
                <c:pt idx="0">
                  <c:v>CI</c:v>
                </c:pt>
                <c:pt idx="1">
                  <c:v>UNDP</c:v>
                </c:pt>
                <c:pt idx="2">
                  <c:v>UNEP</c:v>
                </c:pt>
                <c:pt idx="3">
                  <c:v>UNIDO</c:v>
                </c:pt>
                <c:pt idx="4">
                  <c:v>World Bank</c:v>
                </c:pt>
              </c:strCache>
            </c:strRef>
          </c:cat>
          <c:val>
            <c:numRef>
              <c:f>'Agency Distribution Chart'!$J$5:$J$9</c:f>
              <c:numCache>
                <c:formatCode>0</c:formatCode>
                <c:ptCount val="5"/>
                <c:pt idx="0">
                  <c:v>1</c:v>
                </c:pt>
                <c:pt idx="1">
                  <c:v>0</c:v>
                </c:pt>
                <c:pt idx="2">
                  <c:v>2.5</c:v>
                </c:pt>
                <c:pt idx="3">
                  <c:v>0</c:v>
                </c:pt>
                <c:pt idx="4">
                  <c:v>0</c:v>
                </c:pt>
              </c:numCache>
            </c:numRef>
          </c:val>
          <c:extLst>
            <c:ext xmlns:c16="http://schemas.microsoft.com/office/drawing/2014/chart" uri="{C3380CC4-5D6E-409C-BE32-E72D297353CC}">
              <c16:uniqueId val="{00000002-4150-1C40-A8CC-FB5928650FCB}"/>
            </c:ext>
          </c:extLst>
        </c:ser>
        <c:dLbls>
          <c:showLegendKey val="0"/>
          <c:showVal val="0"/>
          <c:showCatName val="0"/>
          <c:showSerName val="0"/>
          <c:showPercent val="0"/>
          <c:showBubbleSize val="0"/>
        </c:dLbls>
        <c:gapWidth val="150"/>
        <c:overlap val="100"/>
        <c:axId val="5317072"/>
        <c:axId val="475570288"/>
      </c:barChart>
      <c:lineChart>
        <c:grouping val="stacked"/>
        <c:varyColors val="0"/>
        <c:ser>
          <c:idx val="3"/>
          <c:order val="3"/>
          <c:tx>
            <c:strRef>
              <c:f>'Agency Distribution Chart'!$K$4</c:f>
              <c:strCache>
                <c:ptCount val="1"/>
                <c:pt idx="0">
                  <c:v>total</c:v>
                </c:pt>
              </c:strCache>
            </c:strRef>
          </c:tx>
          <c:spPr>
            <a:ln w="28575" cap="rnd">
              <a:noFill/>
              <a:round/>
            </a:ln>
            <a:effectLst/>
          </c:spPr>
          <c:marker>
            <c:symbol val="none"/>
          </c:marker>
          <c:dLbls>
            <c:dLbl>
              <c:idx val="0"/>
              <c:tx>
                <c:rich>
                  <a:bodyPr/>
                  <a:lstStyle/>
                  <a:p>
                    <a:r>
                      <a:rPr lang="en-US"/>
                      <a:t>1.0</a:t>
                    </a:r>
                    <a:r>
                      <a:rPr lang="en-US" baseline="0"/>
                      <a:t> (2%)</a:t>
                    </a:r>
                    <a:endParaRPr lang="en-US"/>
                  </a:p>
                </c:rich>
              </c:tx>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150-1C40-A8CC-FB5928650FCB}"/>
                </c:ext>
              </c:extLst>
            </c:dLbl>
            <c:dLbl>
              <c:idx val="1"/>
              <c:tx>
                <c:rich>
                  <a:bodyPr/>
                  <a:lstStyle/>
                  <a:p>
                    <a:r>
                      <a:rPr lang="en-US"/>
                      <a:t>21.0 (36 %)</a:t>
                    </a:r>
                  </a:p>
                </c:rich>
              </c:tx>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4150-1C40-A8CC-FB5928650FCB}"/>
                </c:ext>
              </c:extLst>
            </c:dLbl>
            <c:dLbl>
              <c:idx val="2"/>
              <c:tx>
                <c:rich>
                  <a:bodyPr/>
                  <a:lstStyle/>
                  <a:p>
                    <a:r>
                      <a:rPr lang="en-US"/>
                      <a:t>25.6 (43%)</a:t>
                    </a:r>
                  </a:p>
                </c:rich>
              </c:tx>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4150-1C40-A8CC-FB5928650FCB}"/>
                </c:ext>
              </c:extLst>
            </c:dLbl>
            <c:dLbl>
              <c:idx val="3"/>
              <c:tx>
                <c:rich>
                  <a:bodyPr/>
                  <a:lstStyle/>
                  <a:p>
                    <a:r>
                      <a:rPr lang="en-US"/>
                      <a:t>7.6 (13%)</a:t>
                    </a:r>
                  </a:p>
                </c:rich>
              </c:tx>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4150-1C40-A8CC-FB5928650FCB}"/>
                </c:ext>
              </c:extLst>
            </c:dLbl>
            <c:dLbl>
              <c:idx val="4"/>
              <c:tx>
                <c:rich>
                  <a:bodyPr/>
                  <a:lstStyle/>
                  <a:p>
                    <a:r>
                      <a:rPr lang="en-US" baseline="0"/>
                      <a:t>3.7 (6%)</a:t>
                    </a:r>
                  </a:p>
                </c:rich>
              </c:tx>
              <c:dLblPos val="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4150-1C40-A8CC-FB5928650FCB}"/>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'Agency Distribution Chart'!$G$5:$G$9</c:f>
              <c:strCache>
                <c:ptCount val="5"/>
                <c:pt idx="0">
                  <c:v>CI</c:v>
                </c:pt>
                <c:pt idx="1">
                  <c:v>UNDP</c:v>
                </c:pt>
                <c:pt idx="2">
                  <c:v>UNEP</c:v>
                </c:pt>
                <c:pt idx="3">
                  <c:v>UNIDO</c:v>
                </c:pt>
                <c:pt idx="4">
                  <c:v>World Bank</c:v>
                </c:pt>
              </c:strCache>
            </c:strRef>
          </c:cat>
          <c:val>
            <c:numRef>
              <c:f>'Agency Distribution Chart'!$K$5:$K$9</c:f>
              <c:numCache>
                <c:formatCode>@</c:formatCode>
                <c:ptCount val="5"/>
                <c:pt idx="0">
                  <c:v>1</c:v>
                </c:pt>
                <c:pt idx="1">
                  <c:v>21</c:v>
                </c:pt>
                <c:pt idx="2">
                  <c:v>26</c:v>
                </c:pt>
                <c:pt idx="3">
                  <c:v>7</c:v>
                </c:pt>
                <c:pt idx="4">
                  <c:v>4</c:v>
                </c:pt>
              </c:numCache>
            </c:numRef>
          </c:val>
          <c:smooth val="0"/>
          <c:extLst>
            <c:ext xmlns:c16="http://schemas.microsoft.com/office/drawing/2014/chart" uri="{C3380CC4-5D6E-409C-BE32-E72D297353CC}">
              <c16:uniqueId val="{00000008-4150-1C40-A8CC-FB5928650FCB}"/>
            </c:ext>
          </c:extLst>
        </c:ser>
        <c:dLbls>
          <c:showLegendKey val="0"/>
          <c:showVal val="0"/>
          <c:showCatName val="0"/>
          <c:showSerName val="0"/>
          <c:showPercent val="0"/>
          <c:showBubbleSize val="0"/>
        </c:dLbls>
        <c:marker val="1"/>
        <c:smooth val="0"/>
        <c:axId val="5317072"/>
        <c:axId val="475570288"/>
      </c:lineChart>
      <c:catAx>
        <c:axId val="531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570288"/>
        <c:crosses val="autoZero"/>
        <c:auto val="1"/>
        <c:lblAlgn val="ctr"/>
        <c:lblOffset val="100"/>
        <c:noMultiLvlLbl val="0"/>
      </c:catAx>
      <c:valAx>
        <c:axId val="475570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GEF-7</a:t>
                </a:r>
                <a:r>
                  <a:rPr lang="en-US" baseline="0"/>
                  <a:t> Programmed Resources ($ million)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707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9bad0-3155-475a-8063-b4d93685c2ad">
      <UserInfo>
        <DisplayName>Claudia ten Have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14" ma:contentTypeDescription="Create a new document." ma:contentTypeScope="" ma:versionID="241d62901d39c384860e1af5ef71eab1">
  <xsd:schema xmlns:xsd="http://www.w3.org/2001/XMLSchema" xmlns:xs="http://www.w3.org/2001/XMLSchema" xmlns:p="http://schemas.microsoft.com/office/2006/metadata/properties" xmlns:ns2="822da31b-d518-49e2-88cd-1351ccd720a8" xmlns:ns3="8e99bad0-3155-475a-8063-b4d93685c2ad" targetNamespace="http://schemas.microsoft.com/office/2006/metadata/properties" ma:root="true" ma:fieldsID="6d36852573bb89ee29abc2659ba5c959" ns2:_="" ns3:_="">
    <xsd:import namespace="822da31b-d518-49e2-88cd-1351ccd720a8"/>
    <xsd:import namespace="8e99bad0-3155-475a-8063-b4d93685c2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4ABF-BE08-4F00-A082-5E62ED8C2099}">
  <ds:schemaRefs>
    <ds:schemaRef ds:uri="http://schemas.microsoft.com/sharepoint/v3/contenttype/forms"/>
  </ds:schemaRefs>
</ds:datastoreItem>
</file>

<file path=customXml/itemProps2.xml><?xml version="1.0" encoding="utf-8"?>
<ds:datastoreItem xmlns:ds="http://schemas.openxmlformats.org/officeDocument/2006/customXml" ds:itemID="{A1AAEB66-D6C3-4B27-8C34-F835D380A619}">
  <ds:schemaRefs>
    <ds:schemaRef ds:uri="http://schemas.microsoft.com/office/2006/metadata/properties"/>
    <ds:schemaRef ds:uri="http://schemas.microsoft.com/office/infopath/2007/PartnerControls"/>
    <ds:schemaRef ds:uri="a591afa8-fd54-42f1-9ea9-749d51e1c00b"/>
  </ds:schemaRefs>
</ds:datastoreItem>
</file>

<file path=customXml/itemProps3.xml><?xml version="1.0" encoding="utf-8"?>
<ds:datastoreItem xmlns:ds="http://schemas.openxmlformats.org/officeDocument/2006/customXml" ds:itemID="{52CD0DFF-E51F-4F27-BF39-0FD785113536}"/>
</file>

<file path=customXml/itemProps4.xml><?xml version="1.0" encoding="utf-8"?>
<ds:datastoreItem xmlns:ds="http://schemas.openxmlformats.org/officeDocument/2006/customXml" ds:itemID="{44FE2DA1-6795-41C1-9ECF-19CA1527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64</Pages>
  <Words>15499</Words>
  <Characters>88349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NATIONS UNIES</vt:lpstr>
    </vt:vector>
  </TitlesOfParts>
  <Company/>
  <LinksUpToDate>false</LinksUpToDate>
  <CharactersWithSpaces>103641</CharactersWithSpaces>
  <SharedDoc>false</SharedDoc>
  <HLinks>
    <vt:vector size="234" baseType="variant">
      <vt:variant>
        <vt:i4>2031679</vt:i4>
      </vt:variant>
      <vt:variant>
        <vt:i4>137</vt:i4>
      </vt:variant>
      <vt:variant>
        <vt:i4>0</vt:i4>
      </vt:variant>
      <vt:variant>
        <vt:i4>5</vt:i4>
      </vt:variant>
      <vt:variant>
        <vt:lpwstr/>
      </vt:variant>
      <vt:variant>
        <vt:lpwstr>_Toc15984237</vt:lpwstr>
      </vt:variant>
      <vt:variant>
        <vt:i4>1966143</vt:i4>
      </vt:variant>
      <vt:variant>
        <vt:i4>131</vt:i4>
      </vt:variant>
      <vt:variant>
        <vt:i4>0</vt:i4>
      </vt:variant>
      <vt:variant>
        <vt:i4>5</vt:i4>
      </vt:variant>
      <vt:variant>
        <vt:lpwstr/>
      </vt:variant>
      <vt:variant>
        <vt:lpwstr>_Toc15984236</vt:lpwstr>
      </vt:variant>
      <vt:variant>
        <vt:i4>1900607</vt:i4>
      </vt:variant>
      <vt:variant>
        <vt:i4>125</vt:i4>
      </vt:variant>
      <vt:variant>
        <vt:i4>0</vt:i4>
      </vt:variant>
      <vt:variant>
        <vt:i4>5</vt:i4>
      </vt:variant>
      <vt:variant>
        <vt:lpwstr/>
      </vt:variant>
      <vt:variant>
        <vt:lpwstr>_Toc15984235</vt:lpwstr>
      </vt:variant>
      <vt:variant>
        <vt:i4>2031669</vt:i4>
      </vt:variant>
      <vt:variant>
        <vt:i4>116</vt:i4>
      </vt:variant>
      <vt:variant>
        <vt:i4>0</vt:i4>
      </vt:variant>
      <vt:variant>
        <vt:i4>5</vt:i4>
      </vt:variant>
      <vt:variant>
        <vt:lpwstr/>
      </vt:variant>
      <vt:variant>
        <vt:lpwstr>_Toc73642768</vt:lpwstr>
      </vt:variant>
      <vt:variant>
        <vt:i4>1048629</vt:i4>
      </vt:variant>
      <vt:variant>
        <vt:i4>110</vt:i4>
      </vt:variant>
      <vt:variant>
        <vt:i4>0</vt:i4>
      </vt:variant>
      <vt:variant>
        <vt:i4>5</vt:i4>
      </vt:variant>
      <vt:variant>
        <vt:lpwstr/>
      </vt:variant>
      <vt:variant>
        <vt:lpwstr>_Toc73642767</vt:lpwstr>
      </vt:variant>
      <vt:variant>
        <vt:i4>1114165</vt:i4>
      </vt:variant>
      <vt:variant>
        <vt:i4>104</vt:i4>
      </vt:variant>
      <vt:variant>
        <vt:i4>0</vt:i4>
      </vt:variant>
      <vt:variant>
        <vt:i4>5</vt:i4>
      </vt:variant>
      <vt:variant>
        <vt:lpwstr/>
      </vt:variant>
      <vt:variant>
        <vt:lpwstr>_Toc73642766</vt:lpwstr>
      </vt:variant>
      <vt:variant>
        <vt:i4>1179701</vt:i4>
      </vt:variant>
      <vt:variant>
        <vt:i4>98</vt:i4>
      </vt:variant>
      <vt:variant>
        <vt:i4>0</vt:i4>
      </vt:variant>
      <vt:variant>
        <vt:i4>5</vt:i4>
      </vt:variant>
      <vt:variant>
        <vt:lpwstr/>
      </vt:variant>
      <vt:variant>
        <vt:lpwstr>_Toc73642765</vt:lpwstr>
      </vt:variant>
      <vt:variant>
        <vt:i4>1245237</vt:i4>
      </vt:variant>
      <vt:variant>
        <vt:i4>92</vt:i4>
      </vt:variant>
      <vt:variant>
        <vt:i4>0</vt:i4>
      </vt:variant>
      <vt:variant>
        <vt:i4>5</vt:i4>
      </vt:variant>
      <vt:variant>
        <vt:lpwstr/>
      </vt:variant>
      <vt:variant>
        <vt:lpwstr>_Toc73642764</vt:lpwstr>
      </vt:variant>
      <vt:variant>
        <vt:i4>1310773</vt:i4>
      </vt:variant>
      <vt:variant>
        <vt:i4>86</vt:i4>
      </vt:variant>
      <vt:variant>
        <vt:i4>0</vt:i4>
      </vt:variant>
      <vt:variant>
        <vt:i4>5</vt:i4>
      </vt:variant>
      <vt:variant>
        <vt:lpwstr/>
      </vt:variant>
      <vt:variant>
        <vt:lpwstr>_Toc73642763</vt:lpwstr>
      </vt:variant>
      <vt:variant>
        <vt:i4>1376309</vt:i4>
      </vt:variant>
      <vt:variant>
        <vt:i4>80</vt:i4>
      </vt:variant>
      <vt:variant>
        <vt:i4>0</vt:i4>
      </vt:variant>
      <vt:variant>
        <vt:i4>5</vt:i4>
      </vt:variant>
      <vt:variant>
        <vt:lpwstr/>
      </vt:variant>
      <vt:variant>
        <vt:lpwstr>_Toc73642762</vt:lpwstr>
      </vt:variant>
      <vt:variant>
        <vt:i4>1441845</vt:i4>
      </vt:variant>
      <vt:variant>
        <vt:i4>74</vt:i4>
      </vt:variant>
      <vt:variant>
        <vt:i4>0</vt:i4>
      </vt:variant>
      <vt:variant>
        <vt:i4>5</vt:i4>
      </vt:variant>
      <vt:variant>
        <vt:lpwstr/>
      </vt:variant>
      <vt:variant>
        <vt:lpwstr>_Toc73642761</vt:lpwstr>
      </vt:variant>
      <vt:variant>
        <vt:i4>1507381</vt:i4>
      </vt:variant>
      <vt:variant>
        <vt:i4>68</vt:i4>
      </vt:variant>
      <vt:variant>
        <vt:i4>0</vt:i4>
      </vt:variant>
      <vt:variant>
        <vt:i4>5</vt:i4>
      </vt:variant>
      <vt:variant>
        <vt:lpwstr/>
      </vt:variant>
      <vt:variant>
        <vt:lpwstr>_Toc73642760</vt:lpwstr>
      </vt:variant>
      <vt:variant>
        <vt:i4>1966134</vt:i4>
      </vt:variant>
      <vt:variant>
        <vt:i4>62</vt:i4>
      </vt:variant>
      <vt:variant>
        <vt:i4>0</vt:i4>
      </vt:variant>
      <vt:variant>
        <vt:i4>5</vt:i4>
      </vt:variant>
      <vt:variant>
        <vt:lpwstr/>
      </vt:variant>
      <vt:variant>
        <vt:lpwstr>_Toc73642759</vt:lpwstr>
      </vt:variant>
      <vt:variant>
        <vt:i4>2031670</vt:i4>
      </vt:variant>
      <vt:variant>
        <vt:i4>56</vt:i4>
      </vt:variant>
      <vt:variant>
        <vt:i4>0</vt:i4>
      </vt:variant>
      <vt:variant>
        <vt:i4>5</vt:i4>
      </vt:variant>
      <vt:variant>
        <vt:lpwstr/>
      </vt:variant>
      <vt:variant>
        <vt:lpwstr>_Toc73642758</vt:lpwstr>
      </vt:variant>
      <vt:variant>
        <vt:i4>1048630</vt:i4>
      </vt:variant>
      <vt:variant>
        <vt:i4>50</vt:i4>
      </vt:variant>
      <vt:variant>
        <vt:i4>0</vt:i4>
      </vt:variant>
      <vt:variant>
        <vt:i4>5</vt:i4>
      </vt:variant>
      <vt:variant>
        <vt:lpwstr/>
      </vt:variant>
      <vt:variant>
        <vt:lpwstr>_Toc73642757</vt:lpwstr>
      </vt:variant>
      <vt:variant>
        <vt:i4>1114166</vt:i4>
      </vt:variant>
      <vt:variant>
        <vt:i4>44</vt:i4>
      </vt:variant>
      <vt:variant>
        <vt:i4>0</vt:i4>
      </vt:variant>
      <vt:variant>
        <vt:i4>5</vt:i4>
      </vt:variant>
      <vt:variant>
        <vt:lpwstr/>
      </vt:variant>
      <vt:variant>
        <vt:lpwstr>_Toc73642756</vt:lpwstr>
      </vt:variant>
      <vt:variant>
        <vt:i4>1179702</vt:i4>
      </vt:variant>
      <vt:variant>
        <vt:i4>38</vt:i4>
      </vt:variant>
      <vt:variant>
        <vt:i4>0</vt:i4>
      </vt:variant>
      <vt:variant>
        <vt:i4>5</vt:i4>
      </vt:variant>
      <vt:variant>
        <vt:lpwstr/>
      </vt:variant>
      <vt:variant>
        <vt:lpwstr>_Toc73642755</vt:lpwstr>
      </vt:variant>
      <vt:variant>
        <vt:i4>1245238</vt:i4>
      </vt:variant>
      <vt:variant>
        <vt:i4>32</vt:i4>
      </vt:variant>
      <vt:variant>
        <vt:i4>0</vt:i4>
      </vt:variant>
      <vt:variant>
        <vt:i4>5</vt:i4>
      </vt:variant>
      <vt:variant>
        <vt:lpwstr/>
      </vt:variant>
      <vt:variant>
        <vt:lpwstr>_Toc73642754</vt:lpwstr>
      </vt:variant>
      <vt:variant>
        <vt:i4>1310774</vt:i4>
      </vt:variant>
      <vt:variant>
        <vt:i4>26</vt:i4>
      </vt:variant>
      <vt:variant>
        <vt:i4>0</vt:i4>
      </vt:variant>
      <vt:variant>
        <vt:i4>5</vt:i4>
      </vt:variant>
      <vt:variant>
        <vt:lpwstr/>
      </vt:variant>
      <vt:variant>
        <vt:lpwstr>_Toc73642753</vt:lpwstr>
      </vt:variant>
      <vt:variant>
        <vt:i4>1376310</vt:i4>
      </vt:variant>
      <vt:variant>
        <vt:i4>20</vt:i4>
      </vt:variant>
      <vt:variant>
        <vt:i4>0</vt:i4>
      </vt:variant>
      <vt:variant>
        <vt:i4>5</vt:i4>
      </vt:variant>
      <vt:variant>
        <vt:lpwstr/>
      </vt:variant>
      <vt:variant>
        <vt:lpwstr>_Toc73642752</vt:lpwstr>
      </vt:variant>
      <vt:variant>
        <vt:i4>1441846</vt:i4>
      </vt:variant>
      <vt:variant>
        <vt:i4>14</vt:i4>
      </vt:variant>
      <vt:variant>
        <vt:i4>0</vt:i4>
      </vt:variant>
      <vt:variant>
        <vt:i4>5</vt:i4>
      </vt:variant>
      <vt:variant>
        <vt:lpwstr/>
      </vt:variant>
      <vt:variant>
        <vt:lpwstr>_Toc73642751</vt:lpwstr>
      </vt:variant>
      <vt:variant>
        <vt:i4>1507382</vt:i4>
      </vt:variant>
      <vt:variant>
        <vt:i4>8</vt:i4>
      </vt:variant>
      <vt:variant>
        <vt:i4>0</vt:i4>
      </vt:variant>
      <vt:variant>
        <vt:i4>5</vt:i4>
      </vt:variant>
      <vt:variant>
        <vt:lpwstr/>
      </vt:variant>
      <vt:variant>
        <vt:lpwstr>_Toc73642750</vt:lpwstr>
      </vt:variant>
      <vt:variant>
        <vt:i4>1966135</vt:i4>
      </vt:variant>
      <vt:variant>
        <vt:i4>2</vt:i4>
      </vt:variant>
      <vt:variant>
        <vt:i4>0</vt:i4>
      </vt:variant>
      <vt:variant>
        <vt:i4>5</vt:i4>
      </vt:variant>
      <vt:variant>
        <vt:lpwstr/>
      </vt:variant>
      <vt:variant>
        <vt:lpwstr>_Toc73642749</vt:lpwstr>
      </vt:variant>
      <vt:variant>
        <vt:i4>917569</vt:i4>
      </vt:variant>
      <vt:variant>
        <vt:i4>45</vt:i4>
      </vt:variant>
      <vt:variant>
        <vt:i4>0</vt:i4>
      </vt:variant>
      <vt:variant>
        <vt:i4>5</vt:i4>
      </vt:variant>
      <vt:variant>
        <vt:lpwstr>https://www.thegef.org/council-meetings/gef-8-replenishment-first-meeting</vt:lpwstr>
      </vt:variant>
      <vt:variant>
        <vt:lpwstr/>
      </vt:variant>
      <vt:variant>
        <vt:i4>3932199</vt:i4>
      </vt:variant>
      <vt:variant>
        <vt:i4>42</vt:i4>
      </vt:variant>
      <vt:variant>
        <vt:i4>0</vt:i4>
      </vt:variant>
      <vt:variant>
        <vt:i4>5</vt:i4>
      </vt:variant>
      <vt:variant>
        <vt:lpwstr>https://www.thegef.org/sites/default/files/council-meeting-documents/EN_GEF.C.59_Summary_of_the_Chair_0.pdf</vt:lpwstr>
      </vt:variant>
      <vt:variant>
        <vt:lpwstr/>
      </vt:variant>
      <vt:variant>
        <vt:i4>5636181</vt:i4>
      </vt:variant>
      <vt:variant>
        <vt:i4>39</vt:i4>
      </vt:variant>
      <vt:variant>
        <vt:i4>0</vt:i4>
      </vt:variant>
      <vt:variant>
        <vt:i4>5</vt:i4>
      </vt:variant>
      <vt:variant>
        <vt:lpwstr>https://www.thegef.org/documents/project-design-and-review-considerations-response-covid-19-crisis-and-mitigation-future</vt:lpwstr>
      </vt:variant>
      <vt:variant>
        <vt:lpwstr/>
      </vt:variant>
      <vt:variant>
        <vt:i4>327796</vt:i4>
      </vt:variant>
      <vt:variant>
        <vt:i4>36</vt:i4>
      </vt:variant>
      <vt:variant>
        <vt:i4>0</vt:i4>
      </vt:variant>
      <vt:variant>
        <vt:i4>5</vt:i4>
      </vt:variant>
      <vt:variant>
        <vt:lpwstr>http://www.thegef.org/sites/default/files/council-meeting-documents/EN_GEF_C.59_Inf.14_White Paper on a GEF COVID-19 Response Strategy_.pdf</vt:lpwstr>
      </vt:variant>
      <vt:variant>
        <vt:lpwstr/>
      </vt:variant>
      <vt:variant>
        <vt:i4>2162793</vt:i4>
      </vt:variant>
      <vt:variant>
        <vt:i4>33</vt:i4>
      </vt:variant>
      <vt:variant>
        <vt:i4>0</vt:i4>
      </vt:variant>
      <vt:variant>
        <vt:i4>5</vt:i4>
      </vt:variant>
      <vt:variant>
        <vt:lpwstr>https://www.thegef.org/council-meeting-documents/gefs-private-sector-engagement-strategy-0</vt:lpwstr>
      </vt:variant>
      <vt:variant>
        <vt:lpwstr/>
      </vt:variant>
      <vt:variant>
        <vt:i4>3014764</vt:i4>
      </vt:variant>
      <vt:variant>
        <vt:i4>30</vt:i4>
      </vt:variant>
      <vt:variant>
        <vt:i4>0</vt:i4>
      </vt:variant>
      <vt:variant>
        <vt:i4>5</vt:i4>
      </vt:variant>
      <vt:variant>
        <vt:lpwstr>http://www.thegef.org/publications/gef-7-corporate-scorecard-june-2019</vt:lpwstr>
      </vt:variant>
      <vt:variant>
        <vt:lpwstr/>
      </vt:variant>
      <vt:variant>
        <vt:i4>4653176</vt:i4>
      </vt:variant>
      <vt:variant>
        <vt:i4>27</vt:i4>
      </vt:variant>
      <vt:variant>
        <vt:i4>0</vt:i4>
      </vt:variant>
      <vt:variant>
        <vt:i4>5</vt:i4>
      </vt:variant>
      <vt:variant>
        <vt:lpwstr>https://www.thegef.org/sites/default/files/council-meeting-documents/EN_GEF_E_C.59_06_Management Response to IEO Evaluations.pdf</vt:lpwstr>
      </vt:variant>
      <vt:variant>
        <vt:lpwstr/>
      </vt:variant>
      <vt:variant>
        <vt:i4>3211371</vt:i4>
      </vt:variant>
      <vt:variant>
        <vt:i4>24</vt:i4>
      </vt:variant>
      <vt:variant>
        <vt:i4>0</vt:i4>
      </vt:variant>
      <vt:variant>
        <vt:i4>5</vt:i4>
      </vt:variant>
      <vt:variant>
        <vt:lpwstr>https://www.gefieo.org/evaluations/gold</vt:lpwstr>
      </vt:variant>
      <vt:variant>
        <vt:lpwstr/>
      </vt:variant>
      <vt:variant>
        <vt:i4>4653148</vt:i4>
      </vt:variant>
      <vt:variant>
        <vt:i4>21</vt:i4>
      </vt:variant>
      <vt:variant>
        <vt:i4>0</vt:i4>
      </vt:variant>
      <vt:variant>
        <vt:i4>5</vt:i4>
      </vt:variant>
      <vt:variant>
        <vt:lpwstr>https://www.unep.org/explore-topics/chemicals-waste/what-we-do/mercury/global-mercury-assessment</vt:lpwstr>
      </vt:variant>
      <vt:variant>
        <vt:lpwstr/>
      </vt:variant>
      <vt:variant>
        <vt:i4>2162793</vt:i4>
      </vt:variant>
      <vt:variant>
        <vt:i4>18</vt:i4>
      </vt:variant>
      <vt:variant>
        <vt:i4>0</vt:i4>
      </vt:variant>
      <vt:variant>
        <vt:i4>5</vt:i4>
      </vt:variant>
      <vt:variant>
        <vt:lpwstr>https://www.thegef.org/council-meeting-documents/gefs-private-sector-engagement-strategy-0</vt:lpwstr>
      </vt:variant>
      <vt:variant>
        <vt:lpwstr/>
      </vt:variant>
      <vt:variant>
        <vt:i4>5111896</vt:i4>
      </vt:variant>
      <vt:variant>
        <vt:i4>15</vt:i4>
      </vt:variant>
      <vt:variant>
        <vt:i4>0</vt:i4>
      </vt:variant>
      <vt:variant>
        <vt:i4>5</vt:i4>
      </vt:variant>
      <vt:variant>
        <vt:lpwstr>https://www.thegef.org/sites/default/files/council-meeting-documents/GEF.A6.05.Rev_.01_Replenishment.pdf</vt:lpwstr>
      </vt:variant>
      <vt:variant>
        <vt:lpwstr/>
      </vt:variant>
      <vt:variant>
        <vt:i4>6029380</vt:i4>
      </vt:variant>
      <vt:variant>
        <vt:i4>12</vt:i4>
      </vt:variant>
      <vt:variant>
        <vt:i4>0</vt:i4>
      </vt:variant>
      <vt:variant>
        <vt:i4>5</vt:i4>
      </vt:variant>
      <vt:variant>
        <vt:lpwstr>https://www.thegef.org/council-meeting-documents/initial-guidelines-enabling-activities-minamata-convention-mercury-0</vt:lpwstr>
      </vt:variant>
      <vt:variant>
        <vt:lpwstr/>
      </vt:variant>
      <vt:variant>
        <vt:i4>4259966</vt:i4>
      </vt:variant>
      <vt:variant>
        <vt:i4>9</vt:i4>
      </vt:variant>
      <vt:variant>
        <vt:i4>0</vt:i4>
      </vt:variant>
      <vt:variant>
        <vt:i4>5</vt:i4>
      </vt:variant>
      <vt:variant>
        <vt:lpwstr>https://www.thegef.org/sites/default/files/council-meeting-documents/EN_GEF.C.56.10.Rev_.01_Approval of the Memorandum of Understanding Between the Conference of the Parties to the Minamata Convention on Mercury and the Council of the Global Environment Facility.pdf</vt:lpwstr>
      </vt:variant>
      <vt:variant>
        <vt:lpwstr/>
      </vt:variant>
      <vt:variant>
        <vt:i4>720988</vt:i4>
      </vt:variant>
      <vt:variant>
        <vt:i4>6</vt:i4>
      </vt:variant>
      <vt:variant>
        <vt:i4>0</vt:i4>
      </vt:variant>
      <vt:variant>
        <vt:i4>5</vt:i4>
      </vt:variant>
      <vt:variant>
        <vt:lpwstr>https://www.thegef.org/council-meeting-documents/gef-7-programming-directions</vt:lpwstr>
      </vt:variant>
      <vt:variant>
        <vt:lpwstr/>
      </vt:variant>
      <vt:variant>
        <vt:i4>7798832</vt:i4>
      </vt:variant>
      <vt:variant>
        <vt:i4>3</vt:i4>
      </vt:variant>
      <vt:variant>
        <vt:i4>0</vt:i4>
      </vt:variant>
      <vt:variant>
        <vt:i4>5</vt:i4>
      </vt:variant>
      <vt:variant>
        <vt:lpwstr>https://www.mercuryconvention.org/Countries/Parties/NationalActionPlans/tabid/7966/language/en-US/Default.aspx</vt:lpwstr>
      </vt:variant>
      <vt:variant>
        <vt:lpwstr/>
      </vt:variant>
      <vt:variant>
        <vt:i4>5111825</vt:i4>
      </vt:variant>
      <vt:variant>
        <vt:i4>0</vt:i4>
      </vt:variant>
      <vt:variant>
        <vt:i4>0</vt:i4>
      </vt:variant>
      <vt:variant>
        <vt:i4>5</vt:i4>
      </vt:variant>
      <vt:variant>
        <vt:lpwstr>https://www.mercuryconvention.org/Countries/Parties/MinamataInitialAssessments/tabid/6166/language/en-US/Default.aspx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caoki@thegef.org;mogawa2@thegef.org;asookdeo@thegef.org</dc:creator>
  <cp:keywords/>
  <cp:lastModifiedBy>Veronica Gathu</cp:lastModifiedBy>
  <cp:revision>7</cp:revision>
  <cp:lastPrinted>2021-09-20T08:09:00Z</cp:lastPrinted>
  <dcterms:created xsi:type="dcterms:W3CDTF">2021-09-20T08:07:00Z</dcterms:created>
  <dcterms:modified xsi:type="dcterms:W3CDTF">2021-09-20T08:41:00Z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Creator">
    <vt:lpwstr>Microsoft® Word 2016</vt:lpwstr>
  </property>
  <property fmtid="{D5CDD505-2E9C-101B-9397-08002B2CF9AE}" pid="4" name="LastSaved">
    <vt:filetime>2017-08-03T00:00:00Z</vt:filetime>
  </property>
  <property fmtid="{D5CDD505-2E9C-101B-9397-08002B2CF9AE}" pid="5" name="ContentTypeId">
    <vt:lpwstr>0x010100D4A186B34AAF4047A570F9DFA6808567</vt:lpwstr>
  </property>
</Properties>
</file>