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D85450" w:rsidRPr="00C8604E" w14:paraId="5F82A1E8" w14:textId="77777777" w:rsidTr="00990BF8">
        <w:trPr>
          <w:trHeight w:val="57"/>
          <w:jc w:val="right"/>
        </w:trPr>
        <w:tc>
          <w:tcPr>
            <w:tcW w:w="1613" w:type="dxa"/>
          </w:tcPr>
          <w:p w14:paraId="175D8964" w14:textId="77777777" w:rsidR="00D85450" w:rsidRPr="00C8604E" w:rsidRDefault="00D85450" w:rsidP="00990BF8">
            <w:pPr>
              <w:rPr>
                <w:rFonts w:ascii="Arial" w:hAnsi="Arial" w:cs="Arial"/>
                <w:b/>
                <w:bCs/>
                <w:sz w:val="27"/>
                <w:szCs w:val="27"/>
                <w:lang w:val="en-GB"/>
              </w:rPr>
            </w:pPr>
            <w:r w:rsidRPr="00C8604E">
              <w:rPr>
                <w:rFonts w:ascii="Arial" w:hAnsi="Arial" w:cs="Arial"/>
                <w:b/>
                <w:bCs/>
                <w:sz w:val="27"/>
                <w:szCs w:val="27"/>
                <w:lang w:val="en-GB"/>
              </w:rPr>
              <w:t xml:space="preserve">UNITED </w:t>
            </w:r>
            <w:r w:rsidRPr="00C8604E">
              <w:rPr>
                <w:rFonts w:ascii="Arial" w:hAnsi="Arial" w:cs="Arial"/>
                <w:b/>
                <w:bCs/>
                <w:sz w:val="27"/>
                <w:szCs w:val="27"/>
                <w:lang w:val="en-GB"/>
              </w:rPr>
              <w:br/>
              <w:t>NATIONS</w:t>
            </w:r>
          </w:p>
        </w:tc>
        <w:tc>
          <w:tcPr>
            <w:tcW w:w="6467" w:type="dxa"/>
            <w:gridSpan w:val="3"/>
          </w:tcPr>
          <w:p w14:paraId="7A6C90C0" w14:textId="77777777" w:rsidR="00D85450" w:rsidRPr="00C8604E" w:rsidRDefault="00D85450" w:rsidP="00990BF8">
            <w:pPr>
              <w:spacing w:before="20"/>
              <w:rPr>
                <w:lang w:val="en-GB"/>
              </w:rPr>
            </w:pPr>
            <w:r w:rsidRPr="00C8604E">
              <w:rPr>
                <w:noProof/>
                <w:lang w:val="en-GB" w:eastAsia="en-GB"/>
              </w:rPr>
              <w:drawing>
                <wp:inline distT="0" distB="0" distL="0" distR="0" wp14:anchorId="0361D26A" wp14:editId="5AD1DA96">
                  <wp:extent cx="1267200" cy="54957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31FA0445" w14:textId="77777777" w:rsidR="00D85450" w:rsidRPr="00C8604E" w:rsidRDefault="00D85450" w:rsidP="00990BF8">
            <w:pPr>
              <w:jc w:val="right"/>
              <w:rPr>
                <w:rFonts w:ascii="Arial" w:hAnsi="Arial" w:cs="Arial"/>
                <w:b/>
                <w:bCs/>
                <w:sz w:val="64"/>
                <w:szCs w:val="64"/>
                <w:lang w:val="en-GB"/>
              </w:rPr>
            </w:pPr>
            <w:r w:rsidRPr="00C8604E">
              <w:rPr>
                <w:rFonts w:ascii="Arial" w:hAnsi="Arial" w:cs="Arial"/>
                <w:b/>
                <w:bCs/>
                <w:sz w:val="64"/>
                <w:szCs w:val="64"/>
                <w:lang w:val="en-GB"/>
              </w:rPr>
              <w:t>MC</w:t>
            </w:r>
          </w:p>
        </w:tc>
      </w:tr>
      <w:tr w:rsidR="00D85450" w:rsidRPr="00C8604E" w14:paraId="7234A157" w14:textId="77777777" w:rsidTr="00990BF8">
        <w:trPr>
          <w:trHeight w:val="57"/>
          <w:jc w:val="right"/>
        </w:trPr>
        <w:tc>
          <w:tcPr>
            <w:tcW w:w="1613" w:type="dxa"/>
            <w:tcBorders>
              <w:bottom w:val="single" w:sz="4" w:space="0" w:color="auto"/>
            </w:tcBorders>
          </w:tcPr>
          <w:p w14:paraId="318A2F21" w14:textId="77777777" w:rsidR="00D85450" w:rsidRPr="00C8604E" w:rsidRDefault="00D85450" w:rsidP="00990BF8">
            <w:pPr>
              <w:rPr>
                <w:lang w:val="en-GB"/>
              </w:rPr>
            </w:pPr>
          </w:p>
        </w:tc>
        <w:tc>
          <w:tcPr>
            <w:tcW w:w="4807" w:type="dxa"/>
            <w:gridSpan w:val="2"/>
            <w:tcBorders>
              <w:bottom w:val="single" w:sz="4" w:space="0" w:color="auto"/>
            </w:tcBorders>
          </w:tcPr>
          <w:p w14:paraId="1D3EC368" w14:textId="77777777" w:rsidR="00D85450" w:rsidRPr="00C8604E" w:rsidRDefault="00D85450" w:rsidP="00990BF8">
            <w:pPr>
              <w:rPr>
                <w:lang w:val="en-GB"/>
              </w:rPr>
            </w:pPr>
          </w:p>
        </w:tc>
        <w:tc>
          <w:tcPr>
            <w:tcW w:w="3076" w:type="dxa"/>
            <w:gridSpan w:val="2"/>
            <w:tcBorders>
              <w:bottom w:val="single" w:sz="4" w:space="0" w:color="auto"/>
            </w:tcBorders>
          </w:tcPr>
          <w:p w14:paraId="0BDB2C06" w14:textId="1D60F088" w:rsidR="00D85450" w:rsidRPr="00C8604E" w:rsidRDefault="00D85450" w:rsidP="00990BF8">
            <w:pPr>
              <w:rPr>
                <w:lang w:val="en-GB"/>
              </w:rPr>
            </w:pPr>
            <w:r w:rsidRPr="008A2AB0">
              <w:rPr>
                <w:b/>
                <w:bCs/>
                <w:sz w:val="28"/>
                <w:szCs w:val="28"/>
                <w:lang w:val="en-GB"/>
              </w:rPr>
              <w:t>UNEP</w:t>
            </w:r>
            <w:r w:rsidRPr="008A2AB0">
              <w:rPr>
                <w:lang w:val="en-GB"/>
              </w:rPr>
              <w:t>/MC/COP.4</w:t>
            </w:r>
            <w:r>
              <w:rPr>
                <w:lang w:val="en-GB"/>
              </w:rPr>
              <w:t>/INF/27</w:t>
            </w:r>
          </w:p>
        </w:tc>
      </w:tr>
      <w:tr w:rsidR="00D85450" w:rsidRPr="00C8604E" w14:paraId="3B110717" w14:textId="77777777" w:rsidTr="00990BF8">
        <w:trPr>
          <w:trHeight w:val="57"/>
          <w:jc w:val="right"/>
        </w:trPr>
        <w:tc>
          <w:tcPr>
            <w:tcW w:w="3686" w:type="dxa"/>
            <w:gridSpan w:val="2"/>
            <w:tcBorders>
              <w:top w:val="single" w:sz="4" w:space="0" w:color="auto"/>
              <w:bottom w:val="single" w:sz="18" w:space="0" w:color="auto"/>
            </w:tcBorders>
          </w:tcPr>
          <w:p w14:paraId="681E8B87" w14:textId="77777777" w:rsidR="00D85450" w:rsidRPr="00C8604E" w:rsidRDefault="00D85450" w:rsidP="00990BF8">
            <w:pPr>
              <w:spacing w:before="120" w:after="240"/>
              <w:ind w:left="-85"/>
              <w:rPr>
                <w:sz w:val="22"/>
                <w:lang w:val="en-GB"/>
              </w:rPr>
            </w:pPr>
            <w:r w:rsidRPr="00C8604E">
              <w:rPr>
                <w:noProof/>
                <w:sz w:val="22"/>
                <w:lang w:val="en-GB" w:eastAsia="en-GB"/>
              </w:rPr>
              <w:drawing>
                <wp:inline distT="0" distB="0" distL="0" distR="0" wp14:anchorId="3FBBA188" wp14:editId="1C30AD9C">
                  <wp:extent cx="2204961" cy="10296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76DB9CDF" w14:textId="77777777" w:rsidR="00D85450" w:rsidRPr="00C8604E" w:rsidRDefault="00D85450" w:rsidP="00990BF8">
            <w:pPr>
              <w:spacing w:before="240" w:after="480"/>
              <w:rPr>
                <w:rFonts w:ascii="Arial" w:hAnsi="Arial" w:cs="Arial"/>
                <w:b/>
                <w:bCs/>
                <w:sz w:val="28"/>
                <w:szCs w:val="28"/>
                <w:lang w:val="en-GB"/>
              </w:rPr>
            </w:pPr>
          </w:p>
        </w:tc>
        <w:tc>
          <w:tcPr>
            <w:tcW w:w="3076" w:type="dxa"/>
            <w:gridSpan w:val="2"/>
            <w:tcBorders>
              <w:top w:val="single" w:sz="4" w:space="0" w:color="auto"/>
              <w:bottom w:val="single" w:sz="18" w:space="0" w:color="auto"/>
            </w:tcBorders>
          </w:tcPr>
          <w:p w14:paraId="68C9BE0A" w14:textId="56BF92AC" w:rsidR="00D85450" w:rsidRPr="00636C41" w:rsidRDefault="00D85450" w:rsidP="00D85450">
            <w:pPr>
              <w:spacing w:before="120"/>
              <w:rPr>
                <w:iCs/>
                <w:lang w:val="en-GB"/>
              </w:rPr>
            </w:pPr>
            <w:r w:rsidRPr="00636C41">
              <w:rPr>
                <w:lang w:val="en-GB"/>
              </w:rPr>
              <w:t xml:space="preserve">Distr.: General </w:t>
            </w:r>
            <w:r w:rsidRPr="00636C41">
              <w:rPr>
                <w:lang w:val="en-GB"/>
              </w:rPr>
              <w:br/>
            </w:r>
            <w:r w:rsidRPr="00636C41">
              <w:rPr>
                <w:iCs/>
                <w:lang w:val="en-GB"/>
              </w:rPr>
              <w:t>2</w:t>
            </w:r>
            <w:r>
              <w:rPr>
                <w:iCs/>
                <w:lang w:val="en-GB"/>
              </w:rPr>
              <w:t>3</w:t>
            </w:r>
            <w:r w:rsidRPr="00636C41">
              <w:rPr>
                <w:iCs/>
                <w:lang w:val="en-GB"/>
              </w:rPr>
              <w:t xml:space="preserve"> September 2021</w:t>
            </w:r>
          </w:p>
          <w:p w14:paraId="35092659" w14:textId="1E8C78E0" w:rsidR="00D85450" w:rsidRPr="00C8604E" w:rsidRDefault="00D85450" w:rsidP="00D85450">
            <w:pPr>
              <w:spacing w:before="120"/>
              <w:rPr>
                <w:sz w:val="22"/>
                <w:lang w:val="en-GB"/>
              </w:rPr>
            </w:pPr>
            <w:r w:rsidRPr="00636C41">
              <w:rPr>
                <w:lang w:val="en-GB"/>
              </w:rPr>
              <w:t>English only</w:t>
            </w:r>
          </w:p>
        </w:tc>
      </w:tr>
    </w:tbl>
    <w:p w14:paraId="35CD87AD" w14:textId="7F46D80B" w:rsidR="00962471" w:rsidRPr="00C8604E" w:rsidRDefault="00962471" w:rsidP="00962471">
      <w:pPr>
        <w:pStyle w:val="AATitle"/>
        <w:rPr>
          <w:lang w:val="en-GB"/>
        </w:rPr>
      </w:pPr>
      <w:r w:rsidRPr="00C8604E">
        <w:rPr>
          <w:lang w:val="en-GB"/>
        </w:rPr>
        <w:t xml:space="preserve">Conference of the Parties to the </w:t>
      </w:r>
      <w:r w:rsidRPr="00C8604E">
        <w:rPr>
          <w:lang w:val="en-GB"/>
        </w:rPr>
        <w:br/>
        <w:t>Minamata Convention on Mercury</w:t>
      </w:r>
    </w:p>
    <w:p w14:paraId="51D30F3B" w14:textId="037C63E6" w:rsidR="001E06A7" w:rsidRPr="00C8604E" w:rsidRDefault="001E06A7" w:rsidP="00962471">
      <w:pPr>
        <w:pStyle w:val="AATitle"/>
        <w:rPr>
          <w:lang w:val="en-GB"/>
        </w:rPr>
      </w:pPr>
      <w:r w:rsidRPr="00C8604E">
        <w:rPr>
          <w:lang w:val="en-GB"/>
        </w:rPr>
        <w:t xml:space="preserve">Fourth </w:t>
      </w:r>
      <w:r w:rsidR="00533B78">
        <w:rPr>
          <w:lang w:val="en-GB"/>
        </w:rPr>
        <w:t>m</w:t>
      </w:r>
      <w:r w:rsidRPr="00C8604E">
        <w:rPr>
          <w:lang w:val="en-GB"/>
        </w:rPr>
        <w:t>eeting</w:t>
      </w:r>
    </w:p>
    <w:p w14:paraId="6A0AA861" w14:textId="0E6AAE56" w:rsidR="005369CB" w:rsidRPr="00C8604E" w:rsidRDefault="001E06A7" w:rsidP="001E06A7">
      <w:pPr>
        <w:pStyle w:val="AATitle"/>
        <w:rPr>
          <w:b w:val="0"/>
          <w:bCs/>
          <w:lang w:val="en-GB"/>
        </w:rPr>
      </w:pPr>
      <w:r w:rsidRPr="00C8604E">
        <w:rPr>
          <w:b w:val="0"/>
          <w:bCs/>
          <w:lang w:val="en-GB"/>
        </w:rPr>
        <w:t>Online, 1</w:t>
      </w:r>
      <w:r w:rsidR="00A53F52" w:rsidRPr="00F23DCE">
        <w:rPr>
          <w:b w:val="0"/>
          <w:bCs/>
          <w:lang w:val="en-GB"/>
        </w:rPr>
        <w:t>–</w:t>
      </w:r>
      <w:r w:rsidRPr="00C8604E">
        <w:rPr>
          <w:b w:val="0"/>
          <w:bCs/>
          <w:lang w:val="en-GB"/>
        </w:rPr>
        <w:t>5 November 2021</w:t>
      </w:r>
      <w:r w:rsidRPr="00C8604E">
        <w:rPr>
          <w:rStyle w:val="FootnoteReference"/>
          <w:b w:val="0"/>
          <w:bCs/>
          <w:vertAlign w:val="baseline"/>
          <w:lang w:val="en-GB"/>
        </w:rPr>
        <w:footnoteReference w:customMarkFollows="1" w:id="2"/>
        <w:t>*</w:t>
      </w:r>
    </w:p>
    <w:p w14:paraId="40F0F607" w14:textId="399B3D4E" w:rsidR="00455095" w:rsidRPr="00A53F52" w:rsidRDefault="00455095" w:rsidP="00A53F52">
      <w:pPr>
        <w:pStyle w:val="AATitle"/>
        <w:rPr>
          <w:b w:val="0"/>
          <w:bCs/>
          <w:lang w:val="en-GB"/>
        </w:rPr>
      </w:pPr>
      <w:r w:rsidRPr="00A53F52">
        <w:rPr>
          <w:b w:val="0"/>
          <w:bCs/>
          <w:lang w:val="en-GB"/>
        </w:rPr>
        <w:t xml:space="preserve">Item </w:t>
      </w:r>
      <w:r w:rsidR="00260C2A" w:rsidRPr="00A53F52">
        <w:rPr>
          <w:b w:val="0"/>
          <w:bCs/>
          <w:lang w:val="en-GB"/>
        </w:rPr>
        <w:t>4 (d)</w:t>
      </w:r>
      <w:r w:rsidRPr="00A53F52">
        <w:rPr>
          <w:b w:val="0"/>
          <w:bCs/>
          <w:lang w:val="en-GB"/>
        </w:rPr>
        <w:t xml:space="preserve"> of the provisional agenda</w:t>
      </w:r>
      <w:bookmarkStart w:id="0" w:name="_Hlk37939878"/>
      <w:r w:rsidR="00A53F52" w:rsidRPr="00A53F52">
        <w:rPr>
          <w:rStyle w:val="FootnoteReference"/>
          <w:b w:val="0"/>
          <w:bCs/>
          <w:vertAlign w:val="baseline"/>
        </w:rPr>
        <w:t>*</w:t>
      </w:r>
      <w:r w:rsidR="00A53F52" w:rsidRPr="00A53F52">
        <w:rPr>
          <w:b w:val="0"/>
          <w:bCs/>
        </w:rPr>
        <w:footnoteReference w:customMarkFollows="1" w:id="3"/>
        <w:t>*</w:t>
      </w:r>
      <w:bookmarkEnd w:id="0"/>
    </w:p>
    <w:p w14:paraId="40D29C8C" w14:textId="25616778" w:rsidR="00455095" w:rsidRPr="00C8604E" w:rsidRDefault="00E039E0" w:rsidP="008A2932">
      <w:pPr>
        <w:pStyle w:val="AATitle2"/>
        <w:rPr>
          <w:lang w:val="en-GB"/>
        </w:rPr>
      </w:pPr>
      <w:r w:rsidRPr="00E039E0">
        <w:rPr>
          <w:lang w:val="en-GB"/>
        </w:rPr>
        <w:t xml:space="preserve">Matters for consideration or action by the Conference of the Parties: </w:t>
      </w:r>
      <w:r w:rsidR="002A23AF">
        <w:rPr>
          <w:lang w:val="en-GB"/>
        </w:rPr>
        <w:t>m</w:t>
      </w:r>
      <w:r w:rsidR="00416CDA" w:rsidRPr="00416CDA">
        <w:rPr>
          <w:lang w:val="en-GB"/>
        </w:rPr>
        <w:t>ercury waste: consideration of the relevant thresholds</w:t>
      </w:r>
    </w:p>
    <w:p w14:paraId="02DA4E5C" w14:textId="6F7B04F4" w:rsidR="00AF4FDB" w:rsidRPr="00CD66C3" w:rsidRDefault="00120E3B" w:rsidP="00CD66C3">
      <w:pPr>
        <w:pStyle w:val="BBTitle"/>
      </w:pPr>
      <w:r w:rsidRPr="00CD66C3">
        <w:t>Report on the intersessional work on mercury waste</w:t>
      </w:r>
      <w:r w:rsidR="009B595F" w:rsidRPr="00CD66C3">
        <w:t>: technical annexes</w:t>
      </w:r>
    </w:p>
    <w:p w14:paraId="47053CB3" w14:textId="3E3AFBEC" w:rsidR="005953B4" w:rsidRPr="00CD66C3" w:rsidRDefault="00AF4FDB" w:rsidP="00CD66C3">
      <w:pPr>
        <w:pStyle w:val="CH2"/>
      </w:pPr>
      <w:r w:rsidRPr="00CD66C3">
        <w:tab/>
      </w:r>
      <w:r w:rsidRPr="00CD66C3">
        <w:tab/>
      </w:r>
      <w:r w:rsidR="005953B4" w:rsidRPr="00CD66C3">
        <w:t>Note by the secretariat</w:t>
      </w:r>
    </w:p>
    <w:p w14:paraId="0DA1551B" w14:textId="6C358759" w:rsidR="008E5A4E" w:rsidRDefault="009B595F" w:rsidP="00A53F52">
      <w:pPr>
        <w:pStyle w:val="Normal-pool"/>
        <w:tabs>
          <w:tab w:val="clear" w:pos="1247"/>
          <w:tab w:val="clear" w:pos="1814"/>
          <w:tab w:val="clear" w:pos="2381"/>
          <w:tab w:val="clear" w:pos="2948"/>
          <w:tab w:val="clear" w:pos="3515"/>
          <w:tab w:val="clear" w:pos="4082"/>
          <w:tab w:val="left" w:pos="624"/>
        </w:tabs>
        <w:spacing w:after="120"/>
        <w:ind w:left="1247"/>
      </w:pPr>
      <w:r w:rsidRPr="009B595F">
        <w:t xml:space="preserve">As </w:t>
      </w:r>
      <w:r w:rsidR="00223BA0">
        <w:t>is mentioned</w:t>
      </w:r>
      <w:r w:rsidRPr="009B595F">
        <w:t xml:space="preserve"> in the note by the secretariat </w:t>
      </w:r>
      <w:r w:rsidR="00FB2EBC">
        <w:t xml:space="preserve">containing the report on the intersessional work on mercury waste </w:t>
      </w:r>
      <w:r w:rsidRPr="009B595F">
        <w:t>(UNEP/MC/COP.4/</w:t>
      </w:r>
      <w:r>
        <w:t>8</w:t>
      </w:r>
      <w:r w:rsidRPr="009B595F">
        <w:t xml:space="preserve">), </w:t>
      </w:r>
      <w:r w:rsidR="00FB2EBC">
        <w:t xml:space="preserve">the </w:t>
      </w:r>
      <w:r w:rsidR="00250D11">
        <w:t xml:space="preserve">technical annexes to the report of the group of technical experts established pursuant to decision MC-2/2 are set out as annexes to the present note. Annex I presents </w:t>
      </w:r>
      <w:r w:rsidR="008E5A4E">
        <w:t xml:space="preserve">the technical analysis of options in establishing thresholds for </w:t>
      </w:r>
      <w:r w:rsidR="008E5A4E" w:rsidRPr="008E5A4E">
        <w:t>mercury waste falling under subparagraph 2 (c) of article 11</w:t>
      </w:r>
      <w:r w:rsidR="008E5A4E">
        <w:t>,</w:t>
      </w:r>
      <w:r w:rsidR="008E5A4E" w:rsidRPr="008E5A4E">
        <w:t xml:space="preserve"> i.e. waste contaminated with mercury or mercury compounds</w:t>
      </w:r>
      <w:r w:rsidR="008E5A4E">
        <w:t>. Annex</w:t>
      </w:r>
      <w:r w:rsidR="002366AC">
        <w:t> </w:t>
      </w:r>
      <w:bookmarkStart w:id="1" w:name="_GoBack"/>
      <w:bookmarkEnd w:id="1"/>
      <w:r w:rsidR="008E5A4E">
        <w:t xml:space="preserve">II presents a description of </w:t>
      </w:r>
      <w:bookmarkStart w:id="2" w:name="_Hlk82737991"/>
      <w:r w:rsidR="00A83C8F">
        <w:t xml:space="preserve">the </w:t>
      </w:r>
      <w:r w:rsidR="008E5A4E">
        <w:t xml:space="preserve">technical calculation of a proposed threshold for </w:t>
      </w:r>
      <w:r w:rsidR="008E5A4E" w:rsidRPr="008E5A4E">
        <w:t>tailings from industrial-scale non-ferrous metal mining other than primary mercury mining</w:t>
      </w:r>
      <w:r w:rsidR="008E5A4E">
        <w:t>, which is to be used after the tier-1 threshold based on total mercury concentration and is based on leach testing</w:t>
      </w:r>
      <w:bookmarkEnd w:id="2"/>
      <w:r w:rsidR="008E5A4E">
        <w:t>.</w:t>
      </w:r>
      <w:r w:rsidR="008E5A4E" w:rsidRPr="008E5A4E">
        <w:t xml:space="preserve"> </w:t>
      </w:r>
      <w:r w:rsidRPr="009B595F">
        <w:t xml:space="preserve">The </w:t>
      </w:r>
      <w:r w:rsidR="008E5A4E">
        <w:t>annexes have not been formally edited.</w:t>
      </w:r>
    </w:p>
    <w:p w14:paraId="3D49E57F" w14:textId="07A16404" w:rsidR="007610B2" w:rsidRPr="001173D4" w:rsidRDefault="007610B2" w:rsidP="009B595F">
      <w:pPr>
        <w:pStyle w:val="Normalnumber"/>
        <w:numPr>
          <w:ilvl w:val="0"/>
          <w:numId w:val="0"/>
        </w:numPr>
        <w:tabs>
          <w:tab w:val="clear" w:pos="1247"/>
          <w:tab w:val="clear" w:pos="1814"/>
          <w:tab w:val="clear" w:pos="2381"/>
          <w:tab w:val="clear" w:pos="2948"/>
          <w:tab w:val="clear" w:pos="3515"/>
          <w:tab w:val="clear" w:pos="4082"/>
          <w:tab w:val="left" w:pos="624"/>
        </w:tabs>
        <w:suppressAutoHyphens/>
        <w:autoSpaceDN w:val="0"/>
        <w:ind w:left="1967"/>
        <w:textAlignment w:val="baseline"/>
        <w:rPr>
          <w:bCs/>
          <w:lang w:val="en-US"/>
        </w:rPr>
      </w:pPr>
    </w:p>
    <w:p w14:paraId="24C81353" w14:textId="77777777" w:rsidR="005953B4" w:rsidRPr="005953B4" w:rsidRDefault="005953B4" w:rsidP="005953B4">
      <w:pPr>
        <w:pStyle w:val="Normalnumber"/>
        <w:numPr>
          <w:ilvl w:val="0"/>
          <w:numId w:val="0"/>
        </w:numPr>
        <w:tabs>
          <w:tab w:val="clear" w:pos="1247"/>
          <w:tab w:val="clear" w:pos="1814"/>
          <w:tab w:val="clear" w:pos="2381"/>
          <w:tab w:val="clear" w:pos="2948"/>
          <w:tab w:val="clear" w:pos="3515"/>
          <w:tab w:val="clear" w:pos="4082"/>
          <w:tab w:val="left" w:pos="624"/>
        </w:tabs>
        <w:suppressAutoHyphens/>
        <w:autoSpaceDN w:val="0"/>
        <w:ind w:left="1814"/>
        <w:textAlignment w:val="baseline"/>
        <w:rPr>
          <w:bCs/>
          <w:lang w:val="en-US"/>
        </w:rPr>
      </w:pPr>
    </w:p>
    <w:p w14:paraId="2A9A10C6" w14:textId="77777777" w:rsidR="005953B4" w:rsidRPr="005953B4" w:rsidRDefault="005953B4" w:rsidP="005953B4">
      <w:pPr>
        <w:pStyle w:val="Normalnumber"/>
        <w:numPr>
          <w:ilvl w:val="0"/>
          <w:numId w:val="0"/>
        </w:numPr>
        <w:tabs>
          <w:tab w:val="clear" w:pos="1247"/>
          <w:tab w:val="clear" w:pos="1814"/>
          <w:tab w:val="clear" w:pos="2381"/>
          <w:tab w:val="clear" w:pos="2948"/>
          <w:tab w:val="clear" w:pos="3515"/>
          <w:tab w:val="clear" w:pos="4082"/>
          <w:tab w:val="left" w:pos="624"/>
        </w:tabs>
        <w:suppressAutoHyphens/>
        <w:autoSpaceDN w:val="0"/>
        <w:ind w:left="1814"/>
        <w:textAlignment w:val="baseline"/>
        <w:rPr>
          <w:bCs/>
          <w:lang w:val="en-US"/>
        </w:rPr>
        <w:sectPr w:rsidR="005953B4" w:rsidRPr="005953B4" w:rsidSect="005953B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pPr>
    </w:p>
    <w:p w14:paraId="7382498D" w14:textId="77777777" w:rsidR="005953B4" w:rsidRDefault="005953B4" w:rsidP="005953B4">
      <w:pPr>
        <w:pStyle w:val="ZZAnxheader"/>
      </w:pPr>
      <w:r w:rsidRPr="000855ED">
        <w:br w:type="page"/>
      </w:r>
      <w:r>
        <w:lastRenderedPageBreak/>
        <w:t>Annex I</w:t>
      </w:r>
    </w:p>
    <w:p w14:paraId="200A21CC" w14:textId="77777777" w:rsidR="00250D11" w:rsidRDefault="00250D11" w:rsidP="009B595F">
      <w:pPr>
        <w:rPr>
          <w:b/>
          <w:bCs/>
          <w:sz w:val="28"/>
          <w:szCs w:val="26"/>
          <w:lang w:eastAsia="en-US"/>
        </w:rPr>
      </w:pPr>
    </w:p>
    <w:p w14:paraId="3950C51C" w14:textId="2B260BF8" w:rsidR="007E5C7A" w:rsidRDefault="00250D11" w:rsidP="007E5C7A">
      <w:pPr>
        <w:rPr>
          <w:rFonts w:eastAsia="Times New Roman"/>
          <w:sz w:val="24"/>
          <w:szCs w:val="24"/>
          <w:lang w:val="en-GB" w:eastAsia="en-GB"/>
        </w:rPr>
      </w:pPr>
      <w:r w:rsidRPr="008E5A4E">
        <w:rPr>
          <w:b/>
          <w:bCs/>
          <w:sz w:val="28"/>
          <w:szCs w:val="28"/>
          <w:lang w:eastAsia="en-US"/>
        </w:rPr>
        <w:t xml:space="preserve">Technical analysis of threshold options </w:t>
      </w:r>
      <w:r w:rsidR="00814A03">
        <w:rPr>
          <w:b/>
          <w:bCs/>
          <w:sz w:val="28"/>
          <w:szCs w:val="28"/>
          <w:lang w:eastAsia="en-US"/>
        </w:rPr>
        <w:t>for waste</w:t>
      </w:r>
      <w:r w:rsidR="00202496">
        <w:rPr>
          <w:b/>
          <w:bCs/>
          <w:sz w:val="28"/>
          <w:szCs w:val="28"/>
          <w:lang w:eastAsia="en-US"/>
        </w:rPr>
        <w:t xml:space="preserve"> contaminated with mercury or mercury </w:t>
      </w:r>
      <w:r w:rsidR="00202496" w:rsidRPr="007E5C7A">
        <w:rPr>
          <w:b/>
          <w:bCs/>
          <w:sz w:val="28"/>
          <w:szCs w:val="28"/>
          <w:lang w:eastAsia="en-US"/>
        </w:rPr>
        <w:t>compounds</w:t>
      </w:r>
      <w:bookmarkStart w:id="3" w:name="_Hlk76459712"/>
      <w:r w:rsidR="007E5C7A" w:rsidRPr="007E5C7A">
        <w:rPr>
          <w:sz w:val="28"/>
          <w:szCs w:val="28"/>
        </w:rPr>
        <w:footnoteReference w:customMarkFollows="1" w:id="4"/>
        <w:t>*</w:t>
      </w:r>
      <w:bookmarkEnd w:id="3"/>
      <w:r w:rsidR="007E5C7A">
        <w:rPr>
          <w:sz w:val="24"/>
          <w:szCs w:val="24"/>
          <w:lang w:val="en-GB" w:eastAsia="en-GB"/>
        </w:rPr>
        <w:t xml:space="preserve"> </w:t>
      </w:r>
    </w:p>
    <w:p w14:paraId="1C79436C" w14:textId="6D56866F" w:rsidR="00250D11" w:rsidRPr="008E5A4E" w:rsidRDefault="007E5C7A" w:rsidP="007E5C7A">
      <w:pPr>
        <w:rPr>
          <w:b/>
          <w:bCs/>
          <w:sz w:val="28"/>
          <w:szCs w:val="28"/>
          <w:lang w:eastAsia="en-US"/>
        </w:rPr>
      </w:pPr>
      <w:r>
        <w:rPr>
          <w:rStyle w:val="FootnoteReference"/>
          <w:b/>
          <w:bCs/>
          <w:lang w:eastAsia="en-US"/>
        </w:rPr>
        <w:t xml:space="preserve"> </w:t>
      </w:r>
    </w:p>
    <w:p w14:paraId="1E153ED3" w14:textId="77777777" w:rsidR="00250D11" w:rsidRPr="00250D11" w:rsidRDefault="00250D11" w:rsidP="009B595F">
      <w:pPr>
        <w:rPr>
          <w:b/>
          <w:bCs/>
          <w:lang w:eastAsia="en-US"/>
        </w:rPr>
      </w:pPr>
    </w:p>
    <w:p w14:paraId="56A4DC23" w14:textId="731C41CD" w:rsidR="009B595F" w:rsidRPr="00250D11" w:rsidRDefault="009B595F" w:rsidP="009B595F">
      <w:r w:rsidRPr="00250D11">
        <w:t xml:space="preserve">This document presents a technical analysis of threshold options included in Document UNEP/MC/COP.3/7 - (a) total concentration of mercury in a waste, (b) measures of the release potential of mercury in a waste, and (c) a qualitative determination (i.e., a listing approach). </w:t>
      </w:r>
    </w:p>
    <w:p w14:paraId="0D9DFF2A" w14:textId="77777777" w:rsidR="009B595F" w:rsidRPr="00250D11" w:rsidRDefault="009B595F" w:rsidP="009B595F">
      <w:r w:rsidRPr="00250D11">
        <w:t>From this analysis, it has been concluded that a total concentration threshold is currently the most appropriate way to identify Category C waste subject to the Minamata Convention. Listing approach is not feasible for establishing thresholds for a wide variety of Category C waste. When compared to the leaching procedure, the total concentration approach has the following advantages:</w:t>
      </w:r>
    </w:p>
    <w:p w14:paraId="0152A4F6" w14:textId="77777777" w:rsidR="009B595F" w:rsidRPr="00250D11" w:rsidRDefault="009B595F" w:rsidP="009B595F"/>
    <w:p w14:paraId="5A8F1568" w14:textId="57286711" w:rsidR="009B595F" w:rsidRPr="00250D11" w:rsidRDefault="009B595F" w:rsidP="009B595F">
      <w:pPr>
        <w:pStyle w:val="ListParagraph"/>
        <w:numPr>
          <w:ilvl w:val="0"/>
          <w:numId w:val="38"/>
        </w:numPr>
        <w:spacing w:after="160" w:line="259" w:lineRule="auto"/>
      </w:pPr>
      <w:r w:rsidRPr="00250D11">
        <w:t xml:space="preserve">Category C wastes are managed in a large variety of ways, and not only land disposed, as illustrated by the USA coal combustion waste data below.  Leaching procedures focus on evaluating mercury release from land disposal.  </w:t>
      </w:r>
    </w:p>
    <w:p w14:paraId="3E351EC9" w14:textId="626CDAED" w:rsidR="009B595F" w:rsidRPr="00250D11" w:rsidRDefault="009B595F" w:rsidP="009B595F">
      <w:pPr>
        <w:pStyle w:val="ListParagraph"/>
        <w:numPr>
          <w:ilvl w:val="0"/>
          <w:numId w:val="38"/>
        </w:numPr>
        <w:spacing w:after="160" w:line="259" w:lineRule="auto"/>
      </w:pPr>
      <w:r w:rsidRPr="00250D11">
        <w:t xml:space="preserve">Even when Category C wastes are placed on the land, a range of release scenarios and exposure pathways are of concern, not only leaching into groundwater.  </w:t>
      </w:r>
    </w:p>
    <w:p w14:paraId="16EAC875" w14:textId="77777777" w:rsidR="009B595F" w:rsidRPr="00250D11" w:rsidRDefault="009B595F" w:rsidP="009B595F">
      <w:pPr>
        <w:pStyle w:val="ListParagraph"/>
        <w:numPr>
          <w:ilvl w:val="0"/>
          <w:numId w:val="38"/>
        </w:numPr>
        <w:spacing w:after="160" w:line="259" w:lineRule="auto"/>
      </w:pPr>
      <w:r w:rsidRPr="00250D11">
        <w:t xml:space="preserve">Noting that Paragraph 3(c) of Article 11 provides for transboundary movement of mercury waste, a threshold linked to a particular management assumption, such as a leaching threshold, may not ensure the prevention of environmental and health risk in the receiving country with different exposure conditions and management practice. </w:t>
      </w:r>
    </w:p>
    <w:p w14:paraId="4818F643" w14:textId="77777777" w:rsidR="009B595F" w:rsidRPr="00250D11" w:rsidRDefault="009B595F" w:rsidP="009B595F">
      <w:pPr>
        <w:pStyle w:val="ListParagraph"/>
        <w:numPr>
          <w:ilvl w:val="0"/>
          <w:numId w:val="38"/>
        </w:numPr>
        <w:spacing w:after="160" w:line="259" w:lineRule="auto"/>
      </w:pPr>
      <w:r w:rsidRPr="00250D11">
        <w:t>There are internationally accepted protocols for measuring the level of mercury present based upon total concentrations.  There is no comparable globally accepted leaching procedure for the large variety of Category C wastes managed under diverse conditions.</w:t>
      </w:r>
    </w:p>
    <w:p w14:paraId="00AC464E" w14:textId="77777777" w:rsidR="009B595F" w:rsidRPr="00755450" w:rsidRDefault="009B595F" w:rsidP="009B595F"/>
    <w:p w14:paraId="6C11C944" w14:textId="77777777" w:rsidR="009B595F" w:rsidRDefault="009B595F" w:rsidP="009B595F">
      <w:r>
        <w:rPr>
          <w:noProof/>
          <w:sz w:val="24"/>
          <w:szCs w:val="24"/>
          <w:u w:val="single"/>
        </w:rPr>
        <w:drawing>
          <wp:inline distT="0" distB="0" distL="0" distR="0" wp14:anchorId="09B028CC" wp14:editId="4619C139">
            <wp:extent cx="6399530" cy="3285820"/>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oal combustion waste table.jpg"/>
                    <pic:cNvPicPr/>
                  </pic:nvPicPr>
                  <pic:blipFill rotWithShape="1">
                    <a:blip r:embed="rId19" cstate="print">
                      <a:extLst>
                        <a:ext uri="{28A0092B-C50C-407E-A947-70E740481C1C}">
                          <a14:useLocalDpi xmlns:a14="http://schemas.microsoft.com/office/drawing/2010/main" val="0"/>
                        </a:ext>
                      </a:extLst>
                    </a:blip>
                    <a:srcRect t="3684" b="5527"/>
                    <a:stretch/>
                  </pic:blipFill>
                  <pic:spPr bwMode="auto">
                    <a:xfrm>
                      <a:off x="0" y="0"/>
                      <a:ext cx="6400800" cy="3286472"/>
                    </a:xfrm>
                    <a:prstGeom prst="rect">
                      <a:avLst/>
                    </a:prstGeom>
                    <a:ln>
                      <a:noFill/>
                    </a:ln>
                    <a:extLst>
                      <a:ext uri="{53640926-AAD7-44D8-BBD7-CCE9431645EC}">
                        <a14:shadowObscured xmlns:a14="http://schemas.microsoft.com/office/drawing/2010/main"/>
                      </a:ext>
                    </a:extLst>
                  </pic:spPr>
                </pic:pic>
              </a:graphicData>
            </a:graphic>
          </wp:inline>
        </w:drawing>
      </w:r>
    </w:p>
    <w:p w14:paraId="016338FC" w14:textId="77777777" w:rsidR="009B595F" w:rsidRDefault="009B595F" w:rsidP="009B595F">
      <w:pPr>
        <w:rPr>
          <w:b/>
          <w:sz w:val="28"/>
          <w:szCs w:val="28"/>
        </w:rPr>
      </w:pPr>
    </w:p>
    <w:p w14:paraId="568DBD30" w14:textId="77777777" w:rsidR="009B595F" w:rsidRPr="008E5A4E" w:rsidRDefault="009B595F" w:rsidP="009B595F">
      <w:pPr>
        <w:rPr>
          <w:sz w:val="24"/>
          <w:szCs w:val="24"/>
        </w:rPr>
      </w:pPr>
      <w:r w:rsidRPr="008E5A4E">
        <w:rPr>
          <w:b/>
          <w:sz w:val="24"/>
          <w:szCs w:val="24"/>
        </w:rPr>
        <w:t>I-Total concentration of mercury in waste</w:t>
      </w:r>
    </w:p>
    <w:p w14:paraId="169FC9A3" w14:textId="77777777" w:rsidR="009B595F" w:rsidRDefault="009B595F" w:rsidP="009B595F"/>
    <w:p w14:paraId="0B072013" w14:textId="7919F89C" w:rsidR="009B595F" w:rsidRPr="00250D11" w:rsidRDefault="009B595F" w:rsidP="009B595F">
      <w:r w:rsidRPr="00250D11">
        <w:t xml:space="preserve">The use of total concentration of mercury identifies the presence of mercury in the waste and assumes that as a general matter the more mercury present, the higher its potential to cause adverse human health or environmental effects. </w:t>
      </w:r>
    </w:p>
    <w:p w14:paraId="0AB2CC0D" w14:textId="77777777" w:rsidR="009B595F" w:rsidRPr="00250D11" w:rsidRDefault="009B595F" w:rsidP="009B595F"/>
    <w:p w14:paraId="084AC0DA" w14:textId="77777777" w:rsidR="009B595F" w:rsidRPr="00250D11" w:rsidRDefault="009B595F" w:rsidP="009B595F">
      <w:pPr>
        <w:rPr>
          <w:u w:val="single"/>
        </w:rPr>
      </w:pPr>
      <w:r w:rsidRPr="00250D11">
        <w:rPr>
          <w:u w:val="single"/>
        </w:rPr>
        <w:t>I-1- Description of measurement method</w:t>
      </w:r>
    </w:p>
    <w:p w14:paraId="36D53287" w14:textId="77777777" w:rsidR="009B595F" w:rsidRPr="00250D11" w:rsidRDefault="009B595F" w:rsidP="009B595F"/>
    <w:p w14:paraId="2C003BE3" w14:textId="77777777" w:rsidR="009B595F" w:rsidRPr="00250D11" w:rsidRDefault="009B595F" w:rsidP="009B595F">
      <w:r w:rsidRPr="00250D11">
        <w:t xml:space="preserve">a) </w:t>
      </w:r>
      <w:r w:rsidRPr="00250D11">
        <w:rPr>
          <w:u w:val="single"/>
        </w:rPr>
        <w:t xml:space="preserve">Fast analysis of (multiple) (field) point </w:t>
      </w:r>
    </w:p>
    <w:p w14:paraId="20063AF3" w14:textId="77777777" w:rsidR="009B595F" w:rsidRPr="00250D11" w:rsidRDefault="009B595F" w:rsidP="009B595F">
      <w:pPr>
        <w:numPr>
          <w:ilvl w:val="0"/>
          <w:numId w:val="34"/>
        </w:numPr>
      </w:pPr>
      <w:r w:rsidRPr="00250D11">
        <w:t xml:space="preserve">Hand-held or benchtop X-Ray fluorimeter (EN 15309), preferably calibrated for the specific matrix of the </w:t>
      </w:r>
      <w:proofErr w:type="spellStart"/>
      <w:r w:rsidRPr="00250D11">
        <w:t>analysed</w:t>
      </w:r>
      <w:proofErr w:type="spellEnd"/>
      <w:r w:rsidRPr="00250D11">
        <w:t xml:space="preserve"> waste, usable for all the elements of the periodic table heavier than </w:t>
      </w:r>
      <w:proofErr w:type="spellStart"/>
      <w:r w:rsidRPr="00250D11">
        <w:t>sulphur</w:t>
      </w:r>
      <w:proofErr w:type="spellEnd"/>
      <w:r w:rsidRPr="00250D11">
        <w:t>, or heavier than sodium with a specific detector. It is necessary to carefully measure the waste by hand-held X-ray fluorimeter to reduce an X-ray exposure dose as much as possible.</w:t>
      </w:r>
    </w:p>
    <w:p w14:paraId="2A103AB2" w14:textId="77777777" w:rsidR="009B595F" w:rsidRPr="00250D11" w:rsidRDefault="009B595F" w:rsidP="009B595F">
      <w:pPr>
        <w:numPr>
          <w:ilvl w:val="0"/>
          <w:numId w:val="34"/>
        </w:numPr>
      </w:pPr>
      <w:r w:rsidRPr="00250D11">
        <w:t>Application to the surface of solid waste (wet or not), giving the local surficial mercury concentration; typically, multiple measurements at different locations are performed</w:t>
      </w:r>
    </w:p>
    <w:p w14:paraId="4BA87DE7" w14:textId="77777777" w:rsidR="009B595F" w:rsidRPr="00250D11" w:rsidRDefault="009B595F" w:rsidP="009B595F">
      <w:pPr>
        <w:numPr>
          <w:ilvl w:val="0"/>
          <w:numId w:val="34"/>
        </w:numPr>
      </w:pPr>
      <w:r w:rsidRPr="00250D11">
        <w:t>Duration: 30 seconds per spot of about 25 mm²</w:t>
      </w:r>
    </w:p>
    <w:p w14:paraId="19F2EC73" w14:textId="77777777" w:rsidR="009B595F" w:rsidRPr="00250D11" w:rsidRDefault="009B595F" w:rsidP="009B595F">
      <w:pPr>
        <w:numPr>
          <w:ilvl w:val="0"/>
          <w:numId w:val="34"/>
        </w:numPr>
      </w:pPr>
      <w:r w:rsidRPr="00250D11">
        <w:t>Limit of detection (LOD = 3 x s; s = standard deviation of (≥ 10) repeated measurement of material without mercury; measurements with concentrations between LOD and LOQ are qualitative and indicative of presence) for field handheld XRF: 1 mg/kg dry matter. Limit of quantification (LOQ = 10 x s; measurements &gt; LOQ are quantitative) for field handheld XRF: 3 mg/kg dry matter</w:t>
      </w:r>
    </w:p>
    <w:p w14:paraId="1765AFFA" w14:textId="77777777" w:rsidR="009B595F" w:rsidRPr="00250D11" w:rsidRDefault="009B595F" w:rsidP="009B595F">
      <w:pPr>
        <w:numPr>
          <w:ilvl w:val="1"/>
          <w:numId w:val="34"/>
        </w:numPr>
      </w:pPr>
      <w:r w:rsidRPr="00250D11">
        <w:rPr>
          <w:b/>
        </w:rPr>
        <w:t>Concentration of total Hg in single or multiple spots of the waste</w:t>
      </w:r>
      <w:r w:rsidRPr="00250D11">
        <w:t>, and calculation of a mean concentration. Shows the eventual heterogeneity, important for representative sampling. Can be used for sorting waste pieces on-line by their mercury concentration, eventually in automated systems on streams (available on the market).</w:t>
      </w:r>
    </w:p>
    <w:p w14:paraId="331CC624" w14:textId="77777777" w:rsidR="009B595F" w:rsidRPr="00250D11" w:rsidRDefault="009B595F" w:rsidP="009B595F">
      <w:pPr>
        <w:ind w:left="720"/>
      </w:pPr>
    </w:p>
    <w:p w14:paraId="71EA0F05" w14:textId="77777777" w:rsidR="009B595F" w:rsidRPr="00250D11" w:rsidRDefault="009B595F" w:rsidP="009B595F">
      <w:pPr>
        <w:rPr>
          <w:u w:val="single"/>
        </w:rPr>
      </w:pPr>
      <w:r w:rsidRPr="00250D11">
        <w:t xml:space="preserve">b) </w:t>
      </w:r>
      <w:r w:rsidRPr="00250D11">
        <w:rPr>
          <w:u w:val="single"/>
        </w:rPr>
        <w:t xml:space="preserve">Laboratory analysis of mean representative sample of batch or stream </w:t>
      </w:r>
    </w:p>
    <w:p w14:paraId="3B4F18A5" w14:textId="77777777" w:rsidR="009B595F" w:rsidRPr="00250D11" w:rsidRDefault="009B595F" w:rsidP="009B595F">
      <w:pPr>
        <w:numPr>
          <w:ilvl w:val="0"/>
          <w:numId w:val="34"/>
        </w:numPr>
      </w:pPr>
      <w:r w:rsidRPr="00250D11">
        <w:t>Representative sampling on the field from the waste piece, heap or stream to the laboratory sample. The laboratory sample ranges from 0.1 to 100 kg depending on the size and weight of the individual particles composing the material: it should contain about 10 000 particles to measure the 99</w:t>
      </w:r>
      <w:r w:rsidRPr="00250D11">
        <w:rPr>
          <w:vertAlign w:val="superscript"/>
        </w:rPr>
        <w:t>th</w:t>
      </w:r>
      <w:r w:rsidRPr="00250D11">
        <w:t xml:space="preserve"> percentile of the mercury distribution in the particles if the coefficient of variation of particle analysis is 10% (CEN/TR 15310-1). If the concentration of mercury is dependent of the size of the particles (for instance if mercury is present as a separated mineralogical phase of a given size range), the </w:t>
      </w:r>
      <w:proofErr w:type="spellStart"/>
      <w:r w:rsidRPr="00250D11">
        <w:t>Gy’s</w:t>
      </w:r>
      <w:proofErr w:type="spellEnd"/>
      <w:r w:rsidRPr="00250D11">
        <w:t xml:space="preserve"> equations (ISO 11648-2) should be used.</w:t>
      </w:r>
    </w:p>
    <w:p w14:paraId="64714615" w14:textId="77777777" w:rsidR="009B595F" w:rsidRPr="00250D11" w:rsidRDefault="009B595F" w:rsidP="009B595F">
      <w:pPr>
        <w:numPr>
          <w:ilvl w:val="0"/>
          <w:numId w:val="34"/>
        </w:numPr>
      </w:pPr>
      <w:r w:rsidRPr="00250D11">
        <w:t>Pre-treatment at the laboratory to obtain a representative test portion of about 1 g to 10 g (drying at temperature &lt; 40°C if necessary, size reduction - crushing, shredding, cutting, milling - if necessary, in one or more steps, mixing, quartering)</w:t>
      </w:r>
    </w:p>
    <w:p w14:paraId="689A9328" w14:textId="56038B26" w:rsidR="009B595F" w:rsidRPr="00250D11" w:rsidRDefault="009B595F" w:rsidP="009B595F">
      <w:pPr>
        <w:numPr>
          <w:ilvl w:val="0"/>
          <w:numId w:val="34"/>
        </w:numPr>
      </w:pPr>
      <w:r w:rsidRPr="00250D11">
        <w:t>Three</w:t>
      </w:r>
      <w:r w:rsidR="00BA4798">
        <w:t xml:space="preserve"> </w:t>
      </w:r>
      <w:r w:rsidRPr="00250D11">
        <w:t>methods of measuring concentration:</w:t>
      </w:r>
    </w:p>
    <w:p w14:paraId="0D0C4538" w14:textId="77777777" w:rsidR="009B595F" w:rsidRPr="00250D11" w:rsidRDefault="009B595F" w:rsidP="009B595F">
      <w:pPr>
        <w:numPr>
          <w:ilvl w:val="1"/>
          <w:numId w:val="34"/>
        </w:numPr>
      </w:pPr>
      <w:r w:rsidRPr="00250D11">
        <w:t>Extraction/digestion of the test portion (1 g) by hot acids in closed vessels (EN 13657 or ISO 11466), and dosage by laboratory cold-vapor atomic fluorescence (ISO 16772), or other dosage method</w:t>
      </w:r>
    </w:p>
    <w:p w14:paraId="2AC82719" w14:textId="77777777" w:rsidR="009B595F" w:rsidRPr="00250D11" w:rsidRDefault="009B595F" w:rsidP="009B595F">
      <w:pPr>
        <w:numPr>
          <w:ilvl w:val="1"/>
          <w:numId w:val="34"/>
        </w:numPr>
      </w:pPr>
      <w:r w:rsidRPr="00250D11">
        <w:t>Direct analysis of a prepared (homogenized to be representative) test portion (10 g) by hand-held or benchtop X-ray fluorimeter (EN 15309)</w:t>
      </w:r>
    </w:p>
    <w:p w14:paraId="5B90B4EF" w14:textId="77777777" w:rsidR="009B595F" w:rsidRPr="00250D11" w:rsidRDefault="009B595F" w:rsidP="009B595F">
      <w:pPr>
        <w:numPr>
          <w:ilvl w:val="1"/>
          <w:numId w:val="34"/>
        </w:numPr>
      </w:pPr>
      <w:r w:rsidRPr="00250D11">
        <w:t xml:space="preserve">Direct combustion analysis of the test portion </w:t>
      </w:r>
      <w:proofErr w:type="gramStart"/>
      <w:r w:rsidRPr="00250D11">
        <w:t>( &lt;</w:t>
      </w:r>
      <w:proofErr w:type="gramEnd"/>
      <w:r w:rsidRPr="00250D11">
        <w:t xml:space="preserve"> 0.3g) by thermal decomposition method (USEPA 7473; ASTM D 6722-19; ASTM D 7623-20)</w:t>
      </w:r>
    </w:p>
    <w:p w14:paraId="597A2045" w14:textId="77777777" w:rsidR="009B595F" w:rsidRPr="00250D11" w:rsidRDefault="009B595F" w:rsidP="009B595F">
      <w:pPr>
        <w:numPr>
          <w:ilvl w:val="0"/>
          <w:numId w:val="34"/>
        </w:numPr>
      </w:pPr>
      <w:r w:rsidRPr="00250D11">
        <w:t>Duration: 1 day – 1 week</w:t>
      </w:r>
    </w:p>
    <w:p w14:paraId="3D34E30A" w14:textId="77777777" w:rsidR="009B595F" w:rsidRPr="00250D11" w:rsidRDefault="009B595F" w:rsidP="009B595F">
      <w:pPr>
        <w:numPr>
          <w:ilvl w:val="0"/>
          <w:numId w:val="34"/>
        </w:numPr>
      </w:pPr>
      <w:r w:rsidRPr="00250D11">
        <w:t>Limit of quantification LOQ (LOD = 1/3 LOQ):</w:t>
      </w:r>
    </w:p>
    <w:p w14:paraId="30F6C6A8" w14:textId="77777777" w:rsidR="009B595F" w:rsidRPr="00250D11" w:rsidRDefault="009B595F" w:rsidP="009B595F">
      <w:pPr>
        <w:numPr>
          <w:ilvl w:val="1"/>
          <w:numId w:val="34"/>
        </w:numPr>
      </w:pPr>
      <w:r w:rsidRPr="00250D11">
        <w:t>0.03 mg / kg dry matter by atomic absorption in cold vapor (EN 16175-1)</w:t>
      </w:r>
    </w:p>
    <w:p w14:paraId="062FF493" w14:textId="77777777" w:rsidR="009B595F" w:rsidRPr="00250D11" w:rsidRDefault="009B595F" w:rsidP="009B595F">
      <w:pPr>
        <w:numPr>
          <w:ilvl w:val="1"/>
          <w:numId w:val="34"/>
        </w:numPr>
      </w:pPr>
      <w:r w:rsidRPr="00250D11">
        <w:t>0.003 mg / kg dry matter by atomic fluorescence in cold vapor (EN 16175-2)</w:t>
      </w:r>
    </w:p>
    <w:p w14:paraId="78C66133" w14:textId="77777777" w:rsidR="009B595F" w:rsidRPr="00250D11" w:rsidRDefault="009B595F" w:rsidP="009B595F">
      <w:pPr>
        <w:numPr>
          <w:ilvl w:val="1"/>
          <w:numId w:val="34"/>
        </w:numPr>
      </w:pPr>
      <w:r w:rsidRPr="00250D11">
        <w:t>0.1 mg / kg dry matter by optical ICP</w:t>
      </w:r>
    </w:p>
    <w:p w14:paraId="6D8BCB66" w14:textId="24976F48" w:rsidR="009B595F" w:rsidRPr="00250D11" w:rsidRDefault="009B595F" w:rsidP="009B595F">
      <w:pPr>
        <w:numPr>
          <w:ilvl w:val="1"/>
          <w:numId w:val="34"/>
        </w:numPr>
      </w:pPr>
      <w:r w:rsidRPr="00250D11">
        <w:t>0.02 mg / kg dry matter by ICP MS (mass spectrometry)</w:t>
      </w:r>
    </w:p>
    <w:p w14:paraId="2706FB39" w14:textId="77777777" w:rsidR="009B595F" w:rsidRPr="00250D11" w:rsidRDefault="009B595F" w:rsidP="009B595F">
      <w:pPr>
        <w:numPr>
          <w:ilvl w:val="1"/>
          <w:numId w:val="34"/>
        </w:numPr>
      </w:pPr>
      <w:r w:rsidRPr="00250D11">
        <w:t>0.01 ng of total mercury (thermal decomposition method)</w:t>
      </w:r>
    </w:p>
    <w:p w14:paraId="51E0743A" w14:textId="77777777" w:rsidR="009B595F" w:rsidRPr="00250D11" w:rsidRDefault="009B595F" w:rsidP="009B595F"/>
    <w:p w14:paraId="2AD7A997" w14:textId="77777777" w:rsidR="009B595F" w:rsidRPr="00250D11" w:rsidRDefault="009B595F" w:rsidP="009B595F">
      <w:pPr>
        <w:rPr>
          <w:u w:val="single"/>
        </w:rPr>
      </w:pPr>
      <w:r w:rsidRPr="00250D11">
        <w:rPr>
          <w:u w:val="single"/>
        </w:rPr>
        <w:t>Availability of measurement apparatuses</w:t>
      </w:r>
    </w:p>
    <w:p w14:paraId="2E91DB80" w14:textId="77777777" w:rsidR="009B595F" w:rsidRPr="00250D11" w:rsidRDefault="009B595F" w:rsidP="009B595F">
      <w:r w:rsidRPr="00250D11">
        <w:t>These apparatuses are available on the market.</w:t>
      </w:r>
    </w:p>
    <w:p w14:paraId="2C9E8894" w14:textId="77777777" w:rsidR="009B595F" w:rsidRPr="00250D11" w:rsidRDefault="009B595F" w:rsidP="009B595F">
      <w:r w:rsidRPr="00250D11">
        <w:t>Hand-held or benchtop fluorimeters are frequently used in mining and metallurgy companies, including secondary metallurgy recycling waste companies, to assess quality of the scraps.</w:t>
      </w:r>
    </w:p>
    <w:p w14:paraId="58EA6FC1" w14:textId="77777777" w:rsidR="009B595F" w:rsidRPr="00250D11" w:rsidRDefault="009B595F" w:rsidP="009B595F">
      <w:r w:rsidRPr="00250D11">
        <w:t xml:space="preserve">Cold-vapor atomic absorption spectrometers and fluorimeters are frequently used in universities, technical </w:t>
      </w:r>
      <w:proofErr w:type="spellStart"/>
      <w:r w:rsidRPr="00250D11">
        <w:t>centres</w:t>
      </w:r>
      <w:proofErr w:type="spellEnd"/>
      <w:r w:rsidRPr="00250D11">
        <w:t xml:space="preserve"> and service laboratories </w:t>
      </w:r>
      <w:proofErr w:type="spellStart"/>
      <w:r w:rsidRPr="00250D11">
        <w:t>analysing</w:t>
      </w:r>
      <w:proofErr w:type="spellEnd"/>
      <w:r w:rsidRPr="00250D11">
        <w:t xml:space="preserve"> industrial and environmental samples.</w:t>
      </w:r>
    </w:p>
    <w:p w14:paraId="34CE1EB9" w14:textId="77777777" w:rsidR="009B595F" w:rsidRPr="00250D11" w:rsidRDefault="009B595F" w:rsidP="009B595F"/>
    <w:p w14:paraId="627D705A" w14:textId="77777777" w:rsidR="009B595F" w:rsidRPr="00250D11" w:rsidRDefault="009B595F" w:rsidP="009B595F">
      <w:pPr>
        <w:rPr>
          <w:u w:val="single"/>
        </w:rPr>
      </w:pPr>
      <w:r w:rsidRPr="00250D11">
        <w:rPr>
          <w:u w:val="single"/>
        </w:rPr>
        <w:t>Cost for measurement</w:t>
      </w:r>
    </w:p>
    <w:p w14:paraId="014C220A" w14:textId="77777777" w:rsidR="009B595F" w:rsidRPr="00250D11" w:rsidRDefault="009B595F" w:rsidP="009B595F">
      <w:pPr>
        <w:numPr>
          <w:ilvl w:val="0"/>
          <w:numId w:val="34"/>
        </w:numPr>
      </w:pPr>
      <w:r w:rsidRPr="00250D11">
        <w:t xml:space="preserve">Field </w:t>
      </w:r>
      <w:proofErr w:type="gramStart"/>
      <w:r w:rsidRPr="00250D11">
        <w:t>Hand held</w:t>
      </w:r>
      <w:proofErr w:type="gramEnd"/>
      <w:r w:rsidRPr="00250D11">
        <w:t xml:space="preserve"> XRF (multi-element)</w:t>
      </w:r>
    </w:p>
    <w:p w14:paraId="60C277FA" w14:textId="77777777" w:rsidR="009B595F" w:rsidRPr="00250D11" w:rsidRDefault="009B595F" w:rsidP="009B595F">
      <w:pPr>
        <w:numPr>
          <w:ilvl w:val="1"/>
          <w:numId w:val="34"/>
        </w:numPr>
      </w:pPr>
      <w:r w:rsidRPr="00250D11">
        <w:t>Cost of apparatus 30,000 USD</w:t>
      </w:r>
    </w:p>
    <w:p w14:paraId="1F81A151" w14:textId="0517AD03" w:rsidR="009B595F" w:rsidRPr="00250D11" w:rsidRDefault="009B595F" w:rsidP="009B595F">
      <w:pPr>
        <w:numPr>
          <w:ilvl w:val="1"/>
          <w:numId w:val="34"/>
        </w:numPr>
      </w:pPr>
      <w:r w:rsidRPr="00250D11">
        <w:t>Cost of one analysis 2 - 10 USD depending on labor cost (60 analyses per hour)</w:t>
      </w:r>
    </w:p>
    <w:p w14:paraId="4B166A28" w14:textId="77777777" w:rsidR="009B595F" w:rsidRPr="00250D11" w:rsidRDefault="009B595F" w:rsidP="009B595F">
      <w:pPr>
        <w:pStyle w:val="ListParagraph"/>
        <w:numPr>
          <w:ilvl w:val="0"/>
          <w:numId w:val="34"/>
        </w:numPr>
      </w:pPr>
      <w:r w:rsidRPr="00250D11">
        <w:rPr>
          <w:lang w:eastAsia="en-US"/>
        </w:rPr>
        <w:t>Laboratory bench-top wave dispersion X-ray fluorimeter (multi-element)</w:t>
      </w:r>
    </w:p>
    <w:p w14:paraId="35F3502E" w14:textId="77777777" w:rsidR="009B595F" w:rsidRPr="00250D11" w:rsidRDefault="009B595F" w:rsidP="009B595F">
      <w:pPr>
        <w:pStyle w:val="ListParagraph"/>
        <w:numPr>
          <w:ilvl w:val="1"/>
          <w:numId w:val="34"/>
        </w:numPr>
      </w:pPr>
      <w:r w:rsidRPr="00250D11">
        <w:t xml:space="preserve">Cost of apparatus </w:t>
      </w:r>
      <w:r w:rsidRPr="00250D11">
        <w:rPr>
          <w:lang w:eastAsia="en-US"/>
        </w:rPr>
        <w:t>80,000 USD</w:t>
      </w:r>
    </w:p>
    <w:p w14:paraId="5257D1C5" w14:textId="77777777" w:rsidR="009B595F" w:rsidRPr="00250D11" w:rsidRDefault="009B595F" w:rsidP="009B595F">
      <w:pPr>
        <w:pStyle w:val="ListParagraph"/>
        <w:numPr>
          <w:ilvl w:val="0"/>
          <w:numId w:val="34"/>
        </w:numPr>
        <w:contextualSpacing w:val="0"/>
      </w:pPr>
      <w:r w:rsidRPr="00250D11">
        <w:t>Laboratory Extraction and dosage</w:t>
      </w:r>
    </w:p>
    <w:p w14:paraId="0E176356" w14:textId="77777777" w:rsidR="009B595F" w:rsidRPr="00250D11" w:rsidRDefault="009B595F" w:rsidP="009B595F">
      <w:pPr>
        <w:pStyle w:val="ListParagraph"/>
        <w:numPr>
          <w:ilvl w:val="1"/>
          <w:numId w:val="34"/>
        </w:numPr>
        <w:contextualSpacing w:val="0"/>
      </w:pPr>
      <w:r w:rsidRPr="00250D11">
        <w:t>Extraction (also called digestion)</w:t>
      </w:r>
    </w:p>
    <w:p w14:paraId="324A9BE1" w14:textId="77777777" w:rsidR="009B595F" w:rsidRPr="00250D11" w:rsidRDefault="009B595F" w:rsidP="009B595F">
      <w:pPr>
        <w:pStyle w:val="ListParagraph"/>
        <w:numPr>
          <w:ilvl w:val="2"/>
          <w:numId w:val="34"/>
        </w:numPr>
        <w:contextualSpacing w:val="0"/>
      </w:pPr>
      <w:r w:rsidRPr="00250D11">
        <w:t>Heating plate for acid digestion and reflux with cooler 12 samples (multi-element) 10,000 USD, or</w:t>
      </w:r>
    </w:p>
    <w:p w14:paraId="734AE512" w14:textId="77777777" w:rsidR="009B595F" w:rsidRPr="00250D11" w:rsidRDefault="009B595F" w:rsidP="009B595F">
      <w:pPr>
        <w:pStyle w:val="ListParagraph"/>
        <w:numPr>
          <w:ilvl w:val="2"/>
          <w:numId w:val="34"/>
        </w:numPr>
        <w:contextualSpacing w:val="0"/>
      </w:pPr>
      <w:r w:rsidRPr="00250D11">
        <w:lastRenderedPageBreak/>
        <w:t>Microwave oven for acid digestion (multi-element) 50,000 USD.</w:t>
      </w:r>
    </w:p>
    <w:p w14:paraId="1B42D7AE" w14:textId="77777777" w:rsidR="009B595F" w:rsidRPr="00250D11" w:rsidRDefault="009B595F" w:rsidP="009B595F">
      <w:pPr>
        <w:pStyle w:val="ListParagraph"/>
        <w:numPr>
          <w:ilvl w:val="1"/>
          <w:numId w:val="34"/>
        </w:numPr>
        <w:contextualSpacing w:val="0"/>
      </w:pPr>
      <w:r w:rsidRPr="00250D11">
        <w:t>Dosage</w:t>
      </w:r>
    </w:p>
    <w:p w14:paraId="6E58F6AA" w14:textId="77777777" w:rsidR="009B595F" w:rsidRPr="00250D11" w:rsidRDefault="009B595F" w:rsidP="009B595F">
      <w:pPr>
        <w:pStyle w:val="ListParagraph"/>
        <w:numPr>
          <w:ilvl w:val="2"/>
          <w:numId w:val="34"/>
        </w:numPr>
        <w:contextualSpacing w:val="0"/>
      </w:pPr>
      <w:r w:rsidRPr="00250D11">
        <w:t>Atomic absorption in cold vapor (Hg only) 40,000 USD, or</w:t>
      </w:r>
    </w:p>
    <w:p w14:paraId="65FBCA65" w14:textId="77777777" w:rsidR="009B595F" w:rsidRPr="00250D11" w:rsidRDefault="009B595F" w:rsidP="009B595F">
      <w:pPr>
        <w:pStyle w:val="ListParagraph"/>
        <w:numPr>
          <w:ilvl w:val="2"/>
          <w:numId w:val="34"/>
        </w:numPr>
        <w:contextualSpacing w:val="0"/>
      </w:pPr>
      <w:r w:rsidRPr="00250D11">
        <w:t>Atomic fluorescence in cold vapor (Hg only) 40,000 USD, or</w:t>
      </w:r>
    </w:p>
    <w:p w14:paraId="0790819A" w14:textId="77777777" w:rsidR="009B595F" w:rsidRPr="00250D11" w:rsidRDefault="009B595F" w:rsidP="009B595F">
      <w:pPr>
        <w:pStyle w:val="ListParagraph"/>
        <w:numPr>
          <w:ilvl w:val="2"/>
          <w:numId w:val="34"/>
        </w:numPr>
        <w:contextualSpacing w:val="0"/>
      </w:pPr>
      <w:r w:rsidRPr="00250D11">
        <w:t>Optical ICP (multi-element) 70,000 USD, or</w:t>
      </w:r>
    </w:p>
    <w:p w14:paraId="4DC89C8E" w14:textId="77777777" w:rsidR="009B595F" w:rsidRPr="00250D11" w:rsidRDefault="009B595F" w:rsidP="009B595F">
      <w:pPr>
        <w:pStyle w:val="ListParagraph"/>
        <w:numPr>
          <w:ilvl w:val="2"/>
          <w:numId w:val="34"/>
        </w:numPr>
        <w:contextualSpacing w:val="0"/>
      </w:pPr>
      <w:r w:rsidRPr="00250D11">
        <w:t>ICP MS (multi-element) 150,000 USD.</w:t>
      </w:r>
    </w:p>
    <w:p w14:paraId="242AC27D" w14:textId="77777777" w:rsidR="009B595F" w:rsidRPr="00250D11" w:rsidRDefault="009B595F" w:rsidP="009B595F">
      <w:pPr>
        <w:numPr>
          <w:ilvl w:val="0"/>
          <w:numId w:val="34"/>
        </w:numPr>
      </w:pPr>
      <w:r w:rsidRPr="00250D11">
        <w:t>Laboratory Cold vapor</w:t>
      </w:r>
    </w:p>
    <w:p w14:paraId="1773F327" w14:textId="71613DE3" w:rsidR="009B595F" w:rsidRPr="00250D11" w:rsidRDefault="009B595F" w:rsidP="009B595F">
      <w:pPr>
        <w:numPr>
          <w:ilvl w:val="1"/>
          <w:numId w:val="34"/>
        </w:numPr>
      </w:pPr>
      <w:r w:rsidRPr="00250D11">
        <w:t>Cost of the apparatus (digestion, measurement) 50,000-200,000 USD or USD 15,000-25,000</w:t>
      </w:r>
      <w:r w:rsidRPr="00250D11" w:rsidDel="00416B32">
        <w:t xml:space="preserve"> </w:t>
      </w:r>
      <w:r w:rsidRPr="00250D11">
        <w:t>for cold-vapor atomic absorption spectrometer without digestion</w:t>
      </w:r>
    </w:p>
    <w:p w14:paraId="5643EC6B" w14:textId="77777777" w:rsidR="009B595F" w:rsidRPr="00250D11" w:rsidRDefault="009B595F" w:rsidP="009B595F">
      <w:pPr>
        <w:numPr>
          <w:ilvl w:val="1"/>
          <w:numId w:val="34"/>
        </w:numPr>
      </w:pPr>
      <w:r w:rsidRPr="00250D11">
        <w:t xml:space="preserve">Cost of one sample preparation and analysis </w:t>
      </w:r>
    </w:p>
    <w:p w14:paraId="06D1A921" w14:textId="77777777" w:rsidR="009B595F" w:rsidRPr="00250D11" w:rsidRDefault="009B595F" w:rsidP="009B595F">
      <w:pPr>
        <w:numPr>
          <w:ilvl w:val="1"/>
          <w:numId w:val="34"/>
        </w:numPr>
      </w:pPr>
      <w:r w:rsidRPr="00250D11">
        <w:t>Granular waste that crush 20 – 30 USD</w:t>
      </w:r>
    </w:p>
    <w:p w14:paraId="34520BD0" w14:textId="77777777" w:rsidR="009B595F" w:rsidRPr="00250D11" w:rsidRDefault="009B595F" w:rsidP="009B595F">
      <w:pPr>
        <w:numPr>
          <w:ilvl w:val="1"/>
          <w:numId w:val="34"/>
        </w:numPr>
      </w:pPr>
      <w:r w:rsidRPr="00250D11">
        <w:t>Plastics shreds, metals scraps 100 USD</w:t>
      </w:r>
    </w:p>
    <w:p w14:paraId="4A9C0693" w14:textId="77777777" w:rsidR="009B595F" w:rsidRPr="00250D11" w:rsidRDefault="009B595F" w:rsidP="009B595F">
      <w:pPr>
        <w:numPr>
          <w:ilvl w:val="0"/>
          <w:numId w:val="34"/>
        </w:numPr>
      </w:pPr>
      <w:r w:rsidRPr="00250D11">
        <w:t>Thermal decomposition method</w:t>
      </w:r>
    </w:p>
    <w:p w14:paraId="5EB51156" w14:textId="3A901A09" w:rsidR="009B595F" w:rsidRPr="00250D11" w:rsidRDefault="009B595F" w:rsidP="009B595F">
      <w:pPr>
        <w:numPr>
          <w:ilvl w:val="1"/>
          <w:numId w:val="34"/>
        </w:numPr>
      </w:pPr>
      <w:r w:rsidRPr="00250D11">
        <w:t>Cost of the apparatus (measurement) 23,000-45,000 USD</w:t>
      </w:r>
    </w:p>
    <w:p w14:paraId="63670B93" w14:textId="77777777" w:rsidR="009B595F" w:rsidRPr="00250D11" w:rsidRDefault="009B595F" w:rsidP="009B595F">
      <w:pPr>
        <w:numPr>
          <w:ilvl w:val="1"/>
          <w:numId w:val="34"/>
        </w:numPr>
      </w:pPr>
      <w:r w:rsidRPr="00250D11">
        <w:t>Cost of one analysis</w:t>
      </w:r>
      <w:r w:rsidRPr="00250D11">
        <w:rPr>
          <w:rFonts w:eastAsia="MS Mincho"/>
          <w:lang w:eastAsia="ja-JP"/>
        </w:rPr>
        <w:t xml:space="preserve"> </w:t>
      </w:r>
      <w:r w:rsidRPr="00250D11">
        <w:t>3-5 USD depending on labor cost (6-10 analyses per hour)</w:t>
      </w:r>
    </w:p>
    <w:p w14:paraId="0333DF7F" w14:textId="77777777" w:rsidR="009B595F" w:rsidRPr="00250D11" w:rsidRDefault="009B595F" w:rsidP="009B595F"/>
    <w:p w14:paraId="7811BD7C" w14:textId="77777777" w:rsidR="009B595F" w:rsidRPr="00250D11" w:rsidRDefault="009B595F" w:rsidP="009B595F">
      <w:pPr>
        <w:rPr>
          <w:u w:val="single"/>
        </w:rPr>
      </w:pPr>
      <w:r w:rsidRPr="00250D11">
        <w:rPr>
          <w:u w:val="single"/>
        </w:rPr>
        <w:t>I-2- Standards</w:t>
      </w:r>
    </w:p>
    <w:p w14:paraId="5B9F40A6" w14:textId="77777777" w:rsidR="009B595F" w:rsidRPr="00250D11" w:rsidRDefault="009B595F" w:rsidP="009B595F"/>
    <w:p w14:paraId="078001CA" w14:textId="77777777" w:rsidR="009B595F" w:rsidRPr="00250D11" w:rsidRDefault="009B595F" w:rsidP="009B595F">
      <w:pPr>
        <w:numPr>
          <w:ilvl w:val="0"/>
          <w:numId w:val="36"/>
        </w:numPr>
        <w:spacing w:line="259" w:lineRule="auto"/>
      </w:pPr>
      <w:r w:rsidRPr="00250D11">
        <w:t>CEN/TR 15310-1: 2007. Characterization of waste — Sampling of waste materials — Part 1: Guidance on selection and application of criteria for sampling under various conditions.</w:t>
      </w:r>
    </w:p>
    <w:p w14:paraId="54D161EC" w14:textId="77777777" w:rsidR="009B595F" w:rsidRPr="00250D11" w:rsidRDefault="009B595F" w:rsidP="009B595F">
      <w:pPr>
        <w:numPr>
          <w:ilvl w:val="0"/>
          <w:numId w:val="36"/>
        </w:numPr>
        <w:spacing w:line="259" w:lineRule="auto"/>
      </w:pPr>
      <w:r w:rsidRPr="00250D11">
        <w:t>EN 13657: 2003. Characterization of waste - Digestion for subsequent determination of aqua regia soluble portion of elements.</w:t>
      </w:r>
    </w:p>
    <w:p w14:paraId="7FA675C5" w14:textId="77777777" w:rsidR="009B595F" w:rsidRPr="00250D11" w:rsidRDefault="009B595F" w:rsidP="009B595F">
      <w:pPr>
        <w:numPr>
          <w:ilvl w:val="0"/>
          <w:numId w:val="36"/>
        </w:numPr>
        <w:spacing w:line="259" w:lineRule="auto"/>
      </w:pPr>
      <w:r w:rsidRPr="00250D11">
        <w:t>EN 15309: 2007. Characterization of waste and soil — Determination of elemental composition by X-ray fluorescence.</w:t>
      </w:r>
    </w:p>
    <w:p w14:paraId="3000FB02" w14:textId="77777777" w:rsidR="009B595F" w:rsidRPr="00250D11" w:rsidRDefault="009B595F" w:rsidP="009B595F">
      <w:pPr>
        <w:numPr>
          <w:ilvl w:val="0"/>
          <w:numId w:val="36"/>
        </w:numPr>
        <w:spacing w:line="259" w:lineRule="auto"/>
      </w:pPr>
      <w:r w:rsidRPr="00250D11">
        <w:t>ISO 11466: 1995. Soil quality- Extraction of trace elements soluble in aqua regia.</w:t>
      </w:r>
    </w:p>
    <w:p w14:paraId="30AA39B2" w14:textId="77777777" w:rsidR="009B595F" w:rsidRPr="00250D11" w:rsidRDefault="009B595F" w:rsidP="009B595F">
      <w:pPr>
        <w:numPr>
          <w:ilvl w:val="0"/>
          <w:numId w:val="36"/>
        </w:numPr>
        <w:spacing w:line="259" w:lineRule="auto"/>
      </w:pPr>
      <w:r w:rsidRPr="00250D11">
        <w:t>ISO 11648-2:2001. Statistical aspects of sampling from bulk materials - Part 2: Sampling of particulate materials.</w:t>
      </w:r>
    </w:p>
    <w:p w14:paraId="0D741D76" w14:textId="77777777" w:rsidR="009B595F" w:rsidRPr="00250D11" w:rsidRDefault="009B595F" w:rsidP="009B595F">
      <w:pPr>
        <w:numPr>
          <w:ilvl w:val="0"/>
          <w:numId w:val="36"/>
        </w:numPr>
        <w:spacing w:line="259" w:lineRule="auto"/>
      </w:pPr>
      <w:r w:rsidRPr="00250D11">
        <w:t>ISO 16772: 2004. Soil quality - Determination of mercury in aqua regia soil extracts with cold-</w:t>
      </w:r>
      <w:proofErr w:type="spellStart"/>
      <w:r w:rsidRPr="00250D11">
        <w:t>vapour</w:t>
      </w:r>
      <w:proofErr w:type="spellEnd"/>
      <w:r w:rsidRPr="00250D11">
        <w:t xml:space="preserve"> atomic spectrometry or cold-</w:t>
      </w:r>
      <w:proofErr w:type="spellStart"/>
      <w:r w:rsidRPr="00250D11">
        <w:t>vapour</w:t>
      </w:r>
      <w:proofErr w:type="spellEnd"/>
      <w:r w:rsidRPr="00250D11">
        <w:t xml:space="preserve"> atomic fluorescence spectrometry.</w:t>
      </w:r>
    </w:p>
    <w:p w14:paraId="3A9AE965" w14:textId="77777777" w:rsidR="009B595F" w:rsidRPr="00250D11" w:rsidRDefault="009B595F" w:rsidP="009B595F">
      <w:pPr>
        <w:numPr>
          <w:ilvl w:val="0"/>
          <w:numId w:val="36"/>
        </w:numPr>
        <w:spacing w:line="259" w:lineRule="auto"/>
      </w:pPr>
      <w:r w:rsidRPr="00250D11">
        <w:t>HJ 923-2017. Soil and sediment - Determination of total mercury - Catalytic pyrolysis - cold atomic absorption spectrophotometry</w:t>
      </w:r>
    </w:p>
    <w:p w14:paraId="63F8A400" w14:textId="77777777" w:rsidR="009B595F" w:rsidRPr="00250D11" w:rsidRDefault="009B595F" w:rsidP="009B595F">
      <w:pPr>
        <w:numPr>
          <w:ilvl w:val="0"/>
          <w:numId w:val="36"/>
        </w:numPr>
        <w:spacing w:line="259" w:lineRule="auto"/>
      </w:pPr>
      <w:r w:rsidRPr="00250D11">
        <w:t>HJ 702-2014. Solid Waste - Determination of Mercury, Arsenic, Selenium, Bismuth, Antimony - Microwave Dissolution / Atomic Fluorescence Spectrometry</w:t>
      </w:r>
    </w:p>
    <w:p w14:paraId="54B88BCF" w14:textId="77777777" w:rsidR="009B595F" w:rsidRPr="00250D11" w:rsidRDefault="009B595F" w:rsidP="009B595F">
      <w:pPr>
        <w:numPr>
          <w:ilvl w:val="0"/>
          <w:numId w:val="36"/>
        </w:numPr>
        <w:spacing w:line="259" w:lineRule="auto"/>
      </w:pPr>
      <w:r w:rsidRPr="00250D11">
        <w:t>HJ 680-2013. Soil and sediment - Determination of Mercury, Arsenic, Selenium, Bismuth, Antimony - Microwave dissolution / Atomic Fluorescence Spectrometry</w:t>
      </w:r>
    </w:p>
    <w:p w14:paraId="46D86F0C" w14:textId="4543ACC0" w:rsidR="009B595F" w:rsidRPr="00250D11" w:rsidRDefault="009B595F" w:rsidP="009B595F">
      <w:pPr>
        <w:numPr>
          <w:ilvl w:val="0"/>
          <w:numId w:val="36"/>
        </w:numPr>
        <w:spacing w:line="259" w:lineRule="auto"/>
      </w:pPr>
      <w:r w:rsidRPr="00250D11">
        <w:t>GB/T 15555.1-1995 Solid waste - Determination of total mercury - Cold atomic absorption spectrometry</w:t>
      </w:r>
    </w:p>
    <w:p w14:paraId="7828F9F2" w14:textId="77777777" w:rsidR="009B595F" w:rsidRPr="00250D11" w:rsidRDefault="009B595F" w:rsidP="009B595F">
      <w:pPr>
        <w:numPr>
          <w:ilvl w:val="0"/>
          <w:numId w:val="36"/>
        </w:numPr>
        <w:spacing w:line="259" w:lineRule="auto"/>
      </w:pPr>
      <w:r w:rsidRPr="00250D11">
        <w:t>USEPA 7473 Mercury in Solids and Solutions by Thermal Decomposition Amalgamation, and Atomic Absorption Spectrophotometry</w:t>
      </w:r>
    </w:p>
    <w:p w14:paraId="5709A9E8" w14:textId="77777777" w:rsidR="009B595F" w:rsidRPr="00250D11" w:rsidRDefault="009B595F" w:rsidP="009B595F">
      <w:pPr>
        <w:numPr>
          <w:ilvl w:val="0"/>
          <w:numId w:val="36"/>
        </w:numPr>
        <w:spacing w:line="259" w:lineRule="auto"/>
      </w:pPr>
      <w:r w:rsidRPr="00250D11">
        <w:t>ASTM D 6722-19: Total Mercury in Coal and Coal Combustion Residues by Direct Combustion Analysis</w:t>
      </w:r>
    </w:p>
    <w:p w14:paraId="28C7FFD3" w14:textId="77777777" w:rsidR="009B595F" w:rsidRPr="00250D11" w:rsidRDefault="009B595F" w:rsidP="009B595F">
      <w:pPr>
        <w:numPr>
          <w:ilvl w:val="0"/>
          <w:numId w:val="36"/>
        </w:numPr>
        <w:spacing w:line="259" w:lineRule="auto"/>
      </w:pPr>
      <w:r w:rsidRPr="00250D11">
        <w:t>ASTM D 7623-20: Total Mercury in Crude Oil Using Combustion-Gold Amalgamation and Cold Vapor Atomic Absorption Method</w:t>
      </w:r>
    </w:p>
    <w:p w14:paraId="1BAE13A0" w14:textId="77777777" w:rsidR="009B595F" w:rsidRDefault="009B595F" w:rsidP="009B595F"/>
    <w:p w14:paraId="0033B007" w14:textId="77777777" w:rsidR="009B595F" w:rsidRPr="008E5A4E" w:rsidRDefault="009B595F" w:rsidP="009B595F">
      <w:pPr>
        <w:rPr>
          <w:sz w:val="24"/>
          <w:szCs w:val="24"/>
        </w:rPr>
      </w:pPr>
      <w:r w:rsidRPr="008E5A4E">
        <w:rPr>
          <w:b/>
          <w:sz w:val="24"/>
          <w:szCs w:val="24"/>
        </w:rPr>
        <w:t>II- Release potential of mercury in a waste (leaching test)</w:t>
      </w:r>
    </w:p>
    <w:p w14:paraId="59F4BA48" w14:textId="77777777" w:rsidR="009B595F" w:rsidRDefault="009B595F" w:rsidP="009B595F"/>
    <w:p w14:paraId="1C9B4FC6" w14:textId="77777777" w:rsidR="009B595F" w:rsidRDefault="009B595F" w:rsidP="009B595F">
      <w:r>
        <w:t xml:space="preserve">When a category C waste has been identified as a mercury waste for the purpose of the Minamata Convention, criteria and testing methods should apply accordingly depending on the waste management routes and the exposure scenarios. Several </w:t>
      </w:r>
      <w:proofErr w:type="spellStart"/>
      <w:r>
        <w:t>standardised</w:t>
      </w:r>
      <w:proofErr w:type="spellEnd"/>
      <w:r>
        <w:t xml:space="preserve"> leaching tests have been developed in order to assess possibility of disposal in landfills or on land.</w:t>
      </w:r>
    </w:p>
    <w:p w14:paraId="0D502B36" w14:textId="77777777" w:rsidR="009B595F" w:rsidRDefault="009B595F" w:rsidP="009B595F"/>
    <w:p w14:paraId="579666A5" w14:textId="77777777" w:rsidR="009B595F" w:rsidRDefault="009B595F" w:rsidP="009B595F">
      <w:r>
        <w:t>Measures of release potential of mercury in a waste could be based on the form of mercury in the waste or aspects of the waste matrix that facilitate or retard release to the environment and may be an appropriate basis for emission levels for some wastes. Measures of release potential are, however, linked to particular management conditions (e.g., leach testing to assess groundwater contamination potential of wastes managed on land) and any single test may not address all release pathways.</w:t>
      </w:r>
    </w:p>
    <w:p w14:paraId="3FECB257" w14:textId="77777777" w:rsidR="009B595F" w:rsidRDefault="009B595F" w:rsidP="009B595F"/>
    <w:p w14:paraId="76828ABE" w14:textId="77777777" w:rsidR="009B595F" w:rsidRPr="008E5A4E" w:rsidRDefault="009B595F" w:rsidP="009B595F">
      <w:r w:rsidRPr="008E5A4E">
        <w:rPr>
          <w:u w:val="single"/>
        </w:rPr>
        <w:t>II-1- Description of measurement methods</w:t>
      </w:r>
    </w:p>
    <w:p w14:paraId="0911A4BF" w14:textId="77777777" w:rsidR="009B595F" w:rsidRDefault="009B595F" w:rsidP="009B595F"/>
    <w:p w14:paraId="04E9E179" w14:textId="77777777" w:rsidR="009B595F" w:rsidRDefault="009B595F" w:rsidP="009B595F">
      <w:r>
        <w:t>Leaching tests can be described in two general categories:</w:t>
      </w:r>
    </w:p>
    <w:p w14:paraId="1B7B8745" w14:textId="77777777" w:rsidR="009B595F" w:rsidRDefault="009B595F" w:rsidP="009B595F">
      <w:pPr>
        <w:numPr>
          <w:ilvl w:val="0"/>
          <w:numId w:val="35"/>
        </w:numPr>
        <w:spacing w:line="259" w:lineRule="auto"/>
      </w:pPr>
      <w:r>
        <w:t xml:space="preserve">Scenarios: the test reproduces on a small scale in the laboratory the present and future conditions that are anticipated to prevail during the life of the waste with the management options. This work can be done on a larger </w:t>
      </w:r>
      <w:r>
        <w:lastRenderedPageBreak/>
        <w:t>scale in lysimeters, collecting runoff and drainage water from exposed waste with planned waste management. A test mimics the present or future situation;</w:t>
      </w:r>
    </w:p>
    <w:p w14:paraId="6D013143" w14:textId="6094D1D4" w:rsidR="009B595F" w:rsidRDefault="009B595F" w:rsidP="009B595F">
      <w:pPr>
        <w:numPr>
          <w:ilvl w:val="0"/>
          <w:numId w:val="35"/>
        </w:numPr>
        <w:spacing w:line="259" w:lineRule="auto"/>
      </w:pPr>
      <w:r>
        <w:t xml:space="preserve">Characterization: the tests establish the physical or chemical characteristics of the waste / </w:t>
      </w:r>
      <w:proofErr w:type="spellStart"/>
      <w:r>
        <w:t>leachant</w:t>
      </w:r>
      <w:proofErr w:type="spellEnd"/>
      <w:r>
        <w:t xml:space="preserve"> couple, which characterize the mobilization and transfer of the elements with time and the liquid to solid ratio, and can be used to generalize the results and use them in modeling the future of waste constituents. More than one test are needed for full characterization: usually a leach test (with a leachate), a percolation test (with collection of different leachate fractions with time and L / S), a pH dependent test (with collection of the fraction at forced pH), and some adsorbent / </w:t>
      </w:r>
      <w:proofErr w:type="spellStart"/>
      <w:r>
        <w:t>desorbent</w:t>
      </w:r>
      <w:proofErr w:type="spellEnd"/>
      <w:r>
        <w:t xml:space="preserve"> fractions of the waste (iron and aluminum oxyhydroxides, speciation of solid and suspended organic matter).</w:t>
      </w:r>
    </w:p>
    <w:p w14:paraId="61CBD751" w14:textId="77777777" w:rsidR="009B595F" w:rsidRPr="00CB31A6" w:rsidRDefault="009B595F" w:rsidP="009B595F"/>
    <w:p w14:paraId="6410218E" w14:textId="77777777" w:rsidR="009B595F" w:rsidRDefault="009B595F" w:rsidP="009B595F">
      <w:r w:rsidRPr="000E1991">
        <w:t xml:space="preserve">Note on the EU leaching tests </w:t>
      </w:r>
      <w:proofErr w:type="spellStart"/>
      <w:r w:rsidRPr="000E1991">
        <w:t>EN</w:t>
      </w:r>
      <w:proofErr w:type="spellEnd"/>
      <w:r w:rsidRPr="000E1991">
        <w:t xml:space="preserve">: The </w:t>
      </w:r>
      <w:proofErr w:type="spellStart"/>
      <w:r w:rsidRPr="000E1991">
        <w:t>leachant</w:t>
      </w:r>
      <w:proofErr w:type="spellEnd"/>
      <w:r w:rsidRPr="000E1991">
        <w:t xml:space="preserve"> is deionized water used at 2 l/kg or more frequently at 10 l/kg. </w:t>
      </w:r>
      <w:r>
        <w:t>Non-monolithic</w:t>
      </w:r>
      <w:r w:rsidRPr="000E1991">
        <w:t xml:space="preserve"> material is ground to 4 or 10 mm and the flasks are agitated. The leachates are filtered at 0.45 µm. The leaching tests last for 24 h and the percolation test for about 1 month (depending on the mass in the 5-cm or 10-cm dimeter column, length 30 cm), with a residence time of about 1 day, to be close to solid/liquid equilibrium. These tests have been extended with some variants to soil and construction material. They are used routinely for landfill acceptance and for assessment of potential emission to water.</w:t>
      </w:r>
    </w:p>
    <w:p w14:paraId="59E42A56" w14:textId="77777777" w:rsidR="009B595F" w:rsidRDefault="009B595F" w:rsidP="009B595F"/>
    <w:p w14:paraId="213918B5" w14:textId="77777777" w:rsidR="009B595F" w:rsidRDefault="009B595F" w:rsidP="009B595F">
      <w:r>
        <w:t>The US has developed a series of waste leaching tests that include many of the features of the EU leaching tests.  These tests (US EPA Methods 1313-1316) evaluate the intrinsic properties of the waste that affect leaching, including constituent release over a range of pH conditions, rate of release based on water infiltration rate, and the porosity of solid materials.  These methods can be used to evaluate pollutant release potential for waste as-generated or when treated to reduce contaminant mobility.</w:t>
      </w:r>
    </w:p>
    <w:p w14:paraId="2675AE13" w14:textId="77777777" w:rsidR="009B595F" w:rsidRDefault="009B595F" w:rsidP="009B595F"/>
    <w:p w14:paraId="0BA3CBF9" w14:textId="504727A7" w:rsidR="009B595F" w:rsidRPr="002C4857" w:rsidRDefault="009B595F" w:rsidP="009B595F">
      <w:r w:rsidRPr="002C4857">
        <w:t>In China, the most widely used leaching tests (HJ/T 299 and HJ/T 300) have been applied to simulate the process of harmful components leaching into the environment under different scenarios. The main purpose of HJ/T 299-2007 is to simulate heavy metals’ leachability by acid precipitation. The HJ/T 300-2007 test is used to simulate heavy metals’ leachability and mobility when the waste is landfilled. HJ 577-2010 and GB 5086.1-1997 are also used as leaching tests in China. They both use water as leaching agent to simulate the process of waste being leached from surface water or groundwater in a specific occasion, and the harmful components there in are leached into the environment.</w:t>
      </w:r>
    </w:p>
    <w:p w14:paraId="25D4C45C" w14:textId="77777777" w:rsidR="009B595F" w:rsidRDefault="009B595F" w:rsidP="009B595F">
      <w:pPr>
        <w:rPr>
          <w:i/>
          <w:iCs/>
        </w:rPr>
      </w:pPr>
    </w:p>
    <w:p w14:paraId="6E7DBA09" w14:textId="77777777" w:rsidR="009B595F" w:rsidRPr="00500D4A" w:rsidRDefault="009B595F" w:rsidP="009B595F">
      <w:r w:rsidRPr="00500D4A">
        <w:t xml:space="preserve">Japanese leaching tests </w:t>
      </w:r>
      <w:proofErr w:type="spellStart"/>
      <w:r w:rsidRPr="00500D4A">
        <w:t>No.13</w:t>
      </w:r>
      <w:proofErr w:type="spellEnd"/>
      <w:r w:rsidRPr="00500D4A">
        <w:t xml:space="preserve">: The </w:t>
      </w:r>
      <w:proofErr w:type="spellStart"/>
      <w:r w:rsidRPr="00500D4A">
        <w:t>leachant</w:t>
      </w:r>
      <w:proofErr w:type="spellEnd"/>
      <w:r w:rsidRPr="00500D4A">
        <w:t xml:space="preserve"> is deionized water used at 10 l/kg. Wastes with more than 5 mm in particle diameter are ground to less than 5 mm, and the grinding preparation for fine wastes such as burnt residues, sludge and dusts is not necessary. The flask containing </w:t>
      </w:r>
      <w:proofErr w:type="spellStart"/>
      <w:r w:rsidRPr="00500D4A">
        <w:t>leachant</w:t>
      </w:r>
      <w:proofErr w:type="spellEnd"/>
      <w:r w:rsidRPr="00500D4A">
        <w:t xml:space="preserve"> and prepared waste is shaken at about 20 degree Celsius and 200 rpm for 6 hours. The leachate is separated centrifugally and filtered with 1 µm membrane filter. This method is used routinely for landfill acceptance of wastes.</w:t>
      </w:r>
    </w:p>
    <w:p w14:paraId="6856E972" w14:textId="77777777" w:rsidR="009B595F" w:rsidRDefault="009B595F" w:rsidP="009B595F"/>
    <w:p w14:paraId="6946B61E" w14:textId="77777777" w:rsidR="009B595F" w:rsidRDefault="009B595F" w:rsidP="009B595F"/>
    <w:p w14:paraId="58C598D4" w14:textId="77777777" w:rsidR="009B595F" w:rsidRPr="008E5A4E" w:rsidRDefault="009B595F" w:rsidP="009B595F">
      <w:r w:rsidRPr="008E5A4E">
        <w:rPr>
          <w:u w:val="single"/>
        </w:rPr>
        <w:t>II-2- Standards</w:t>
      </w:r>
    </w:p>
    <w:p w14:paraId="2F84E77D" w14:textId="77777777" w:rsidR="009B595F" w:rsidRDefault="009B595F" w:rsidP="009B595F"/>
    <w:p w14:paraId="18B18486" w14:textId="77777777" w:rsidR="009B595F" w:rsidRPr="00250D11" w:rsidRDefault="009B595F" w:rsidP="009B595F">
      <w:pPr>
        <w:numPr>
          <w:ilvl w:val="0"/>
          <w:numId w:val="37"/>
        </w:numPr>
        <w:spacing w:line="259" w:lineRule="auto"/>
      </w:pPr>
      <w:r w:rsidRPr="00250D11">
        <w:t>EN 12457-1 to 4: Characterization of waste - Leaching - Compliance test for leaching of granular waste materials and sludges (CEN, 2002a)</w:t>
      </w:r>
    </w:p>
    <w:p w14:paraId="6D35C18C" w14:textId="77777777" w:rsidR="009B595F" w:rsidRPr="00250D11" w:rsidRDefault="009B595F" w:rsidP="009B595F">
      <w:pPr>
        <w:numPr>
          <w:ilvl w:val="0"/>
          <w:numId w:val="37"/>
        </w:numPr>
        <w:spacing w:line="259" w:lineRule="auto"/>
      </w:pPr>
      <w:r w:rsidRPr="00250D11">
        <w:t xml:space="preserve">EN 12920: Characterization of waste - Methodology for the determination of the leaching </w:t>
      </w:r>
      <w:proofErr w:type="spellStart"/>
      <w:r w:rsidRPr="00250D11">
        <w:t>behaviour</w:t>
      </w:r>
      <w:proofErr w:type="spellEnd"/>
      <w:r w:rsidRPr="00250D11">
        <w:t xml:space="preserve"> of waste under specified conditions (CEN, 2006)</w:t>
      </w:r>
    </w:p>
    <w:p w14:paraId="424F12E4" w14:textId="77777777" w:rsidR="009B595F" w:rsidRPr="00250D11" w:rsidRDefault="009B595F" w:rsidP="009B595F">
      <w:pPr>
        <w:numPr>
          <w:ilvl w:val="0"/>
          <w:numId w:val="37"/>
        </w:numPr>
        <w:spacing w:line="259" w:lineRule="auto"/>
      </w:pPr>
      <w:r w:rsidRPr="00250D11">
        <w:t>EN 13656: Characterization of waste - Microwave assisted digestion with hydrofluoric (HF), nitric (HNO3) and hydrochloric (HCl) acid mixture for subsequent determination of elements in waste (CEN, 2002b)</w:t>
      </w:r>
    </w:p>
    <w:p w14:paraId="6E94988E" w14:textId="77777777" w:rsidR="009B595F" w:rsidRPr="00250D11" w:rsidRDefault="009B595F" w:rsidP="009B595F">
      <w:pPr>
        <w:numPr>
          <w:ilvl w:val="0"/>
          <w:numId w:val="37"/>
        </w:numPr>
        <w:spacing w:line="259" w:lineRule="auto"/>
      </w:pPr>
      <w:r w:rsidRPr="00250D11">
        <w:t>EN 13657: Characterization of waste - Digestion for subsequent determination of aqua regia soluble portion of elements in waste (CEN, 2002c)</w:t>
      </w:r>
    </w:p>
    <w:p w14:paraId="55AD76B9" w14:textId="77777777" w:rsidR="009B595F" w:rsidRPr="00250D11" w:rsidRDefault="009B595F" w:rsidP="009B595F">
      <w:pPr>
        <w:numPr>
          <w:ilvl w:val="0"/>
          <w:numId w:val="37"/>
        </w:numPr>
        <w:spacing w:line="259" w:lineRule="auto"/>
      </w:pPr>
      <w:r w:rsidRPr="00250D11">
        <w:t xml:space="preserve">EN 14405: Characterization of waste - Leaching </w:t>
      </w:r>
      <w:proofErr w:type="spellStart"/>
      <w:r w:rsidRPr="00250D11">
        <w:t>behaviour</w:t>
      </w:r>
      <w:proofErr w:type="spellEnd"/>
      <w:r w:rsidRPr="00250D11">
        <w:t xml:space="preserve"> test - Up-flow percolation test (under certain conditions) (CEN, </w:t>
      </w:r>
      <w:proofErr w:type="gramStart"/>
      <w:r w:rsidRPr="00250D11">
        <w:t>2017 )</w:t>
      </w:r>
      <w:proofErr w:type="gramEnd"/>
    </w:p>
    <w:p w14:paraId="7AB069DA" w14:textId="54C90CB4" w:rsidR="009B595F" w:rsidRPr="00250D11" w:rsidRDefault="009B595F" w:rsidP="009B595F">
      <w:pPr>
        <w:numPr>
          <w:ilvl w:val="0"/>
          <w:numId w:val="37"/>
        </w:numPr>
        <w:spacing w:line="259" w:lineRule="auto"/>
      </w:pPr>
      <w:r w:rsidRPr="00250D11">
        <w:t xml:space="preserve">USEPA METHOD 1313 </w:t>
      </w:r>
      <w:r w:rsidR="00202496">
        <w:t>L</w:t>
      </w:r>
      <w:r w:rsidR="00202496" w:rsidRPr="00250D11">
        <w:t xml:space="preserve">iquid-solid partitioning as a function of extract </w:t>
      </w:r>
      <w:proofErr w:type="spellStart"/>
      <w:r w:rsidR="00202496" w:rsidRPr="00250D11">
        <w:t>ph</w:t>
      </w:r>
      <w:proofErr w:type="spellEnd"/>
      <w:r w:rsidR="00202496" w:rsidRPr="00250D11">
        <w:t xml:space="preserve"> using a parallel batch extraction procedure</w:t>
      </w:r>
      <w:r w:rsidR="00202496">
        <w:t>.</w:t>
      </w:r>
      <w:r w:rsidR="00202496" w:rsidRPr="00250D11">
        <w:t xml:space="preserve"> </w:t>
      </w:r>
      <w:r w:rsidRPr="00250D11">
        <w:t>https://www.epa.gov/hw-sw846/sw-846-test-method-1313-liquid-solid-partitioning-function-extract-ph-using-parallel-batch</w:t>
      </w:r>
    </w:p>
    <w:p w14:paraId="5CD9B772" w14:textId="3FF949D4" w:rsidR="009B595F" w:rsidRPr="00250D11" w:rsidRDefault="009B595F" w:rsidP="009B595F">
      <w:pPr>
        <w:numPr>
          <w:ilvl w:val="0"/>
          <w:numId w:val="37"/>
        </w:numPr>
        <w:spacing w:line="259" w:lineRule="auto"/>
      </w:pPr>
      <w:r w:rsidRPr="00250D11">
        <w:t xml:space="preserve">USEPA METHOD 13141 </w:t>
      </w:r>
      <w:r w:rsidR="00202496">
        <w:t>L</w:t>
      </w:r>
      <w:r w:rsidR="00202496" w:rsidRPr="00250D11">
        <w:t>iquid-solid partitioning as a function of liquid-solid ratio for constituents in solid materials using an up-flow percolation column procedure</w:t>
      </w:r>
      <w:r w:rsidR="00202496">
        <w:t>.</w:t>
      </w:r>
      <w:r w:rsidR="00202496" w:rsidRPr="00250D11">
        <w:t xml:space="preserve"> </w:t>
      </w:r>
      <w:r w:rsidRPr="00250D11">
        <w:t>https://www.epa.gov/hw-sw846/sw-846-test-method-1314-liquid-solid-partitioning-function-liquid-solid-ratio-constituents</w:t>
      </w:r>
    </w:p>
    <w:p w14:paraId="275F75F2" w14:textId="59922E32" w:rsidR="009B595F" w:rsidRPr="00250D11" w:rsidRDefault="009B595F" w:rsidP="009B595F">
      <w:pPr>
        <w:numPr>
          <w:ilvl w:val="0"/>
          <w:numId w:val="37"/>
        </w:numPr>
        <w:spacing w:line="259" w:lineRule="auto"/>
      </w:pPr>
      <w:r w:rsidRPr="00250D11">
        <w:t xml:space="preserve">USEPA METHOD 1315 </w:t>
      </w:r>
      <w:r w:rsidR="00202496">
        <w:t>M</w:t>
      </w:r>
      <w:r w:rsidR="00202496" w:rsidRPr="00250D11">
        <w:t>ass transfer rates of constituents in monolithic or compacted granular materials using a semi-dynamic tank leaching procedure</w:t>
      </w:r>
      <w:r w:rsidR="00202496">
        <w:t>.</w:t>
      </w:r>
      <w:r w:rsidR="00202496" w:rsidRPr="00250D11">
        <w:t xml:space="preserve"> </w:t>
      </w:r>
      <w:r w:rsidRPr="00250D11">
        <w:t>https://www.epa.gov/hw-sw846/sw-846-test-method-1315-mass-transfer-rates-constituents-monolithic-or-compacted-granular</w:t>
      </w:r>
    </w:p>
    <w:p w14:paraId="143C7D1D" w14:textId="58030862" w:rsidR="009B595F" w:rsidRPr="00250D11" w:rsidRDefault="009B595F" w:rsidP="009B595F">
      <w:pPr>
        <w:numPr>
          <w:ilvl w:val="0"/>
          <w:numId w:val="37"/>
        </w:numPr>
        <w:spacing w:line="259" w:lineRule="auto"/>
      </w:pPr>
      <w:r w:rsidRPr="00250D11">
        <w:lastRenderedPageBreak/>
        <w:t xml:space="preserve">USEPA METHOD 1316 </w:t>
      </w:r>
      <w:r w:rsidR="00202496">
        <w:t>L</w:t>
      </w:r>
      <w:r w:rsidR="00202496" w:rsidRPr="00250D11">
        <w:t>iquid-solid partitioning as a function of liquid-to-solid ratio in solid materials using a parallel batch procedure</w:t>
      </w:r>
      <w:r w:rsidR="00202496">
        <w:t>.</w:t>
      </w:r>
      <w:r w:rsidR="00202496" w:rsidRPr="00250D11">
        <w:t xml:space="preserve"> </w:t>
      </w:r>
      <w:r w:rsidRPr="00250D11">
        <w:t>https://www.epa.gov/hw-sw846/sw-846-test-method-1316-liquid-solid-partitioning-function-liquid-solid-ratio-solid</w:t>
      </w:r>
    </w:p>
    <w:p w14:paraId="6F987DDA" w14:textId="77777777" w:rsidR="009B595F" w:rsidRPr="00250D11" w:rsidRDefault="009B595F" w:rsidP="009B595F">
      <w:pPr>
        <w:numPr>
          <w:ilvl w:val="0"/>
          <w:numId w:val="37"/>
        </w:numPr>
        <w:spacing w:line="259" w:lineRule="auto"/>
      </w:pPr>
      <w:r w:rsidRPr="00250D11">
        <w:t>HJ 702-2014    Solid Waste - Determination of Mercury, Arsenic, Selenium, Bismuth, Antimony - Microwave Dissolution / Atomic Fluorescence Spectrometry</w:t>
      </w:r>
    </w:p>
    <w:p w14:paraId="4820F680" w14:textId="076577BD" w:rsidR="009B595F" w:rsidRPr="00250D11" w:rsidRDefault="009B595F" w:rsidP="009B595F">
      <w:pPr>
        <w:numPr>
          <w:ilvl w:val="0"/>
          <w:numId w:val="37"/>
        </w:numPr>
        <w:spacing w:line="259" w:lineRule="auto"/>
      </w:pPr>
      <w:r w:rsidRPr="00250D11">
        <w:t xml:space="preserve">HJ/T 299-2007 Solid waste - Extraction procedure for leaching toxicity - </w:t>
      </w:r>
      <w:proofErr w:type="spellStart"/>
      <w:r w:rsidRPr="00250D11">
        <w:t>Sulphuric</w:t>
      </w:r>
      <w:proofErr w:type="spellEnd"/>
      <w:r w:rsidRPr="00250D11">
        <w:t xml:space="preserve"> acid &amp; nitric acid method</w:t>
      </w:r>
    </w:p>
    <w:p w14:paraId="339D7254" w14:textId="77777777" w:rsidR="009B595F" w:rsidRPr="00250D11" w:rsidRDefault="009B595F" w:rsidP="009B595F">
      <w:pPr>
        <w:numPr>
          <w:ilvl w:val="0"/>
          <w:numId w:val="37"/>
        </w:numPr>
        <w:spacing w:line="259" w:lineRule="auto"/>
      </w:pPr>
      <w:r w:rsidRPr="00250D11">
        <w:t>HJ/T 300-2007 Solid waste - Extraction procedure for leaching toxicity - Acetic acid buffer solution method</w:t>
      </w:r>
    </w:p>
    <w:p w14:paraId="3A37D496" w14:textId="77777777" w:rsidR="009B595F" w:rsidRPr="00250D11" w:rsidRDefault="009B595F" w:rsidP="009B595F">
      <w:pPr>
        <w:numPr>
          <w:ilvl w:val="0"/>
          <w:numId w:val="37"/>
        </w:numPr>
        <w:spacing w:line="259" w:lineRule="auto"/>
      </w:pPr>
      <w:r w:rsidRPr="00250D11">
        <w:t>HJ 557-2010 Solid waste - Extraction procedure for leaching toxicity - Horizontal vibration method</w:t>
      </w:r>
    </w:p>
    <w:p w14:paraId="0AE350B1" w14:textId="77777777" w:rsidR="009B595F" w:rsidRPr="00250D11" w:rsidRDefault="009B595F" w:rsidP="009B595F">
      <w:pPr>
        <w:pStyle w:val="ListParagraph"/>
        <w:numPr>
          <w:ilvl w:val="0"/>
          <w:numId w:val="37"/>
        </w:numPr>
        <w:spacing w:line="259" w:lineRule="auto"/>
      </w:pPr>
      <w:r w:rsidRPr="00250D11">
        <w:rPr>
          <w:lang w:eastAsia="en-US"/>
        </w:rPr>
        <w:t>Ministry of the Environment, Japan (1973): Analytical Method of Heavy Metals Contained in Industrial Wastes - Ministry of the Environment Notification No. 13 (Japanese Leaching test No.13).</w:t>
      </w:r>
    </w:p>
    <w:p w14:paraId="4D9B53BE" w14:textId="77777777" w:rsidR="009B595F" w:rsidRDefault="009B595F" w:rsidP="009B595F">
      <w:r w:rsidRPr="002929AD" w:rsidDel="00CB31A6">
        <w:rPr>
          <w:i/>
          <w:iCs/>
        </w:rPr>
        <w:t xml:space="preserve"> </w:t>
      </w:r>
    </w:p>
    <w:p w14:paraId="5AE877C3" w14:textId="77777777" w:rsidR="009B595F" w:rsidRPr="008E5A4E" w:rsidRDefault="009B595F" w:rsidP="009B595F">
      <w:pPr>
        <w:rPr>
          <w:sz w:val="24"/>
          <w:szCs w:val="24"/>
        </w:rPr>
      </w:pPr>
      <w:r w:rsidRPr="008E5A4E">
        <w:rPr>
          <w:b/>
          <w:sz w:val="24"/>
          <w:szCs w:val="24"/>
        </w:rPr>
        <w:t>III- Qualitative determination (listing approach)</w:t>
      </w:r>
    </w:p>
    <w:p w14:paraId="23476895" w14:textId="77777777" w:rsidR="009B595F" w:rsidRDefault="009B595F" w:rsidP="009B595F"/>
    <w:p w14:paraId="0583CF75" w14:textId="77777777" w:rsidR="009B595F" w:rsidRDefault="009B595F" w:rsidP="009B595F">
      <w:r w:rsidRPr="002B5B52">
        <w:t xml:space="preserve">The listing approach would necessitate identifying and naming the wastes falling within </w:t>
      </w:r>
      <w:r>
        <w:t>c</w:t>
      </w:r>
      <w:r w:rsidRPr="002B5B52">
        <w:t xml:space="preserve">ategory C. Category C waste </w:t>
      </w:r>
      <w:r w:rsidRPr="00BC0974">
        <w:rPr>
          <w:bCs/>
        </w:rPr>
        <w:t>represents</w:t>
      </w:r>
      <w:r w:rsidRPr="002B5B52">
        <w:t xml:space="preserve"> a very diverse group of wastes, </w:t>
      </w:r>
      <w:r>
        <w:t>h</w:t>
      </w:r>
      <w:r w:rsidRPr="002B5B52">
        <w:t>owever, originating from a wide variety of sources</w:t>
      </w:r>
      <w:r>
        <w:t>, and containing different amounts of mercury</w:t>
      </w:r>
      <w:r w:rsidRPr="002B5B52">
        <w:t xml:space="preserve">. As a catch-all category, </w:t>
      </w:r>
      <w:r>
        <w:t>c</w:t>
      </w:r>
      <w:r w:rsidRPr="002B5B52">
        <w:t xml:space="preserve">ategory C </w:t>
      </w:r>
      <w:r>
        <w:t xml:space="preserve">would provide </w:t>
      </w:r>
      <w:r w:rsidRPr="002B5B52">
        <w:t xml:space="preserve">an indicative list for guidance purposes rather than a definitive list specifying the boundaries of legal obligations. Accordingly, the listing approach could not be the sole basis for setting thresholds for </w:t>
      </w:r>
      <w:r>
        <w:t xml:space="preserve">the </w:t>
      </w:r>
      <w:r w:rsidRPr="002B5B52">
        <w:t>coverage</w:t>
      </w:r>
      <w:r>
        <w:t xml:space="preserve"> of mercury waste under article 11</w:t>
      </w:r>
      <w:r w:rsidRPr="002B5B52">
        <w:t>.</w:t>
      </w:r>
    </w:p>
    <w:p w14:paraId="2CBA7F3E" w14:textId="77777777" w:rsidR="009B595F" w:rsidRPr="002929AD" w:rsidRDefault="009B595F" w:rsidP="009B595F">
      <w:pPr>
        <w:rPr>
          <w:i/>
          <w:iCs/>
        </w:rPr>
      </w:pPr>
    </w:p>
    <w:p w14:paraId="3F82214A" w14:textId="64071F88" w:rsidR="005953B4" w:rsidRDefault="005953B4" w:rsidP="009B595F">
      <w:pPr>
        <w:pStyle w:val="Normal-pool"/>
        <w:tabs>
          <w:tab w:val="clear" w:pos="1247"/>
          <w:tab w:val="clear" w:pos="1814"/>
          <w:tab w:val="clear" w:pos="2381"/>
          <w:tab w:val="clear" w:pos="2948"/>
          <w:tab w:val="clear" w:pos="3515"/>
          <w:tab w:val="clear" w:pos="4082"/>
          <w:tab w:val="left" w:pos="624"/>
        </w:tabs>
        <w:spacing w:after="120"/>
        <w:rPr>
          <w:rFonts w:eastAsia="MS PGothic"/>
        </w:rPr>
      </w:pPr>
    </w:p>
    <w:p w14:paraId="7A892F8C" w14:textId="77777777" w:rsidR="005953B4" w:rsidRDefault="005953B4" w:rsidP="005953B4">
      <w:pPr>
        <w:pStyle w:val="Normal-pool"/>
        <w:spacing w:after="120"/>
        <w:ind w:left="1247"/>
        <w:rPr>
          <w:rFonts w:eastAsia="MS PGothic"/>
        </w:rPr>
        <w:sectPr w:rsidR="005953B4" w:rsidSect="001D649F">
          <w:footnotePr>
            <w:numRestart w:val="eachSect"/>
          </w:footnotePr>
          <w:type w:val="continuous"/>
          <w:pgSz w:w="11906" w:h="16838" w:code="9"/>
          <w:pgMar w:top="907" w:right="992" w:bottom="1418" w:left="1418" w:header="539" w:footer="975" w:gutter="0"/>
          <w:cols w:space="539"/>
          <w:titlePg/>
          <w:docGrid w:linePitch="360"/>
        </w:sectPr>
      </w:pPr>
    </w:p>
    <w:p w14:paraId="7BF20751" w14:textId="77777777" w:rsidR="005953B4" w:rsidRDefault="005953B4" w:rsidP="005953B4">
      <w:pPr>
        <w:rPr>
          <w:b/>
          <w:bCs/>
          <w:sz w:val="28"/>
          <w:szCs w:val="22"/>
        </w:rPr>
      </w:pPr>
      <w:r>
        <w:br w:type="page"/>
      </w:r>
    </w:p>
    <w:p w14:paraId="0F0F9934" w14:textId="77777777" w:rsidR="005953B4" w:rsidRPr="0087488B" w:rsidRDefault="005953B4" w:rsidP="005953B4">
      <w:pPr>
        <w:pStyle w:val="ZZAnxheader"/>
      </w:pPr>
      <w:r w:rsidRPr="0087488B">
        <w:lastRenderedPageBreak/>
        <w:t>Annex II</w:t>
      </w:r>
    </w:p>
    <w:p w14:paraId="640A974F" w14:textId="77777777" w:rsidR="00F72016" w:rsidRDefault="00F72016" w:rsidP="007E5C7A">
      <w:pPr>
        <w:rPr>
          <w:b/>
          <w:bCs/>
          <w:sz w:val="28"/>
          <w:szCs w:val="28"/>
        </w:rPr>
      </w:pPr>
      <w:bookmarkStart w:id="4" w:name="_Hlk17660880"/>
    </w:p>
    <w:p w14:paraId="4C898A3E" w14:textId="2B704896" w:rsidR="00BA4798" w:rsidRPr="0033073B" w:rsidRDefault="00BA4798" w:rsidP="007E5C7A">
      <w:pPr>
        <w:rPr>
          <w:lang w:val="en-GB"/>
        </w:rPr>
      </w:pPr>
      <w:r w:rsidRPr="0033073B">
        <w:rPr>
          <w:b/>
          <w:bCs/>
          <w:sz w:val="28"/>
          <w:szCs w:val="28"/>
        </w:rPr>
        <w:t xml:space="preserve">Technical calculation of a proposed threshold for </w:t>
      </w:r>
      <w:bookmarkStart w:id="5" w:name="_Hlk82738214"/>
      <w:r w:rsidRPr="0033073B">
        <w:rPr>
          <w:b/>
          <w:bCs/>
          <w:sz w:val="28"/>
          <w:szCs w:val="28"/>
        </w:rPr>
        <w:t>tailings from industrial-scale non-ferrous metal mining other than primary mercury mining</w:t>
      </w:r>
      <w:bookmarkEnd w:id="5"/>
      <w:r w:rsidRPr="0033073B">
        <w:rPr>
          <w:b/>
          <w:bCs/>
          <w:sz w:val="28"/>
          <w:szCs w:val="28"/>
        </w:rPr>
        <w:t>, based on leach testing</w:t>
      </w:r>
      <w:r w:rsidR="007E5C7A" w:rsidRPr="0033073B">
        <w:rPr>
          <w:sz w:val="28"/>
          <w:szCs w:val="28"/>
        </w:rPr>
        <w:footnoteReference w:customMarkFollows="1" w:id="5"/>
        <w:t>*</w:t>
      </w:r>
      <w:r w:rsidR="007E5C7A" w:rsidRPr="0033073B">
        <w:rPr>
          <w:sz w:val="40"/>
          <w:szCs w:val="40"/>
          <w:lang w:val="en-GB" w:eastAsia="en-GB"/>
        </w:rPr>
        <w:t xml:space="preserve"> </w:t>
      </w:r>
    </w:p>
    <w:bookmarkEnd w:id="4"/>
    <w:p w14:paraId="62223D51" w14:textId="77777777" w:rsidR="006B0412" w:rsidRDefault="006B0412" w:rsidP="00BA4798">
      <w:pPr>
        <w:pStyle w:val="Normalnumber"/>
        <w:numPr>
          <w:ilvl w:val="0"/>
          <w:numId w:val="0"/>
        </w:numPr>
        <w:rPr>
          <w:lang w:val="en-US"/>
        </w:rPr>
      </w:pPr>
    </w:p>
    <w:p w14:paraId="021F13CC" w14:textId="3497E56B" w:rsidR="006B0412" w:rsidRPr="009B6477" w:rsidRDefault="006B0412" w:rsidP="00BA4798">
      <w:pPr>
        <w:pStyle w:val="Normalnumber"/>
        <w:numPr>
          <w:ilvl w:val="0"/>
          <w:numId w:val="0"/>
        </w:numPr>
        <w:rPr>
          <w:b/>
          <w:bCs/>
          <w:sz w:val="24"/>
          <w:szCs w:val="24"/>
          <w:lang w:val="en-US"/>
        </w:rPr>
      </w:pPr>
      <w:r w:rsidRPr="009B6477">
        <w:rPr>
          <w:b/>
          <w:bCs/>
          <w:sz w:val="24"/>
          <w:szCs w:val="24"/>
          <w:lang w:val="en-US"/>
        </w:rPr>
        <w:t>Introduction</w:t>
      </w:r>
    </w:p>
    <w:p w14:paraId="6F8A8F17" w14:textId="569736D3" w:rsidR="00BA4798" w:rsidRDefault="00BA4798" w:rsidP="00BA4798">
      <w:pPr>
        <w:pStyle w:val="Normalnumber"/>
        <w:numPr>
          <w:ilvl w:val="0"/>
          <w:numId w:val="0"/>
        </w:numPr>
        <w:rPr>
          <w:lang w:val="en-US"/>
        </w:rPr>
      </w:pPr>
      <w:r>
        <w:rPr>
          <w:lang w:val="en-US"/>
        </w:rPr>
        <w:t xml:space="preserve">The group of technical experts established pursuant to decision MC-2/2 of the Conference of the Parties to the Minamata Convention proposes the following two-tiered thresholds for </w:t>
      </w:r>
      <w:r w:rsidRPr="00BA4798">
        <w:rPr>
          <w:lang w:val="en-US"/>
        </w:rPr>
        <w:t>tailings from industrial-scale non-ferrous metal mining other than primary mercury mining</w:t>
      </w:r>
      <w:r>
        <w:rPr>
          <w:lang w:val="en-US"/>
        </w:rPr>
        <w:t>:</w:t>
      </w:r>
    </w:p>
    <w:p w14:paraId="1FA21C10" w14:textId="77777777" w:rsidR="00BA4798" w:rsidRPr="008C2081" w:rsidRDefault="00BA4798" w:rsidP="00BA4798">
      <w:pPr>
        <w:pStyle w:val="Normal-pool"/>
        <w:numPr>
          <w:ilvl w:val="0"/>
          <w:numId w:val="40"/>
        </w:numPr>
        <w:tabs>
          <w:tab w:val="clear" w:pos="1247"/>
          <w:tab w:val="clear" w:pos="1814"/>
          <w:tab w:val="clear" w:pos="2381"/>
          <w:tab w:val="clear" w:pos="2948"/>
          <w:tab w:val="clear" w:pos="3515"/>
          <w:tab w:val="clear" w:pos="4082"/>
          <w:tab w:val="left" w:pos="624"/>
        </w:tabs>
        <w:spacing w:after="120"/>
        <w:rPr>
          <w:rFonts w:eastAsia="MS PGothic"/>
          <w:iCs/>
        </w:rPr>
      </w:pPr>
      <w:r w:rsidRPr="008C2081">
        <w:rPr>
          <w:rFonts w:eastAsia="MS PGothic"/>
          <w:iCs/>
        </w:rPr>
        <w:t>Tier-1 threshold to be applied first: 25 mg/kg total mercury content;</w:t>
      </w:r>
    </w:p>
    <w:p w14:paraId="291B510E" w14:textId="1858331E" w:rsidR="00BA4798" w:rsidRDefault="00BA4798" w:rsidP="00BA4798">
      <w:pPr>
        <w:pStyle w:val="Normal-pool"/>
        <w:numPr>
          <w:ilvl w:val="0"/>
          <w:numId w:val="40"/>
        </w:numPr>
        <w:tabs>
          <w:tab w:val="clear" w:pos="1247"/>
          <w:tab w:val="clear" w:pos="1814"/>
          <w:tab w:val="clear" w:pos="2381"/>
          <w:tab w:val="clear" w:pos="2948"/>
          <w:tab w:val="clear" w:pos="3515"/>
          <w:tab w:val="clear" w:pos="4082"/>
          <w:tab w:val="left" w:pos="624"/>
        </w:tabs>
        <w:spacing w:after="120"/>
        <w:rPr>
          <w:rFonts w:eastAsia="MS PGothic"/>
          <w:iCs/>
        </w:rPr>
      </w:pPr>
      <w:r w:rsidRPr="008C2081">
        <w:rPr>
          <w:rFonts w:eastAsia="MS PGothic"/>
          <w:iCs/>
        </w:rPr>
        <w:t xml:space="preserve">Tier-2 threshold to be applied to tailings above the tier-1 threshold: </w:t>
      </w:r>
      <w:r w:rsidR="004A5394">
        <w:rPr>
          <w:rFonts w:eastAsia="MS PGothic"/>
          <w:iCs/>
        </w:rPr>
        <w:t>0.</w:t>
      </w:r>
      <w:r w:rsidRPr="00202496">
        <w:rPr>
          <w:rFonts w:eastAsia="MS PGothic"/>
          <w:iCs/>
        </w:rPr>
        <w:t>15</w:t>
      </w:r>
      <w:r w:rsidRPr="008C2081">
        <w:rPr>
          <w:rFonts w:eastAsia="MS PGothic"/>
          <w:iCs/>
        </w:rPr>
        <w:t xml:space="preserve"> mg/L in the leachate using an appropriate test method simulating the leaching of mercury at the site where the tailings are deposited</w:t>
      </w:r>
      <w:r>
        <w:rPr>
          <w:rFonts w:eastAsia="MS PGothic"/>
          <w:iCs/>
        </w:rPr>
        <w:t>.</w:t>
      </w:r>
    </w:p>
    <w:p w14:paraId="3E9817B1" w14:textId="57DDE89F" w:rsidR="00BA4798" w:rsidRDefault="00BA4798" w:rsidP="00BA4798">
      <w:pPr>
        <w:pStyle w:val="Normal-pool"/>
        <w:tabs>
          <w:tab w:val="clear" w:pos="1247"/>
          <w:tab w:val="clear" w:pos="1814"/>
          <w:tab w:val="clear" w:pos="2381"/>
          <w:tab w:val="clear" w:pos="2948"/>
          <w:tab w:val="clear" w:pos="3515"/>
          <w:tab w:val="clear" w:pos="4082"/>
          <w:tab w:val="left" w:pos="624"/>
        </w:tabs>
        <w:spacing w:after="120"/>
        <w:rPr>
          <w:rFonts w:eastAsia="MS PGothic"/>
          <w:iCs/>
        </w:rPr>
      </w:pPr>
      <w:r w:rsidRPr="00BA4798">
        <w:rPr>
          <w:rFonts w:eastAsia="MS PGothic"/>
          <w:iCs/>
        </w:rPr>
        <w:t>This document describes the technical calculation leading</w:t>
      </w:r>
      <w:r>
        <w:rPr>
          <w:rFonts w:eastAsia="MS PGothic"/>
          <w:iCs/>
        </w:rPr>
        <w:t xml:space="preserve"> to the proposed tier-2 thresholds.</w:t>
      </w:r>
      <w:r w:rsidR="009B6477">
        <w:rPr>
          <w:rFonts w:eastAsia="MS PGothic"/>
          <w:iCs/>
        </w:rPr>
        <w:t xml:space="preserve"> The proposals considered by the group of technical experts, as described below, are available from the website of the Minamata Convention:</w:t>
      </w:r>
    </w:p>
    <w:p w14:paraId="7732131F" w14:textId="75289D80" w:rsidR="009B6477" w:rsidRDefault="00762A38" w:rsidP="00BA4798">
      <w:pPr>
        <w:pStyle w:val="Normal-pool"/>
        <w:tabs>
          <w:tab w:val="clear" w:pos="1247"/>
          <w:tab w:val="clear" w:pos="1814"/>
          <w:tab w:val="clear" w:pos="2381"/>
          <w:tab w:val="clear" w:pos="2948"/>
          <w:tab w:val="clear" w:pos="3515"/>
          <w:tab w:val="clear" w:pos="4082"/>
          <w:tab w:val="left" w:pos="624"/>
        </w:tabs>
        <w:spacing w:after="120"/>
        <w:rPr>
          <w:rFonts w:eastAsia="MS PGothic"/>
          <w:iCs/>
        </w:rPr>
      </w:pPr>
      <w:hyperlink r:id="rId20" w:anchor="cop-intersessional-work" w:history="1">
        <w:r w:rsidR="009B6477" w:rsidRPr="00357739">
          <w:rPr>
            <w:rStyle w:val="Hyperlink"/>
            <w:rFonts w:eastAsia="MS PGothic"/>
            <w:iCs/>
          </w:rPr>
          <w:t>https://www.mercuryconvention.org/en/meetings/cop4#cop-intersessional-work</w:t>
        </w:r>
      </w:hyperlink>
    </w:p>
    <w:p w14:paraId="7AF336AE" w14:textId="4249124A" w:rsidR="00BA4798" w:rsidRDefault="00BA4798" w:rsidP="00BA4798">
      <w:pPr>
        <w:pStyle w:val="Normal-pool"/>
        <w:tabs>
          <w:tab w:val="clear" w:pos="1247"/>
          <w:tab w:val="clear" w:pos="1814"/>
          <w:tab w:val="clear" w:pos="2381"/>
          <w:tab w:val="clear" w:pos="2948"/>
          <w:tab w:val="clear" w:pos="3515"/>
          <w:tab w:val="clear" w:pos="4082"/>
          <w:tab w:val="left" w:pos="624"/>
        </w:tabs>
        <w:spacing w:after="120"/>
        <w:rPr>
          <w:rFonts w:eastAsia="MS PGothic"/>
          <w:iCs/>
        </w:rPr>
      </w:pPr>
    </w:p>
    <w:p w14:paraId="084F6CC0" w14:textId="4DB3A4A8" w:rsidR="006B0412" w:rsidRPr="009B6477" w:rsidRDefault="006B0412" w:rsidP="00BA4798">
      <w:pPr>
        <w:pStyle w:val="Normal-pool"/>
        <w:tabs>
          <w:tab w:val="clear" w:pos="1247"/>
          <w:tab w:val="clear" w:pos="1814"/>
          <w:tab w:val="clear" w:pos="2381"/>
          <w:tab w:val="clear" w:pos="2948"/>
          <w:tab w:val="clear" w:pos="3515"/>
          <w:tab w:val="clear" w:pos="4082"/>
          <w:tab w:val="left" w:pos="624"/>
        </w:tabs>
        <w:spacing w:after="120"/>
        <w:rPr>
          <w:rFonts w:eastAsia="MS PGothic"/>
          <w:b/>
          <w:bCs/>
          <w:iCs/>
          <w:sz w:val="24"/>
          <w:szCs w:val="24"/>
        </w:rPr>
      </w:pPr>
      <w:r w:rsidRPr="009B6477">
        <w:rPr>
          <w:rFonts w:eastAsia="MS PGothic"/>
          <w:b/>
          <w:bCs/>
          <w:iCs/>
          <w:sz w:val="24"/>
          <w:szCs w:val="24"/>
        </w:rPr>
        <w:t>Two proposed models</w:t>
      </w:r>
    </w:p>
    <w:p w14:paraId="44B724AA" w14:textId="7FC0B22B" w:rsidR="00BA4798" w:rsidRPr="00BA4798" w:rsidRDefault="00BA4798" w:rsidP="00BA4798">
      <w:pPr>
        <w:pStyle w:val="Normal-pool"/>
        <w:tabs>
          <w:tab w:val="left" w:pos="624"/>
        </w:tabs>
        <w:spacing w:after="120"/>
        <w:rPr>
          <w:rFonts w:eastAsia="MS PGothic"/>
          <w:iCs/>
        </w:rPr>
      </w:pPr>
      <w:r w:rsidRPr="00BA4798">
        <w:rPr>
          <w:rFonts w:eastAsia="MS PGothic"/>
          <w:iCs/>
        </w:rPr>
        <w:t xml:space="preserve">As part of the efforts to establishing a Tier 2 leaching threshold for non-ferrous mine tailings under the Minamata Convention, two models were put forward looking at the transport of mercury in groundwater through soils. </w:t>
      </w:r>
    </w:p>
    <w:p w14:paraId="41065B9C" w14:textId="79DFDD45" w:rsidR="00BA4798" w:rsidRPr="00BA4798" w:rsidRDefault="006B0412" w:rsidP="00BA4798">
      <w:pPr>
        <w:pStyle w:val="Normal-pool"/>
        <w:tabs>
          <w:tab w:val="left" w:pos="624"/>
        </w:tabs>
        <w:spacing w:after="120"/>
        <w:rPr>
          <w:rFonts w:eastAsia="MS PGothic"/>
          <w:iCs/>
        </w:rPr>
      </w:pPr>
      <w:r>
        <w:rPr>
          <w:rFonts w:eastAsia="MS PGothic"/>
          <w:iCs/>
        </w:rPr>
        <w:t>One expert presented a proposal (</w:t>
      </w:r>
      <w:proofErr w:type="spellStart"/>
      <w:r>
        <w:rPr>
          <w:rFonts w:eastAsia="MS PGothic"/>
          <w:iCs/>
        </w:rPr>
        <w:t>Hennebert</w:t>
      </w:r>
      <w:proofErr w:type="spellEnd"/>
      <w:r>
        <w:rPr>
          <w:rFonts w:eastAsia="MS PGothic"/>
          <w:iCs/>
        </w:rPr>
        <w:t xml:space="preserve">, 2021) </w:t>
      </w:r>
      <w:r w:rsidR="00BA4798" w:rsidRPr="00BA4798">
        <w:rPr>
          <w:rFonts w:eastAsia="MS PGothic"/>
          <w:iCs/>
        </w:rPr>
        <w:t>includ</w:t>
      </w:r>
      <w:r>
        <w:rPr>
          <w:rFonts w:eastAsia="MS PGothic"/>
          <w:iCs/>
        </w:rPr>
        <w:t>ing</w:t>
      </w:r>
      <w:r w:rsidR="00BA4798" w:rsidRPr="00BA4798">
        <w:rPr>
          <w:rFonts w:eastAsia="MS PGothic"/>
          <w:iCs/>
        </w:rPr>
        <w:t xml:space="preserve"> transport of mercury in a vadose zone (unsaturated groundwater zone) underlying the tailings, paired with a two-dimensional (2D) groundwater model that accounted for dispersion, or dilution, in the direction of flow as well as in the direction lateral to flow in order to calculate a dilution and attenuation factor (DAF) at the compliance point.</w:t>
      </w:r>
      <w:r w:rsidR="00E91960">
        <w:rPr>
          <w:rFonts w:eastAsia="MS PGothic"/>
          <w:iCs/>
        </w:rPr>
        <w:t xml:space="preserve"> That model has been used in 1998-200</w:t>
      </w:r>
      <w:r w:rsidR="004A5394">
        <w:rPr>
          <w:rFonts w:eastAsia="MS PGothic"/>
          <w:iCs/>
        </w:rPr>
        <w:t>0</w:t>
      </w:r>
      <w:r w:rsidR="00E91960">
        <w:rPr>
          <w:rFonts w:eastAsia="MS PGothic"/>
          <w:iCs/>
        </w:rPr>
        <w:t xml:space="preserve"> to calculate the maximum leaching concentration of waste for landfill acceptance in the European Union.</w:t>
      </w:r>
    </w:p>
    <w:p w14:paraId="23E064B1" w14:textId="4261DF00" w:rsidR="00BA4798" w:rsidRPr="00BA4798" w:rsidRDefault="006B0412" w:rsidP="00BA4798">
      <w:pPr>
        <w:pStyle w:val="Normal-pool"/>
        <w:tabs>
          <w:tab w:val="clear" w:pos="1247"/>
          <w:tab w:val="clear" w:pos="1814"/>
          <w:tab w:val="clear" w:pos="2381"/>
          <w:tab w:val="clear" w:pos="2948"/>
          <w:tab w:val="clear" w:pos="3515"/>
          <w:tab w:val="clear" w:pos="4082"/>
          <w:tab w:val="left" w:pos="624"/>
        </w:tabs>
        <w:spacing w:after="120"/>
        <w:rPr>
          <w:rFonts w:eastAsia="MS PGothic"/>
          <w:iCs/>
        </w:rPr>
      </w:pPr>
      <w:r>
        <w:rPr>
          <w:rFonts w:eastAsia="MS PGothic"/>
          <w:iCs/>
        </w:rPr>
        <w:t>Another expert submitted a report prepared for the International Council of Mining and Metals (</w:t>
      </w:r>
      <w:proofErr w:type="spellStart"/>
      <w:r>
        <w:rPr>
          <w:rFonts w:eastAsia="MS PGothic"/>
          <w:iCs/>
        </w:rPr>
        <w:t>Ecometrix</w:t>
      </w:r>
      <w:proofErr w:type="spellEnd"/>
      <w:r>
        <w:rPr>
          <w:rFonts w:eastAsia="MS PGothic"/>
          <w:iCs/>
        </w:rPr>
        <w:t>, 2021). The m</w:t>
      </w:r>
      <w:r w:rsidR="00BA4798" w:rsidRPr="00BA4798">
        <w:rPr>
          <w:rFonts w:eastAsia="MS PGothic"/>
          <w:iCs/>
        </w:rPr>
        <w:t xml:space="preserve">odel </w:t>
      </w:r>
      <w:r>
        <w:rPr>
          <w:rFonts w:eastAsia="MS PGothic"/>
          <w:iCs/>
        </w:rPr>
        <w:t xml:space="preserve">used in that report </w:t>
      </w:r>
      <w:r w:rsidR="00BA4798" w:rsidRPr="00BA4798">
        <w:rPr>
          <w:rFonts w:eastAsia="MS PGothic"/>
          <w:iCs/>
        </w:rPr>
        <w:t xml:space="preserve">followed the same logic as in </w:t>
      </w:r>
      <w:proofErr w:type="spellStart"/>
      <w:r>
        <w:rPr>
          <w:rFonts w:eastAsia="MS PGothic"/>
          <w:iCs/>
        </w:rPr>
        <w:t>Hennebert</w:t>
      </w:r>
      <w:proofErr w:type="spellEnd"/>
      <w:r>
        <w:rPr>
          <w:rFonts w:eastAsia="MS PGothic"/>
          <w:iCs/>
        </w:rPr>
        <w:t xml:space="preserve"> (2021) </w:t>
      </w:r>
      <w:r w:rsidR="00BA4798" w:rsidRPr="00BA4798">
        <w:rPr>
          <w:rFonts w:eastAsia="MS PGothic"/>
          <w:iCs/>
        </w:rPr>
        <w:t xml:space="preserve">to determine a DAF for mercury, including the same leaching function but with no migration through the vadose zone. This resulted in a simpler but more conservative one-dimensional (1D) groundwater transport model that includes dilution/dispersion in the flow direction only, ignoring the additional diluting effect that would be observed in the 2D model. As a result, the </w:t>
      </w:r>
      <w:proofErr w:type="spellStart"/>
      <w:r>
        <w:rPr>
          <w:rFonts w:eastAsia="MS PGothic"/>
          <w:iCs/>
        </w:rPr>
        <w:t>Ecometrix</w:t>
      </w:r>
      <w:proofErr w:type="spellEnd"/>
      <w:r w:rsidR="00BA4798" w:rsidRPr="00BA4798">
        <w:rPr>
          <w:rFonts w:eastAsia="MS PGothic"/>
          <w:iCs/>
        </w:rPr>
        <w:t xml:space="preserve"> </w:t>
      </w:r>
      <w:proofErr w:type="spellStart"/>
      <w:r w:rsidR="00BA4798" w:rsidRPr="00BA4798">
        <w:rPr>
          <w:rFonts w:eastAsia="MS PGothic"/>
          <w:iCs/>
        </w:rPr>
        <w:t>1D</w:t>
      </w:r>
      <w:proofErr w:type="spellEnd"/>
      <w:r w:rsidR="00BA4798" w:rsidRPr="00BA4798">
        <w:rPr>
          <w:rFonts w:eastAsia="MS PGothic"/>
          <w:iCs/>
        </w:rPr>
        <w:t xml:space="preserve"> model is inherently more conservative.</w:t>
      </w:r>
    </w:p>
    <w:p w14:paraId="21CF0FE9" w14:textId="5AAF42DC" w:rsidR="00BA4798" w:rsidRDefault="006B0412" w:rsidP="00BA4798">
      <w:pPr>
        <w:pStyle w:val="Normalnumber"/>
        <w:numPr>
          <w:ilvl w:val="0"/>
          <w:numId w:val="0"/>
        </w:numPr>
        <w:rPr>
          <w:lang w:val="en-US"/>
        </w:rPr>
      </w:pPr>
      <w:r>
        <w:rPr>
          <w:lang w:val="en-US"/>
        </w:rPr>
        <w:t xml:space="preserve">The group of technical experts </w:t>
      </w:r>
      <w:r w:rsidR="005279CB">
        <w:rPr>
          <w:lang w:val="en-US"/>
        </w:rPr>
        <w:t xml:space="preserve">considered </w:t>
      </w:r>
      <w:r w:rsidR="00814A03">
        <w:rPr>
          <w:lang w:val="en-US"/>
        </w:rPr>
        <w:t>T</w:t>
      </w:r>
      <w:r>
        <w:rPr>
          <w:lang w:val="en-US"/>
        </w:rPr>
        <w:t xml:space="preserve">ier-2 thresholds based on the </w:t>
      </w:r>
      <w:proofErr w:type="spellStart"/>
      <w:r w:rsidR="009B6477">
        <w:rPr>
          <w:lang w:val="en-US"/>
        </w:rPr>
        <w:t>Ecometrix</w:t>
      </w:r>
      <w:proofErr w:type="spellEnd"/>
      <w:r w:rsidR="009B6477">
        <w:rPr>
          <w:lang w:val="en-US"/>
        </w:rPr>
        <w:t xml:space="preserve"> </w:t>
      </w:r>
      <w:proofErr w:type="spellStart"/>
      <w:r w:rsidR="005279CB">
        <w:rPr>
          <w:lang w:val="en-US"/>
        </w:rPr>
        <w:t>1D</w:t>
      </w:r>
      <w:proofErr w:type="spellEnd"/>
      <w:r w:rsidR="005279CB">
        <w:rPr>
          <w:lang w:val="en-US"/>
        </w:rPr>
        <w:t xml:space="preserve"> model, also referring to the </w:t>
      </w:r>
      <w:proofErr w:type="spellStart"/>
      <w:r w:rsidR="005279CB">
        <w:rPr>
          <w:lang w:val="en-US"/>
        </w:rPr>
        <w:t>2D</w:t>
      </w:r>
      <w:proofErr w:type="spellEnd"/>
      <w:r w:rsidR="005279CB">
        <w:rPr>
          <w:lang w:val="en-US"/>
        </w:rPr>
        <w:t xml:space="preserve"> model in </w:t>
      </w:r>
      <w:proofErr w:type="spellStart"/>
      <w:r w:rsidR="005279CB">
        <w:rPr>
          <w:lang w:val="en-US"/>
        </w:rPr>
        <w:t>Hennebert</w:t>
      </w:r>
      <w:proofErr w:type="spellEnd"/>
      <w:r w:rsidR="005279CB">
        <w:rPr>
          <w:lang w:val="en-US"/>
        </w:rPr>
        <w:t xml:space="preserve"> </w:t>
      </w:r>
      <w:r w:rsidR="009B6477">
        <w:rPr>
          <w:lang w:val="en-US"/>
        </w:rPr>
        <w:t>(2021).</w:t>
      </w:r>
    </w:p>
    <w:p w14:paraId="5969EF63" w14:textId="5011A100" w:rsidR="009B6477" w:rsidRDefault="009B6477" w:rsidP="00BA4798">
      <w:pPr>
        <w:pStyle w:val="Normalnumber"/>
        <w:numPr>
          <w:ilvl w:val="0"/>
          <w:numId w:val="0"/>
        </w:numPr>
        <w:rPr>
          <w:lang w:val="en-US"/>
        </w:rPr>
      </w:pPr>
    </w:p>
    <w:p w14:paraId="4F5A5664" w14:textId="30C5B1DB" w:rsidR="009B6477" w:rsidRPr="00AC7FF9" w:rsidRDefault="009B6477" w:rsidP="00BA4798">
      <w:pPr>
        <w:pStyle w:val="Normalnumber"/>
        <w:numPr>
          <w:ilvl w:val="0"/>
          <w:numId w:val="0"/>
        </w:numPr>
        <w:rPr>
          <w:b/>
          <w:bCs/>
          <w:sz w:val="24"/>
          <w:szCs w:val="24"/>
          <w:lang w:val="en-US"/>
        </w:rPr>
      </w:pPr>
      <w:r w:rsidRPr="00AC7FF9">
        <w:rPr>
          <w:b/>
          <w:bCs/>
          <w:sz w:val="24"/>
          <w:szCs w:val="24"/>
          <w:lang w:val="en-US"/>
        </w:rPr>
        <w:t xml:space="preserve">Description of the </w:t>
      </w:r>
      <w:r w:rsidR="005279CB">
        <w:rPr>
          <w:b/>
          <w:bCs/>
          <w:sz w:val="24"/>
          <w:szCs w:val="24"/>
          <w:lang w:val="en-US"/>
        </w:rPr>
        <w:t xml:space="preserve">one-dimensional </w:t>
      </w:r>
      <w:r w:rsidRPr="00AC7FF9">
        <w:rPr>
          <w:b/>
          <w:bCs/>
          <w:sz w:val="24"/>
          <w:szCs w:val="24"/>
          <w:lang w:val="en-US"/>
        </w:rPr>
        <w:t>model</w:t>
      </w:r>
    </w:p>
    <w:p w14:paraId="72EE17AE" w14:textId="6C44D525" w:rsidR="00AC7FF9" w:rsidRPr="00AC7FF9" w:rsidRDefault="00AC7FF9" w:rsidP="00AC7FF9">
      <w:pPr>
        <w:pStyle w:val="Normalnumber"/>
        <w:numPr>
          <w:ilvl w:val="0"/>
          <w:numId w:val="0"/>
        </w:numPr>
        <w:rPr>
          <w:b/>
          <w:bCs/>
          <w:i/>
          <w:iCs/>
          <w:lang w:val="en-US"/>
        </w:rPr>
      </w:pPr>
      <w:r w:rsidRPr="00AC7FF9">
        <w:rPr>
          <w:b/>
          <w:bCs/>
          <w:i/>
          <w:iCs/>
          <w:lang w:val="en-US"/>
        </w:rPr>
        <w:t>Conceptual Model</w:t>
      </w:r>
    </w:p>
    <w:p w14:paraId="1508BB4F" w14:textId="36178147" w:rsidR="009B6477" w:rsidRDefault="00AC7FF9" w:rsidP="00AC7FF9">
      <w:pPr>
        <w:pStyle w:val="Normalnumber"/>
        <w:numPr>
          <w:ilvl w:val="0"/>
          <w:numId w:val="0"/>
        </w:numPr>
        <w:rPr>
          <w:lang w:val="en-US"/>
        </w:rPr>
      </w:pPr>
      <w:r w:rsidRPr="00AC7FF9">
        <w:rPr>
          <w:lang w:val="en-US"/>
        </w:rPr>
        <w:t>Water that enters the tailings as rainfall or snowmelt moves downward through the pore spaces as it would in the natural ground. The water that contacts the tailings can then leach substances such as mercury and carry those substances in dissolved form down towards the groundwater table. The leaching of the mercury is assumed so that the relatively highest concentrations occurring initially and the leach concentrations decreasing with increasing volumes of water contacting the tailings solids. The model is based on a conservative assumption that the leach solution enters the groundwater zone at the base of the tailings. The transport of mercury through groundwater is represented by a one-dimensional (1-D) advective</w:t>
      </w:r>
      <w:r>
        <w:rPr>
          <w:lang w:val="en-US"/>
        </w:rPr>
        <w:t xml:space="preserve"> </w:t>
      </w:r>
      <w:r w:rsidRPr="00AC7FF9">
        <w:rPr>
          <w:lang w:val="en-US"/>
        </w:rPr>
        <w:t>dispersive groundwater transport model with retardation. The point of compliance (POC) is assumed to represent a water supply well at a distance of 200 m from the tailings where a human can ingest water.</w:t>
      </w:r>
    </w:p>
    <w:p w14:paraId="3B408957" w14:textId="77777777" w:rsidR="00AC7FF9" w:rsidRPr="00AC7FF9" w:rsidRDefault="00AC7FF9" w:rsidP="00AC7FF9">
      <w:pPr>
        <w:pStyle w:val="Normalnumber"/>
        <w:numPr>
          <w:ilvl w:val="0"/>
          <w:numId w:val="0"/>
        </w:numPr>
        <w:rPr>
          <w:b/>
          <w:bCs/>
          <w:i/>
          <w:iCs/>
          <w:lang w:val="en-US"/>
        </w:rPr>
      </w:pPr>
      <w:r w:rsidRPr="00AC7FF9">
        <w:rPr>
          <w:b/>
          <w:bCs/>
          <w:i/>
          <w:iCs/>
          <w:lang w:val="en-US"/>
        </w:rPr>
        <w:t>Context for Drinking Water</w:t>
      </w:r>
    </w:p>
    <w:p w14:paraId="3EC7468D" w14:textId="648D5817" w:rsidR="00AC7FF9" w:rsidRDefault="00AC7FF9" w:rsidP="00AC7FF9">
      <w:pPr>
        <w:pStyle w:val="Normalnumber"/>
        <w:numPr>
          <w:ilvl w:val="0"/>
          <w:numId w:val="0"/>
        </w:numPr>
        <w:rPr>
          <w:lang w:val="en-US"/>
        </w:rPr>
      </w:pPr>
      <w:r w:rsidRPr="00AC7FF9">
        <w:rPr>
          <w:lang w:val="en-US"/>
        </w:rPr>
        <w:t>A maximum drinking water concentration for mercury can be selected for a criterion that should</w:t>
      </w:r>
      <w:r>
        <w:rPr>
          <w:lang w:val="en-US"/>
        </w:rPr>
        <w:t xml:space="preserve"> </w:t>
      </w:r>
      <w:r w:rsidRPr="00AC7FF9">
        <w:rPr>
          <w:lang w:val="en-US"/>
        </w:rPr>
        <w:t>not be exceeded at the POC. The World Health Organization has a drinking water limit of 0.006</w:t>
      </w:r>
      <w:r>
        <w:rPr>
          <w:lang w:val="en-US"/>
        </w:rPr>
        <w:t xml:space="preserve"> </w:t>
      </w:r>
      <w:r w:rsidRPr="00AC7FF9">
        <w:rPr>
          <w:lang w:val="en-US"/>
        </w:rPr>
        <w:t xml:space="preserve">milligrams of mercury (Hg) per </w:t>
      </w:r>
      <w:proofErr w:type="spellStart"/>
      <w:r w:rsidRPr="00AC7FF9">
        <w:rPr>
          <w:lang w:val="en-US"/>
        </w:rPr>
        <w:t>litre</w:t>
      </w:r>
      <w:proofErr w:type="spellEnd"/>
      <w:r w:rsidRPr="00AC7FF9">
        <w:rPr>
          <w:lang w:val="en-US"/>
        </w:rPr>
        <w:t xml:space="preserve"> of </w:t>
      </w:r>
      <w:r w:rsidRPr="00AC7FF9">
        <w:rPr>
          <w:lang w:val="en-US"/>
        </w:rPr>
        <w:lastRenderedPageBreak/>
        <w:t>water (mg/L) and that value was proposed for the</w:t>
      </w:r>
      <w:r>
        <w:rPr>
          <w:lang w:val="en-US"/>
        </w:rPr>
        <w:t xml:space="preserve"> </w:t>
      </w:r>
      <w:r w:rsidRPr="00AC7FF9">
        <w:rPr>
          <w:lang w:val="en-US"/>
        </w:rPr>
        <w:t xml:space="preserve">criterion. This means that if the mercury concentration in groundwater at 200 </w:t>
      </w:r>
      <w:proofErr w:type="spellStart"/>
      <w:r w:rsidRPr="00AC7FF9">
        <w:rPr>
          <w:lang w:val="en-US"/>
        </w:rPr>
        <w:t>metres</w:t>
      </w:r>
      <w:proofErr w:type="spellEnd"/>
      <w:r w:rsidRPr="00AC7FF9">
        <w:rPr>
          <w:lang w:val="en-US"/>
        </w:rPr>
        <w:t xml:space="preserve"> from the</w:t>
      </w:r>
      <w:r>
        <w:rPr>
          <w:lang w:val="en-US"/>
        </w:rPr>
        <w:t xml:space="preserve"> </w:t>
      </w:r>
      <w:r w:rsidRPr="00AC7FF9">
        <w:rPr>
          <w:lang w:val="en-US"/>
        </w:rPr>
        <w:t>tailings remains below 0.006 mg/L then the tailings will be classified as not a-mercury waste and</w:t>
      </w:r>
      <w:r>
        <w:rPr>
          <w:lang w:val="en-US"/>
        </w:rPr>
        <w:t xml:space="preserve"> </w:t>
      </w:r>
      <w:r w:rsidRPr="00AC7FF9">
        <w:rPr>
          <w:lang w:val="en-US"/>
        </w:rPr>
        <w:t>no further action is required.</w:t>
      </w:r>
    </w:p>
    <w:p w14:paraId="0B348438" w14:textId="77777777" w:rsidR="00AC7FF9" w:rsidRPr="005F2F17" w:rsidRDefault="00AC7FF9" w:rsidP="00AC7FF9">
      <w:pPr>
        <w:pStyle w:val="Normalnumber"/>
        <w:numPr>
          <w:ilvl w:val="0"/>
          <w:numId w:val="0"/>
        </w:numPr>
        <w:rPr>
          <w:b/>
          <w:bCs/>
          <w:i/>
          <w:iCs/>
          <w:lang w:val="en-US"/>
        </w:rPr>
      </w:pPr>
      <w:r w:rsidRPr="005F2F17">
        <w:rPr>
          <w:b/>
          <w:bCs/>
          <w:i/>
          <w:iCs/>
          <w:lang w:val="en-US"/>
        </w:rPr>
        <w:t>Mercury Leaching from Tailings</w:t>
      </w:r>
    </w:p>
    <w:p w14:paraId="78C10466" w14:textId="10A4CA6A" w:rsidR="00AC7FF9" w:rsidRPr="00AC7FF9" w:rsidRDefault="00AC7FF9" w:rsidP="00AC7FF9">
      <w:pPr>
        <w:pStyle w:val="Normalnumber"/>
        <w:numPr>
          <w:ilvl w:val="0"/>
          <w:numId w:val="0"/>
        </w:numPr>
        <w:rPr>
          <w:lang w:val="en-US"/>
        </w:rPr>
      </w:pPr>
      <w:r w:rsidRPr="00AC7FF9">
        <w:rPr>
          <w:lang w:val="en-US"/>
        </w:rPr>
        <w:t xml:space="preserve">The model uses a leaching function that calculates the concentration of a leached constituent as a function of the ratio of the cumulative water or liquid to solids (L/S). As more water contacts the solids, the leached concentration decreases. The L/S ratio is also a function of time because water flowing through the tailings is a function of natural precipitation falling on the tailings. A portion of the precipitation enters and flows through the tailings. The models assumes 300 </w:t>
      </w:r>
      <w:proofErr w:type="spellStart"/>
      <w:r w:rsidRPr="00AC7FF9">
        <w:rPr>
          <w:lang w:val="en-US"/>
        </w:rPr>
        <w:t>millimetres</w:t>
      </w:r>
      <w:proofErr w:type="spellEnd"/>
      <w:r w:rsidRPr="00AC7FF9">
        <w:rPr>
          <w:lang w:val="en-US"/>
        </w:rPr>
        <w:t xml:space="preserve"> of </w:t>
      </w:r>
      <w:r w:rsidR="00E91960">
        <w:rPr>
          <w:lang w:val="en-US"/>
        </w:rPr>
        <w:t>drainage</w:t>
      </w:r>
      <w:r w:rsidR="00E91960" w:rsidRPr="00AC7FF9">
        <w:rPr>
          <w:lang w:val="en-US"/>
        </w:rPr>
        <w:t xml:space="preserve"> </w:t>
      </w:r>
      <w:r w:rsidRPr="00AC7FF9">
        <w:rPr>
          <w:lang w:val="en-US"/>
        </w:rPr>
        <w:t>per annum</w:t>
      </w:r>
      <w:r w:rsidR="00E91960">
        <w:rPr>
          <w:lang w:val="en-US"/>
        </w:rPr>
        <w:t xml:space="preserve"> (300 </w:t>
      </w:r>
      <w:proofErr w:type="spellStart"/>
      <w:r w:rsidR="00E91960">
        <w:rPr>
          <w:lang w:val="en-US"/>
        </w:rPr>
        <w:t>litres</w:t>
      </w:r>
      <w:proofErr w:type="spellEnd"/>
      <w:r w:rsidR="00E91960">
        <w:rPr>
          <w:lang w:val="en-US"/>
        </w:rPr>
        <w:t xml:space="preserve"> </w:t>
      </w:r>
      <w:proofErr w:type="spellStart"/>
      <w:r w:rsidR="00E91960">
        <w:rPr>
          <w:lang w:val="en-US"/>
        </w:rPr>
        <w:t>par</w:t>
      </w:r>
      <w:proofErr w:type="spellEnd"/>
      <w:r w:rsidR="00E91960">
        <w:rPr>
          <w:lang w:val="en-US"/>
        </w:rPr>
        <w:t xml:space="preserve"> square meter of material section)</w:t>
      </w:r>
      <w:r w:rsidRPr="00AC7FF9">
        <w:rPr>
          <w:lang w:val="en-US"/>
        </w:rPr>
        <w:t xml:space="preserve">. In a 20 m thick tailings deposit, with a density of 1,500 kg per cubic </w:t>
      </w:r>
      <w:proofErr w:type="spellStart"/>
      <w:r w:rsidRPr="00AC7FF9">
        <w:rPr>
          <w:lang w:val="en-US"/>
        </w:rPr>
        <w:t>metre</w:t>
      </w:r>
      <w:proofErr w:type="spellEnd"/>
      <w:r w:rsidRPr="00AC7FF9">
        <w:rPr>
          <w:lang w:val="en-US"/>
        </w:rPr>
        <w:t xml:space="preserve"> (kg/</w:t>
      </w:r>
      <w:proofErr w:type="spellStart"/>
      <w:r w:rsidRPr="00AC7FF9">
        <w:rPr>
          <w:lang w:val="en-US"/>
        </w:rPr>
        <w:t>m</w:t>
      </w:r>
      <w:r w:rsidRPr="0043103B">
        <w:rPr>
          <w:vertAlign w:val="superscript"/>
          <w:lang w:val="en-US"/>
        </w:rPr>
        <w:t>3</w:t>
      </w:r>
      <w:proofErr w:type="spellEnd"/>
      <w:r w:rsidRPr="00AC7FF9">
        <w:rPr>
          <w:lang w:val="en-US"/>
        </w:rPr>
        <w:t xml:space="preserve">), the L/S ratio will be 300 </w:t>
      </w:r>
      <w:proofErr w:type="spellStart"/>
      <w:r w:rsidRPr="00AC7FF9">
        <w:rPr>
          <w:lang w:val="en-US"/>
        </w:rPr>
        <w:t>litres</w:t>
      </w:r>
      <w:proofErr w:type="spellEnd"/>
      <w:r w:rsidRPr="00AC7FF9">
        <w:rPr>
          <w:lang w:val="en-US"/>
        </w:rPr>
        <w:t xml:space="preserve"> (L) </w:t>
      </w:r>
      <w:r w:rsidR="00E91960">
        <w:rPr>
          <w:lang w:val="en-US"/>
        </w:rPr>
        <w:t xml:space="preserve">drainage </w:t>
      </w:r>
      <w:r w:rsidRPr="00AC7FF9">
        <w:rPr>
          <w:lang w:val="en-US"/>
        </w:rPr>
        <w:t xml:space="preserve">per 30,000 kg </w:t>
      </w:r>
      <w:r w:rsidR="00E91960">
        <w:rPr>
          <w:lang w:val="en-US"/>
        </w:rPr>
        <w:t xml:space="preserve">solid </w:t>
      </w:r>
      <w:r w:rsidRPr="00AC7FF9">
        <w:rPr>
          <w:lang w:val="en-US"/>
        </w:rPr>
        <w:t>each year or 1:100</w:t>
      </w:r>
      <w:r>
        <w:rPr>
          <w:lang w:val="en-US"/>
        </w:rPr>
        <w:t>.</w:t>
      </w:r>
      <w:r w:rsidRPr="00AC7FF9">
        <w:rPr>
          <w:lang w:val="en-US"/>
        </w:rPr>
        <w:t xml:space="preserve"> Therefore, after 100 years, the cumulative L/S ration will be 1:1. The concentration (C) at a L/S value is described with the equation;</w:t>
      </w:r>
    </w:p>
    <w:p w14:paraId="1D7961B8" w14:textId="37D7625B" w:rsidR="00AC7FF9" w:rsidRDefault="00AC7FF9" w:rsidP="00AC7FF9">
      <w:pPr>
        <w:pStyle w:val="Normalnumber"/>
        <w:numPr>
          <w:ilvl w:val="0"/>
          <w:numId w:val="0"/>
        </w:numPr>
        <w:rPr>
          <w:lang w:val="en-US"/>
        </w:rPr>
      </w:pPr>
      <w:r w:rsidRPr="00AC7FF9">
        <w:rPr>
          <w:lang w:val="en-US"/>
        </w:rPr>
        <w:t>C=Co e</w:t>
      </w:r>
      <w:r w:rsidRPr="005F2F17">
        <w:rPr>
          <w:vertAlign w:val="superscript"/>
          <w:lang w:val="en-US"/>
        </w:rPr>
        <w:t>-(L/</w:t>
      </w:r>
      <w:proofErr w:type="gramStart"/>
      <w:r w:rsidRPr="005F2F17">
        <w:rPr>
          <w:vertAlign w:val="superscript"/>
          <w:lang w:val="en-US"/>
        </w:rPr>
        <w:t>S)*</w:t>
      </w:r>
      <w:proofErr w:type="gramEnd"/>
      <w:r w:rsidRPr="005F2F17">
        <w:rPr>
          <w:vertAlign w:val="superscript"/>
          <w:lang w:val="en-US"/>
        </w:rPr>
        <w:t>K</w:t>
      </w:r>
    </w:p>
    <w:p w14:paraId="5DDA610E" w14:textId="2B38E46C" w:rsidR="00AC7FF9" w:rsidRDefault="00AC7FF9" w:rsidP="005F2F17">
      <w:pPr>
        <w:pStyle w:val="Normalnumber"/>
        <w:numPr>
          <w:ilvl w:val="0"/>
          <w:numId w:val="0"/>
        </w:numPr>
        <w:rPr>
          <w:lang w:val="en-US"/>
        </w:rPr>
      </w:pPr>
      <w:r w:rsidRPr="00AC7FF9">
        <w:rPr>
          <w:lang w:val="en-US"/>
        </w:rPr>
        <w:t xml:space="preserve">In which Co is the initial and maximum concentration, and K is a unitless factor that represents the rate of decline in the leach concentration with L/S. Some example data were reviewed for the leaching </w:t>
      </w:r>
      <w:proofErr w:type="spellStart"/>
      <w:r w:rsidRPr="00AC7FF9">
        <w:rPr>
          <w:lang w:val="en-US"/>
        </w:rPr>
        <w:t>behaviour</w:t>
      </w:r>
      <w:proofErr w:type="spellEnd"/>
      <w:r w:rsidRPr="00AC7FF9">
        <w:rPr>
          <w:lang w:val="en-US"/>
        </w:rPr>
        <w:t xml:space="preserve"> of elements from waste rock in order to assess an appropriate K factor for mine materials. Data for mercury could not be evaluated because the concentrations of mercury in the leach solutions were below the analytical detection limit of 0.002 mg/L throughout the study. Therefore, other trace elements that had detectable concentrations in the leach solutions, including cadmium, selenium, uranium and zinc, were considered and a plot of absolute concentrations as a function of L/S is shown in Figure 1. The data show that the concentrations decrease as expected with increasing L/S. While there is some scatter in the zinc</w:t>
      </w:r>
      <w:r w:rsidR="005F2F17">
        <w:rPr>
          <w:lang w:val="en-US"/>
        </w:rPr>
        <w:t xml:space="preserve"> </w:t>
      </w:r>
      <w:r w:rsidRPr="00AC7FF9">
        <w:rPr>
          <w:lang w:val="en-US"/>
        </w:rPr>
        <w:t>concentrations at higher L/S values, the trends for the four elements are similar and consistent.</w:t>
      </w:r>
    </w:p>
    <w:p w14:paraId="409FDFC5" w14:textId="369890A0" w:rsidR="005F2F17" w:rsidRPr="00AC7FF9" w:rsidRDefault="005F2F17" w:rsidP="005F2F17">
      <w:pPr>
        <w:pStyle w:val="Normalnumber"/>
        <w:numPr>
          <w:ilvl w:val="0"/>
          <w:numId w:val="0"/>
        </w:numPr>
        <w:jc w:val="center"/>
        <w:rPr>
          <w:lang w:val="en-US"/>
        </w:rPr>
      </w:pPr>
      <w:r w:rsidRPr="005F2F17">
        <w:rPr>
          <w:noProof/>
          <w:lang w:val="en-US"/>
        </w:rPr>
        <w:drawing>
          <wp:inline distT="0" distB="0" distL="0" distR="0" wp14:anchorId="5E8D84AF" wp14:editId="439D0D5E">
            <wp:extent cx="3792782" cy="2486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32657" cy="2512161"/>
                    </a:xfrm>
                    <a:prstGeom prst="rect">
                      <a:avLst/>
                    </a:prstGeom>
                    <a:noFill/>
                    <a:ln>
                      <a:noFill/>
                    </a:ln>
                  </pic:spPr>
                </pic:pic>
              </a:graphicData>
            </a:graphic>
          </wp:inline>
        </w:drawing>
      </w:r>
    </w:p>
    <w:p w14:paraId="1642105E" w14:textId="310D8A44" w:rsidR="005F2F17" w:rsidRPr="005F2F17" w:rsidRDefault="005F2F17" w:rsidP="0043103B">
      <w:pPr>
        <w:pStyle w:val="Normalnumber"/>
        <w:numPr>
          <w:ilvl w:val="0"/>
          <w:numId w:val="0"/>
        </w:numPr>
        <w:jc w:val="center"/>
        <w:rPr>
          <w:b/>
          <w:bCs/>
          <w:lang w:val="en-US"/>
        </w:rPr>
      </w:pPr>
      <w:r w:rsidRPr="005F2F17">
        <w:rPr>
          <w:b/>
          <w:bCs/>
          <w:lang w:val="en-US"/>
        </w:rPr>
        <w:t>Figure 1: Measured concentrations of selected elements with L/S for leaching of a waste rock sample.</w:t>
      </w:r>
    </w:p>
    <w:p w14:paraId="2E35AFAA" w14:textId="77777777" w:rsidR="005F2F17" w:rsidRDefault="005F2F17" w:rsidP="005F2F17">
      <w:pPr>
        <w:pStyle w:val="Normalnumber"/>
        <w:numPr>
          <w:ilvl w:val="0"/>
          <w:numId w:val="0"/>
        </w:numPr>
        <w:rPr>
          <w:lang w:val="en-US"/>
        </w:rPr>
      </w:pPr>
    </w:p>
    <w:p w14:paraId="5CE510E7" w14:textId="209CF132" w:rsidR="00AC7FF9" w:rsidRDefault="00AC7FF9" w:rsidP="005F2F17">
      <w:pPr>
        <w:pStyle w:val="Normalnumber"/>
        <w:numPr>
          <w:ilvl w:val="0"/>
          <w:numId w:val="0"/>
        </w:numPr>
        <w:rPr>
          <w:lang w:val="en-US"/>
        </w:rPr>
      </w:pPr>
      <w:r w:rsidRPr="00AC7FF9">
        <w:rPr>
          <w:lang w:val="en-US"/>
        </w:rPr>
        <w:t xml:space="preserve">The concentrations were normalized </w:t>
      </w:r>
      <w:r w:rsidR="00E91960">
        <w:rPr>
          <w:lang w:val="en-US"/>
        </w:rPr>
        <w:t xml:space="preserve">(divided by the initial leaching concentration Co) </w:t>
      </w:r>
      <w:r w:rsidRPr="00AC7FF9">
        <w:rPr>
          <w:lang w:val="en-US"/>
        </w:rPr>
        <w:t xml:space="preserve">and C/Co was plotted against L/S to compare to the leaching model calculations as shown in Figure </w:t>
      </w:r>
      <w:r w:rsidR="005F2F17">
        <w:rPr>
          <w:lang w:val="en-US"/>
        </w:rPr>
        <w:t>2</w:t>
      </w:r>
      <w:r w:rsidRPr="00AC7FF9">
        <w:rPr>
          <w:lang w:val="en-US"/>
        </w:rPr>
        <w:t xml:space="preserve">. The K value of 0.05 presented in </w:t>
      </w:r>
      <w:proofErr w:type="spellStart"/>
      <w:r w:rsidRPr="00AC7FF9">
        <w:rPr>
          <w:lang w:val="en-US"/>
        </w:rPr>
        <w:t>Hennebert</w:t>
      </w:r>
      <w:proofErr w:type="spellEnd"/>
      <w:r w:rsidRPr="00AC7FF9">
        <w:rPr>
          <w:lang w:val="en-US"/>
        </w:rPr>
        <w:t xml:space="preserve"> (2021) provides a reasonable representation of the data for the four elements in the leach test as shown by the black curve. The K values of 0.02 and 0.08 are shown for comparison and</w:t>
      </w:r>
      <w:r w:rsidR="005F2F17">
        <w:rPr>
          <w:lang w:val="en-US"/>
        </w:rPr>
        <w:t xml:space="preserve"> </w:t>
      </w:r>
      <w:r w:rsidRPr="00AC7FF9">
        <w:rPr>
          <w:lang w:val="en-US"/>
        </w:rPr>
        <w:t xml:space="preserve">bracket the data. This suggests that the leaching model and K factor of 0.05 presented in </w:t>
      </w:r>
      <w:proofErr w:type="spellStart"/>
      <w:r w:rsidRPr="00AC7FF9">
        <w:rPr>
          <w:lang w:val="en-US"/>
        </w:rPr>
        <w:t>Hennebert</w:t>
      </w:r>
      <w:proofErr w:type="spellEnd"/>
      <w:r w:rsidRPr="00AC7FF9">
        <w:rPr>
          <w:lang w:val="en-US"/>
        </w:rPr>
        <w:t xml:space="preserve"> (2021) can be used to describe the leaching of an element like mercury from mine waste including tailings.</w:t>
      </w:r>
    </w:p>
    <w:p w14:paraId="25A30A19" w14:textId="05E3708E" w:rsidR="005F2F17" w:rsidRDefault="005F2F17" w:rsidP="005F2F17">
      <w:pPr>
        <w:pStyle w:val="Normalnumber"/>
        <w:numPr>
          <w:ilvl w:val="0"/>
          <w:numId w:val="0"/>
        </w:numPr>
        <w:rPr>
          <w:lang w:val="en-US"/>
        </w:rPr>
      </w:pPr>
    </w:p>
    <w:p w14:paraId="2104D707" w14:textId="246501E3" w:rsidR="005F2F17" w:rsidRDefault="005F2F17" w:rsidP="0043103B">
      <w:pPr>
        <w:pStyle w:val="Normalnumber"/>
        <w:numPr>
          <w:ilvl w:val="0"/>
          <w:numId w:val="0"/>
        </w:numPr>
        <w:jc w:val="center"/>
        <w:rPr>
          <w:lang w:val="en-US"/>
        </w:rPr>
      </w:pPr>
      <w:r w:rsidRPr="005F2F17">
        <w:rPr>
          <w:noProof/>
          <w:lang w:val="en-US"/>
        </w:rPr>
        <w:lastRenderedPageBreak/>
        <w:drawing>
          <wp:inline distT="0" distB="0" distL="0" distR="0" wp14:anchorId="51C0691D" wp14:editId="67304E16">
            <wp:extent cx="3919901" cy="24574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2367" cy="2477804"/>
                    </a:xfrm>
                    <a:prstGeom prst="rect">
                      <a:avLst/>
                    </a:prstGeom>
                    <a:noFill/>
                    <a:ln>
                      <a:noFill/>
                    </a:ln>
                  </pic:spPr>
                </pic:pic>
              </a:graphicData>
            </a:graphic>
          </wp:inline>
        </w:drawing>
      </w:r>
    </w:p>
    <w:p w14:paraId="4BAE0FC1" w14:textId="4C02272C" w:rsidR="0043103B" w:rsidRPr="0043103B" w:rsidRDefault="0043103B" w:rsidP="0043103B">
      <w:pPr>
        <w:pStyle w:val="Normalnumber"/>
        <w:numPr>
          <w:ilvl w:val="0"/>
          <w:numId w:val="0"/>
        </w:numPr>
        <w:jc w:val="center"/>
        <w:rPr>
          <w:b/>
          <w:bCs/>
          <w:lang w:val="en-US"/>
        </w:rPr>
      </w:pPr>
      <w:r w:rsidRPr="0043103B">
        <w:rPr>
          <w:b/>
          <w:bCs/>
          <w:lang w:val="en-US"/>
        </w:rPr>
        <w:t>Figure 2: Plot of normalized concentrations (C/Co) versus L/S for leaching of a waste rock sample.</w:t>
      </w:r>
    </w:p>
    <w:p w14:paraId="05343E36" w14:textId="7D4498FD" w:rsidR="00AC7FF9" w:rsidRDefault="005F2F17" w:rsidP="0043103B">
      <w:pPr>
        <w:pStyle w:val="Normalnumber"/>
        <w:numPr>
          <w:ilvl w:val="0"/>
          <w:numId w:val="0"/>
        </w:numPr>
        <w:rPr>
          <w:lang w:val="en-US"/>
        </w:rPr>
      </w:pPr>
      <w:r w:rsidRPr="005F2F17">
        <w:rPr>
          <w:lang w:val="en-US"/>
        </w:rPr>
        <w:t>The leaching function provides a source term for mercury from the tailings. The normalized</w:t>
      </w:r>
      <w:r>
        <w:rPr>
          <w:lang w:val="en-US"/>
        </w:rPr>
        <w:t xml:space="preserve"> </w:t>
      </w:r>
      <w:r w:rsidRPr="005F2F17">
        <w:rPr>
          <w:lang w:val="en-US"/>
        </w:rPr>
        <w:t xml:space="preserve">source concentrations as a function of time are shown in Figure </w:t>
      </w:r>
      <w:r>
        <w:rPr>
          <w:lang w:val="en-US"/>
        </w:rPr>
        <w:t>3</w:t>
      </w:r>
      <w:r w:rsidRPr="005F2F17">
        <w:rPr>
          <w:lang w:val="en-US"/>
        </w:rPr>
        <w:t xml:space="preserve">. As noted </w:t>
      </w:r>
      <w:r>
        <w:rPr>
          <w:lang w:val="en-US"/>
        </w:rPr>
        <w:t>above</w:t>
      </w:r>
      <w:r w:rsidRPr="005F2F17">
        <w:rPr>
          <w:lang w:val="en-US"/>
        </w:rPr>
        <w:t xml:space="preserve">, the cumulative L/S value of 1 </w:t>
      </w:r>
      <w:proofErr w:type="spellStart"/>
      <w:r w:rsidRPr="005F2F17">
        <w:rPr>
          <w:lang w:val="en-US"/>
        </w:rPr>
        <w:t>litre</w:t>
      </w:r>
      <w:proofErr w:type="spellEnd"/>
      <w:r w:rsidRPr="005F2F17">
        <w:rPr>
          <w:lang w:val="en-US"/>
        </w:rPr>
        <w:t xml:space="preserve"> of water per kg of tailings is equivalent to 100 years</w:t>
      </w:r>
      <w:r>
        <w:rPr>
          <w:lang w:val="en-US"/>
        </w:rPr>
        <w:t xml:space="preserve"> </w:t>
      </w:r>
      <w:r w:rsidRPr="005F2F17">
        <w:rPr>
          <w:lang w:val="en-US"/>
        </w:rPr>
        <w:t>of infiltration at a rate 0.3 m</w:t>
      </w:r>
      <w:r w:rsidRPr="0043103B">
        <w:rPr>
          <w:vertAlign w:val="superscript"/>
          <w:lang w:val="en-US"/>
        </w:rPr>
        <w:t>3</w:t>
      </w:r>
      <w:r w:rsidRPr="005F2F17">
        <w:rPr>
          <w:lang w:val="en-US"/>
        </w:rPr>
        <w:t>/m</w:t>
      </w:r>
      <w:r w:rsidRPr="0043103B">
        <w:rPr>
          <w:vertAlign w:val="superscript"/>
          <w:lang w:val="en-US"/>
        </w:rPr>
        <w:t>2</w:t>
      </w:r>
      <w:r w:rsidRPr="005F2F17">
        <w:rPr>
          <w:lang w:val="en-US"/>
        </w:rPr>
        <w:t>/a (300mm/a) and therefore the L/S value of 100 is equivalent</w:t>
      </w:r>
      <w:r>
        <w:rPr>
          <w:lang w:val="en-US"/>
        </w:rPr>
        <w:t xml:space="preserve"> </w:t>
      </w:r>
      <w:r w:rsidRPr="005F2F17">
        <w:rPr>
          <w:lang w:val="en-US"/>
        </w:rPr>
        <w:t>to 10,000 years of infiltration and leaching.</w:t>
      </w:r>
    </w:p>
    <w:p w14:paraId="256B7560" w14:textId="0306194C" w:rsidR="00AC7FF9" w:rsidRDefault="005F2F17" w:rsidP="0043103B">
      <w:pPr>
        <w:pStyle w:val="Normalnumber"/>
        <w:numPr>
          <w:ilvl w:val="0"/>
          <w:numId w:val="0"/>
        </w:numPr>
        <w:jc w:val="center"/>
        <w:rPr>
          <w:lang w:val="en-US"/>
        </w:rPr>
      </w:pPr>
      <w:r w:rsidRPr="005F2F17">
        <w:rPr>
          <w:noProof/>
          <w:lang w:val="en-US"/>
        </w:rPr>
        <w:drawing>
          <wp:inline distT="0" distB="0" distL="0" distR="0" wp14:anchorId="2079C563" wp14:editId="5B61FF90">
            <wp:extent cx="4248150" cy="241190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9861" cy="2435582"/>
                    </a:xfrm>
                    <a:prstGeom prst="rect">
                      <a:avLst/>
                    </a:prstGeom>
                    <a:noFill/>
                    <a:ln>
                      <a:noFill/>
                    </a:ln>
                  </pic:spPr>
                </pic:pic>
              </a:graphicData>
            </a:graphic>
          </wp:inline>
        </w:drawing>
      </w:r>
    </w:p>
    <w:p w14:paraId="305FD5DF" w14:textId="50A8FC65" w:rsidR="0043103B" w:rsidRPr="0043103B" w:rsidRDefault="0043103B" w:rsidP="0043103B">
      <w:pPr>
        <w:pStyle w:val="Normalnumber"/>
        <w:numPr>
          <w:ilvl w:val="0"/>
          <w:numId w:val="0"/>
        </w:numPr>
        <w:jc w:val="center"/>
        <w:rPr>
          <w:b/>
          <w:bCs/>
          <w:lang w:val="en-US"/>
        </w:rPr>
      </w:pPr>
      <w:r w:rsidRPr="0043103B">
        <w:rPr>
          <w:b/>
          <w:bCs/>
          <w:lang w:val="en-US"/>
        </w:rPr>
        <w:t>Figure 3: Normalized mercury concentrations leaving the tailings as a function of time</w:t>
      </w:r>
    </w:p>
    <w:p w14:paraId="5A4FBA8E" w14:textId="77777777" w:rsidR="0043103B" w:rsidRDefault="0043103B" w:rsidP="0043103B">
      <w:pPr>
        <w:pStyle w:val="Normalnumber"/>
        <w:numPr>
          <w:ilvl w:val="0"/>
          <w:numId w:val="0"/>
        </w:numPr>
        <w:rPr>
          <w:lang w:val="en-US"/>
        </w:rPr>
      </w:pPr>
    </w:p>
    <w:p w14:paraId="23FB19D5" w14:textId="6A1FA026" w:rsidR="0043103B" w:rsidRPr="0043103B" w:rsidRDefault="0043103B" w:rsidP="0043103B">
      <w:pPr>
        <w:pStyle w:val="Normalnumber"/>
        <w:numPr>
          <w:ilvl w:val="0"/>
          <w:numId w:val="0"/>
        </w:numPr>
        <w:rPr>
          <w:b/>
          <w:bCs/>
          <w:i/>
          <w:iCs/>
          <w:lang w:val="en-US"/>
        </w:rPr>
      </w:pPr>
      <w:r w:rsidRPr="0043103B">
        <w:rPr>
          <w:b/>
          <w:bCs/>
          <w:i/>
          <w:iCs/>
          <w:lang w:val="en-US"/>
        </w:rPr>
        <w:t>Groundwater Flow</w:t>
      </w:r>
    </w:p>
    <w:p w14:paraId="677C31A5" w14:textId="09D76BB0" w:rsidR="0043103B" w:rsidRDefault="0043103B" w:rsidP="0043103B">
      <w:pPr>
        <w:pStyle w:val="Normalnumber"/>
        <w:numPr>
          <w:ilvl w:val="0"/>
          <w:numId w:val="0"/>
        </w:numPr>
        <w:rPr>
          <w:lang w:val="en-US"/>
        </w:rPr>
      </w:pPr>
      <w:r>
        <w:rPr>
          <w:lang w:val="en-US"/>
        </w:rPr>
        <w:t>T</w:t>
      </w:r>
      <w:r w:rsidRPr="0043103B">
        <w:rPr>
          <w:lang w:val="en-US"/>
        </w:rPr>
        <w:t>he water leaving the base of the tailings is assumed, conservatively to enter the</w:t>
      </w:r>
      <w:r>
        <w:rPr>
          <w:lang w:val="en-US"/>
        </w:rPr>
        <w:t xml:space="preserve"> </w:t>
      </w:r>
      <w:r w:rsidRPr="0043103B">
        <w:rPr>
          <w:lang w:val="en-US"/>
        </w:rPr>
        <w:t>groundwater directly with no vadose zone pathway between tailings and the water table. The</w:t>
      </w:r>
      <w:r>
        <w:rPr>
          <w:lang w:val="en-US"/>
        </w:rPr>
        <w:t xml:space="preserve"> </w:t>
      </w:r>
      <w:r w:rsidRPr="0043103B">
        <w:rPr>
          <w:lang w:val="en-US"/>
        </w:rPr>
        <w:t xml:space="preserve">properties assigned to the groundwater flow and transport are summarized in Table </w:t>
      </w:r>
      <w:r>
        <w:rPr>
          <w:lang w:val="en-US"/>
        </w:rPr>
        <w:t>1</w:t>
      </w:r>
      <w:r w:rsidRPr="0043103B">
        <w:rPr>
          <w:lang w:val="en-US"/>
        </w:rPr>
        <w:t>.</w:t>
      </w:r>
      <w:r>
        <w:rPr>
          <w:lang w:val="en-US"/>
        </w:rPr>
        <w:t xml:space="preserve"> </w:t>
      </w:r>
      <w:r w:rsidRPr="0043103B">
        <w:rPr>
          <w:lang w:val="en-US"/>
        </w:rPr>
        <w:t>A travel distance to the point of compliance is assumed to be 200 m from the tailings. With the assigned value of 1 x 10</w:t>
      </w:r>
      <w:r w:rsidRPr="0043103B">
        <w:rPr>
          <w:vertAlign w:val="superscript"/>
          <w:lang w:val="en-US"/>
        </w:rPr>
        <w:t>-5</w:t>
      </w:r>
      <w:r w:rsidRPr="0043103B">
        <w:rPr>
          <w:lang w:val="en-US"/>
        </w:rPr>
        <w:t xml:space="preserve"> m/s for the hydraulic conductivity and a</w:t>
      </w:r>
      <w:r>
        <w:rPr>
          <w:lang w:val="en-US"/>
        </w:rPr>
        <w:t xml:space="preserve"> </w:t>
      </w:r>
      <w:r w:rsidRPr="0043103B">
        <w:rPr>
          <w:lang w:val="en-US"/>
        </w:rPr>
        <w:t>hydraulic gradient of 0.01 (1%), the volumetric flux is 3.15 m/a. With an effective porosity of 0.3,</w:t>
      </w:r>
      <w:r>
        <w:rPr>
          <w:lang w:val="en-US"/>
        </w:rPr>
        <w:t xml:space="preserve"> </w:t>
      </w:r>
      <w:r w:rsidRPr="0043103B">
        <w:rPr>
          <w:lang w:val="en-US"/>
        </w:rPr>
        <w:t>the average linear groundwater velocity is 10.5 m/a.</w:t>
      </w:r>
    </w:p>
    <w:p w14:paraId="284AFBB5" w14:textId="6BD078B0" w:rsidR="0043103B" w:rsidRPr="0043103B" w:rsidRDefault="0043103B" w:rsidP="0043103B">
      <w:pPr>
        <w:pStyle w:val="Normalnumber"/>
        <w:numPr>
          <w:ilvl w:val="0"/>
          <w:numId w:val="0"/>
        </w:numPr>
        <w:jc w:val="center"/>
        <w:rPr>
          <w:b/>
          <w:bCs/>
          <w:lang w:val="en-US"/>
        </w:rPr>
      </w:pPr>
      <w:r w:rsidRPr="0043103B">
        <w:rPr>
          <w:b/>
          <w:bCs/>
          <w:lang w:val="en-US"/>
        </w:rPr>
        <w:t>Table 1: Properties related to groundwater transport</w:t>
      </w:r>
    </w:p>
    <w:p w14:paraId="4032039D" w14:textId="6C24A294" w:rsidR="0043103B" w:rsidRDefault="005C0116" w:rsidP="0043103B">
      <w:pPr>
        <w:pStyle w:val="Normalnumber"/>
        <w:numPr>
          <w:ilvl w:val="0"/>
          <w:numId w:val="0"/>
        </w:numPr>
        <w:rPr>
          <w:lang w:val="en-US"/>
        </w:rPr>
      </w:pPr>
      <w:r w:rsidRPr="005C0116">
        <w:rPr>
          <w:noProof/>
          <w:lang w:val="en-US"/>
        </w:rPr>
        <w:drawing>
          <wp:inline distT="0" distB="0" distL="0" distR="0" wp14:anchorId="13458566" wp14:editId="1059D054">
            <wp:extent cx="6010878" cy="14001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3865" cy="1405530"/>
                    </a:xfrm>
                    <a:prstGeom prst="rect">
                      <a:avLst/>
                    </a:prstGeom>
                    <a:noFill/>
                    <a:ln>
                      <a:noFill/>
                    </a:ln>
                  </pic:spPr>
                </pic:pic>
              </a:graphicData>
            </a:graphic>
          </wp:inline>
        </w:drawing>
      </w:r>
    </w:p>
    <w:p w14:paraId="2BF21665" w14:textId="7A8FE05E" w:rsidR="0043103B" w:rsidRPr="0043103B" w:rsidRDefault="0043103B" w:rsidP="0043103B">
      <w:pPr>
        <w:pStyle w:val="Normalnumber"/>
        <w:numPr>
          <w:ilvl w:val="0"/>
          <w:numId w:val="0"/>
        </w:numPr>
        <w:rPr>
          <w:b/>
          <w:bCs/>
          <w:i/>
          <w:iCs/>
          <w:lang w:val="en-US"/>
        </w:rPr>
      </w:pPr>
      <w:r w:rsidRPr="0043103B">
        <w:rPr>
          <w:b/>
          <w:bCs/>
          <w:i/>
          <w:iCs/>
          <w:lang w:val="en-US"/>
        </w:rPr>
        <w:lastRenderedPageBreak/>
        <w:t>Partitioning Coefficient (</w:t>
      </w:r>
      <w:proofErr w:type="spellStart"/>
      <w:r w:rsidRPr="0043103B">
        <w:rPr>
          <w:b/>
          <w:bCs/>
          <w:i/>
          <w:iCs/>
          <w:lang w:val="en-US"/>
        </w:rPr>
        <w:t>Kd</w:t>
      </w:r>
      <w:proofErr w:type="spellEnd"/>
      <w:r w:rsidRPr="0043103B">
        <w:rPr>
          <w:b/>
          <w:bCs/>
          <w:i/>
          <w:iCs/>
          <w:lang w:val="en-US"/>
        </w:rPr>
        <w:t>)</w:t>
      </w:r>
    </w:p>
    <w:p w14:paraId="291B39F4" w14:textId="073713FC" w:rsidR="00426326" w:rsidRDefault="0043103B" w:rsidP="005C0116">
      <w:pPr>
        <w:pStyle w:val="Normalnumber"/>
        <w:numPr>
          <w:ilvl w:val="0"/>
          <w:numId w:val="0"/>
        </w:numPr>
        <w:rPr>
          <w:lang w:val="en-US"/>
        </w:rPr>
      </w:pPr>
      <w:r w:rsidRPr="0043103B">
        <w:rPr>
          <w:lang w:val="en-US"/>
        </w:rPr>
        <w:t>A review of the literature was completed to determine the potential values for solids-water</w:t>
      </w:r>
      <w:r>
        <w:rPr>
          <w:lang w:val="en-US"/>
        </w:rPr>
        <w:t xml:space="preserve"> </w:t>
      </w:r>
      <w:r w:rsidRPr="0043103B">
        <w:rPr>
          <w:lang w:val="en-US"/>
        </w:rPr>
        <w:t>partitioning coefficients for inorganic mercury that may apply to the natural geologic materials</w:t>
      </w:r>
      <w:r>
        <w:rPr>
          <w:lang w:val="en-US"/>
        </w:rPr>
        <w:t xml:space="preserve"> </w:t>
      </w:r>
      <w:r w:rsidRPr="0043103B">
        <w:rPr>
          <w:lang w:val="en-US"/>
        </w:rPr>
        <w:t>(soils) through which groundwater flow is expected to occur.</w:t>
      </w:r>
      <w:r w:rsidR="005C0116">
        <w:rPr>
          <w:lang w:val="en-US"/>
        </w:rPr>
        <w:t xml:space="preserve"> </w:t>
      </w:r>
      <w:r>
        <w:rPr>
          <w:lang w:val="en-US"/>
        </w:rPr>
        <w:t>A</w:t>
      </w:r>
      <w:r w:rsidRPr="0043103B">
        <w:rPr>
          <w:lang w:val="en-US"/>
        </w:rPr>
        <w:t xml:space="preserve"> wide range of </w:t>
      </w:r>
      <w:proofErr w:type="spellStart"/>
      <w:r w:rsidRPr="0043103B">
        <w:rPr>
          <w:lang w:val="en-US"/>
        </w:rPr>
        <w:t>Kd</w:t>
      </w:r>
      <w:proofErr w:type="spellEnd"/>
      <w:r w:rsidRPr="0043103B">
        <w:rPr>
          <w:lang w:val="en-US"/>
        </w:rPr>
        <w:t xml:space="preserve"> values for inorganic mercury partitioning coefficients</w:t>
      </w:r>
      <w:r>
        <w:rPr>
          <w:lang w:val="en-US"/>
        </w:rPr>
        <w:t xml:space="preserve"> </w:t>
      </w:r>
      <w:r w:rsidRPr="0043103B">
        <w:rPr>
          <w:lang w:val="en-US"/>
        </w:rPr>
        <w:t xml:space="preserve">was observed in the literature, across a broad range of soil types, textures and pH values. </w:t>
      </w:r>
      <w:r w:rsidR="005C0116">
        <w:rPr>
          <w:lang w:val="en-US"/>
        </w:rPr>
        <w:t xml:space="preserve">As explained below, model calculation was conducted using different </w:t>
      </w:r>
      <w:proofErr w:type="spellStart"/>
      <w:r w:rsidR="005C0116">
        <w:rPr>
          <w:lang w:val="en-US"/>
        </w:rPr>
        <w:t>Kd</w:t>
      </w:r>
      <w:proofErr w:type="spellEnd"/>
      <w:r w:rsidR="005C0116">
        <w:rPr>
          <w:lang w:val="en-US"/>
        </w:rPr>
        <w:t xml:space="preserve"> values</w:t>
      </w:r>
      <w:r w:rsidR="005279CB">
        <w:rPr>
          <w:lang w:val="en-US"/>
        </w:rPr>
        <w:t>.</w:t>
      </w:r>
    </w:p>
    <w:p w14:paraId="55185C3D" w14:textId="77777777" w:rsidR="0043103B" w:rsidRPr="0043103B" w:rsidRDefault="0043103B" w:rsidP="0043103B">
      <w:pPr>
        <w:pStyle w:val="Normalnumber"/>
        <w:numPr>
          <w:ilvl w:val="0"/>
          <w:numId w:val="0"/>
        </w:numPr>
        <w:rPr>
          <w:b/>
          <w:bCs/>
          <w:i/>
          <w:iCs/>
          <w:lang w:val="en-US"/>
        </w:rPr>
      </w:pPr>
      <w:r w:rsidRPr="0043103B">
        <w:rPr>
          <w:b/>
          <w:bCs/>
          <w:i/>
          <w:iCs/>
          <w:lang w:val="en-US"/>
        </w:rPr>
        <w:t>Groundwater Transport</w:t>
      </w:r>
    </w:p>
    <w:p w14:paraId="6BA05124" w14:textId="1CF60BD8" w:rsidR="005C0116" w:rsidRDefault="0043103B" w:rsidP="0043103B">
      <w:pPr>
        <w:pStyle w:val="Normalnumber"/>
        <w:numPr>
          <w:ilvl w:val="0"/>
          <w:numId w:val="0"/>
        </w:numPr>
        <w:rPr>
          <w:lang w:val="en-US"/>
        </w:rPr>
      </w:pPr>
      <w:r w:rsidRPr="0043103B">
        <w:rPr>
          <w:lang w:val="en-US"/>
        </w:rPr>
        <w:t>The transport of mercury through groundwater is represented by a one-dimensional (1-D)</w:t>
      </w:r>
      <w:r>
        <w:rPr>
          <w:lang w:val="en-US"/>
        </w:rPr>
        <w:t xml:space="preserve"> </w:t>
      </w:r>
      <w:r w:rsidR="00E91960">
        <w:rPr>
          <w:lang w:val="en-US"/>
        </w:rPr>
        <w:t>a</w:t>
      </w:r>
      <w:r w:rsidRPr="0043103B">
        <w:rPr>
          <w:lang w:val="en-US"/>
        </w:rPr>
        <w:t>dvective dispersive groundwater transport model with retardation. The model includes advection, dispersion, linear equilibrium-sorption</w:t>
      </w:r>
      <w:r>
        <w:rPr>
          <w:lang w:val="en-US"/>
        </w:rPr>
        <w:t xml:space="preserve"> </w:t>
      </w:r>
      <w:r w:rsidRPr="0043103B">
        <w:rPr>
          <w:lang w:val="en-US"/>
        </w:rPr>
        <w:t>(retardation) and first-order transformation reaction. No transformation reaction was used in</w:t>
      </w:r>
      <w:r>
        <w:rPr>
          <w:lang w:val="en-US"/>
        </w:rPr>
        <w:t xml:space="preserve"> </w:t>
      </w:r>
      <w:r w:rsidRPr="0043103B">
        <w:rPr>
          <w:lang w:val="en-US"/>
        </w:rPr>
        <w:t>this modelling assessment. The model includes specified concentration inflow boundary</w:t>
      </w:r>
      <w:r>
        <w:rPr>
          <w:lang w:val="en-US"/>
        </w:rPr>
        <w:t xml:space="preserve"> </w:t>
      </w:r>
      <w:r w:rsidRPr="0043103B">
        <w:rPr>
          <w:lang w:val="en-US"/>
        </w:rPr>
        <w:t>conditions with a general time-varying reservoir concentration and a semi-infinite domain. A</w:t>
      </w:r>
      <w:r>
        <w:rPr>
          <w:lang w:val="en-US"/>
        </w:rPr>
        <w:t xml:space="preserve"> </w:t>
      </w:r>
      <w:r w:rsidRPr="0043103B">
        <w:rPr>
          <w:lang w:val="en-US"/>
        </w:rPr>
        <w:t>schematic representation of the 1-D advective-dispersive groundwater model is shown in Figure</w:t>
      </w:r>
      <w:r>
        <w:rPr>
          <w:lang w:val="en-US"/>
        </w:rPr>
        <w:t xml:space="preserve"> 4</w:t>
      </w:r>
      <w:r w:rsidRPr="0043103B">
        <w:rPr>
          <w:lang w:val="en-US"/>
        </w:rPr>
        <w:t>.</w:t>
      </w:r>
      <w:r w:rsidR="005279CB">
        <w:rPr>
          <w:lang w:val="en-US"/>
        </w:rPr>
        <w:t xml:space="preserve"> </w:t>
      </w:r>
    </w:p>
    <w:p w14:paraId="76FB0B47" w14:textId="27FFD4F2" w:rsidR="005C0116" w:rsidRDefault="005C0116" w:rsidP="005C0116">
      <w:pPr>
        <w:pStyle w:val="Normalnumber"/>
        <w:numPr>
          <w:ilvl w:val="0"/>
          <w:numId w:val="0"/>
        </w:numPr>
        <w:jc w:val="center"/>
        <w:rPr>
          <w:lang w:val="en-US"/>
        </w:rPr>
      </w:pPr>
      <w:r w:rsidRPr="005C0116">
        <w:rPr>
          <w:noProof/>
          <w:lang w:val="en-US"/>
        </w:rPr>
        <w:drawing>
          <wp:inline distT="0" distB="0" distL="0" distR="0" wp14:anchorId="11DCE43F" wp14:editId="4036486D">
            <wp:extent cx="4344013" cy="1762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7000" cy="1767393"/>
                    </a:xfrm>
                    <a:prstGeom prst="rect">
                      <a:avLst/>
                    </a:prstGeom>
                    <a:noFill/>
                    <a:ln>
                      <a:noFill/>
                    </a:ln>
                  </pic:spPr>
                </pic:pic>
              </a:graphicData>
            </a:graphic>
          </wp:inline>
        </w:drawing>
      </w:r>
    </w:p>
    <w:p w14:paraId="12FEE29C" w14:textId="0055CF36" w:rsidR="0043103B" w:rsidRPr="005C0116" w:rsidRDefault="005279CB" w:rsidP="005C0116">
      <w:pPr>
        <w:pStyle w:val="Normalnumber"/>
        <w:numPr>
          <w:ilvl w:val="0"/>
          <w:numId w:val="0"/>
        </w:numPr>
        <w:jc w:val="center"/>
        <w:rPr>
          <w:b/>
          <w:bCs/>
          <w:lang w:val="en-US"/>
        </w:rPr>
      </w:pPr>
      <w:r w:rsidRPr="005C0116">
        <w:rPr>
          <w:b/>
          <w:bCs/>
          <w:lang w:val="en-US"/>
        </w:rPr>
        <w:t>Figure 4: Schematic representation of the 1-D groundwater model</w:t>
      </w:r>
    </w:p>
    <w:p w14:paraId="569FAC81" w14:textId="77777777" w:rsidR="0043103B" w:rsidRDefault="0043103B" w:rsidP="0043103B">
      <w:pPr>
        <w:pStyle w:val="Normalnumber"/>
        <w:numPr>
          <w:ilvl w:val="0"/>
          <w:numId w:val="0"/>
        </w:numPr>
        <w:rPr>
          <w:lang w:val="en-US"/>
        </w:rPr>
      </w:pPr>
    </w:p>
    <w:p w14:paraId="0ADE9791" w14:textId="538A26C7" w:rsidR="005C0116" w:rsidRPr="005C0116" w:rsidRDefault="005C0116" w:rsidP="0043103B">
      <w:pPr>
        <w:pStyle w:val="Normalnumber"/>
        <w:numPr>
          <w:ilvl w:val="0"/>
          <w:numId w:val="0"/>
        </w:numPr>
        <w:rPr>
          <w:b/>
          <w:bCs/>
          <w:sz w:val="24"/>
          <w:szCs w:val="24"/>
          <w:lang w:val="en-US"/>
        </w:rPr>
      </w:pPr>
      <w:r w:rsidRPr="005C0116">
        <w:rPr>
          <w:b/>
          <w:bCs/>
          <w:sz w:val="24"/>
          <w:szCs w:val="24"/>
          <w:lang w:val="en-US"/>
        </w:rPr>
        <w:t>Model calculation</w:t>
      </w:r>
    </w:p>
    <w:p w14:paraId="2066495A" w14:textId="4A52DB82" w:rsidR="005C0116" w:rsidRPr="005C0116" w:rsidRDefault="005C0116" w:rsidP="00EC33B2">
      <w:pPr>
        <w:pStyle w:val="Normalnumber"/>
        <w:numPr>
          <w:ilvl w:val="0"/>
          <w:numId w:val="0"/>
        </w:numPr>
        <w:rPr>
          <w:lang w:val="en-US"/>
        </w:rPr>
      </w:pPr>
      <w:r w:rsidRPr="005C0116">
        <w:rPr>
          <w:lang w:val="en-US"/>
        </w:rPr>
        <w:t xml:space="preserve">The 1D model was applied to </w:t>
      </w:r>
      <w:proofErr w:type="spellStart"/>
      <w:r w:rsidRPr="005C0116">
        <w:rPr>
          <w:lang w:val="en-US"/>
        </w:rPr>
        <w:t>Kd</w:t>
      </w:r>
      <w:proofErr w:type="spellEnd"/>
      <w:r w:rsidRPr="005C0116">
        <w:rPr>
          <w:lang w:val="en-US"/>
        </w:rPr>
        <w:t xml:space="preserve"> values with a range of probabilities in order to select a reasonably conservative DAF value. The results are summarized in Table 2. The </w:t>
      </w:r>
      <w:r w:rsidR="00202496">
        <w:rPr>
          <w:lang w:val="en-US"/>
        </w:rPr>
        <w:t>percentile</w:t>
      </w:r>
      <w:r w:rsidR="0064671A">
        <w:rPr>
          <w:lang w:val="en-US"/>
        </w:rPr>
        <w:t xml:space="preserve"> described in the table</w:t>
      </w:r>
      <w:r w:rsidR="00202496" w:rsidRPr="005C0116">
        <w:rPr>
          <w:lang w:val="en-US"/>
        </w:rPr>
        <w:t xml:space="preserve"> </w:t>
      </w:r>
      <w:r w:rsidRPr="005C0116">
        <w:rPr>
          <w:lang w:val="en-US"/>
        </w:rPr>
        <w:t xml:space="preserve">represents the probability that a </w:t>
      </w:r>
      <w:proofErr w:type="spellStart"/>
      <w:r w:rsidRPr="005C0116">
        <w:rPr>
          <w:lang w:val="en-US"/>
        </w:rPr>
        <w:t>Kd</w:t>
      </w:r>
      <w:proofErr w:type="spellEnd"/>
      <w:r w:rsidRPr="005C0116">
        <w:rPr>
          <w:lang w:val="en-US"/>
        </w:rPr>
        <w:t xml:space="preserve"> value will be greater than the value listed. For example, </w:t>
      </w:r>
      <w:r w:rsidR="00202496">
        <w:rPr>
          <w:lang w:val="en-US"/>
        </w:rPr>
        <w:t xml:space="preserve"> </w:t>
      </w:r>
      <w:r w:rsidR="0064671A">
        <w:rPr>
          <w:lang w:val="en-US"/>
        </w:rPr>
        <w:t xml:space="preserve">a </w:t>
      </w:r>
      <w:r w:rsidR="00202496">
        <w:rPr>
          <w:lang w:val="en-US"/>
        </w:rPr>
        <w:t>percentile</w:t>
      </w:r>
      <w:r w:rsidRPr="005C0116">
        <w:rPr>
          <w:lang w:val="en-US"/>
        </w:rPr>
        <w:t xml:space="preserve"> </w:t>
      </w:r>
      <w:r w:rsidR="0064671A">
        <w:rPr>
          <w:lang w:val="en-US"/>
        </w:rPr>
        <w:t xml:space="preserve">of 5% </w:t>
      </w:r>
      <w:r w:rsidRPr="005C0116">
        <w:rPr>
          <w:lang w:val="en-US"/>
        </w:rPr>
        <w:t xml:space="preserve">indicates that there is a probability of 5% that </w:t>
      </w:r>
      <w:proofErr w:type="spellStart"/>
      <w:r w:rsidRPr="005C0116">
        <w:rPr>
          <w:lang w:val="en-US"/>
        </w:rPr>
        <w:t>Kd</w:t>
      </w:r>
      <w:proofErr w:type="spellEnd"/>
      <w:r w:rsidRPr="005C0116">
        <w:rPr>
          <w:lang w:val="en-US"/>
        </w:rPr>
        <w:t xml:space="preserve"> values for soil or geologic materials will be less than the listed value of 133 L/kg or, conversely, that there is a probability of 95% that values will be equal to or greater than 133 L/kg. Table </w:t>
      </w:r>
      <w:r w:rsidR="00E91960">
        <w:rPr>
          <w:lang w:val="en-US"/>
        </w:rPr>
        <w:t>2</w:t>
      </w:r>
      <w:r w:rsidRPr="005C0116">
        <w:rPr>
          <w:lang w:val="en-US"/>
        </w:rPr>
        <w:t xml:space="preserve"> lists the resulting DAF values and the </w:t>
      </w:r>
      <w:r w:rsidR="00EC33B2">
        <w:rPr>
          <w:lang w:val="en-US"/>
        </w:rPr>
        <w:t>c</w:t>
      </w:r>
      <w:r w:rsidRPr="005C0116">
        <w:rPr>
          <w:lang w:val="en-US"/>
        </w:rPr>
        <w:t xml:space="preserve">orresponding leach concentrations of mercury based on the WHO drinking water standard of 0.006 mg/L. </w:t>
      </w:r>
    </w:p>
    <w:p w14:paraId="0F18B4CD" w14:textId="77777777" w:rsidR="005C0116" w:rsidRPr="005C0116" w:rsidRDefault="005C0116" w:rsidP="00EC33B2">
      <w:pPr>
        <w:pStyle w:val="Normalnumber"/>
        <w:numPr>
          <w:ilvl w:val="0"/>
          <w:numId w:val="0"/>
        </w:numPr>
        <w:rPr>
          <w:lang w:val="en-US"/>
        </w:rPr>
      </w:pPr>
    </w:p>
    <w:p w14:paraId="41DCCB4E" w14:textId="466CC0CA" w:rsidR="005C0116" w:rsidRPr="00EC33B2" w:rsidRDefault="005C0116" w:rsidP="00EC33B2">
      <w:pPr>
        <w:pStyle w:val="Normalnumber"/>
        <w:numPr>
          <w:ilvl w:val="0"/>
          <w:numId w:val="0"/>
        </w:numPr>
        <w:rPr>
          <w:b/>
          <w:bCs/>
          <w:lang w:val="en-US"/>
        </w:rPr>
      </w:pPr>
      <w:r w:rsidRPr="00EC33B2">
        <w:rPr>
          <w:b/>
          <w:bCs/>
          <w:lang w:val="en-US"/>
        </w:rPr>
        <w:t xml:space="preserve">Table </w:t>
      </w:r>
      <w:r w:rsidR="00EC33B2" w:rsidRPr="00EC33B2">
        <w:rPr>
          <w:b/>
          <w:bCs/>
          <w:lang w:val="en-US"/>
        </w:rPr>
        <w:t>2</w:t>
      </w:r>
      <w:r w:rsidRPr="00EC33B2">
        <w:rPr>
          <w:b/>
          <w:bCs/>
          <w:lang w:val="en-US"/>
        </w:rPr>
        <w:t xml:space="preserve">: Comparison of DAF and leach concentration values for 1D model and prorated 2D model results for selected </w:t>
      </w:r>
      <w:proofErr w:type="spellStart"/>
      <w:r w:rsidRPr="00EC33B2">
        <w:rPr>
          <w:b/>
          <w:bCs/>
          <w:lang w:val="en-US"/>
        </w:rPr>
        <w:t>Kd</w:t>
      </w:r>
      <w:proofErr w:type="spellEnd"/>
      <w:r w:rsidRPr="00EC33B2">
        <w:rPr>
          <w:b/>
          <w:bCs/>
          <w:lang w:val="en-US"/>
        </w:rPr>
        <w:t xml:space="preserve"> values.</w:t>
      </w:r>
    </w:p>
    <w:tbl>
      <w:tblPr>
        <w:tblStyle w:val="TableGrid"/>
        <w:tblW w:w="0" w:type="auto"/>
        <w:tblLook w:val="04A0" w:firstRow="1" w:lastRow="0" w:firstColumn="1" w:lastColumn="0" w:noHBand="0" w:noVBand="1"/>
      </w:tblPr>
      <w:tblGrid>
        <w:gridCol w:w="1581"/>
        <w:gridCol w:w="1581"/>
        <w:gridCol w:w="1581"/>
        <w:gridCol w:w="1581"/>
        <w:gridCol w:w="1581"/>
        <w:gridCol w:w="1581"/>
      </w:tblGrid>
      <w:tr w:rsidR="004A5394" w14:paraId="76D15CB2" w14:textId="77777777" w:rsidTr="00EC33B2">
        <w:tc>
          <w:tcPr>
            <w:tcW w:w="1581" w:type="dxa"/>
          </w:tcPr>
          <w:p w14:paraId="7A2CC579" w14:textId="0B691862" w:rsidR="00EC33B2" w:rsidRDefault="004A5394" w:rsidP="00EC33B2">
            <w:pPr>
              <w:pStyle w:val="Normalnumber"/>
              <w:numPr>
                <w:ilvl w:val="0"/>
                <w:numId w:val="0"/>
              </w:numPr>
              <w:jc w:val="center"/>
              <w:rPr>
                <w:lang w:val="en-US"/>
              </w:rPr>
            </w:pPr>
            <w:r>
              <w:rPr>
                <w:lang w:val="en-US"/>
              </w:rPr>
              <w:t xml:space="preserve">Percentile of </w:t>
            </w:r>
            <w:proofErr w:type="spellStart"/>
            <w:r>
              <w:rPr>
                <w:lang w:val="en-US"/>
              </w:rPr>
              <w:t>Kd</w:t>
            </w:r>
            <w:proofErr w:type="spellEnd"/>
            <w:r>
              <w:rPr>
                <w:lang w:val="en-US"/>
              </w:rPr>
              <w:t xml:space="preserve"> data in the literature</w:t>
            </w:r>
          </w:p>
        </w:tc>
        <w:tc>
          <w:tcPr>
            <w:tcW w:w="1581" w:type="dxa"/>
          </w:tcPr>
          <w:p w14:paraId="22A0B077" w14:textId="40AE79F8" w:rsidR="00EC33B2" w:rsidRDefault="004A5394" w:rsidP="00EC33B2">
            <w:pPr>
              <w:pStyle w:val="Normalnumber"/>
              <w:numPr>
                <w:ilvl w:val="0"/>
                <w:numId w:val="0"/>
              </w:numPr>
              <w:jc w:val="center"/>
              <w:rPr>
                <w:lang w:val="en-US"/>
              </w:rPr>
            </w:pPr>
            <w:r>
              <w:rPr>
                <w:lang w:val="en-US"/>
              </w:rPr>
              <w:t xml:space="preserve">Corresponding </w:t>
            </w:r>
            <w:proofErr w:type="spellStart"/>
            <w:r w:rsidR="00EC33B2">
              <w:rPr>
                <w:lang w:val="en-US"/>
              </w:rPr>
              <w:t>Kd</w:t>
            </w:r>
            <w:proofErr w:type="spellEnd"/>
            <w:r w:rsidR="00EC33B2">
              <w:rPr>
                <w:lang w:val="en-US"/>
              </w:rPr>
              <w:t xml:space="preserve"> value</w:t>
            </w:r>
          </w:p>
        </w:tc>
        <w:tc>
          <w:tcPr>
            <w:tcW w:w="1581" w:type="dxa"/>
          </w:tcPr>
          <w:p w14:paraId="099E824D" w14:textId="60B54FD1" w:rsidR="00EC33B2" w:rsidRDefault="00EC33B2" w:rsidP="00EC33B2">
            <w:pPr>
              <w:pStyle w:val="Normalnumber"/>
              <w:numPr>
                <w:ilvl w:val="0"/>
                <w:numId w:val="0"/>
              </w:numPr>
              <w:jc w:val="center"/>
              <w:rPr>
                <w:lang w:val="en-US"/>
              </w:rPr>
            </w:pPr>
            <w:r>
              <w:rPr>
                <w:lang w:val="en-US"/>
              </w:rPr>
              <w:t>DAF – 1D Model</w:t>
            </w:r>
            <w:r w:rsidR="00E91960">
              <w:rPr>
                <w:lang w:val="en-US"/>
              </w:rPr>
              <w:t xml:space="preserve"> </w:t>
            </w:r>
          </w:p>
        </w:tc>
        <w:tc>
          <w:tcPr>
            <w:tcW w:w="1581" w:type="dxa"/>
          </w:tcPr>
          <w:p w14:paraId="20F978E0" w14:textId="6E52677C" w:rsidR="00EC33B2" w:rsidRDefault="00EC33B2" w:rsidP="00EC33B2">
            <w:pPr>
              <w:pStyle w:val="Normalnumber"/>
              <w:numPr>
                <w:ilvl w:val="0"/>
                <w:numId w:val="0"/>
              </w:numPr>
              <w:jc w:val="center"/>
              <w:rPr>
                <w:lang w:val="en-US"/>
              </w:rPr>
            </w:pPr>
            <w:r>
              <w:rPr>
                <w:lang w:val="en-US"/>
              </w:rPr>
              <w:t>Prorated DAF – 2D Model</w:t>
            </w:r>
            <w:r w:rsidR="00E91960">
              <w:rPr>
                <w:lang w:val="en-US"/>
              </w:rPr>
              <w:t xml:space="preserve"> </w:t>
            </w:r>
          </w:p>
        </w:tc>
        <w:tc>
          <w:tcPr>
            <w:tcW w:w="1581" w:type="dxa"/>
          </w:tcPr>
          <w:p w14:paraId="1D9EE5FF" w14:textId="3DEE1DFF" w:rsidR="00EC33B2" w:rsidRDefault="00EC33B2" w:rsidP="00EC33B2">
            <w:pPr>
              <w:pStyle w:val="Normalnumber"/>
              <w:numPr>
                <w:ilvl w:val="0"/>
                <w:numId w:val="0"/>
              </w:numPr>
              <w:jc w:val="center"/>
              <w:rPr>
                <w:lang w:val="en-US"/>
              </w:rPr>
            </w:pPr>
            <w:r>
              <w:rPr>
                <w:lang w:val="en-US"/>
              </w:rPr>
              <w:t>1D Model leach concentration</w:t>
            </w:r>
          </w:p>
        </w:tc>
        <w:tc>
          <w:tcPr>
            <w:tcW w:w="1581" w:type="dxa"/>
          </w:tcPr>
          <w:p w14:paraId="73EA1916" w14:textId="51244A01" w:rsidR="00EC33B2" w:rsidRDefault="00EC33B2" w:rsidP="00EC33B2">
            <w:pPr>
              <w:pStyle w:val="Normalnumber"/>
              <w:numPr>
                <w:ilvl w:val="0"/>
                <w:numId w:val="0"/>
              </w:numPr>
              <w:jc w:val="center"/>
              <w:rPr>
                <w:lang w:val="en-US"/>
              </w:rPr>
            </w:pPr>
            <w:r>
              <w:rPr>
                <w:lang w:val="en-US"/>
              </w:rPr>
              <w:t>Prorated 2D Model leach concentration</w:t>
            </w:r>
          </w:p>
        </w:tc>
      </w:tr>
      <w:tr w:rsidR="004A5394" w14:paraId="7CEA1041" w14:textId="77777777" w:rsidTr="00EC33B2">
        <w:tc>
          <w:tcPr>
            <w:tcW w:w="1581" w:type="dxa"/>
          </w:tcPr>
          <w:p w14:paraId="58DE14AB" w14:textId="59D91AED" w:rsidR="00EC33B2" w:rsidRDefault="004A5394" w:rsidP="00EC33B2">
            <w:pPr>
              <w:pStyle w:val="Normalnumber"/>
              <w:numPr>
                <w:ilvl w:val="0"/>
                <w:numId w:val="0"/>
              </w:numPr>
              <w:jc w:val="center"/>
              <w:rPr>
                <w:lang w:val="en-US"/>
              </w:rPr>
            </w:pPr>
            <w:r>
              <w:rPr>
                <w:lang w:val="en-US"/>
              </w:rPr>
              <w:t>%</w:t>
            </w:r>
          </w:p>
        </w:tc>
        <w:tc>
          <w:tcPr>
            <w:tcW w:w="1581" w:type="dxa"/>
          </w:tcPr>
          <w:p w14:paraId="5ACBD5A3" w14:textId="76394185" w:rsidR="00EC33B2" w:rsidRDefault="00EC33B2" w:rsidP="00EC33B2">
            <w:pPr>
              <w:pStyle w:val="Normalnumber"/>
              <w:numPr>
                <w:ilvl w:val="0"/>
                <w:numId w:val="0"/>
              </w:numPr>
              <w:jc w:val="center"/>
              <w:rPr>
                <w:lang w:val="en-US"/>
              </w:rPr>
            </w:pPr>
            <w:r>
              <w:rPr>
                <w:lang w:val="en-US"/>
              </w:rPr>
              <w:t>(-)</w:t>
            </w:r>
          </w:p>
        </w:tc>
        <w:tc>
          <w:tcPr>
            <w:tcW w:w="1581" w:type="dxa"/>
          </w:tcPr>
          <w:p w14:paraId="58CFAF2C" w14:textId="27E03CB7" w:rsidR="00EC33B2" w:rsidRDefault="00E91960" w:rsidP="00EC33B2">
            <w:pPr>
              <w:pStyle w:val="Normalnumber"/>
              <w:numPr>
                <w:ilvl w:val="0"/>
                <w:numId w:val="0"/>
              </w:numPr>
              <w:jc w:val="center"/>
              <w:rPr>
                <w:lang w:val="en-US"/>
              </w:rPr>
            </w:pPr>
            <w:r>
              <w:rPr>
                <w:lang w:val="en-US"/>
              </w:rPr>
              <w:t>(L groundwater/</w:t>
            </w:r>
            <w:r w:rsidR="002A23AF">
              <w:rPr>
                <w:lang w:val="en-US"/>
              </w:rPr>
              <w:t xml:space="preserve"> </w:t>
            </w:r>
            <w:r>
              <w:rPr>
                <w:lang w:val="en-US"/>
              </w:rPr>
              <w:t>L leachate)</w:t>
            </w:r>
          </w:p>
        </w:tc>
        <w:tc>
          <w:tcPr>
            <w:tcW w:w="1581" w:type="dxa"/>
          </w:tcPr>
          <w:p w14:paraId="32800679" w14:textId="60860535" w:rsidR="00EC33B2" w:rsidRDefault="00E91960" w:rsidP="00EC33B2">
            <w:pPr>
              <w:pStyle w:val="Normalnumber"/>
              <w:numPr>
                <w:ilvl w:val="0"/>
                <w:numId w:val="0"/>
              </w:numPr>
              <w:jc w:val="center"/>
              <w:rPr>
                <w:lang w:val="en-US"/>
              </w:rPr>
            </w:pPr>
            <w:r>
              <w:rPr>
                <w:lang w:val="en-US"/>
              </w:rPr>
              <w:t>(L groundwater/</w:t>
            </w:r>
            <w:r w:rsidR="002A23AF">
              <w:rPr>
                <w:lang w:val="en-US"/>
              </w:rPr>
              <w:t xml:space="preserve"> </w:t>
            </w:r>
            <w:r>
              <w:rPr>
                <w:lang w:val="en-US"/>
              </w:rPr>
              <w:t>L leachate)</w:t>
            </w:r>
          </w:p>
        </w:tc>
        <w:tc>
          <w:tcPr>
            <w:tcW w:w="1581" w:type="dxa"/>
          </w:tcPr>
          <w:p w14:paraId="7485217A" w14:textId="2D2212AE" w:rsidR="00EC33B2" w:rsidRDefault="00EC33B2" w:rsidP="00EC33B2">
            <w:pPr>
              <w:pStyle w:val="Normalnumber"/>
              <w:numPr>
                <w:ilvl w:val="0"/>
                <w:numId w:val="0"/>
              </w:numPr>
              <w:jc w:val="center"/>
              <w:rPr>
                <w:lang w:val="en-US"/>
              </w:rPr>
            </w:pPr>
            <w:r>
              <w:rPr>
                <w:lang w:val="en-US"/>
              </w:rPr>
              <w:t>mg/L</w:t>
            </w:r>
            <w:r w:rsidR="00E91960">
              <w:rPr>
                <w:lang w:val="en-US"/>
              </w:rPr>
              <w:t xml:space="preserve"> leachate</w:t>
            </w:r>
          </w:p>
        </w:tc>
        <w:tc>
          <w:tcPr>
            <w:tcW w:w="1581" w:type="dxa"/>
          </w:tcPr>
          <w:p w14:paraId="32623723" w14:textId="656CABDF" w:rsidR="00EC33B2" w:rsidRDefault="00EC33B2" w:rsidP="00EC33B2">
            <w:pPr>
              <w:pStyle w:val="Normalnumber"/>
              <w:numPr>
                <w:ilvl w:val="0"/>
                <w:numId w:val="0"/>
              </w:numPr>
              <w:jc w:val="center"/>
              <w:rPr>
                <w:lang w:val="en-US"/>
              </w:rPr>
            </w:pPr>
            <w:r>
              <w:rPr>
                <w:lang w:val="en-US"/>
              </w:rPr>
              <w:t>mg/L</w:t>
            </w:r>
            <w:r w:rsidR="00E91960">
              <w:rPr>
                <w:lang w:val="en-US"/>
              </w:rPr>
              <w:t xml:space="preserve"> leachate</w:t>
            </w:r>
          </w:p>
        </w:tc>
      </w:tr>
      <w:tr w:rsidR="004A5394" w14:paraId="04476741" w14:textId="77777777" w:rsidTr="00EC33B2">
        <w:tc>
          <w:tcPr>
            <w:tcW w:w="1581" w:type="dxa"/>
          </w:tcPr>
          <w:p w14:paraId="3A7E85F3" w14:textId="6F75C2A8" w:rsidR="00EC33B2" w:rsidRDefault="004A5394" w:rsidP="00EC33B2">
            <w:pPr>
              <w:pStyle w:val="Normalnumber"/>
              <w:numPr>
                <w:ilvl w:val="0"/>
                <w:numId w:val="0"/>
              </w:numPr>
              <w:jc w:val="center"/>
              <w:rPr>
                <w:lang w:val="en-US"/>
              </w:rPr>
            </w:pPr>
            <w:r>
              <w:rPr>
                <w:lang w:val="en-US"/>
              </w:rPr>
              <w:t>5%</w:t>
            </w:r>
          </w:p>
        </w:tc>
        <w:tc>
          <w:tcPr>
            <w:tcW w:w="1581" w:type="dxa"/>
          </w:tcPr>
          <w:p w14:paraId="22E58A54" w14:textId="7BFCC2C8" w:rsidR="00EC33B2" w:rsidRDefault="00EC33B2" w:rsidP="00EC33B2">
            <w:pPr>
              <w:pStyle w:val="Normalnumber"/>
              <w:numPr>
                <w:ilvl w:val="0"/>
                <w:numId w:val="0"/>
              </w:numPr>
              <w:jc w:val="center"/>
              <w:rPr>
                <w:lang w:val="en-US"/>
              </w:rPr>
            </w:pPr>
            <w:r>
              <w:rPr>
                <w:lang w:val="en-US"/>
              </w:rPr>
              <w:t>133</w:t>
            </w:r>
          </w:p>
        </w:tc>
        <w:tc>
          <w:tcPr>
            <w:tcW w:w="1581" w:type="dxa"/>
          </w:tcPr>
          <w:p w14:paraId="5AF88431" w14:textId="7EA09373" w:rsidR="00EC33B2" w:rsidRDefault="00EC33B2" w:rsidP="00EC33B2">
            <w:pPr>
              <w:pStyle w:val="Normalnumber"/>
              <w:numPr>
                <w:ilvl w:val="0"/>
                <w:numId w:val="0"/>
              </w:numPr>
              <w:jc w:val="center"/>
              <w:rPr>
                <w:lang w:val="en-US"/>
              </w:rPr>
            </w:pPr>
            <w:r>
              <w:rPr>
                <w:lang w:val="en-US"/>
              </w:rPr>
              <w:t>6.7</w:t>
            </w:r>
          </w:p>
        </w:tc>
        <w:tc>
          <w:tcPr>
            <w:tcW w:w="1581" w:type="dxa"/>
          </w:tcPr>
          <w:p w14:paraId="0AF4372D" w14:textId="1F75E2C7" w:rsidR="00EC33B2" w:rsidRDefault="00EC33B2" w:rsidP="00EC33B2">
            <w:pPr>
              <w:pStyle w:val="Normalnumber"/>
              <w:numPr>
                <w:ilvl w:val="0"/>
                <w:numId w:val="0"/>
              </w:numPr>
              <w:jc w:val="center"/>
              <w:rPr>
                <w:lang w:val="en-US"/>
              </w:rPr>
            </w:pPr>
            <w:r>
              <w:rPr>
                <w:lang w:val="en-US"/>
              </w:rPr>
              <w:t>24.4</w:t>
            </w:r>
          </w:p>
        </w:tc>
        <w:tc>
          <w:tcPr>
            <w:tcW w:w="1581" w:type="dxa"/>
          </w:tcPr>
          <w:p w14:paraId="55F577FD" w14:textId="63808E53" w:rsidR="00EC33B2" w:rsidRDefault="00EC33B2" w:rsidP="00EC33B2">
            <w:pPr>
              <w:pStyle w:val="Normalnumber"/>
              <w:numPr>
                <w:ilvl w:val="0"/>
                <w:numId w:val="0"/>
              </w:numPr>
              <w:jc w:val="center"/>
              <w:rPr>
                <w:lang w:val="en-US"/>
              </w:rPr>
            </w:pPr>
            <w:r>
              <w:rPr>
                <w:lang w:val="en-US"/>
              </w:rPr>
              <w:t>0.04</w:t>
            </w:r>
          </w:p>
        </w:tc>
        <w:tc>
          <w:tcPr>
            <w:tcW w:w="1581" w:type="dxa"/>
          </w:tcPr>
          <w:p w14:paraId="4508F90E" w14:textId="5AC95842" w:rsidR="00EC33B2" w:rsidRDefault="00EC33B2" w:rsidP="00EC33B2">
            <w:pPr>
              <w:pStyle w:val="Normalnumber"/>
              <w:numPr>
                <w:ilvl w:val="0"/>
                <w:numId w:val="0"/>
              </w:numPr>
              <w:jc w:val="center"/>
              <w:rPr>
                <w:lang w:val="en-US"/>
              </w:rPr>
            </w:pPr>
            <w:r>
              <w:rPr>
                <w:lang w:val="en-US"/>
              </w:rPr>
              <w:t>0.15</w:t>
            </w:r>
          </w:p>
        </w:tc>
      </w:tr>
      <w:tr w:rsidR="004A5394" w14:paraId="04D0C28B" w14:textId="77777777" w:rsidTr="00EC33B2">
        <w:tc>
          <w:tcPr>
            <w:tcW w:w="1581" w:type="dxa"/>
          </w:tcPr>
          <w:p w14:paraId="4250E1EF" w14:textId="13B9A729" w:rsidR="00EC33B2" w:rsidRDefault="004A5394" w:rsidP="00EC33B2">
            <w:pPr>
              <w:pStyle w:val="Normalnumber"/>
              <w:numPr>
                <w:ilvl w:val="0"/>
                <w:numId w:val="0"/>
              </w:numPr>
              <w:jc w:val="center"/>
              <w:rPr>
                <w:lang w:val="en-US"/>
              </w:rPr>
            </w:pPr>
            <w:r>
              <w:rPr>
                <w:lang w:val="en-US"/>
              </w:rPr>
              <w:t>10%</w:t>
            </w:r>
          </w:p>
        </w:tc>
        <w:tc>
          <w:tcPr>
            <w:tcW w:w="1581" w:type="dxa"/>
          </w:tcPr>
          <w:p w14:paraId="33F865F1" w14:textId="3ACBD531" w:rsidR="00EC33B2" w:rsidRDefault="00EC33B2" w:rsidP="00EC33B2">
            <w:pPr>
              <w:pStyle w:val="Normalnumber"/>
              <w:numPr>
                <w:ilvl w:val="0"/>
                <w:numId w:val="0"/>
              </w:numPr>
              <w:jc w:val="center"/>
              <w:rPr>
                <w:lang w:val="en-US"/>
              </w:rPr>
            </w:pPr>
            <w:r>
              <w:rPr>
                <w:lang w:val="en-US"/>
              </w:rPr>
              <w:t>246</w:t>
            </w:r>
          </w:p>
        </w:tc>
        <w:tc>
          <w:tcPr>
            <w:tcW w:w="1581" w:type="dxa"/>
          </w:tcPr>
          <w:p w14:paraId="5B6B9967" w14:textId="01753403" w:rsidR="00EC33B2" w:rsidRDefault="00EC33B2" w:rsidP="00EC33B2">
            <w:pPr>
              <w:pStyle w:val="Normalnumber"/>
              <w:numPr>
                <w:ilvl w:val="0"/>
                <w:numId w:val="0"/>
              </w:numPr>
              <w:jc w:val="center"/>
              <w:rPr>
                <w:lang w:val="en-US"/>
              </w:rPr>
            </w:pPr>
            <w:r>
              <w:rPr>
                <w:lang w:val="en-US"/>
              </w:rPr>
              <w:t>10.9</w:t>
            </w:r>
          </w:p>
        </w:tc>
        <w:tc>
          <w:tcPr>
            <w:tcW w:w="1581" w:type="dxa"/>
          </w:tcPr>
          <w:p w14:paraId="49E8EFDD" w14:textId="606578C5" w:rsidR="00EC33B2" w:rsidRDefault="00EC33B2" w:rsidP="00EC33B2">
            <w:pPr>
              <w:pStyle w:val="Normalnumber"/>
              <w:numPr>
                <w:ilvl w:val="0"/>
                <w:numId w:val="0"/>
              </w:numPr>
              <w:jc w:val="center"/>
              <w:rPr>
                <w:lang w:val="en-US"/>
              </w:rPr>
            </w:pPr>
            <w:r>
              <w:rPr>
                <w:lang w:val="en-US"/>
              </w:rPr>
              <w:t>39.7</w:t>
            </w:r>
          </w:p>
        </w:tc>
        <w:tc>
          <w:tcPr>
            <w:tcW w:w="1581" w:type="dxa"/>
          </w:tcPr>
          <w:p w14:paraId="0846DD43" w14:textId="7768C6BF" w:rsidR="00EC33B2" w:rsidRDefault="00EC33B2" w:rsidP="00EC33B2">
            <w:pPr>
              <w:pStyle w:val="Normalnumber"/>
              <w:numPr>
                <w:ilvl w:val="0"/>
                <w:numId w:val="0"/>
              </w:numPr>
              <w:jc w:val="center"/>
              <w:rPr>
                <w:lang w:val="en-US"/>
              </w:rPr>
            </w:pPr>
            <w:r>
              <w:rPr>
                <w:lang w:val="en-US"/>
              </w:rPr>
              <w:t>0.07</w:t>
            </w:r>
          </w:p>
        </w:tc>
        <w:tc>
          <w:tcPr>
            <w:tcW w:w="1581" w:type="dxa"/>
          </w:tcPr>
          <w:p w14:paraId="21A2FD01" w14:textId="156C9B08" w:rsidR="00EC33B2" w:rsidRDefault="00EC33B2" w:rsidP="00EC33B2">
            <w:pPr>
              <w:pStyle w:val="Normalnumber"/>
              <w:numPr>
                <w:ilvl w:val="0"/>
                <w:numId w:val="0"/>
              </w:numPr>
              <w:jc w:val="center"/>
              <w:rPr>
                <w:lang w:val="en-US"/>
              </w:rPr>
            </w:pPr>
            <w:r>
              <w:rPr>
                <w:lang w:val="en-US"/>
              </w:rPr>
              <w:t>0.23</w:t>
            </w:r>
          </w:p>
        </w:tc>
      </w:tr>
      <w:tr w:rsidR="004A5394" w14:paraId="5971CE59" w14:textId="77777777" w:rsidTr="00EC33B2">
        <w:tc>
          <w:tcPr>
            <w:tcW w:w="1581" w:type="dxa"/>
          </w:tcPr>
          <w:p w14:paraId="57C4044B" w14:textId="544E9ABF" w:rsidR="00EC33B2" w:rsidRDefault="004A5394" w:rsidP="00EC33B2">
            <w:pPr>
              <w:pStyle w:val="Normalnumber"/>
              <w:numPr>
                <w:ilvl w:val="0"/>
                <w:numId w:val="0"/>
              </w:numPr>
              <w:jc w:val="center"/>
              <w:rPr>
                <w:lang w:val="en-US"/>
              </w:rPr>
            </w:pPr>
            <w:r>
              <w:rPr>
                <w:lang w:val="en-US"/>
              </w:rPr>
              <w:t>20%</w:t>
            </w:r>
          </w:p>
        </w:tc>
        <w:tc>
          <w:tcPr>
            <w:tcW w:w="1581" w:type="dxa"/>
          </w:tcPr>
          <w:p w14:paraId="15E59B1F" w14:textId="2FF1F03A" w:rsidR="00EC33B2" w:rsidRDefault="00EC33B2" w:rsidP="00EC33B2">
            <w:pPr>
              <w:pStyle w:val="Normalnumber"/>
              <w:numPr>
                <w:ilvl w:val="0"/>
                <w:numId w:val="0"/>
              </w:numPr>
              <w:jc w:val="center"/>
              <w:rPr>
                <w:lang w:val="en-US"/>
              </w:rPr>
            </w:pPr>
            <w:r>
              <w:rPr>
                <w:lang w:val="en-US"/>
              </w:rPr>
              <w:t>520</w:t>
            </w:r>
          </w:p>
        </w:tc>
        <w:tc>
          <w:tcPr>
            <w:tcW w:w="1581" w:type="dxa"/>
          </w:tcPr>
          <w:p w14:paraId="247CC0FE" w14:textId="0FA6A52D" w:rsidR="00EC33B2" w:rsidRDefault="00EC33B2" w:rsidP="00EC33B2">
            <w:pPr>
              <w:pStyle w:val="Normalnumber"/>
              <w:numPr>
                <w:ilvl w:val="0"/>
                <w:numId w:val="0"/>
              </w:numPr>
              <w:jc w:val="center"/>
              <w:rPr>
                <w:lang w:val="en-US"/>
              </w:rPr>
            </w:pPr>
            <w:r>
              <w:rPr>
                <w:lang w:val="en-US"/>
              </w:rPr>
              <w:t>22.0</w:t>
            </w:r>
          </w:p>
        </w:tc>
        <w:tc>
          <w:tcPr>
            <w:tcW w:w="1581" w:type="dxa"/>
          </w:tcPr>
          <w:p w14:paraId="610483BF" w14:textId="5F9ABE08" w:rsidR="00EC33B2" w:rsidRDefault="00EC33B2" w:rsidP="00EC33B2">
            <w:pPr>
              <w:pStyle w:val="Normalnumber"/>
              <w:numPr>
                <w:ilvl w:val="0"/>
                <w:numId w:val="0"/>
              </w:numPr>
              <w:jc w:val="center"/>
              <w:rPr>
                <w:lang w:val="en-US"/>
              </w:rPr>
            </w:pPr>
            <w:r>
              <w:rPr>
                <w:lang w:val="en-US"/>
              </w:rPr>
              <w:t>80.1</w:t>
            </w:r>
          </w:p>
        </w:tc>
        <w:tc>
          <w:tcPr>
            <w:tcW w:w="1581" w:type="dxa"/>
          </w:tcPr>
          <w:p w14:paraId="053F2E6D" w14:textId="6B8CD003" w:rsidR="00EC33B2" w:rsidRDefault="00EC33B2" w:rsidP="00EC33B2">
            <w:pPr>
              <w:pStyle w:val="Normalnumber"/>
              <w:numPr>
                <w:ilvl w:val="0"/>
                <w:numId w:val="0"/>
              </w:numPr>
              <w:jc w:val="center"/>
              <w:rPr>
                <w:lang w:val="en-US"/>
              </w:rPr>
            </w:pPr>
            <w:r>
              <w:rPr>
                <w:lang w:val="en-US"/>
              </w:rPr>
              <w:t>0.13</w:t>
            </w:r>
          </w:p>
        </w:tc>
        <w:tc>
          <w:tcPr>
            <w:tcW w:w="1581" w:type="dxa"/>
          </w:tcPr>
          <w:p w14:paraId="63E4BE9F" w14:textId="398C8C57" w:rsidR="00EC33B2" w:rsidRDefault="00EC33B2" w:rsidP="00EC33B2">
            <w:pPr>
              <w:pStyle w:val="Normalnumber"/>
              <w:numPr>
                <w:ilvl w:val="0"/>
                <w:numId w:val="0"/>
              </w:numPr>
              <w:jc w:val="center"/>
              <w:rPr>
                <w:lang w:val="en-US"/>
              </w:rPr>
            </w:pPr>
            <w:r>
              <w:rPr>
                <w:lang w:val="en-US"/>
              </w:rPr>
              <w:t>0.48</w:t>
            </w:r>
          </w:p>
        </w:tc>
      </w:tr>
      <w:tr w:rsidR="004A5394" w14:paraId="77CE4352" w14:textId="77777777" w:rsidTr="00EC33B2">
        <w:tc>
          <w:tcPr>
            <w:tcW w:w="1581" w:type="dxa"/>
          </w:tcPr>
          <w:p w14:paraId="7E061E72" w14:textId="66937CD5" w:rsidR="00EC33B2" w:rsidRDefault="004A5394" w:rsidP="00EC33B2">
            <w:pPr>
              <w:pStyle w:val="Normalnumber"/>
              <w:numPr>
                <w:ilvl w:val="0"/>
                <w:numId w:val="0"/>
              </w:numPr>
              <w:jc w:val="center"/>
              <w:rPr>
                <w:lang w:val="en-US"/>
              </w:rPr>
            </w:pPr>
            <w:r>
              <w:rPr>
                <w:lang w:val="en-US"/>
              </w:rPr>
              <w:t>40%</w:t>
            </w:r>
          </w:p>
        </w:tc>
        <w:tc>
          <w:tcPr>
            <w:tcW w:w="1581" w:type="dxa"/>
          </w:tcPr>
          <w:p w14:paraId="4BCAEDC1" w14:textId="61DBD0BA" w:rsidR="00EC33B2" w:rsidRDefault="00EC33B2" w:rsidP="00EC33B2">
            <w:pPr>
              <w:pStyle w:val="Normalnumber"/>
              <w:numPr>
                <w:ilvl w:val="0"/>
                <w:numId w:val="0"/>
              </w:numPr>
              <w:jc w:val="center"/>
              <w:rPr>
                <w:lang w:val="en-US"/>
              </w:rPr>
            </w:pPr>
            <w:r>
              <w:rPr>
                <w:lang w:val="en-US"/>
              </w:rPr>
              <w:t>1,408</w:t>
            </w:r>
          </w:p>
        </w:tc>
        <w:tc>
          <w:tcPr>
            <w:tcW w:w="1581" w:type="dxa"/>
          </w:tcPr>
          <w:p w14:paraId="430FE625" w14:textId="554E441E" w:rsidR="00EC33B2" w:rsidRDefault="00EC33B2" w:rsidP="00EC33B2">
            <w:pPr>
              <w:pStyle w:val="Normalnumber"/>
              <w:numPr>
                <w:ilvl w:val="0"/>
                <w:numId w:val="0"/>
              </w:numPr>
              <w:jc w:val="center"/>
              <w:rPr>
                <w:lang w:val="en-US"/>
              </w:rPr>
            </w:pPr>
            <w:r>
              <w:rPr>
                <w:lang w:val="en-US"/>
              </w:rPr>
              <w:t>54.3</w:t>
            </w:r>
          </w:p>
        </w:tc>
        <w:tc>
          <w:tcPr>
            <w:tcW w:w="1581" w:type="dxa"/>
          </w:tcPr>
          <w:p w14:paraId="53FCFBE5" w14:textId="209E87CD" w:rsidR="00EC33B2" w:rsidRDefault="00EC33B2" w:rsidP="00EC33B2">
            <w:pPr>
              <w:pStyle w:val="Normalnumber"/>
              <w:numPr>
                <w:ilvl w:val="0"/>
                <w:numId w:val="0"/>
              </w:numPr>
              <w:jc w:val="center"/>
              <w:rPr>
                <w:lang w:val="en-US"/>
              </w:rPr>
            </w:pPr>
            <w:r>
              <w:rPr>
                <w:lang w:val="en-US"/>
              </w:rPr>
              <w:t>198</w:t>
            </w:r>
          </w:p>
        </w:tc>
        <w:tc>
          <w:tcPr>
            <w:tcW w:w="1581" w:type="dxa"/>
          </w:tcPr>
          <w:p w14:paraId="2B5873F5" w14:textId="41657E79" w:rsidR="00EC33B2" w:rsidRDefault="00EC33B2" w:rsidP="00EC33B2">
            <w:pPr>
              <w:pStyle w:val="Normalnumber"/>
              <w:numPr>
                <w:ilvl w:val="0"/>
                <w:numId w:val="0"/>
              </w:numPr>
              <w:jc w:val="center"/>
              <w:rPr>
                <w:lang w:val="en-US"/>
              </w:rPr>
            </w:pPr>
            <w:r>
              <w:rPr>
                <w:lang w:val="en-US"/>
              </w:rPr>
              <w:t>0.33</w:t>
            </w:r>
          </w:p>
        </w:tc>
        <w:tc>
          <w:tcPr>
            <w:tcW w:w="1581" w:type="dxa"/>
          </w:tcPr>
          <w:p w14:paraId="7B6549D4" w14:textId="4272BF0A" w:rsidR="00EC33B2" w:rsidRDefault="00EC33B2" w:rsidP="00EC33B2">
            <w:pPr>
              <w:pStyle w:val="Normalnumber"/>
              <w:numPr>
                <w:ilvl w:val="0"/>
                <w:numId w:val="0"/>
              </w:numPr>
              <w:jc w:val="center"/>
              <w:rPr>
                <w:lang w:val="en-US"/>
              </w:rPr>
            </w:pPr>
            <w:r>
              <w:rPr>
                <w:lang w:val="en-US"/>
              </w:rPr>
              <w:t>1.18</w:t>
            </w:r>
          </w:p>
        </w:tc>
      </w:tr>
      <w:tr w:rsidR="004A5394" w14:paraId="349C6A36" w14:textId="77777777" w:rsidTr="00EC33B2">
        <w:tc>
          <w:tcPr>
            <w:tcW w:w="1581" w:type="dxa"/>
          </w:tcPr>
          <w:p w14:paraId="3EF9A3FD" w14:textId="4328E35A" w:rsidR="00EC33B2" w:rsidRDefault="004A5394" w:rsidP="00EC33B2">
            <w:pPr>
              <w:pStyle w:val="Normalnumber"/>
              <w:numPr>
                <w:ilvl w:val="0"/>
                <w:numId w:val="0"/>
              </w:numPr>
              <w:jc w:val="center"/>
              <w:rPr>
                <w:lang w:val="en-US"/>
              </w:rPr>
            </w:pPr>
            <w:r>
              <w:rPr>
                <w:lang w:val="en-US"/>
              </w:rPr>
              <w:t>50%</w:t>
            </w:r>
          </w:p>
        </w:tc>
        <w:tc>
          <w:tcPr>
            <w:tcW w:w="1581" w:type="dxa"/>
          </w:tcPr>
          <w:p w14:paraId="0A14FCDA" w14:textId="3F2B952C" w:rsidR="00EC33B2" w:rsidRDefault="00EC33B2" w:rsidP="00EC33B2">
            <w:pPr>
              <w:pStyle w:val="Normalnumber"/>
              <w:numPr>
                <w:ilvl w:val="0"/>
                <w:numId w:val="0"/>
              </w:numPr>
              <w:jc w:val="center"/>
              <w:rPr>
                <w:lang w:val="en-US"/>
              </w:rPr>
            </w:pPr>
            <w:r>
              <w:rPr>
                <w:lang w:val="en-US"/>
              </w:rPr>
              <w:t>2,164</w:t>
            </w:r>
          </w:p>
        </w:tc>
        <w:tc>
          <w:tcPr>
            <w:tcW w:w="1581" w:type="dxa"/>
          </w:tcPr>
          <w:p w14:paraId="6234E5CD" w14:textId="483DC6F2" w:rsidR="00EC33B2" w:rsidRDefault="00EC33B2" w:rsidP="00EC33B2">
            <w:pPr>
              <w:pStyle w:val="Normalnumber"/>
              <w:numPr>
                <w:ilvl w:val="0"/>
                <w:numId w:val="0"/>
              </w:numPr>
              <w:jc w:val="center"/>
              <w:rPr>
                <w:lang w:val="en-US"/>
              </w:rPr>
            </w:pPr>
            <w:r>
              <w:rPr>
                <w:lang w:val="en-US"/>
              </w:rPr>
              <w:t>77.3</w:t>
            </w:r>
          </w:p>
        </w:tc>
        <w:tc>
          <w:tcPr>
            <w:tcW w:w="1581" w:type="dxa"/>
          </w:tcPr>
          <w:p w14:paraId="2260C291" w14:textId="53F1B364" w:rsidR="00EC33B2" w:rsidRDefault="00EC33B2" w:rsidP="00EC33B2">
            <w:pPr>
              <w:pStyle w:val="Normalnumber"/>
              <w:numPr>
                <w:ilvl w:val="0"/>
                <w:numId w:val="0"/>
              </w:numPr>
              <w:jc w:val="center"/>
              <w:rPr>
                <w:lang w:val="en-US"/>
              </w:rPr>
            </w:pPr>
            <w:r>
              <w:rPr>
                <w:lang w:val="en-US"/>
              </w:rPr>
              <w:t>281</w:t>
            </w:r>
          </w:p>
        </w:tc>
        <w:tc>
          <w:tcPr>
            <w:tcW w:w="1581" w:type="dxa"/>
          </w:tcPr>
          <w:p w14:paraId="7514E706" w14:textId="32662FC7" w:rsidR="00EC33B2" w:rsidRDefault="00EC33B2" w:rsidP="00EC33B2">
            <w:pPr>
              <w:pStyle w:val="Normalnumber"/>
              <w:numPr>
                <w:ilvl w:val="0"/>
                <w:numId w:val="0"/>
              </w:numPr>
              <w:jc w:val="center"/>
              <w:rPr>
                <w:lang w:val="en-US"/>
              </w:rPr>
            </w:pPr>
            <w:r>
              <w:rPr>
                <w:lang w:val="en-US"/>
              </w:rPr>
              <w:t>0.46</w:t>
            </w:r>
          </w:p>
        </w:tc>
        <w:tc>
          <w:tcPr>
            <w:tcW w:w="1581" w:type="dxa"/>
          </w:tcPr>
          <w:p w14:paraId="3DEFD3C8" w14:textId="6E508CAC" w:rsidR="00EC33B2" w:rsidRDefault="00EC33B2" w:rsidP="00EC33B2">
            <w:pPr>
              <w:pStyle w:val="Normalnumber"/>
              <w:numPr>
                <w:ilvl w:val="0"/>
                <w:numId w:val="0"/>
              </w:numPr>
              <w:jc w:val="center"/>
              <w:rPr>
                <w:lang w:val="en-US"/>
              </w:rPr>
            </w:pPr>
            <w:r>
              <w:rPr>
                <w:lang w:val="en-US"/>
              </w:rPr>
              <w:t>1.69</w:t>
            </w:r>
          </w:p>
        </w:tc>
      </w:tr>
    </w:tbl>
    <w:p w14:paraId="4E7036F8" w14:textId="77777777" w:rsidR="005C0116" w:rsidRPr="005C0116" w:rsidRDefault="005C0116" w:rsidP="00EC33B2">
      <w:pPr>
        <w:pStyle w:val="Normalnumber"/>
        <w:numPr>
          <w:ilvl w:val="0"/>
          <w:numId w:val="0"/>
        </w:numPr>
        <w:rPr>
          <w:lang w:val="en-US"/>
        </w:rPr>
      </w:pPr>
    </w:p>
    <w:p w14:paraId="1EC0B6C7" w14:textId="4B70674E" w:rsidR="005C0116" w:rsidRPr="005C0116" w:rsidRDefault="005C0116" w:rsidP="00EC33B2">
      <w:pPr>
        <w:pStyle w:val="Normalnumber"/>
        <w:numPr>
          <w:ilvl w:val="0"/>
          <w:numId w:val="0"/>
        </w:numPr>
        <w:rPr>
          <w:lang w:val="en-US"/>
        </w:rPr>
      </w:pPr>
      <w:r w:rsidRPr="005C0116">
        <w:rPr>
          <w:lang w:val="en-US"/>
        </w:rPr>
        <w:t xml:space="preserve">Table </w:t>
      </w:r>
      <w:r w:rsidR="00EC33B2">
        <w:rPr>
          <w:lang w:val="en-US"/>
        </w:rPr>
        <w:t>2</w:t>
      </w:r>
      <w:r w:rsidRPr="005C0116">
        <w:rPr>
          <w:lang w:val="en-US"/>
        </w:rPr>
        <w:t xml:space="preserve"> also compares the DAF values and leach concentrations for the results of the ICMM 1D model and the prorated 2D model. </w:t>
      </w:r>
      <w:proofErr w:type="spellStart"/>
      <w:r w:rsidRPr="005C0116">
        <w:rPr>
          <w:lang w:val="en-US"/>
        </w:rPr>
        <w:t>Hennebert</w:t>
      </w:r>
      <w:proofErr w:type="spellEnd"/>
      <w:r w:rsidRPr="005C0116">
        <w:rPr>
          <w:lang w:val="en-US"/>
        </w:rPr>
        <w:t xml:space="preserve"> (2021) calculated a DAF of 4 given its use of a </w:t>
      </w:r>
      <w:proofErr w:type="spellStart"/>
      <w:r w:rsidRPr="005C0116">
        <w:rPr>
          <w:lang w:val="en-US"/>
        </w:rPr>
        <w:t>Kd</w:t>
      </w:r>
      <w:proofErr w:type="spellEnd"/>
      <w:r w:rsidRPr="005C0116">
        <w:rPr>
          <w:lang w:val="en-US"/>
        </w:rPr>
        <w:t xml:space="preserve"> value of 1 L/kg and the 2D model; this DAF would be only of a value of 1.1 with the 1D model – a factor that is 3.64 times lower. To be able to compare </w:t>
      </w:r>
      <w:r w:rsidRPr="005C0116">
        <w:rPr>
          <w:lang w:val="en-US"/>
        </w:rPr>
        <w:lastRenderedPageBreak/>
        <w:t xml:space="preserve">the results from the two approaches, the 1D DAF was prorated by multiplying the DAF by a factor of 3.64 to show the equivalent 2D model’s DAF. </w:t>
      </w:r>
    </w:p>
    <w:p w14:paraId="3E018859" w14:textId="38B8E2C4" w:rsidR="00EC33B2" w:rsidRDefault="005C0116" w:rsidP="005C0116">
      <w:pPr>
        <w:pStyle w:val="Normalnumber"/>
        <w:numPr>
          <w:ilvl w:val="0"/>
          <w:numId w:val="0"/>
        </w:numPr>
        <w:rPr>
          <w:lang w:val="en-US"/>
        </w:rPr>
      </w:pPr>
      <w:r w:rsidRPr="005C0116">
        <w:rPr>
          <w:lang w:val="en-US"/>
        </w:rPr>
        <w:t>Using the 20</w:t>
      </w:r>
      <w:r w:rsidR="00E91960" w:rsidRPr="002A23AF">
        <w:rPr>
          <w:vertAlign w:val="superscript"/>
          <w:lang w:val="en-US"/>
        </w:rPr>
        <w:t>th</w:t>
      </w:r>
      <w:r w:rsidR="00E91960">
        <w:rPr>
          <w:lang w:val="en-US"/>
        </w:rPr>
        <w:t xml:space="preserve"> </w:t>
      </w:r>
      <w:r w:rsidRPr="005C0116">
        <w:rPr>
          <w:lang w:val="en-US"/>
        </w:rPr>
        <w:t>pe</w:t>
      </w:r>
      <w:r w:rsidR="00EC33B2">
        <w:rPr>
          <w:lang w:val="en-US"/>
        </w:rPr>
        <w:t>r</w:t>
      </w:r>
      <w:r w:rsidRPr="005C0116">
        <w:rPr>
          <w:lang w:val="en-US"/>
        </w:rPr>
        <w:t xml:space="preserve">centile of the </w:t>
      </w:r>
      <w:proofErr w:type="spellStart"/>
      <w:r w:rsidRPr="005C0116">
        <w:rPr>
          <w:lang w:val="en-US"/>
        </w:rPr>
        <w:t>Kd</w:t>
      </w:r>
      <w:proofErr w:type="spellEnd"/>
      <w:r w:rsidRPr="005C0116">
        <w:rPr>
          <w:lang w:val="en-US"/>
        </w:rPr>
        <w:t xml:space="preserve"> value (520</w:t>
      </w:r>
      <w:r w:rsidR="00E91960">
        <w:rPr>
          <w:lang w:val="en-US"/>
        </w:rPr>
        <w:t xml:space="preserve"> </w:t>
      </w:r>
      <w:r w:rsidRPr="005C0116">
        <w:rPr>
          <w:lang w:val="en-US"/>
        </w:rPr>
        <w:t>L/kg) results in a DAF of approximately 20 for the 1D model</w:t>
      </w:r>
      <w:r w:rsidR="00EC33B2">
        <w:rPr>
          <w:lang w:val="en-US"/>
        </w:rPr>
        <w:t>, corresponding to the leaching concentration of 0.13 mg/L</w:t>
      </w:r>
      <w:r w:rsidR="007801A4">
        <w:rPr>
          <w:lang w:val="en-US"/>
        </w:rPr>
        <w:t xml:space="preserve"> to achieve WHO drinking water limit of 0.006 mg/L</w:t>
      </w:r>
      <w:r w:rsidR="00EC33B2">
        <w:rPr>
          <w:lang w:val="en-US"/>
        </w:rPr>
        <w:t>. I</w:t>
      </w:r>
      <w:r w:rsidRPr="005C0116">
        <w:rPr>
          <w:lang w:val="en-US"/>
        </w:rPr>
        <w:t xml:space="preserve">f the same </w:t>
      </w:r>
      <w:proofErr w:type="spellStart"/>
      <w:r w:rsidRPr="005C0116">
        <w:rPr>
          <w:lang w:val="en-US"/>
        </w:rPr>
        <w:t>Kd</w:t>
      </w:r>
      <w:proofErr w:type="spellEnd"/>
      <w:r w:rsidRPr="005C0116">
        <w:rPr>
          <w:lang w:val="en-US"/>
        </w:rPr>
        <w:t xml:space="preserve"> were applied to the 2D model, prorated results provide a DAF of almost 80 for the same </w:t>
      </w:r>
      <w:proofErr w:type="spellStart"/>
      <w:r w:rsidRPr="005C0116">
        <w:rPr>
          <w:lang w:val="en-US"/>
        </w:rPr>
        <w:t>Kd</w:t>
      </w:r>
      <w:proofErr w:type="spellEnd"/>
      <w:r w:rsidRPr="005C0116">
        <w:rPr>
          <w:lang w:val="en-US"/>
        </w:rPr>
        <w:t>. Using the 5</w:t>
      </w:r>
      <w:r w:rsidR="004A5394" w:rsidRPr="002A23AF">
        <w:rPr>
          <w:vertAlign w:val="superscript"/>
          <w:lang w:val="en-US"/>
        </w:rPr>
        <w:t>th</w:t>
      </w:r>
      <w:r w:rsidR="004A5394">
        <w:rPr>
          <w:lang w:val="en-US"/>
        </w:rPr>
        <w:t xml:space="preserve"> </w:t>
      </w:r>
      <w:r w:rsidRPr="005C0116">
        <w:rPr>
          <w:lang w:val="en-US"/>
        </w:rPr>
        <w:t xml:space="preserve">percentile of the </w:t>
      </w:r>
      <w:proofErr w:type="spellStart"/>
      <w:r w:rsidRPr="005C0116">
        <w:rPr>
          <w:lang w:val="en-US"/>
        </w:rPr>
        <w:t>Kd</w:t>
      </w:r>
      <w:proofErr w:type="spellEnd"/>
      <w:r w:rsidRPr="005C0116">
        <w:rPr>
          <w:lang w:val="en-US"/>
        </w:rPr>
        <w:t xml:space="preserve"> value (133 L/kg) results in a DAF of approximately 20 under the prorated 2D model, </w:t>
      </w:r>
      <w:r w:rsidR="007801A4">
        <w:rPr>
          <w:lang w:val="en-US"/>
        </w:rPr>
        <w:t xml:space="preserve">corresponding to the leach concentration of 0.15 mg/L </w:t>
      </w:r>
      <w:r w:rsidR="004A5394">
        <w:rPr>
          <w:lang w:val="en-US"/>
        </w:rPr>
        <w:t xml:space="preserve">leachate (= 0.006 mg Hg/L groundwater x 24.4 L groundwater/L leachate = 0.1464 mg Hg/L leachate, rounded to 0.15 mg Hg/L leachate) </w:t>
      </w:r>
      <w:r w:rsidR="007801A4">
        <w:rPr>
          <w:lang w:val="en-US"/>
        </w:rPr>
        <w:t xml:space="preserve">to achieve WHO drinking water limit of 0.006 mg/L, </w:t>
      </w:r>
      <w:r w:rsidRPr="005C0116">
        <w:rPr>
          <w:lang w:val="en-US"/>
        </w:rPr>
        <w:t xml:space="preserve">similar to the 1D model for </w:t>
      </w:r>
      <w:r w:rsidR="007801A4">
        <w:rPr>
          <w:lang w:val="en-US"/>
        </w:rPr>
        <w:t>20</w:t>
      </w:r>
      <w:r w:rsidR="004A5394" w:rsidRPr="002A23AF">
        <w:rPr>
          <w:vertAlign w:val="superscript"/>
          <w:lang w:val="en-US"/>
        </w:rPr>
        <w:t>th</w:t>
      </w:r>
      <w:r w:rsidR="004A5394">
        <w:rPr>
          <w:lang w:val="en-US"/>
        </w:rPr>
        <w:t xml:space="preserve"> </w:t>
      </w:r>
      <w:r w:rsidR="007801A4">
        <w:rPr>
          <w:lang w:val="en-US"/>
        </w:rPr>
        <w:t>percentile</w:t>
      </w:r>
      <w:r w:rsidRPr="005C0116">
        <w:rPr>
          <w:lang w:val="en-US"/>
        </w:rPr>
        <w:t xml:space="preserve"> </w:t>
      </w:r>
      <w:proofErr w:type="spellStart"/>
      <w:r w:rsidRPr="005C0116">
        <w:rPr>
          <w:lang w:val="en-US"/>
        </w:rPr>
        <w:t>Kd</w:t>
      </w:r>
      <w:proofErr w:type="spellEnd"/>
      <w:r w:rsidRPr="005C0116">
        <w:rPr>
          <w:lang w:val="en-US"/>
        </w:rPr>
        <w:t xml:space="preserve"> of 520.</w:t>
      </w:r>
    </w:p>
    <w:p w14:paraId="380031C8" w14:textId="06715CDA" w:rsidR="00955A8F" w:rsidRPr="00C8604E" w:rsidRDefault="007801A4" w:rsidP="007801A4">
      <w:pPr>
        <w:pStyle w:val="Normalnumber"/>
        <w:numPr>
          <w:ilvl w:val="0"/>
          <w:numId w:val="0"/>
        </w:numPr>
        <w:tabs>
          <w:tab w:val="clear" w:pos="1247"/>
        </w:tabs>
        <w:rPr>
          <w:lang w:val="en-GB"/>
        </w:rPr>
      </w:pPr>
      <w:r>
        <w:rPr>
          <w:lang w:val="en-GB"/>
        </w:rPr>
        <w:t>Based on this calculation, the group of technical experts recommended a tier-2 threshold of 0.15 mg/L</w:t>
      </w:r>
      <w:r w:rsidR="004A5394">
        <w:rPr>
          <w:lang w:val="en-GB"/>
        </w:rPr>
        <w:t xml:space="preserve"> leachate</w:t>
      </w:r>
      <w:r>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D85450" w:rsidRPr="00D85450" w14:paraId="1961FA53" w14:textId="77777777" w:rsidTr="00D85450">
        <w:tc>
          <w:tcPr>
            <w:tcW w:w="1897" w:type="dxa"/>
          </w:tcPr>
          <w:p w14:paraId="1577D14B" w14:textId="77777777" w:rsidR="00D85450" w:rsidRPr="00D85450" w:rsidRDefault="00D85450" w:rsidP="00D85450">
            <w:pPr>
              <w:pStyle w:val="Normal-pool"/>
              <w:spacing w:before="520"/>
            </w:pPr>
          </w:p>
        </w:tc>
        <w:tc>
          <w:tcPr>
            <w:tcW w:w="1897" w:type="dxa"/>
          </w:tcPr>
          <w:p w14:paraId="30A4D7F4" w14:textId="77777777" w:rsidR="00D85450" w:rsidRPr="00D85450" w:rsidRDefault="00D85450" w:rsidP="00D85450">
            <w:pPr>
              <w:pStyle w:val="Normal-pool"/>
              <w:spacing w:before="520"/>
            </w:pPr>
          </w:p>
        </w:tc>
        <w:tc>
          <w:tcPr>
            <w:tcW w:w="1897" w:type="dxa"/>
            <w:tcBorders>
              <w:bottom w:val="single" w:sz="4" w:space="0" w:color="auto"/>
            </w:tcBorders>
          </w:tcPr>
          <w:p w14:paraId="3EFD7DD6" w14:textId="77777777" w:rsidR="00D85450" w:rsidRPr="00D85450" w:rsidRDefault="00D85450" w:rsidP="00D85450">
            <w:pPr>
              <w:pStyle w:val="Normal-pool"/>
              <w:spacing w:before="520"/>
            </w:pPr>
          </w:p>
        </w:tc>
        <w:tc>
          <w:tcPr>
            <w:tcW w:w="1897" w:type="dxa"/>
          </w:tcPr>
          <w:p w14:paraId="1DD15E8D" w14:textId="77777777" w:rsidR="00D85450" w:rsidRPr="00D85450" w:rsidRDefault="00D85450" w:rsidP="00D85450">
            <w:pPr>
              <w:pStyle w:val="Normal-pool"/>
              <w:spacing w:before="520"/>
            </w:pPr>
          </w:p>
        </w:tc>
        <w:tc>
          <w:tcPr>
            <w:tcW w:w="1898" w:type="dxa"/>
          </w:tcPr>
          <w:p w14:paraId="0424F89B" w14:textId="77777777" w:rsidR="00D85450" w:rsidRPr="00D85450" w:rsidRDefault="00D85450" w:rsidP="00D85450">
            <w:pPr>
              <w:pStyle w:val="Normal-pool"/>
              <w:spacing w:before="520"/>
            </w:pPr>
          </w:p>
        </w:tc>
      </w:tr>
    </w:tbl>
    <w:p w14:paraId="73474352" w14:textId="77777777" w:rsidR="00D85450" w:rsidRPr="00D85450" w:rsidRDefault="00D85450" w:rsidP="00D85450">
      <w:pPr>
        <w:pStyle w:val="Normal-pool"/>
      </w:pPr>
    </w:p>
    <w:sectPr w:rsidR="00D85450" w:rsidRPr="00D85450" w:rsidSect="0015442E">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907" w:right="992" w:bottom="1418" w:left="1418" w:header="539" w:footer="975" w:gutter="0"/>
      <w:cols w:space="539"/>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FEC4" w16cex:dateUtc="2021-10-08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CDD08" w14:textId="77777777" w:rsidR="00762A38" w:rsidRDefault="00762A38">
      <w:r>
        <w:separator/>
      </w:r>
    </w:p>
  </w:endnote>
  <w:endnote w:type="continuationSeparator" w:id="0">
    <w:p w14:paraId="03C9044C" w14:textId="77777777" w:rsidR="00762A38" w:rsidRDefault="00762A38">
      <w:r>
        <w:continuationSeparator/>
      </w:r>
    </w:p>
  </w:endnote>
  <w:endnote w:type="continuationNotice" w:id="1">
    <w:p w14:paraId="63C8F3BD" w14:textId="77777777" w:rsidR="00762A38" w:rsidRDefault="0076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073743"/>
      <w:docPartObj>
        <w:docPartGallery w:val="Page Numbers (Bottom of Page)"/>
        <w:docPartUnique/>
      </w:docPartObj>
    </w:sdtPr>
    <w:sdtEndPr>
      <w:rPr>
        <w:b/>
        <w:noProof/>
      </w:rPr>
    </w:sdtEndPr>
    <w:sdtContent>
      <w:p w14:paraId="04F0C760" w14:textId="77777777" w:rsidR="005953B4" w:rsidRPr="00567C69" w:rsidRDefault="005953B4">
        <w:pPr>
          <w:pStyle w:val="Footer"/>
          <w:rPr>
            <w:b/>
          </w:rPr>
        </w:pPr>
        <w:r w:rsidRPr="00567C69">
          <w:rPr>
            <w:b/>
          </w:rPr>
          <w:fldChar w:fldCharType="begin"/>
        </w:r>
        <w:r w:rsidRPr="00567C69">
          <w:rPr>
            <w:b/>
          </w:rPr>
          <w:instrText xml:space="preserve"> PAGE   \* MERGEFORMAT </w:instrText>
        </w:r>
        <w:r w:rsidRPr="00567C69">
          <w:rPr>
            <w:b/>
          </w:rPr>
          <w:fldChar w:fldCharType="separate"/>
        </w:r>
        <w:r>
          <w:rPr>
            <w:b/>
            <w:noProof/>
          </w:rPr>
          <w:t>12</w:t>
        </w:r>
        <w:r w:rsidRPr="00567C69">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462895"/>
      <w:docPartObj>
        <w:docPartGallery w:val="Page Numbers (Bottom of Page)"/>
        <w:docPartUnique/>
      </w:docPartObj>
    </w:sdtPr>
    <w:sdtEndPr>
      <w:rPr>
        <w:b/>
        <w:noProof/>
      </w:rPr>
    </w:sdtEndPr>
    <w:sdtContent>
      <w:p w14:paraId="1535567E" w14:textId="77777777" w:rsidR="005953B4" w:rsidRPr="00117F4F" w:rsidRDefault="005953B4" w:rsidP="00117F4F">
        <w:pPr>
          <w:pStyle w:val="Footer"/>
          <w:jc w:val="right"/>
          <w:rPr>
            <w:b/>
          </w:rPr>
        </w:pPr>
        <w:r w:rsidRPr="00117F4F">
          <w:rPr>
            <w:b/>
          </w:rPr>
          <w:fldChar w:fldCharType="begin"/>
        </w:r>
        <w:r w:rsidRPr="00117F4F">
          <w:rPr>
            <w:b/>
          </w:rPr>
          <w:instrText xml:space="preserve"> PAGE   \* MERGEFORMAT </w:instrText>
        </w:r>
        <w:r w:rsidRPr="00117F4F">
          <w:rPr>
            <w:b/>
          </w:rPr>
          <w:fldChar w:fldCharType="separate"/>
        </w:r>
        <w:r>
          <w:rPr>
            <w:b/>
            <w:noProof/>
          </w:rPr>
          <w:t>11</w:t>
        </w:r>
        <w:r w:rsidRPr="00117F4F">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B360" w14:textId="56FF6E75" w:rsidR="005953B4" w:rsidRDefault="005953B4" w:rsidP="00A53F52">
    <w:pPr>
      <w:pStyle w:val="Normal-pool"/>
    </w:pPr>
    <w:proofErr w:type="spellStart"/>
    <w:r>
      <w:t>K</w:t>
    </w:r>
    <w:r w:rsidR="00A53F52">
      <w:t>2102639</w:t>
    </w:r>
    <w:proofErr w:type="spellEnd"/>
    <w:r w:rsidR="00262686">
      <w:tab/>
    </w:r>
    <w:r w:rsidR="0033073B">
      <w:t>1110</w:t>
    </w:r>
    <w:r w:rsidR="00533B78">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E2C6"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FC11"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D335" w14:textId="77777777" w:rsidR="0015442E" w:rsidRDefault="0015442E" w:rsidP="0015442E">
    <w:pPr>
      <w:pStyle w:val="Normal-pool"/>
    </w:pPr>
    <w:proofErr w:type="spellStart"/>
    <w:r>
      <w:t>Kxxxxxx</w:t>
    </w:r>
    <w:proofErr w:type="spellEnd"/>
    <w:r>
      <w:tab/>
    </w:r>
    <w:proofErr w:type="spellStart"/>
    <w:r>
      <w:t>xxxx21</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65F29" w14:textId="77777777" w:rsidR="00762A38" w:rsidRPr="0072353B" w:rsidRDefault="00762A38" w:rsidP="0072353B">
      <w:pPr>
        <w:tabs>
          <w:tab w:val="left" w:pos="624"/>
        </w:tabs>
        <w:spacing w:before="60"/>
        <w:ind w:left="624"/>
        <w:rPr>
          <w:sz w:val="18"/>
          <w:szCs w:val="18"/>
        </w:rPr>
      </w:pPr>
      <w:r w:rsidRPr="0072353B">
        <w:rPr>
          <w:sz w:val="18"/>
          <w:szCs w:val="18"/>
        </w:rPr>
        <w:separator/>
      </w:r>
    </w:p>
  </w:footnote>
  <w:footnote w:type="continuationSeparator" w:id="0">
    <w:p w14:paraId="54016C3F" w14:textId="77777777" w:rsidR="00762A38" w:rsidRDefault="00762A38">
      <w:r>
        <w:continuationSeparator/>
      </w:r>
    </w:p>
  </w:footnote>
  <w:footnote w:type="continuationNotice" w:id="1">
    <w:p w14:paraId="57147F5F" w14:textId="77777777" w:rsidR="00762A38" w:rsidRDefault="00762A38"/>
  </w:footnote>
  <w:footnote w:id="2">
    <w:p w14:paraId="6B21B852" w14:textId="53B5C5B7" w:rsidR="001E06A7" w:rsidRPr="00E85B80" w:rsidRDefault="001E06A7" w:rsidP="00455095">
      <w:pPr>
        <w:pStyle w:val="FootnoteText"/>
        <w:rPr>
          <w:szCs w:val="18"/>
          <w:lang w:val="en-US"/>
        </w:rPr>
      </w:pPr>
      <w:r w:rsidRPr="00E85B80">
        <w:rPr>
          <w:rStyle w:val="FootnoteReference"/>
          <w:sz w:val="18"/>
          <w:vertAlign w:val="baseline"/>
          <w:lang w:val="en-US"/>
        </w:rPr>
        <w:t>*</w:t>
      </w:r>
      <w:r w:rsidRPr="00E85B80">
        <w:rPr>
          <w:szCs w:val="18"/>
          <w:lang w:val="en-US"/>
        </w:rPr>
        <w:t xml:space="preserve"> </w:t>
      </w:r>
      <w:r w:rsidRPr="00E85B80">
        <w:rPr>
          <w:szCs w:val="18"/>
          <w:lang w:val="en-GB"/>
        </w:rPr>
        <w:t>The resumed fourth meeting of the Conference of the Parties to the Minamata Convention on Mercury is to convene in</w:t>
      </w:r>
      <w:r w:rsidR="00533B78" w:rsidRPr="00E85B80">
        <w:rPr>
          <w:szCs w:val="18"/>
          <w:lang w:val="en-GB"/>
        </w:rPr>
        <w:t xml:space="preserve"> </w:t>
      </w:r>
      <w:r w:rsidRPr="00E85B80">
        <w:rPr>
          <w:szCs w:val="18"/>
          <w:lang w:val="en-GB"/>
        </w:rPr>
        <w:t>person in Bali, Indonesia, and is tentatively scheduled for the first quarter of 2022.</w:t>
      </w:r>
    </w:p>
  </w:footnote>
  <w:footnote w:id="3">
    <w:p w14:paraId="138B9EF3" w14:textId="77777777" w:rsidR="00A53F52" w:rsidRPr="00A53F52" w:rsidRDefault="00A53F52" w:rsidP="00A53F52">
      <w:pPr>
        <w:pStyle w:val="FootnoteText"/>
        <w:tabs>
          <w:tab w:val="clear" w:pos="1247"/>
          <w:tab w:val="clear" w:pos="1814"/>
          <w:tab w:val="clear" w:pos="2381"/>
          <w:tab w:val="clear" w:pos="2948"/>
          <w:tab w:val="clear" w:pos="3515"/>
          <w:tab w:val="clear" w:pos="4082"/>
          <w:tab w:val="left" w:pos="624"/>
        </w:tabs>
        <w:rPr>
          <w:szCs w:val="18"/>
          <w:lang w:val="en-US"/>
        </w:rPr>
      </w:pPr>
      <w:r w:rsidRPr="00E85B80">
        <w:rPr>
          <w:rStyle w:val="FootnoteReference"/>
          <w:sz w:val="18"/>
          <w:vertAlign w:val="baseline"/>
          <w:lang w:val="en-US"/>
        </w:rPr>
        <w:t>**</w:t>
      </w:r>
      <w:r w:rsidRPr="00E85B80">
        <w:rPr>
          <w:szCs w:val="18"/>
          <w:lang w:val="en-US"/>
        </w:rPr>
        <w:t xml:space="preserve"> </w:t>
      </w:r>
      <w:r w:rsidRPr="00E85B80">
        <w:rPr>
          <w:szCs w:val="18"/>
          <w:lang w:val="en-GB"/>
        </w:rPr>
        <w:t>UNEP/MC/COP.4/1.</w:t>
      </w:r>
    </w:p>
  </w:footnote>
  <w:footnote w:id="4">
    <w:p w14:paraId="6AA68B7A" w14:textId="77777777" w:rsidR="007E5C7A" w:rsidRPr="007E5C7A" w:rsidRDefault="007E5C7A" w:rsidP="007E5C7A">
      <w:pPr>
        <w:pStyle w:val="FootnoteText"/>
        <w:tabs>
          <w:tab w:val="left" w:pos="624"/>
        </w:tabs>
        <w:rPr>
          <w:szCs w:val="18"/>
          <w:lang w:val="en-US"/>
        </w:rPr>
      </w:pPr>
      <w:r w:rsidRPr="007E5C7A">
        <w:rPr>
          <w:rStyle w:val="FootnoteReference"/>
          <w:sz w:val="18"/>
          <w:vertAlign w:val="baseline"/>
          <w:lang w:val="en-US"/>
        </w:rPr>
        <w:t>*</w:t>
      </w:r>
      <w:r w:rsidRPr="007E5C7A">
        <w:rPr>
          <w:szCs w:val="18"/>
          <w:lang w:val="en-US"/>
        </w:rPr>
        <w:t xml:space="preserve"> </w:t>
      </w:r>
      <w:r w:rsidRPr="007E5C7A">
        <w:rPr>
          <w:szCs w:val="18"/>
          <w:lang w:val="en-GB"/>
        </w:rPr>
        <w:t>The annex has not been formally edited</w:t>
      </w:r>
      <w:r w:rsidRPr="007E5C7A">
        <w:rPr>
          <w:rStyle w:val="CommentReference"/>
          <w:sz w:val="18"/>
          <w:szCs w:val="18"/>
          <w:lang w:val="en-US"/>
        </w:rPr>
        <w:t>.</w:t>
      </w:r>
    </w:p>
  </w:footnote>
  <w:footnote w:id="5">
    <w:p w14:paraId="6827F157" w14:textId="77777777" w:rsidR="007E5C7A" w:rsidRDefault="007E5C7A" w:rsidP="007E5C7A">
      <w:pPr>
        <w:pStyle w:val="FootnoteText"/>
        <w:tabs>
          <w:tab w:val="left" w:pos="624"/>
        </w:tabs>
        <w:rPr>
          <w:szCs w:val="18"/>
          <w:lang w:val="en-US"/>
        </w:rPr>
      </w:pPr>
      <w:r w:rsidRPr="007E5C7A">
        <w:rPr>
          <w:rStyle w:val="FootnoteReference"/>
          <w:sz w:val="18"/>
          <w:vertAlign w:val="baseline"/>
          <w:lang w:val="en-US"/>
        </w:rPr>
        <w:t>*</w:t>
      </w:r>
      <w:r w:rsidRPr="007E5C7A">
        <w:rPr>
          <w:szCs w:val="18"/>
          <w:lang w:val="en-US"/>
        </w:rPr>
        <w:t xml:space="preserve"> </w:t>
      </w:r>
      <w:r w:rsidRPr="007E5C7A">
        <w:rPr>
          <w:szCs w:val="18"/>
          <w:lang w:val="en-GB"/>
        </w:rPr>
        <w:t>The annex has not been formally edited</w:t>
      </w:r>
      <w:r w:rsidRPr="007E5C7A">
        <w:rPr>
          <w:rStyle w:val="CommentReference"/>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39CA" w14:textId="10ED57C7" w:rsidR="005953B4" w:rsidRDefault="005953B4" w:rsidP="001E4B50">
    <w:pPr>
      <w:pStyle w:val="Header"/>
    </w:pPr>
    <w:r w:rsidRPr="001E4B50">
      <w:t>UNEP/MC/COP.</w:t>
    </w:r>
    <w:r w:rsidR="0057608B">
      <w:t>4</w:t>
    </w:r>
    <w:r w:rsidRPr="001E4B50">
      <w:t>/</w:t>
    </w:r>
    <w:r w:rsidR="00BA4798">
      <w:t>INF/27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DAE6" w14:textId="1CA08A3E" w:rsidR="005953B4" w:rsidRPr="00567C69" w:rsidRDefault="005953B4" w:rsidP="00567C69">
    <w:pPr>
      <w:pStyle w:val="Header"/>
      <w:jc w:val="right"/>
    </w:pPr>
    <w:r w:rsidRPr="001E4B50">
      <w:t>UNEP/MC/COP.</w:t>
    </w:r>
    <w:r w:rsidR="0057608B">
      <w:t>4/</w:t>
    </w:r>
    <w:r w:rsidR="00BA4798">
      <w:t>INF/27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80EB" w14:textId="77777777" w:rsidR="005953B4" w:rsidRDefault="005953B4" w:rsidP="0095108D">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2060" w14:textId="480F6BC9" w:rsidR="00123699" w:rsidRPr="00F96910" w:rsidRDefault="00F96910" w:rsidP="00F96910">
    <w:pPr>
      <w:pStyle w:val="Header-pool"/>
    </w:pPr>
    <w:r w:rsidRPr="00F96910">
      <w:t>UNEP/</w:t>
    </w:r>
    <w:r w:rsidRPr="008A2AB0">
      <w:t>MC</w:t>
    </w:r>
    <w:r w:rsidR="008A2AB0">
      <w:t>/</w:t>
    </w:r>
    <w:r w:rsidRPr="008A2AB0">
      <w:t>COP</w:t>
    </w:r>
    <w:r w:rsidRPr="00F96910">
      <w:t>.</w:t>
    </w:r>
    <w:r w:rsidR="00945DE7">
      <w:t>4</w:t>
    </w:r>
    <w:r w:rsidRPr="00F96910">
      <w:t>/</w:t>
    </w:r>
    <w:r w:rsidR="00BA4798">
      <w:t>INF/27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1346" w14:textId="2C7C8877" w:rsidR="00123699" w:rsidRPr="00392F9C" w:rsidRDefault="00F96910" w:rsidP="00F96910">
    <w:pPr>
      <w:pStyle w:val="Header-pool"/>
      <w:jc w:val="right"/>
      <w:rPr>
        <w:szCs w:val="18"/>
      </w:rPr>
    </w:pPr>
    <w:r w:rsidRPr="00F96910">
      <w:t>UNEP/MC</w:t>
    </w:r>
    <w:r w:rsidR="005953B4">
      <w:t>/</w:t>
    </w:r>
    <w:r w:rsidRPr="00F96910">
      <w:t>COP.</w:t>
    </w:r>
    <w:r w:rsidR="0057608B">
      <w:t>4/</w:t>
    </w:r>
    <w:r w:rsidR="00BA4798">
      <w:t>INF/27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AB1D" w14:textId="5B0914D4"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F5A"/>
    <w:multiLevelType w:val="hybridMultilevel"/>
    <w:tmpl w:val="66648B1E"/>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 w15:restartNumberingAfterBreak="0">
    <w:nsid w:val="071E3812"/>
    <w:multiLevelType w:val="hybridMultilevel"/>
    <w:tmpl w:val="A1223952"/>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 w15:restartNumberingAfterBreak="0">
    <w:nsid w:val="201C7F90"/>
    <w:multiLevelType w:val="hybridMultilevel"/>
    <w:tmpl w:val="799009CE"/>
    <w:lvl w:ilvl="0" w:tplc="0809000F">
      <w:start w:val="1"/>
      <w:numFmt w:val="decimal"/>
      <w:lvlText w:val="%1."/>
      <w:lvlJc w:val="left"/>
      <w:pPr>
        <w:ind w:left="2591" w:hanging="360"/>
      </w:pPr>
    </w:lvl>
    <w:lvl w:ilvl="1" w:tplc="A072B35A">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 w15:restartNumberingAfterBreak="0">
    <w:nsid w:val="29C1116E"/>
    <w:multiLevelType w:val="multilevel"/>
    <w:tmpl w:val="95EE38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 w15:restartNumberingAfterBreak="0">
    <w:nsid w:val="33C847A2"/>
    <w:multiLevelType w:val="hybridMultilevel"/>
    <w:tmpl w:val="CCB006EA"/>
    <w:lvl w:ilvl="0" w:tplc="A072B35A">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9291CC6"/>
    <w:multiLevelType w:val="hybridMultilevel"/>
    <w:tmpl w:val="C1CA0BCE"/>
    <w:lvl w:ilvl="0" w:tplc="F0C20A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3D47176"/>
    <w:multiLevelType w:val="hybridMultilevel"/>
    <w:tmpl w:val="0AA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D0448"/>
    <w:multiLevelType w:val="multilevel"/>
    <w:tmpl w:val="F40AC8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FFC4768"/>
    <w:multiLevelType w:val="multilevel"/>
    <w:tmpl w:val="6818F6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2A66A9D"/>
    <w:multiLevelType w:val="multilevel"/>
    <w:tmpl w:val="C0FC335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0" w15:restartNumberingAfterBreak="0">
    <w:nsid w:val="70140349"/>
    <w:multiLevelType w:val="multilevel"/>
    <w:tmpl w:val="569C1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B257C6E"/>
    <w:multiLevelType w:val="hybridMultilevel"/>
    <w:tmpl w:val="ABB0201C"/>
    <w:lvl w:ilvl="0" w:tplc="0409000F">
      <w:start w:val="1"/>
      <w:numFmt w:val="decimal"/>
      <w:lvlText w:val="%1."/>
      <w:lvlJc w:val="left"/>
      <w:pPr>
        <w:ind w:left="1080" w:hanging="360"/>
      </w:pPr>
      <w:rPr>
        <w:rFonts w:hint="default"/>
      </w:rPr>
    </w:lvl>
    <w:lvl w:ilvl="1" w:tplc="35B83F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951A73"/>
    <w:multiLevelType w:val="hybridMultilevel"/>
    <w:tmpl w:val="AD6C99D8"/>
    <w:lvl w:ilvl="0" w:tplc="04090001">
      <w:start w:val="1"/>
      <w:numFmt w:val="bullet"/>
      <w:lvlText w:val=""/>
      <w:lvlJc w:val="left"/>
      <w:pPr>
        <w:ind w:left="2591" w:hanging="360"/>
      </w:pPr>
      <w:rPr>
        <w:rFonts w:ascii="Symbol" w:hAnsi="Symbol" w:hint="default"/>
      </w:rPr>
    </w:lvl>
    <w:lvl w:ilvl="1" w:tplc="A072B35A">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abstractNumId w:val="9"/>
  </w:num>
  <w:num w:numId="2">
    <w:abstractNumId w:val="9"/>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9"/>
  </w:num>
  <w:num w:numId="9">
    <w:abstractNumId w:val="9"/>
  </w:num>
  <w:num w:numId="10">
    <w:abstractNumId w:val="9"/>
  </w:num>
  <w:num w:numId="11">
    <w:abstractNumId w:val="9"/>
  </w:num>
  <w:num w:numId="12">
    <w:abstractNumId w:val="9"/>
  </w:num>
  <w:num w:numId="13">
    <w:abstractNumId w:val="12"/>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3"/>
  </w:num>
  <w:num w:numId="35">
    <w:abstractNumId w:val="8"/>
  </w:num>
  <w:num w:numId="36">
    <w:abstractNumId w:val="10"/>
  </w:num>
  <w:num w:numId="37">
    <w:abstractNumId w:val="7"/>
  </w:num>
  <w:num w:numId="38">
    <w:abstractNumId w:val="11"/>
  </w:num>
  <w:num w:numId="39">
    <w:abstractNumId w:val="4"/>
  </w:num>
  <w:num w:numId="40">
    <w:abstractNumId w:val="6"/>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hideSpellingErrors/>
  <w:hideGrammaticalErrors/>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activeWritingStyle w:appName="MSWord" w:lang="fr-CH" w:vendorID="64" w:dllVersion="0" w:nlCheck="1" w:checkStyle="0"/>
  <w:activeWritingStyle w:appName="MSWord" w:lang="en-US" w:vendorID="64" w:dllVersion="4096"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8"/>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A7"/>
    <w:rsid w:val="0000007C"/>
    <w:rsid w:val="0000556E"/>
    <w:rsid w:val="00007A85"/>
    <w:rsid w:val="00007ADF"/>
    <w:rsid w:val="000149E6"/>
    <w:rsid w:val="00023BB1"/>
    <w:rsid w:val="000247B0"/>
    <w:rsid w:val="00024A92"/>
    <w:rsid w:val="00026997"/>
    <w:rsid w:val="000274DA"/>
    <w:rsid w:val="00030E91"/>
    <w:rsid w:val="000335A3"/>
    <w:rsid w:val="00033E0B"/>
    <w:rsid w:val="000340A5"/>
    <w:rsid w:val="00035EDE"/>
    <w:rsid w:val="0003716F"/>
    <w:rsid w:val="00041B7A"/>
    <w:rsid w:val="00041EBA"/>
    <w:rsid w:val="000428FE"/>
    <w:rsid w:val="0004371B"/>
    <w:rsid w:val="00043B74"/>
    <w:rsid w:val="00044340"/>
    <w:rsid w:val="000509B4"/>
    <w:rsid w:val="00056A37"/>
    <w:rsid w:val="0006035B"/>
    <w:rsid w:val="00061FBA"/>
    <w:rsid w:val="0006464A"/>
    <w:rsid w:val="00070D53"/>
    <w:rsid w:val="0007142F"/>
    <w:rsid w:val="00071886"/>
    <w:rsid w:val="000722DB"/>
    <w:rsid w:val="00073716"/>
    <w:rsid w:val="000742BC"/>
    <w:rsid w:val="00074A47"/>
    <w:rsid w:val="00082A0C"/>
    <w:rsid w:val="00083504"/>
    <w:rsid w:val="000941E5"/>
    <w:rsid w:val="0009640C"/>
    <w:rsid w:val="00097997"/>
    <w:rsid w:val="000A2A6E"/>
    <w:rsid w:val="000A7DED"/>
    <w:rsid w:val="000B04F8"/>
    <w:rsid w:val="000B0B14"/>
    <w:rsid w:val="000B22A2"/>
    <w:rsid w:val="000B23F3"/>
    <w:rsid w:val="000B566A"/>
    <w:rsid w:val="000B79C4"/>
    <w:rsid w:val="000C0F46"/>
    <w:rsid w:val="000C2A52"/>
    <w:rsid w:val="000C797E"/>
    <w:rsid w:val="000D0733"/>
    <w:rsid w:val="000D2CF1"/>
    <w:rsid w:val="000D33C0"/>
    <w:rsid w:val="000D5A6A"/>
    <w:rsid w:val="000D6941"/>
    <w:rsid w:val="000E04E7"/>
    <w:rsid w:val="000F2033"/>
    <w:rsid w:val="000F7D67"/>
    <w:rsid w:val="00103432"/>
    <w:rsid w:val="001061D7"/>
    <w:rsid w:val="00112932"/>
    <w:rsid w:val="00112A47"/>
    <w:rsid w:val="001133B1"/>
    <w:rsid w:val="001173D4"/>
    <w:rsid w:val="0011757A"/>
    <w:rsid w:val="001202E3"/>
    <w:rsid w:val="00120E3B"/>
    <w:rsid w:val="00123699"/>
    <w:rsid w:val="001246E2"/>
    <w:rsid w:val="00124C5B"/>
    <w:rsid w:val="0012644F"/>
    <w:rsid w:val="0013059D"/>
    <w:rsid w:val="00134A5F"/>
    <w:rsid w:val="00135BE3"/>
    <w:rsid w:val="00141A55"/>
    <w:rsid w:val="001426FC"/>
    <w:rsid w:val="001446A3"/>
    <w:rsid w:val="00145617"/>
    <w:rsid w:val="00145960"/>
    <w:rsid w:val="0015136C"/>
    <w:rsid w:val="00153306"/>
    <w:rsid w:val="001535E6"/>
    <w:rsid w:val="0015442E"/>
    <w:rsid w:val="00155395"/>
    <w:rsid w:val="00160D74"/>
    <w:rsid w:val="001613BA"/>
    <w:rsid w:val="001621B6"/>
    <w:rsid w:val="001652B1"/>
    <w:rsid w:val="00166433"/>
    <w:rsid w:val="00167D02"/>
    <w:rsid w:val="0017379F"/>
    <w:rsid w:val="001766AD"/>
    <w:rsid w:val="00176CBE"/>
    <w:rsid w:val="00181EC8"/>
    <w:rsid w:val="00184349"/>
    <w:rsid w:val="00193DC9"/>
    <w:rsid w:val="00195E9F"/>
    <w:rsid w:val="00195F33"/>
    <w:rsid w:val="001A331E"/>
    <w:rsid w:val="001A5941"/>
    <w:rsid w:val="001A6D95"/>
    <w:rsid w:val="001A7F2D"/>
    <w:rsid w:val="001B1617"/>
    <w:rsid w:val="001B1E0C"/>
    <w:rsid w:val="001B504B"/>
    <w:rsid w:val="001B77B2"/>
    <w:rsid w:val="001B7D42"/>
    <w:rsid w:val="001D3874"/>
    <w:rsid w:val="001D4A09"/>
    <w:rsid w:val="001D689A"/>
    <w:rsid w:val="001D7E75"/>
    <w:rsid w:val="001E06A7"/>
    <w:rsid w:val="001E3FB2"/>
    <w:rsid w:val="001E56D2"/>
    <w:rsid w:val="001E7D56"/>
    <w:rsid w:val="001F0956"/>
    <w:rsid w:val="001F6BB1"/>
    <w:rsid w:val="001F755B"/>
    <w:rsid w:val="001F7594"/>
    <w:rsid w:val="001F75DE"/>
    <w:rsid w:val="001F797D"/>
    <w:rsid w:val="00200D58"/>
    <w:rsid w:val="002013BE"/>
    <w:rsid w:val="0020168C"/>
    <w:rsid w:val="00201D39"/>
    <w:rsid w:val="00202496"/>
    <w:rsid w:val="002063A4"/>
    <w:rsid w:val="002100C2"/>
    <w:rsid w:val="0021145B"/>
    <w:rsid w:val="002155F9"/>
    <w:rsid w:val="002213F9"/>
    <w:rsid w:val="00222E0F"/>
    <w:rsid w:val="00223127"/>
    <w:rsid w:val="00223BA0"/>
    <w:rsid w:val="00227895"/>
    <w:rsid w:val="00230A05"/>
    <w:rsid w:val="00234B59"/>
    <w:rsid w:val="00234D22"/>
    <w:rsid w:val="00236353"/>
    <w:rsid w:val="002366AC"/>
    <w:rsid w:val="00243D36"/>
    <w:rsid w:val="0024693D"/>
    <w:rsid w:val="00247707"/>
    <w:rsid w:val="00250B6D"/>
    <w:rsid w:val="00250D11"/>
    <w:rsid w:val="00251BE4"/>
    <w:rsid w:val="0026018E"/>
    <w:rsid w:val="00260799"/>
    <w:rsid w:val="00260C2A"/>
    <w:rsid w:val="00262686"/>
    <w:rsid w:val="002660CC"/>
    <w:rsid w:val="00266C7E"/>
    <w:rsid w:val="00275DA1"/>
    <w:rsid w:val="002768BA"/>
    <w:rsid w:val="0028013E"/>
    <w:rsid w:val="0028022B"/>
    <w:rsid w:val="00283E12"/>
    <w:rsid w:val="0028658F"/>
    <w:rsid w:val="00286740"/>
    <w:rsid w:val="00290B1C"/>
    <w:rsid w:val="002929D8"/>
    <w:rsid w:val="00295996"/>
    <w:rsid w:val="002A19D4"/>
    <w:rsid w:val="002A237D"/>
    <w:rsid w:val="002A23AF"/>
    <w:rsid w:val="002A4C53"/>
    <w:rsid w:val="002A546A"/>
    <w:rsid w:val="002A6D0C"/>
    <w:rsid w:val="002B0672"/>
    <w:rsid w:val="002B0C6C"/>
    <w:rsid w:val="002B247F"/>
    <w:rsid w:val="002B3225"/>
    <w:rsid w:val="002B5B4A"/>
    <w:rsid w:val="002B64D4"/>
    <w:rsid w:val="002C145D"/>
    <w:rsid w:val="002C1F71"/>
    <w:rsid w:val="002C2C3E"/>
    <w:rsid w:val="002C3D49"/>
    <w:rsid w:val="002C533E"/>
    <w:rsid w:val="002C7AF0"/>
    <w:rsid w:val="002D027F"/>
    <w:rsid w:val="002D7A85"/>
    <w:rsid w:val="002D7B60"/>
    <w:rsid w:val="002E07D1"/>
    <w:rsid w:val="002E27B9"/>
    <w:rsid w:val="002E6BB4"/>
    <w:rsid w:val="002F2C27"/>
    <w:rsid w:val="002F4761"/>
    <w:rsid w:val="002F49AF"/>
    <w:rsid w:val="002F5C79"/>
    <w:rsid w:val="002F756D"/>
    <w:rsid w:val="002F7BCE"/>
    <w:rsid w:val="003019E2"/>
    <w:rsid w:val="00311A5C"/>
    <w:rsid w:val="0031413F"/>
    <w:rsid w:val="003148BB"/>
    <w:rsid w:val="00314F6A"/>
    <w:rsid w:val="00317976"/>
    <w:rsid w:val="00323E6A"/>
    <w:rsid w:val="00324B1A"/>
    <w:rsid w:val="0032774D"/>
    <w:rsid w:val="0033073B"/>
    <w:rsid w:val="00333027"/>
    <w:rsid w:val="00335787"/>
    <w:rsid w:val="003361DE"/>
    <w:rsid w:val="00337420"/>
    <w:rsid w:val="00342D13"/>
    <w:rsid w:val="003433A9"/>
    <w:rsid w:val="00350321"/>
    <w:rsid w:val="00355EA9"/>
    <w:rsid w:val="003578DE"/>
    <w:rsid w:val="00362047"/>
    <w:rsid w:val="0036454E"/>
    <w:rsid w:val="00364839"/>
    <w:rsid w:val="003653D4"/>
    <w:rsid w:val="0036669D"/>
    <w:rsid w:val="00370325"/>
    <w:rsid w:val="00370DDB"/>
    <w:rsid w:val="00372781"/>
    <w:rsid w:val="00376E49"/>
    <w:rsid w:val="00385A16"/>
    <w:rsid w:val="00386AB0"/>
    <w:rsid w:val="003879F9"/>
    <w:rsid w:val="0039169B"/>
    <w:rsid w:val="00392F9C"/>
    <w:rsid w:val="00396257"/>
    <w:rsid w:val="003963DF"/>
    <w:rsid w:val="00397EB8"/>
    <w:rsid w:val="003A1C5B"/>
    <w:rsid w:val="003A32E0"/>
    <w:rsid w:val="003A4FD0"/>
    <w:rsid w:val="003A69D1"/>
    <w:rsid w:val="003A7705"/>
    <w:rsid w:val="003A77F1"/>
    <w:rsid w:val="003B00DB"/>
    <w:rsid w:val="003B0723"/>
    <w:rsid w:val="003B1545"/>
    <w:rsid w:val="003B4083"/>
    <w:rsid w:val="003B5FFF"/>
    <w:rsid w:val="003C3C61"/>
    <w:rsid w:val="003C409D"/>
    <w:rsid w:val="003C5BA6"/>
    <w:rsid w:val="003C77AD"/>
    <w:rsid w:val="003D104A"/>
    <w:rsid w:val="003E5F5E"/>
    <w:rsid w:val="003E6F41"/>
    <w:rsid w:val="003E7DE3"/>
    <w:rsid w:val="003F06BB"/>
    <w:rsid w:val="003F0E85"/>
    <w:rsid w:val="00401787"/>
    <w:rsid w:val="00403DD9"/>
    <w:rsid w:val="004068D0"/>
    <w:rsid w:val="00410C55"/>
    <w:rsid w:val="00416854"/>
    <w:rsid w:val="00416CDA"/>
    <w:rsid w:val="00417725"/>
    <w:rsid w:val="00423B2D"/>
    <w:rsid w:val="00424801"/>
    <w:rsid w:val="00426326"/>
    <w:rsid w:val="0042664D"/>
    <w:rsid w:val="0042792B"/>
    <w:rsid w:val="0043103B"/>
    <w:rsid w:val="00433712"/>
    <w:rsid w:val="00437646"/>
    <w:rsid w:val="00437F26"/>
    <w:rsid w:val="00444097"/>
    <w:rsid w:val="00445487"/>
    <w:rsid w:val="00454769"/>
    <w:rsid w:val="00455095"/>
    <w:rsid w:val="00456D37"/>
    <w:rsid w:val="00466991"/>
    <w:rsid w:val="004679AA"/>
    <w:rsid w:val="0047064C"/>
    <w:rsid w:val="004718C1"/>
    <w:rsid w:val="00476463"/>
    <w:rsid w:val="004846C0"/>
    <w:rsid w:val="00486F90"/>
    <w:rsid w:val="00495D1D"/>
    <w:rsid w:val="004A2716"/>
    <w:rsid w:val="004A42E1"/>
    <w:rsid w:val="004A5394"/>
    <w:rsid w:val="004B162C"/>
    <w:rsid w:val="004B614E"/>
    <w:rsid w:val="004B6FA6"/>
    <w:rsid w:val="004C3DBE"/>
    <w:rsid w:val="004C5C96"/>
    <w:rsid w:val="004C73BE"/>
    <w:rsid w:val="004C7D25"/>
    <w:rsid w:val="004D06A4"/>
    <w:rsid w:val="004D5E4A"/>
    <w:rsid w:val="004E348D"/>
    <w:rsid w:val="004E75BF"/>
    <w:rsid w:val="004F04FF"/>
    <w:rsid w:val="004F0BEF"/>
    <w:rsid w:val="004F0D22"/>
    <w:rsid w:val="004F1970"/>
    <w:rsid w:val="004F1A81"/>
    <w:rsid w:val="0050052E"/>
    <w:rsid w:val="00501330"/>
    <w:rsid w:val="00503518"/>
    <w:rsid w:val="00503A47"/>
    <w:rsid w:val="00505295"/>
    <w:rsid w:val="00506F95"/>
    <w:rsid w:val="005122C4"/>
    <w:rsid w:val="0051779E"/>
    <w:rsid w:val="005218D9"/>
    <w:rsid w:val="005279CB"/>
    <w:rsid w:val="00530FCF"/>
    <w:rsid w:val="00532CA0"/>
    <w:rsid w:val="00533B78"/>
    <w:rsid w:val="00536186"/>
    <w:rsid w:val="005369CB"/>
    <w:rsid w:val="00544CBB"/>
    <w:rsid w:val="00551104"/>
    <w:rsid w:val="00555153"/>
    <w:rsid w:val="0055577D"/>
    <w:rsid w:val="00561676"/>
    <w:rsid w:val="0056266F"/>
    <w:rsid w:val="00564887"/>
    <w:rsid w:val="005650AA"/>
    <w:rsid w:val="00566B59"/>
    <w:rsid w:val="00567723"/>
    <w:rsid w:val="0057124D"/>
    <w:rsid w:val="0057315F"/>
    <w:rsid w:val="0057608B"/>
    <w:rsid w:val="00576104"/>
    <w:rsid w:val="0058599D"/>
    <w:rsid w:val="0058666C"/>
    <w:rsid w:val="005953B4"/>
    <w:rsid w:val="00595F64"/>
    <w:rsid w:val="005A00DC"/>
    <w:rsid w:val="005A1254"/>
    <w:rsid w:val="005B00EB"/>
    <w:rsid w:val="005B42A6"/>
    <w:rsid w:val="005C0116"/>
    <w:rsid w:val="005C67C8"/>
    <w:rsid w:val="005D0249"/>
    <w:rsid w:val="005D1DA1"/>
    <w:rsid w:val="005D46B6"/>
    <w:rsid w:val="005D6E8C"/>
    <w:rsid w:val="005E5412"/>
    <w:rsid w:val="005F100C"/>
    <w:rsid w:val="005F2514"/>
    <w:rsid w:val="005F2F17"/>
    <w:rsid w:val="005F68DA"/>
    <w:rsid w:val="00604E57"/>
    <w:rsid w:val="006057DC"/>
    <w:rsid w:val="0060646E"/>
    <w:rsid w:val="0060773B"/>
    <w:rsid w:val="00607FF2"/>
    <w:rsid w:val="006157B5"/>
    <w:rsid w:val="00620A83"/>
    <w:rsid w:val="00622D02"/>
    <w:rsid w:val="006230D2"/>
    <w:rsid w:val="006245B9"/>
    <w:rsid w:val="00625136"/>
    <w:rsid w:val="00626FC6"/>
    <w:rsid w:val="006303B4"/>
    <w:rsid w:val="00633D3D"/>
    <w:rsid w:val="00635ED7"/>
    <w:rsid w:val="00636C41"/>
    <w:rsid w:val="00641703"/>
    <w:rsid w:val="00642DB2"/>
    <w:rsid w:val="006431A6"/>
    <w:rsid w:val="006459F6"/>
    <w:rsid w:val="0064671A"/>
    <w:rsid w:val="006473AD"/>
    <w:rsid w:val="006501AD"/>
    <w:rsid w:val="00650D75"/>
    <w:rsid w:val="00651BFA"/>
    <w:rsid w:val="006520E8"/>
    <w:rsid w:val="006523F9"/>
    <w:rsid w:val="00653966"/>
    <w:rsid w:val="00654475"/>
    <w:rsid w:val="00654E9F"/>
    <w:rsid w:val="00660E07"/>
    <w:rsid w:val="00665A4B"/>
    <w:rsid w:val="006671E0"/>
    <w:rsid w:val="006717E6"/>
    <w:rsid w:val="00673665"/>
    <w:rsid w:val="00680611"/>
    <w:rsid w:val="00682CA8"/>
    <w:rsid w:val="0068313C"/>
    <w:rsid w:val="006843D3"/>
    <w:rsid w:val="00692E2A"/>
    <w:rsid w:val="006943F6"/>
    <w:rsid w:val="006A0394"/>
    <w:rsid w:val="006A2D5B"/>
    <w:rsid w:val="006A76F2"/>
    <w:rsid w:val="006A7C4A"/>
    <w:rsid w:val="006B0412"/>
    <w:rsid w:val="006C2595"/>
    <w:rsid w:val="006C2F73"/>
    <w:rsid w:val="006C3E04"/>
    <w:rsid w:val="006C502C"/>
    <w:rsid w:val="006C59BA"/>
    <w:rsid w:val="006D4F04"/>
    <w:rsid w:val="006D5F5E"/>
    <w:rsid w:val="006D7EFB"/>
    <w:rsid w:val="006E09ED"/>
    <w:rsid w:val="006E6672"/>
    <w:rsid w:val="006E6722"/>
    <w:rsid w:val="006F5276"/>
    <w:rsid w:val="006F7BB5"/>
    <w:rsid w:val="007027B9"/>
    <w:rsid w:val="00702D67"/>
    <w:rsid w:val="0070570F"/>
    <w:rsid w:val="00712623"/>
    <w:rsid w:val="00715E88"/>
    <w:rsid w:val="0072353B"/>
    <w:rsid w:val="00724F4A"/>
    <w:rsid w:val="00727650"/>
    <w:rsid w:val="00730B79"/>
    <w:rsid w:val="0073197E"/>
    <w:rsid w:val="00732036"/>
    <w:rsid w:val="00732957"/>
    <w:rsid w:val="00734CAA"/>
    <w:rsid w:val="00741B20"/>
    <w:rsid w:val="00745D8B"/>
    <w:rsid w:val="0074728F"/>
    <w:rsid w:val="00750456"/>
    <w:rsid w:val="00751150"/>
    <w:rsid w:val="0075533C"/>
    <w:rsid w:val="007571D7"/>
    <w:rsid w:val="00757581"/>
    <w:rsid w:val="007610B2"/>
    <w:rsid w:val="007611A0"/>
    <w:rsid w:val="0076147A"/>
    <w:rsid w:val="00762A38"/>
    <w:rsid w:val="00765E9D"/>
    <w:rsid w:val="00766AD6"/>
    <w:rsid w:val="0077146E"/>
    <w:rsid w:val="007801A4"/>
    <w:rsid w:val="007828A5"/>
    <w:rsid w:val="007841F5"/>
    <w:rsid w:val="00785B5B"/>
    <w:rsid w:val="00786F18"/>
    <w:rsid w:val="00787723"/>
    <w:rsid w:val="00791356"/>
    <w:rsid w:val="00791737"/>
    <w:rsid w:val="007942AB"/>
    <w:rsid w:val="00796D3F"/>
    <w:rsid w:val="007A1683"/>
    <w:rsid w:val="007A1A36"/>
    <w:rsid w:val="007A5C12"/>
    <w:rsid w:val="007A6A56"/>
    <w:rsid w:val="007A7CB0"/>
    <w:rsid w:val="007B0DE1"/>
    <w:rsid w:val="007B24F8"/>
    <w:rsid w:val="007B31FB"/>
    <w:rsid w:val="007B3EF1"/>
    <w:rsid w:val="007B68A3"/>
    <w:rsid w:val="007C2541"/>
    <w:rsid w:val="007C3546"/>
    <w:rsid w:val="007C521D"/>
    <w:rsid w:val="007D66A8"/>
    <w:rsid w:val="007E003F"/>
    <w:rsid w:val="007E0BCC"/>
    <w:rsid w:val="007E46A6"/>
    <w:rsid w:val="007E52B6"/>
    <w:rsid w:val="007E5C7A"/>
    <w:rsid w:val="007F10DB"/>
    <w:rsid w:val="007F387A"/>
    <w:rsid w:val="007F39DE"/>
    <w:rsid w:val="007F7535"/>
    <w:rsid w:val="00804521"/>
    <w:rsid w:val="00813A9F"/>
    <w:rsid w:val="008145C4"/>
    <w:rsid w:val="00814A03"/>
    <w:rsid w:val="00815BFA"/>
    <w:rsid w:val="008164F2"/>
    <w:rsid w:val="008201A2"/>
    <w:rsid w:val="00821395"/>
    <w:rsid w:val="008214B0"/>
    <w:rsid w:val="008223D7"/>
    <w:rsid w:val="00824FC7"/>
    <w:rsid w:val="008258CF"/>
    <w:rsid w:val="00826D76"/>
    <w:rsid w:val="00830E26"/>
    <w:rsid w:val="008314BA"/>
    <w:rsid w:val="00834878"/>
    <w:rsid w:val="00836548"/>
    <w:rsid w:val="00843576"/>
    <w:rsid w:val="00843B64"/>
    <w:rsid w:val="008478FC"/>
    <w:rsid w:val="008522D4"/>
    <w:rsid w:val="008555C4"/>
    <w:rsid w:val="00861FF9"/>
    <w:rsid w:val="008621A7"/>
    <w:rsid w:val="0086451B"/>
    <w:rsid w:val="00867808"/>
    <w:rsid w:val="00867BFF"/>
    <w:rsid w:val="008710D9"/>
    <w:rsid w:val="00874FCD"/>
    <w:rsid w:val="00875480"/>
    <w:rsid w:val="0087771C"/>
    <w:rsid w:val="0088480A"/>
    <w:rsid w:val="0088757A"/>
    <w:rsid w:val="00887AD5"/>
    <w:rsid w:val="008957DD"/>
    <w:rsid w:val="00897D98"/>
    <w:rsid w:val="008A19F1"/>
    <w:rsid w:val="008A2932"/>
    <w:rsid w:val="008A2AB0"/>
    <w:rsid w:val="008A2B1D"/>
    <w:rsid w:val="008A3441"/>
    <w:rsid w:val="008A4097"/>
    <w:rsid w:val="008A6DF2"/>
    <w:rsid w:val="008A7807"/>
    <w:rsid w:val="008B24A5"/>
    <w:rsid w:val="008B44B2"/>
    <w:rsid w:val="008B4B15"/>
    <w:rsid w:val="008B4CC9"/>
    <w:rsid w:val="008B5B81"/>
    <w:rsid w:val="008B71C6"/>
    <w:rsid w:val="008C44FE"/>
    <w:rsid w:val="008D6711"/>
    <w:rsid w:val="008D7C99"/>
    <w:rsid w:val="008E0FCB"/>
    <w:rsid w:val="008E1E3F"/>
    <w:rsid w:val="008E5A4E"/>
    <w:rsid w:val="008F0F3C"/>
    <w:rsid w:val="008F1483"/>
    <w:rsid w:val="008F201B"/>
    <w:rsid w:val="008F5D00"/>
    <w:rsid w:val="008F7848"/>
    <w:rsid w:val="00900093"/>
    <w:rsid w:val="00901316"/>
    <w:rsid w:val="00901F2C"/>
    <w:rsid w:val="00903FC2"/>
    <w:rsid w:val="009173F6"/>
    <w:rsid w:val="0092178C"/>
    <w:rsid w:val="009224D1"/>
    <w:rsid w:val="009254CD"/>
    <w:rsid w:val="0092660A"/>
    <w:rsid w:val="00930B88"/>
    <w:rsid w:val="00930E68"/>
    <w:rsid w:val="00934D31"/>
    <w:rsid w:val="009361D8"/>
    <w:rsid w:val="0094095A"/>
    <w:rsid w:val="00940DCC"/>
    <w:rsid w:val="0094179A"/>
    <w:rsid w:val="0094459E"/>
    <w:rsid w:val="00944DBC"/>
    <w:rsid w:val="00945DE7"/>
    <w:rsid w:val="009468B7"/>
    <w:rsid w:val="009473C6"/>
    <w:rsid w:val="00950977"/>
    <w:rsid w:val="00951A7B"/>
    <w:rsid w:val="00955A8F"/>
    <w:rsid w:val="00955BC9"/>
    <w:rsid w:val="009564A6"/>
    <w:rsid w:val="00962471"/>
    <w:rsid w:val="00966A25"/>
    <w:rsid w:val="00967621"/>
    <w:rsid w:val="00967E6A"/>
    <w:rsid w:val="009700F5"/>
    <w:rsid w:val="0097044B"/>
    <w:rsid w:val="0097186D"/>
    <w:rsid w:val="009825C6"/>
    <w:rsid w:val="00984069"/>
    <w:rsid w:val="009863AE"/>
    <w:rsid w:val="009921E5"/>
    <w:rsid w:val="00992DE3"/>
    <w:rsid w:val="00995607"/>
    <w:rsid w:val="009958EB"/>
    <w:rsid w:val="009964E3"/>
    <w:rsid w:val="00997C1E"/>
    <w:rsid w:val="009A1E58"/>
    <w:rsid w:val="009A41C3"/>
    <w:rsid w:val="009B4A0F"/>
    <w:rsid w:val="009B595F"/>
    <w:rsid w:val="009B63BF"/>
    <w:rsid w:val="009B6477"/>
    <w:rsid w:val="009C11D2"/>
    <w:rsid w:val="009C6C70"/>
    <w:rsid w:val="009C6CE9"/>
    <w:rsid w:val="009D0B63"/>
    <w:rsid w:val="009D48A6"/>
    <w:rsid w:val="009D7B82"/>
    <w:rsid w:val="009E24BE"/>
    <w:rsid w:val="009E2F3F"/>
    <w:rsid w:val="009E307E"/>
    <w:rsid w:val="009E3D8F"/>
    <w:rsid w:val="009E4459"/>
    <w:rsid w:val="009E5934"/>
    <w:rsid w:val="009F271B"/>
    <w:rsid w:val="009F4AFA"/>
    <w:rsid w:val="00A001C6"/>
    <w:rsid w:val="00A027A1"/>
    <w:rsid w:val="00A059E1"/>
    <w:rsid w:val="00A060DB"/>
    <w:rsid w:val="00A07870"/>
    <w:rsid w:val="00A07F19"/>
    <w:rsid w:val="00A10F3B"/>
    <w:rsid w:val="00A11B9F"/>
    <w:rsid w:val="00A1348D"/>
    <w:rsid w:val="00A142E9"/>
    <w:rsid w:val="00A16D89"/>
    <w:rsid w:val="00A21A43"/>
    <w:rsid w:val="00A232EE"/>
    <w:rsid w:val="00A25437"/>
    <w:rsid w:val="00A31A1A"/>
    <w:rsid w:val="00A3256D"/>
    <w:rsid w:val="00A32F74"/>
    <w:rsid w:val="00A3546E"/>
    <w:rsid w:val="00A35EA7"/>
    <w:rsid w:val="00A4175F"/>
    <w:rsid w:val="00A426CA"/>
    <w:rsid w:val="00A44411"/>
    <w:rsid w:val="00A469FA"/>
    <w:rsid w:val="00A47A56"/>
    <w:rsid w:val="00A5026D"/>
    <w:rsid w:val="00A53086"/>
    <w:rsid w:val="00A53F52"/>
    <w:rsid w:val="00A55B01"/>
    <w:rsid w:val="00A56B5B"/>
    <w:rsid w:val="00A603FF"/>
    <w:rsid w:val="00A607A8"/>
    <w:rsid w:val="00A657DD"/>
    <w:rsid w:val="00A666A6"/>
    <w:rsid w:val="00A675FD"/>
    <w:rsid w:val="00A706CF"/>
    <w:rsid w:val="00A71EFB"/>
    <w:rsid w:val="00A72437"/>
    <w:rsid w:val="00A80611"/>
    <w:rsid w:val="00A829C5"/>
    <w:rsid w:val="00A83C8F"/>
    <w:rsid w:val="00A85A90"/>
    <w:rsid w:val="00A87552"/>
    <w:rsid w:val="00A94080"/>
    <w:rsid w:val="00AA0477"/>
    <w:rsid w:val="00AA2E6C"/>
    <w:rsid w:val="00AA37DB"/>
    <w:rsid w:val="00AA5FF1"/>
    <w:rsid w:val="00AA7163"/>
    <w:rsid w:val="00AB0EE0"/>
    <w:rsid w:val="00AB2C1F"/>
    <w:rsid w:val="00AB512E"/>
    <w:rsid w:val="00AB5340"/>
    <w:rsid w:val="00AC0A89"/>
    <w:rsid w:val="00AC5CBF"/>
    <w:rsid w:val="00AC7051"/>
    <w:rsid w:val="00AC7C96"/>
    <w:rsid w:val="00AC7FF9"/>
    <w:rsid w:val="00AD1094"/>
    <w:rsid w:val="00AE237D"/>
    <w:rsid w:val="00AE2C4D"/>
    <w:rsid w:val="00AE502A"/>
    <w:rsid w:val="00AE6614"/>
    <w:rsid w:val="00AF1BC2"/>
    <w:rsid w:val="00AF1E88"/>
    <w:rsid w:val="00AF4FDB"/>
    <w:rsid w:val="00AF7C07"/>
    <w:rsid w:val="00B0461F"/>
    <w:rsid w:val="00B07AED"/>
    <w:rsid w:val="00B11663"/>
    <w:rsid w:val="00B12B35"/>
    <w:rsid w:val="00B137DC"/>
    <w:rsid w:val="00B14824"/>
    <w:rsid w:val="00B22C93"/>
    <w:rsid w:val="00B25ACC"/>
    <w:rsid w:val="00B27589"/>
    <w:rsid w:val="00B31168"/>
    <w:rsid w:val="00B32141"/>
    <w:rsid w:val="00B36703"/>
    <w:rsid w:val="00B405B7"/>
    <w:rsid w:val="00B40932"/>
    <w:rsid w:val="00B40CD8"/>
    <w:rsid w:val="00B4162D"/>
    <w:rsid w:val="00B50D11"/>
    <w:rsid w:val="00B52222"/>
    <w:rsid w:val="00B52657"/>
    <w:rsid w:val="00B5428A"/>
    <w:rsid w:val="00B54847"/>
    <w:rsid w:val="00B54C1E"/>
    <w:rsid w:val="00B54FE7"/>
    <w:rsid w:val="00B64289"/>
    <w:rsid w:val="00B64954"/>
    <w:rsid w:val="00B6666C"/>
    <w:rsid w:val="00B66901"/>
    <w:rsid w:val="00B71E6D"/>
    <w:rsid w:val="00B72070"/>
    <w:rsid w:val="00B72AC7"/>
    <w:rsid w:val="00B737E9"/>
    <w:rsid w:val="00B779E1"/>
    <w:rsid w:val="00B849E3"/>
    <w:rsid w:val="00B85BAA"/>
    <w:rsid w:val="00B91EE1"/>
    <w:rsid w:val="00B925AB"/>
    <w:rsid w:val="00B94EF5"/>
    <w:rsid w:val="00B97B5C"/>
    <w:rsid w:val="00BA0090"/>
    <w:rsid w:val="00BA1A67"/>
    <w:rsid w:val="00BA3FEB"/>
    <w:rsid w:val="00BA4798"/>
    <w:rsid w:val="00BA7128"/>
    <w:rsid w:val="00BB033B"/>
    <w:rsid w:val="00BB12C0"/>
    <w:rsid w:val="00BB3B02"/>
    <w:rsid w:val="00BB5DC3"/>
    <w:rsid w:val="00BC15B9"/>
    <w:rsid w:val="00BC1A33"/>
    <w:rsid w:val="00BC3DFF"/>
    <w:rsid w:val="00BC6540"/>
    <w:rsid w:val="00BD3C14"/>
    <w:rsid w:val="00BE163F"/>
    <w:rsid w:val="00BE2779"/>
    <w:rsid w:val="00BE3564"/>
    <w:rsid w:val="00BE5B5F"/>
    <w:rsid w:val="00BE73FB"/>
    <w:rsid w:val="00BF0DC5"/>
    <w:rsid w:val="00BF17E5"/>
    <w:rsid w:val="00BF35FE"/>
    <w:rsid w:val="00C00C4D"/>
    <w:rsid w:val="00C02FA1"/>
    <w:rsid w:val="00C059F0"/>
    <w:rsid w:val="00C12C03"/>
    <w:rsid w:val="00C155AC"/>
    <w:rsid w:val="00C16BD5"/>
    <w:rsid w:val="00C20FAF"/>
    <w:rsid w:val="00C228DB"/>
    <w:rsid w:val="00C25AB5"/>
    <w:rsid w:val="00C26F55"/>
    <w:rsid w:val="00C30C63"/>
    <w:rsid w:val="00C36B8B"/>
    <w:rsid w:val="00C415C1"/>
    <w:rsid w:val="00C47DBF"/>
    <w:rsid w:val="00C52AC2"/>
    <w:rsid w:val="00C552FF"/>
    <w:rsid w:val="00C558DA"/>
    <w:rsid w:val="00C55AF3"/>
    <w:rsid w:val="00C604EF"/>
    <w:rsid w:val="00C6654F"/>
    <w:rsid w:val="00C70C8F"/>
    <w:rsid w:val="00C81140"/>
    <w:rsid w:val="00C81BA0"/>
    <w:rsid w:val="00C84636"/>
    <w:rsid w:val="00C84642"/>
    <w:rsid w:val="00C84759"/>
    <w:rsid w:val="00C850D6"/>
    <w:rsid w:val="00C8604E"/>
    <w:rsid w:val="00C86D73"/>
    <w:rsid w:val="00C92E29"/>
    <w:rsid w:val="00CA267F"/>
    <w:rsid w:val="00CA54F0"/>
    <w:rsid w:val="00CA6C7F"/>
    <w:rsid w:val="00CB1FCC"/>
    <w:rsid w:val="00CB3051"/>
    <w:rsid w:val="00CB50E7"/>
    <w:rsid w:val="00CB7993"/>
    <w:rsid w:val="00CC10A6"/>
    <w:rsid w:val="00CC382E"/>
    <w:rsid w:val="00CD13CB"/>
    <w:rsid w:val="00CD2FF7"/>
    <w:rsid w:val="00CD429C"/>
    <w:rsid w:val="00CD5EB8"/>
    <w:rsid w:val="00CD66C3"/>
    <w:rsid w:val="00CD7044"/>
    <w:rsid w:val="00CE0792"/>
    <w:rsid w:val="00CE08B9"/>
    <w:rsid w:val="00CE08D1"/>
    <w:rsid w:val="00CE26B2"/>
    <w:rsid w:val="00CE2F1A"/>
    <w:rsid w:val="00CE3103"/>
    <w:rsid w:val="00CE524C"/>
    <w:rsid w:val="00CE66D9"/>
    <w:rsid w:val="00CF01AD"/>
    <w:rsid w:val="00CF141F"/>
    <w:rsid w:val="00CF4777"/>
    <w:rsid w:val="00CF5D8E"/>
    <w:rsid w:val="00CF5DA4"/>
    <w:rsid w:val="00D00EA7"/>
    <w:rsid w:val="00D067BB"/>
    <w:rsid w:val="00D07EDB"/>
    <w:rsid w:val="00D1352A"/>
    <w:rsid w:val="00D13873"/>
    <w:rsid w:val="00D169AF"/>
    <w:rsid w:val="00D25249"/>
    <w:rsid w:val="00D25ED8"/>
    <w:rsid w:val="00D26A3D"/>
    <w:rsid w:val="00D33365"/>
    <w:rsid w:val="00D3498D"/>
    <w:rsid w:val="00D34DE9"/>
    <w:rsid w:val="00D35F94"/>
    <w:rsid w:val="00D44172"/>
    <w:rsid w:val="00D513DD"/>
    <w:rsid w:val="00D572F5"/>
    <w:rsid w:val="00D60A3E"/>
    <w:rsid w:val="00D615B7"/>
    <w:rsid w:val="00D61FBB"/>
    <w:rsid w:val="00D63B8C"/>
    <w:rsid w:val="00D63D88"/>
    <w:rsid w:val="00D65163"/>
    <w:rsid w:val="00D739CC"/>
    <w:rsid w:val="00D75101"/>
    <w:rsid w:val="00D76E06"/>
    <w:rsid w:val="00D8093D"/>
    <w:rsid w:val="00D8108C"/>
    <w:rsid w:val="00D842AE"/>
    <w:rsid w:val="00D85450"/>
    <w:rsid w:val="00D91204"/>
    <w:rsid w:val="00D9211C"/>
    <w:rsid w:val="00D92DCA"/>
    <w:rsid w:val="00D92DE0"/>
    <w:rsid w:val="00D92FEF"/>
    <w:rsid w:val="00D93A0F"/>
    <w:rsid w:val="00DA1989"/>
    <w:rsid w:val="00DA1BCA"/>
    <w:rsid w:val="00DA2D45"/>
    <w:rsid w:val="00DA606E"/>
    <w:rsid w:val="00DA70C5"/>
    <w:rsid w:val="00DA7122"/>
    <w:rsid w:val="00DB01F9"/>
    <w:rsid w:val="00DB1821"/>
    <w:rsid w:val="00DB4AEB"/>
    <w:rsid w:val="00DB7648"/>
    <w:rsid w:val="00DC46FF"/>
    <w:rsid w:val="00DC5254"/>
    <w:rsid w:val="00DC5636"/>
    <w:rsid w:val="00DD1A4F"/>
    <w:rsid w:val="00DD3107"/>
    <w:rsid w:val="00DD3300"/>
    <w:rsid w:val="00DD5791"/>
    <w:rsid w:val="00DD5E0A"/>
    <w:rsid w:val="00DD612F"/>
    <w:rsid w:val="00DD7C2C"/>
    <w:rsid w:val="00DE13BD"/>
    <w:rsid w:val="00DF192E"/>
    <w:rsid w:val="00DF70BF"/>
    <w:rsid w:val="00DF7B55"/>
    <w:rsid w:val="00E039E0"/>
    <w:rsid w:val="00E04FF0"/>
    <w:rsid w:val="00E05D7F"/>
    <w:rsid w:val="00E06797"/>
    <w:rsid w:val="00E06BFB"/>
    <w:rsid w:val="00E072CC"/>
    <w:rsid w:val="00E1265B"/>
    <w:rsid w:val="00E13B48"/>
    <w:rsid w:val="00E1404F"/>
    <w:rsid w:val="00E14D1F"/>
    <w:rsid w:val="00E167A6"/>
    <w:rsid w:val="00E20578"/>
    <w:rsid w:val="00E21C83"/>
    <w:rsid w:val="00E24063"/>
    <w:rsid w:val="00E24ADA"/>
    <w:rsid w:val="00E276A4"/>
    <w:rsid w:val="00E305ED"/>
    <w:rsid w:val="00E32F59"/>
    <w:rsid w:val="00E3329D"/>
    <w:rsid w:val="00E46D9A"/>
    <w:rsid w:val="00E50C72"/>
    <w:rsid w:val="00E532C7"/>
    <w:rsid w:val="00E55EEB"/>
    <w:rsid w:val="00E56352"/>
    <w:rsid w:val="00E565FF"/>
    <w:rsid w:val="00E566A7"/>
    <w:rsid w:val="00E568B2"/>
    <w:rsid w:val="00E56A58"/>
    <w:rsid w:val="00E572DA"/>
    <w:rsid w:val="00E63D8F"/>
    <w:rsid w:val="00E65388"/>
    <w:rsid w:val="00E65E98"/>
    <w:rsid w:val="00E67B3F"/>
    <w:rsid w:val="00E70760"/>
    <w:rsid w:val="00E71F1B"/>
    <w:rsid w:val="00E726A7"/>
    <w:rsid w:val="00E73D29"/>
    <w:rsid w:val="00E74395"/>
    <w:rsid w:val="00E85B7D"/>
    <w:rsid w:val="00E85B80"/>
    <w:rsid w:val="00E9121B"/>
    <w:rsid w:val="00E91960"/>
    <w:rsid w:val="00E91D53"/>
    <w:rsid w:val="00E92B4B"/>
    <w:rsid w:val="00E942CC"/>
    <w:rsid w:val="00E94536"/>
    <w:rsid w:val="00E945A5"/>
    <w:rsid w:val="00E9473C"/>
    <w:rsid w:val="00E96DA8"/>
    <w:rsid w:val="00EA0AE2"/>
    <w:rsid w:val="00EA1B7E"/>
    <w:rsid w:val="00EA39E5"/>
    <w:rsid w:val="00EC33B2"/>
    <w:rsid w:val="00EC4A9C"/>
    <w:rsid w:val="00EC5A46"/>
    <w:rsid w:val="00EC63E2"/>
    <w:rsid w:val="00EC6F9A"/>
    <w:rsid w:val="00ED0F7F"/>
    <w:rsid w:val="00EE0374"/>
    <w:rsid w:val="00EE7559"/>
    <w:rsid w:val="00EF22B3"/>
    <w:rsid w:val="00EF4080"/>
    <w:rsid w:val="00EF6418"/>
    <w:rsid w:val="00F00ACB"/>
    <w:rsid w:val="00F03408"/>
    <w:rsid w:val="00F03B69"/>
    <w:rsid w:val="00F05C85"/>
    <w:rsid w:val="00F07A50"/>
    <w:rsid w:val="00F113DA"/>
    <w:rsid w:val="00F116A8"/>
    <w:rsid w:val="00F11AC1"/>
    <w:rsid w:val="00F1482D"/>
    <w:rsid w:val="00F209C3"/>
    <w:rsid w:val="00F305FF"/>
    <w:rsid w:val="00F31FE2"/>
    <w:rsid w:val="00F34719"/>
    <w:rsid w:val="00F3719D"/>
    <w:rsid w:val="00F37DC8"/>
    <w:rsid w:val="00F4153F"/>
    <w:rsid w:val="00F439B3"/>
    <w:rsid w:val="00F442FE"/>
    <w:rsid w:val="00F5518E"/>
    <w:rsid w:val="00F61CBB"/>
    <w:rsid w:val="00F64DE2"/>
    <w:rsid w:val="00F650C3"/>
    <w:rsid w:val="00F65D85"/>
    <w:rsid w:val="00F67A9D"/>
    <w:rsid w:val="00F71E5E"/>
    <w:rsid w:val="00F72016"/>
    <w:rsid w:val="00F7542C"/>
    <w:rsid w:val="00F7703F"/>
    <w:rsid w:val="00F8091E"/>
    <w:rsid w:val="00F839A2"/>
    <w:rsid w:val="00F842D8"/>
    <w:rsid w:val="00F84E2D"/>
    <w:rsid w:val="00F8615C"/>
    <w:rsid w:val="00F873F8"/>
    <w:rsid w:val="00F92E48"/>
    <w:rsid w:val="00F949B1"/>
    <w:rsid w:val="00F95764"/>
    <w:rsid w:val="00F9690B"/>
    <w:rsid w:val="00F96910"/>
    <w:rsid w:val="00F969E5"/>
    <w:rsid w:val="00F9743B"/>
    <w:rsid w:val="00FA09CD"/>
    <w:rsid w:val="00FA6BB0"/>
    <w:rsid w:val="00FB03E0"/>
    <w:rsid w:val="00FB21CD"/>
    <w:rsid w:val="00FB2EBC"/>
    <w:rsid w:val="00FB49C6"/>
    <w:rsid w:val="00FB7AD2"/>
    <w:rsid w:val="00FB7DD2"/>
    <w:rsid w:val="00FD4ECC"/>
    <w:rsid w:val="00FD5860"/>
    <w:rsid w:val="00FE352D"/>
    <w:rsid w:val="00FE3B16"/>
    <w:rsid w:val="00FE40EB"/>
    <w:rsid w:val="00FE4D02"/>
    <w:rsid w:val="00FE5E5C"/>
    <w:rsid w:val="00FE72EB"/>
    <w:rsid w:val="00FE75E4"/>
    <w:rsid w:val="00FE7D62"/>
    <w:rsid w:val="00FE7DA3"/>
    <w:rsid w:val="00FF1711"/>
    <w:rsid w:val="00FF3819"/>
    <w:rsid w:val="00FF534A"/>
    <w:rsid w:val="00FF5862"/>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26ECE"/>
  <w15:chartTrackingRefBased/>
  <w15:docId w15:val="{56DE58B2-A60D-47F0-B1BB-9113215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E Fußnotente"/>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2366AC"/>
    <w:pPr>
      <w:tabs>
        <w:tab w:val="clear" w:pos="4082"/>
      </w:tabs>
      <w:spacing w:before="6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rsid w:val="0015442E"/>
    <w:pPr>
      <w:numPr>
        <w:numId w:val="2"/>
      </w:num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fr,Footnote Reference1,stylish"/>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oolChar">
    <w:name w:val="Normal-pool Char"/>
    <w:link w:val="Normal-pool"/>
    <w:rsid w:val="000B23F3"/>
    <w:rPr>
      <w:rFonts w:eastAsia="SimSun"/>
      <w:lang w:val="en-US" w:eastAsia="en-US"/>
    </w:rPr>
  </w:style>
  <w:style w:type="character" w:customStyle="1" w:styleId="NormalnumberChar">
    <w:name w:val="Normal_number Char"/>
    <w:link w:val="Normalnumber"/>
    <w:locked/>
    <w:rsid w:val="000B23F3"/>
    <w:rPr>
      <w:lang w:val="fr-CA" w:eastAsia="en-US"/>
    </w:rPr>
  </w:style>
  <w:style w:type="character" w:customStyle="1" w:styleId="CH2Char">
    <w:name w:val="CH2 Char"/>
    <w:link w:val="CH2"/>
    <w:rsid w:val="00364839"/>
    <w:rPr>
      <w:rFonts w:eastAsia="SimSun"/>
      <w:b/>
      <w:sz w:val="24"/>
      <w:szCs w:val="24"/>
      <w:lang w:val="en-US" w:eastAsia="en-US"/>
    </w:rPr>
  </w:style>
  <w:style w:type="character" w:customStyle="1" w:styleId="FooterChar">
    <w:name w:val="Footer Char"/>
    <w:basedOn w:val="DefaultParagraphFont"/>
    <w:link w:val="Footer"/>
    <w:uiPriority w:val="99"/>
    <w:rsid w:val="005953B4"/>
    <w:rPr>
      <w:rFonts w:eastAsia="SimSun"/>
      <w:sz w:val="18"/>
      <w:lang w:val="en-US" w:eastAsia="zh-CN"/>
    </w:rPr>
  </w:style>
  <w:style w:type="character" w:customStyle="1" w:styleId="ZZAnxtitleChar">
    <w:name w:val="ZZ_Anx_title Char"/>
    <w:link w:val="ZZAnxtitle"/>
    <w:rsid w:val="005953B4"/>
    <w:rPr>
      <w:rFonts w:eastAsia="SimSun"/>
      <w:b/>
      <w:bCs/>
      <w:sz w:val="28"/>
      <w:szCs w:val="26"/>
      <w:lang w:val="en-US" w:eastAsia="en-US"/>
    </w:rPr>
  </w:style>
  <w:style w:type="character" w:customStyle="1" w:styleId="ZZAnxheaderChar">
    <w:name w:val="ZZ_Anx_header Char"/>
    <w:link w:val="ZZAnxheader"/>
    <w:rsid w:val="005953B4"/>
    <w:rPr>
      <w:rFonts w:eastAsia="SimSun"/>
      <w:b/>
      <w:bCs/>
      <w:sz w:val="28"/>
      <w:szCs w:val="22"/>
      <w:lang w:val="en-US" w:eastAsia="en-US"/>
    </w:rPr>
  </w:style>
  <w:style w:type="character" w:styleId="UnresolvedMention">
    <w:name w:val="Unresolved Mention"/>
    <w:basedOn w:val="DefaultParagraphFont"/>
    <w:uiPriority w:val="99"/>
    <w:semiHidden/>
    <w:unhideWhenUsed/>
    <w:rsid w:val="00CB50E7"/>
    <w:rPr>
      <w:color w:val="605E5C"/>
      <w:shd w:val="clear" w:color="auto" w:fill="E1DFDD"/>
    </w:rPr>
  </w:style>
  <w:style w:type="paragraph" w:styleId="Revision">
    <w:name w:val="Revision"/>
    <w:hidden/>
    <w:uiPriority w:val="99"/>
    <w:semiHidden/>
    <w:rsid w:val="007E0BCC"/>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27966440">
      <w:bodyDiv w:val="1"/>
      <w:marLeft w:val="0"/>
      <w:marRight w:val="0"/>
      <w:marTop w:val="0"/>
      <w:marBottom w:val="0"/>
      <w:divBdr>
        <w:top w:val="none" w:sz="0" w:space="0" w:color="auto"/>
        <w:left w:val="none" w:sz="0" w:space="0" w:color="auto"/>
        <w:bottom w:val="none" w:sz="0" w:space="0" w:color="auto"/>
        <w:right w:val="none" w:sz="0" w:space="0" w:color="auto"/>
      </w:divBdr>
    </w:div>
    <w:div w:id="791898853">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0981644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129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ercuryconvention.org/en/meetings/cop4"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Documents\General\COP4\Documents\New%20Document%20Templates\UNEP-MC-COP_EN%20-%20Cop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4" ma:contentTypeDescription="Create a new document." ma:contentTypeScope="" ma:versionID="241d62901d39c384860e1af5ef71eab1">
  <xsd:schema xmlns:xsd="http://www.w3.org/2001/XMLSchema" xmlns:xs="http://www.w3.org/2001/XMLSchema" xmlns:p="http://schemas.microsoft.com/office/2006/metadata/properties" xmlns:ns2="822da31b-d518-49e2-88cd-1351ccd720a8" xmlns:ns3="8e99bad0-3155-475a-8063-b4d93685c2ad" targetNamespace="http://schemas.microsoft.com/office/2006/metadata/properties" ma:root="true" ma:fieldsID="6d36852573bb89ee29abc2659ba5c959" ns2:_="" ns3:_="">
    <xsd:import namespace="822da31b-d518-49e2-88cd-1351ccd720a8"/>
    <xsd:import namespace="8e99bad0-3155-475a-8063-b4d93685c2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9bad0-3155-475a-8063-b4d93685c2ad">
      <UserInfo>
        <DisplayName>Claudia ten Have</DisplayName>
        <AccountId>12</AccountId>
        <AccountType/>
      </UserInfo>
      <UserInfo>
        <DisplayName>john whitelaw</DisplayName>
        <AccountId>110</AccountId>
        <AccountType/>
      </UserInfo>
      <UserInfo>
        <DisplayName>Monika Stankiewicz</DisplayName>
        <AccountId>19</AccountId>
        <AccountType/>
      </UserInfo>
      <UserInfo>
        <DisplayName>Eisaku Toda</DisplayName>
        <AccountId>11</AccountId>
        <AccountType/>
      </UserInfo>
      <UserInfo>
        <DisplayName>My Linh Doan</DisplayName>
        <AccountId>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A9F6-0A3E-4F5E-9F9B-59B9A622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8e99bad0-3155-475a-8063-b4d93685c2ad"/>
  </ds:schemaRefs>
</ds:datastoreItem>
</file>

<file path=customXml/itemProps3.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4.xml><?xml version="1.0" encoding="utf-8"?>
<ds:datastoreItem xmlns:ds="http://schemas.openxmlformats.org/officeDocument/2006/customXml" ds:itemID="{528268AD-B5D7-4E83-8026-1415BB75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UNEP-MC-COP_EN - Copy.dotm</Template>
  <TotalTime>9</TotalTime>
  <Pages>11</Pages>
  <Words>4366</Words>
  <Characters>24890</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ten Have</dc:creator>
  <cp:keywords/>
  <dc:description/>
  <cp:lastModifiedBy>Veronica Gathu</cp:lastModifiedBy>
  <cp:revision>5</cp:revision>
  <dcterms:created xsi:type="dcterms:W3CDTF">2021-10-08T15:30:00Z</dcterms:created>
  <dcterms:modified xsi:type="dcterms:W3CDTF">2021-10-11T11:31:00Z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ies>
</file>