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F23DCE" w14:paraId="78571223" w14:textId="77777777" w:rsidTr="005B5CA6">
        <w:trPr>
          <w:trHeight w:val="57"/>
          <w:jc w:val="right"/>
        </w:trPr>
        <w:tc>
          <w:tcPr>
            <w:tcW w:w="1613" w:type="dxa"/>
          </w:tcPr>
          <w:p w14:paraId="19120916" w14:textId="77777777" w:rsidR="0015442E" w:rsidRPr="00F23DCE" w:rsidRDefault="0015442E" w:rsidP="00796B51">
            <w:pPr>
              <w:pStyle w:val="Normal-pool"/>
              <w:rPr>
                <w:rFonts w:ascii="Arial" w:hAnsi="Arial" w:cs="Arial"/>
                <w:b/>
                <w:sz w:val="27"/>
                <w:szCs w:val="27"/>
                <w:lang w:val="en-GB"/>
              </w:rPr>
            </w:pPr>
            <w:r w:rsidRPr="00F23DCE">
              <w:rPr>
                <w:rFonts w:ascii="Arial" w:hAnsi="Arial" w:cs="Arial"/>
                <w:b/>
                <w:sz w:val="27"/>
                <w:szCs w:val="27"/>
                <w:lang w:val="en-GB"/>
              </w:rPr>
              <w:t xml:space="preserve">UNITED </w:t>
            </w:r>
            <w:r w:rsidRPr="00F23DCE">
              <w:rPr>
                <w:rFonts w:ascii="Arial" w:hAnsi="Arial" w:cs="Arial"/>
                <w:b/>
                <w:sz w:val="27"/>
                <w:szCs w:val="27"/>
                <w:lang w:val="en-GB"/>
              </w:rPr>
              <w:br/>
              <w:t>NATIONS</w:t>
            </w:r>
          </w:p>
        </w:tc>
        <w:tc>
          <w:tcPr>
            <w:tcW w:w="6467" w:type="dxa"/>
            <w:gridSpan w:val="3"/>
          </w:tcPr>
          <w:p w14:paraId="63F3467D" w14:textId="77777777" w:rsidR="0015442E" w:rsidRPr="00F23DCE" w:rsidRDefault="0015442E" w:rsidP="00796B51">
            <w:pPr>
              <w:pStyle w:val="Normal-pool"/>
              <w:spacing w:before="20"/>
              <w:rPr>
                <w:lang w:val="en-GB"/>
              </w:rPr>
            </w:pPr>
            <w:r w:rsidRPr="00F23DCE">
              <w:rPr>
                <w:noProof/>
                <w:lang w:val="en-GB" w:eastAsia="en-GB"/>
              </w:rPr>
              <w:drawing>
                <wp:inline distT="0" distB="0" distL="0" distR="0" wp14:anchorId="6BE0E783" wp14:editId="2E1E823B">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6E41DC7" w14:textId="77777777" w:rsidR="0015442E" w:rsidRPr="00F23DCE" w:rsidRDefault="00E3329D" w:rsidP="00796B51">
            <w:pPr>
              <w:pStyle w:val="Normal-pool"/>
              <w:jc w:val="right"/>
              <w:rPr>
                <w:rFonts w:ascii="Arial" w:hAnsi="Arial" w:cs="Arial"/>
                <w:b/>
                <w:sz w:val="64"/>
                <w:szCs w:val="64"/>
                <w:lang w:val="en-GB"/>
              </w:rPr>
            </w:pPr>
            <w:r w:rsidRPr="00F23DCE">
              <w:rPr>
                <w:rFonts w:ascii="Arial" w:hAnsi="Arial" w:cs="Arial"/>
                <w:b/>
                <w:sz w:val="64"/>
                <w:szCs w:val="64"/>
                <w:lang w:val="en-GB"/>
              </w:rPr>
              <w:t>M</w:t>
            </w:r>
            <w:r w:rsidR="0015442E" w:rsidRPr="00F23DCE">
              <w:rPr>
                <w:rFonts w:ascii="Arial" w:hAnsi="Arial" w:cs="Arial"/>
                <w:b/>
                <w:sz w:val="64"/>
                <w:szCs w:val="64"/>
                <w:lang w:val="en-GB"/>
              </w:rPr>
              <w:t>C</w:t>
            </w:r>
          </w:p>
        </w:tc>
      </w:tr>
      <w:tr w:rsidR="0015442E" w:rsidRPr="00F23DCE" w14:paraId="3204E607" w14:textId="77777777" w:rsidTr="00762098">
        <w:trPr>
          <w:trHeight w:val="57"/>
          <w:jc w:val="right"/>
        </w:trPr>
        <w:tc>
          <w:tcPr>
            <w:tcW w:w="1613" w:type="dxa"/>
            <w:tcBorders>
              <w:bottom w:val="single" w:sz="4" w:space="0" w:color="auto"/>
            </w:tcBorders>
          </w:tcPr>
          <w:p w14:paraId="3F5FC76B" w14:textId="77777777" w:rsidR="0015442E" w:rsidRPr="00F23DCE" w:rsidRDefault="0015442E" w:rsidP="00796B51">
            <w:pPr>
              <w:pStyle w:val="Normal-pool"/>
              <w:rPr>
                <w:lang w:val="en-GB"/>
              </w:rPr>
            </w:pPr>
          </w:p>
        </w:tc>
        <w:tc>
          <w:tcPr>
            <w:tcW w:w="4807" w:type="dxa"/>
            <w:gridSpan w:val="2"/>
            <w:tcBorders>
              <w:bottom w:val="single" w:sz="4" w:space="0" w:color="auto"/>
            </w:tcBorders>
          </w:tcPr>
          <w:p w14:paraId="587233B4" w14:textId="77777777" w:rsidR="0015442E" w:rsidRPr="00F23DCE" w:rsidRDefault="0015442E" w:rsidP="00796B51">
            <w:pPr>
              <w:pStyle w:val="Normal-pool"/>
              <w:rPr>
                <w:lang w:val="en-GB"/>
              </w:rPr>
            </w:pPr>
          </w:p>
        </w:tc>
        <w:tc>
          <w:tcPr>
            <w:tcW w:w="3076" w:type="dxa"/>
            <w:gridSpan w:val="2"/>
            <w:tcBorders>
              <w:bottom w:val="single" w:sz="4" w:space="0" w:color="auto"/>
            </w:tcBorders>
          </w:tcPr>
          <w:p w14:paraId="30366672" w14:textId="5DBBA372" w:rsidR="0015442E" w:rsidRPr="00F23DCE" w:rsidRDefault="0015442E" w:rsidP="00796B51">
            <w:pPr>
              <w:pStyle w:val="Normal-pool"/>
              <w:rPr>
                <w:lang w:val="en-GB"/>
              </w:rPr>
            </w:pPr>
            <w:r w:rsidRPr="00F23DCE">
              <w:rPr>
                <w:b/>
                <w:bCs/>
                <w:sz w:val="28"/>
                <w:szCs w:val="28"/>
                <w:lang w:val="en-GB"/>
              </w:rPr>
              <w:t>UNEP</w:t>
            </w:r>
            <w:r w:rsidRPr="00F23DCE">
              <w:rPr>
                <w:lang w:val="en-GB"/>
              </w:rPr>
              <w:t>/</w:t>
            </w:r>
            <w:r w:rsidR="00962471" w:rsidRPr="00F23DCE">
              <w:rPr>
                <w:lang w:val="en-GB"/>
              </w:rPr>
              <w:t>MC</w:t>
            </w:r>
            <w:r w:rsidR="00EA2CF9" w:rsidRPr="00F23DCE">
              <w:rPr>
                <w:lang w:val="en-GB"/>
              </w:rPr>
              <w:t>/</w:t>
            </w:r>
            <w:r w:rsidR="00962471" w:rsidRPr="00F23DCE">
              <w:rPr>
                <w:lang w:val="en-GB"/>
              </w:rPr>
              <w:t>COP.</w:t>
            </w:r>
            <w:r w:rsidR="00B86283" w:rsidRPr="00F23DCE">
              <w:rPr>
                <w:lang w:val="en-GB"/>
              </w:rPr>
              <w:t>4</w:t>
            </w:r>
            <w:r w:rsidRPr="00F23DCE">
              <w:rPr>
                <w:lang w:val="en-GB"/>
              </w:rPr>
              <w:t>/</w:t>
            </w:r>
            <w:r w:rsidR="00B86283" w:rsidRPr="00F23DCE">
              <w:rPr>
                <w:lang w:val="en-GB"/>
              </w:rPr>
              <w:t>INF/1</w:t>
            </w:r>
            <w:r w:rsidR="00705423">
              <w:rPr>
                <w:lang w:val="en-GB"/>
              </w:rPr>
              <w:t>/Rev.1</w:t>
            </w:r>
          </w:p>
        </w:tc>
      </w:tr>
      <w:tr w:rsidR="0015442E" w:rsidRPr="00F23DCE" w14:paraId="4F09CD45" w14:textId="77777777" w:rsidTr="00F530E7">
        <w:trPr>
          <w:trHeight w:val="1985"/>
          <w:jc w:val="right"/>
        </w:trPr>
        <w:tc>
          <w:tcPr>
            <w:tcW w:w="3686" w:type="dxa"/>
            <w:gridSpan w:val="2"/>
            <w:tcBorders>
              <w:top w:val="single" w:sz="4" w:space="0" w:color="auto"/>
              <w:bottom w:val="single" w:sz="24" w:space="0" w:color="auto"/>
            </w:tcBorders>
          </w:tcPr>
          <w:p w14:paraId="00F96061" w14:textId="77777777" w:rsidR="0015442E" w:rsidRPr="00F23DCE" w:rsidRDefault="009D7B82" w:rsidP="00796B51">
            <w:pPr>
              <w:pStyle w:val="Normal-pool"/>
              <w:spacing w:before="120" w:after="240"/>
              <w:ind w:left="-85"/>
              <w:rPr>
                <w:lang w:val="en-GB"/>
              </w:rPr>
            </w:pPr>
            <w:r w:rsidRPr="00F23DCE">
              <w:rPr>
                <w:noProof/>
                <w:lang w:val="en-GB" w:eastAsia="en-GB"/>
              </w:rPr>
              <w:drawing>
                <wp:inline distT="0" distB="0" distL="0" distR="0" wp14:anchorId="6376CBCD" wp14:editId="5F75646B">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24" w:space="0" w:color="auto"/>
            </w:tcBorders>
          </w:tcPr>
          <w:p w14:paraId="79F327CD" w14:textId="77777777" w:rsidR="0015442E" w:rsidRPr="00F23DCE" w:rsidRDefault="0015442E" w:rsidP="00796B51">
            <w:pPr>
              <w:pStyle w:val="Normal-pool"/>
              <w:rPr>
                <w:lang w:val="en-GB"/>
              </w:rPr>
            </w:pPr>
          </w:p>
        </w:tc>
        <w:tc>
          <w:tcPr>
            <w:tcW w:w="3076" w:type="dxa"/>
            <w:gridSpan w:val="2"/>
            <w:tcBorders>
              <w:top w:val="single" w:sz="4" w:space="0" w:color="auto"/>
              <w:bottom w:val="single" w:sz="24" w:space="0" w:color="auto"/>
            </w:tcBorders>
          </w:tcPr>
          <w:p w14:paraId="004AD704" w14:textId="4A5E19EE" w:rsidR="00796B51" w:rsidRPr="00F23DCE" w:rsidRDefault="00796B51" w:rsidP="00796B51">
            <w:pPr>
              <w:pStyle w:val="Normal-pool"/>
              <w:spacing w:before="120"/>
              <w:rPr>
                <w:lang w:val="en-GB"/>
              </w:rPr>
            </w:pPr>
            <w:r w:rsidRPr="00F23DCE">
              <w:rPr>
                <w:lang w:val="en-GB"/>
              </w:rPr>
              <w:t xml:space="preserve">Distr.: </w:t>
            </w:r>
            <w:r w:rsidR="00B86283" w:rsidRPr="00F23DCE">
              <w:rPr>
                <w:lang w:val="en-GB"/>
              </w:rPr>
              <w:t>General</w:t>
            </w:r>
            <w:r w:rsidRPr="00F23DCE">
              <w:rPr>
                <w:lang w:val="en-GB"/>
              </w:rPr>
              <w:t xml:space="preserve"> </w:t>
            </w:r>
            <w:r w:rsidRPr="00F23DCE">
              <w:rPr>
                <w:lang w:val="en-GB"/>
              </w:rPr>
              <w:br/>
            </w:r>
            <w:r w:rsidR="00963591">
              <w:rPr>
                <w:lang w:val="en-GB"/>
              </w:rPr>
              <w:t>31 January 2022</w:t>
            </w:r>
          </w:p>
          <w:p w14:paraId="522776EA" w14:textId="4EAD147F" w:rsidR="0015442E" w:rsidRPr="00F23DCE" w:rsidRDefault="00B86283" w:rsidP="00796B51">
            <w:pPr>
              <w:pStyle w:val="Normal-pool"/>
              <w:spacing w:before="120"/>
              <w:rPr>
                <w:sz w:val="22"/>
                <w:lang w:val="en-GB"/>
              </w:rPr>
            </w:pPr>
            <w:r w:rsidRPr="00F23DCE">
              <w:rPr>
                <w:lang w:val="en-GB"/>
              </w:rPr>
              <w:t>English only</w:t>
            </w:r>
          </w:p>
        </w:tc>
      </w:tr>
    </w:tbl>
    <w:p w14:paraId="4614A543" w14:textId="77777777" w:rsidR="00962471" w:rsidRPr="00F23DCE" w:rsidRDefault="00962471" w:rsidP="00796B51">
      <w:pPr>
        <w:pStyle w:val="AATitle"/>
        <w:rPr>
          <w:lang w:val="en-GB"/>
        </w:rPr>
      </w:pPr>
      <w:r w:rsidRPr="00F23DCE">
        <w:rPr>
          <w:lang w:val="en-GB"/>
        </w:rPr>
        <w:t xml:space="preserve">Conference of the Parties to the </w:t>
      </w:r>
      <w:r w:rsidRPr="00F23DCE">
        <w:rPr>
          <w:lang w:val="en-GB"/>
        </w:rPr>
        <w:br/>
        <w:t>Minamata Convention on Mercury</w:t>
      </w:r>
    </w:p>
    <w:p w14:paraId="5FAE7C7F" w14:textId="77777777" w:rsidR="00B86283" w:rsidRPr="00F23DCE" w:rsidRDefault="00B86283" w:rsidP="00B86283">
      <w:pPr>
        <w:pStyle w:val="AATitle"/>
        <w:rPr>
          <w:lang w:val="en-GB"/>
        </w:rPr>
      </w:pPr>
      <w:r w:rsidRPr="00F23DCE">
        <w:rPr>
          <w:lang w:val="en-GB"/>
        </w:rPr>
        <w:t>Fourth meeting</w:t>
      </w:r>
    </w:p>
    <w:p w14:paraId="43EAEFB3" w14:textId="78C335FE" w:rsidR="00B86283" w:rsidRPr="00F23DCE" w:rsidRDefault="004E44CF" w:rsidP="00B86283">
      <w:pPr>
        <w:pStyle w:val="AATitle"/>
        <w:rPr>
          <w:b w:val="0"/>
          <w:bCs/>
          <w:lang w:val="en-GB"/>
        </w:rPr>
      </w:pPr>
      <w:r>
        <w:rPr>
          <w:b w:val="0"/>
          <w:bCs/>
          <w:lang w:val="en-GB"/>
        </w:rPr>
        <w:t xml:space="preserve">Online, 1–5 November 2021 and </w:t>
      </w:r>
      <w:r w:rsidR="00705423">
        <w:rPr>
          <w:b w:val="0"/>
          <w:bCs/>
          <w:lang w:val="en-GB"/>
        </w:rPr>
        <w:t>Bali, Indonesia</w:t>
      </w:r>
      <w:r w:rsidR="00B86283" w:rsidRPr="00F23DCE">
        <w:rPr>
          <w:b w:val="0"/>
          <w:bCs/>
          <w:lang w:val="en-GB"/>
        </w:rPr>
        <w:t xml:space="preserve">, </w:t>
      </w:r>
      <w:r w:rsidR="00E26551">
        <w:rPr>
          <w:b w:val="0"/>
          <w:bCs/>
          <w:lang w:val="en-GB"/>
        </w:rPr>
        <w:br/>
      </w:r>
      <w:r w:rsidR="00705423">
        <w:rPr>
          <w:b w:val="0"/>
          <w:bCs/>
          <w:lang w:val="en-GB"/>
        </w:rPr>
        <w:t>2</w:t>
      </w:r>
      <w:r w:rsidR="00B86283" w:rsidRPr="00F23DCE">
        <w:rPr>
          <w:b w:val="0"/>
          <w:bCs/>
          <w:lang w:val="en-GB"/>
        </w:rPr>
        <w:t>1–</w:t>
      </w:r>
      <w:r w:rsidR="00705423">
        <w:rPr>
          <w:b w:val="0"/>
          <w:bCs/>
          <w:lang w:val="en-GB"/>
        </w:rPr>
        <w:t>2</w:t>
      </w:r>
      <w:r w:rsidR="00B86283" w:rsidRPr="00F23DCE">
        <w:rPr>
          <w:b w:val="0"/>
          <w:bCs/>
          <w:lang w:val="en-GB"/>
        </w:rPr>
        <w:t xml:space="preserve">5 </w:t>
      </w:r>
      <w:r w:rsidR="00705423">
        <w:rPr>
          <w:b w:val="0"/>
          <w:bCs/>
          <w:lang w:val="en-GB"/>
        </w:rPr>
        <w:t>March 2022</w:t>
      </w:r>
    </w:p>
    <w:p w14:paraId="26FA7E85" w14:textId="1DBD84B9" w:rsidR="00B86283" w:rsidRPr="00F23DCE" w:rsidRDefault="004E44CF" w:rsidP="00B86283">
      <w:pPr>
        <w:pStyle w:val="AATitle"/>
        <w:rPr>
          <w:b w:val="0"/>
          <w:bCs/>
          <w:lang w:val="en-GB"/>
        </w:rPr>
      </w:pPr>
      <w:r>
        <w:rPr>
          <w:b w:val="0"/>
          <w:bCs/>
          <w:lang w:val="en-GB"/>
        </w:rPr>
        <w:t>Agenda i</w:t>
      </w:r>
      <w:r w:rsidR="00B86283" w:rsidRPr="00F23DCE">
        <w:rPr>
          <w:b w:val="0"/>
          <w:bCs/>
          <w:lang w:val="en-GB"/>
        </w:rPr>
        <w:t xml:space="preserve">tem 2 </w:t>
      </w:r>
      <w:r w:rsidR="00615D4E" w:rsidRPr="00F23DCE">
        <w:rPr>
          <w:b w:val="0"/>
          <w:bCs/>
          <w:lang w:val="en-GB"/>
        </w:rPr>
        <w:t>(b)</w:t>
      </w:r>
      <w:r w:rsidR="00BB4679" w:rsidRPr="00C84138">
        <w:rPr>
          <w:rStyle w:val="FootnoteReference"/>
          <w:b w:val="0"/>
          <w:bCs/>
          <w:vertAlign w:val="baseline"/>
          <w:lang w:val="en-GB"/>
        </w:rPr>
        <w:footnoteReference w:id="2"/>
      </w:r>
    </w:p>
    <w:p w14:paraId="61195479" w14:textId="052ECA66" w:rsidR="00B86283" w:rsidRPr="00F23DCE" w:rsidRDefault="00B86283" w:rsidP="00C84138">
      <w:pPr>
        <w:pStyle w:val="AATitle2"/>
        <w:rPr>
          <w:bCs/>
          <w:lang w:val="en-GB"/>
        </w:rPr>
      </w:pPr>
      <w:r w:rsidRPr="00F23DCE">
        <w:rPr>
          <w:bCs/>
          <w:lang w:val="en-GB"/>
        </w:rPr>
        <w:t>Organizational matters: organization of work</w:t>
      </w:r>
    </w:p>
    <w:p w14:paraId="5C90A088" w14:textId="532FE071" w:rsidR="00B86283" w:rsidRPr="00F23DCE" w:rsidRDefault="00B86283" w:rsidP="00B86283">
      <w:pPr>
        <w:pStyle w:val="BBTitle"/>
        <w:rPr>
          <w:lang w:val="en-GB"/>
        </w:rPr>
      </w:pPr>
      <w:r w:rsidRPr="00F23DCE">
        <w:rPr>
          <w:lang w:val="en-GB"/>
        </w:rPr>
        <w:t>List of documents for the fourth meeting of the Conference of the Parties to the Minamata Convention on Mercury</w:t>
      </w:r>
      <w:r w:rsidR="00D52FD0" w:rsidRPr="00F23DCE">
        <w:rPr>
          <w:lang w:val="en-GB"/>
        </w:rPr>
        <w:t xml:space="preserve"> </w:t>
      </w:r>
    </w:p>
    <w:p w14:paraId="336B7A0B" w14:textId="06D6E8D2" w:rsidR="00B86283" w:rsidRPr="00F23DCE" w:rsidRDefault="00B86283" w:rsidP="00B86283">
      <w:pPr>
        <w:pStyle w:val="CH2"/>
        <w:rPr>
          <w:lang w:val="en-GB"/>
        </w:rPr>
      </w:pPr>
      <w:r w:rsidRPr="00F23DCE">
        <w:rPr>
          <w:lang w:val="en-GB"/>
        </w:rPr>
        <w:tab/>
      </w:r>
      <w:r w:rsidRPr="00F23DCE">
        <w:rPr>
          <w:lang w:val="en-GB"/>
        </w:rPr>
        <w:tab/>
        <w:t xml:space="preserve">Note by the </w:t>
      </w:r>
      <w:r w:rsidR="00EC7DCF" w:rsidRPr="00F23DCE">
        <w:rPr>
          <w:lang w:val="en-GB"/>
        </w:rPr>
        <w:t>s</w:t>
      </w:r>
      <w:r w:rsidRPr="00F23DCE">
        <w:rPr>
          <w:lang w:val="en-GB"/>
        </w:rPr>
        <w:t>ecretariat</w:t>
      </w:r>
    </w:p>
    <w:p w14:paraId="0676D2A4" w14:textId="77777777" w:rsidR="00BC4A40" w:rsidRDefault="00B86283" w:rsidP="00B86283">
      <w:pPr>
        <w:pStyle w:val="NormalNonumber"/>
        <w:rPr>
          <w:lang w:val="en-GB"/>
        </w:rPr>
        <w:sectPr w:rsidR="00BC4A40" w:rsidSect="00796B51">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1906" w:h="16838" w:code="9"/>
          <w:pgMar w:top="907" w:right="992" w:bottom="1418" w:left="1418" w:header="539" w:footer="975" w:gutter="0"/>
          <w:cols w:space="539"/>
          <w:titlePg/>
          <w:docGrid w:linePitch="360"/>
        </w:sectPr>
      </w:pPr>
      <w:r w:rsidRPr="00F23DCE">
        <w:rPr>
          <w:lang w:val="en-GB"/>
        </w:rPr>
        <w:t>The annex to the present note sets out a list of working documents and a list of information documents for the fourth meeting of the Conference of the Parties to the Minamata Convention</w:t>
      </w:r>
      <w:r w:rsidR="006B6CCC" w:rsidRPr="00F23DCE">
        <w:rPr>
          <w:lang w:val="en-GB"/>
        </w:rPr>
        <w:t xml:space="preserve"> on Mercury</w:t>
      </w:r>
      <w:r w:rsidRPr="00F23DCE">
        <w:rPr>
          <w:lang w:val="en-GB"/>
        </w:rPr>
        <w:t xml:space="preserve">. </w:t>
      </w:r>
    </w:p>
    <w:p w14:paraId="560E552E" w14:textId="5189B567" w:rsidR="00B86283" w:rsidRPr="00F23DCE" w:rsidRDefault="00B86283">
      <w:pPr>
        <w:rPr>
          <w:lang w:val="en-GB" w:eastAsia="en-US"/>
        </w:rPr>
      </w:pPr>
      <w:r w:rsidRPr="00F23DCE">
        <w:rPr>
          <w:lang w:val="en-GB"/>
        </w:rPr>
        <w:br w:type="page"/>
      </w:r>
    </w:p>
    <w:p w14:paraId="7EF9E9A6" w14:textId="77777777" w:rsidR="00B86283" w:rsidRPr="00F23DCE" w:rsidRDefault="00B86283" w:rsidP="00B86283">
      <w:pPr>
        <w:pStyle w:val="ZZAnxheader"/>
        <w:rPr>
          <w:lang w:val="en-GB"/>
        </w:rPr>
      </w:pPr>
      <w:r w:rsidRPr="00F23DCE">
        <w:rPr>
          <w:lang w:val="en-GB"/>
        </w:rPr>
        <w:lastRenderedPageBreak/>
        <w:t>Annex</w:t>
      </w:r>
    </w:p>
    <w:p w14:paraId="54858701" w14:textId="77777777" w:rsidR="00B86283" w:rsidRPr="00F23DCE" w:rsidRDefault="00B86283" w:rsidP="00B86283">
      <w:pPr>
        <w:pStyle w:val="ZZAnxtitle"/>
        <w:rPr>
          <w:lang w:val="en-GB"/>
        </w:rPr>
      </w:pPr>
      <w:r w:rsidRPr="00F23DCE">
        <w:rPr>
          <w:lang w:val="en-GB"/>
        </w:rPr>
        <w:t xml:space="preserve">Documents for the fourth meeting of the Conference of the Parties to the Minamata Convention on Mercury </w:t>
      </w:r>
    </w:p>
    <w:p w14:paraId="21991B64" w14:textId="77777777" w:rsidR="00B86283" w:rsidRPr="00F23DCE" w:rsidRDefault="00B86283" w:rsidP="00B86283">
      <w:pPr>
        <w:pStyle w:val="CH2"/>
        <w:rPr>
          <w:lang w:val="en-GB"/>
        </w:rPr>
      </w:pPr>
      <w:r w:rsidRPr="00F23DCE">
        <w:rPr>
          <w:lang w:val="en-GB"/>
        </w:rPr>
        <w:tab/>
      </w:r>
      <w:r w:rsidRPr="00F23DCE">
        <w:rPr>
          <w:lang w:val="en-GB"/>
        </w:rPr>
        <w:tab/>
        <w:t>Working documents</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260"/>
        <w:gridCol w:w="4347"/>
      </w:tblGrid>
      <w:tr w:rsidR="00B86283" w:rsidRPr="00F23DCE" w14:paraId="19FE17DB" w14:textId="77777777" w:rsidTr="00D52FD0">
        <w:trPr>
          <w:trHeight w:val="57"/>
          <w:tblHeader/>
          <w:jc w:val="right"/>
        </w:trPr>
        <w:tc>
          <w:tcPr>
            <w:tcW w:w="2700" w:type="dxa"/>
            <w:tcBorders>
              <w:top w:val="single" w:sz="4" w:space="0" w:color="auto"/>
              <w:bottom w:val="single" w:sz="12" w:space="0" w:color="auto"/>
            </w:tcBorders>
            <w:vAlign w:val="bottom"/>
          </w:tcPr>
          <w:p w14:paraId="09BC7FA2" w14:textId="77777777" w:rsidR="00B86283" w:rsidRPr="00F23DCE" w:rsidRDefault="00B86283" w:rsidP="005B5CA6">
            <w:pPr>
              <w:pStyle w:val="Normal-pool"/>
              <w:spacing w:before="40" w:after="40"/>
              <w:rPr>
                <w:i/>
                <w:iCs/>
                <w:sz w:val="18"/>
                <w:szCs w:val="18"/>
                <w:lang w:val="en-GB"/>
              </w:rPr>
            </w:pPr>
            <w:r w:rsidRPr="00F23DCE">
              <w:rPr>
                <w:i/>
                <w:iCs/>
                <w:sz w:val="18"/>
                <w:szCs w:val="18"/>
                <w:lang w:val="en-GB"/>
              </w:rPr>
              <w:t>Symbol</w:t>
            </w:r>
          </w:p>
        </w:tc>
        <w:tc>
          <w:tcPr>
            <w:tcW w:w="1260" w:type="dxa"/>
            <w:tcBorders>
              <w:top w:val="single" w:sz="4" w:space="0" w:color="auto"/>
              <w:bottom w:val="single" w:sz="12" w:space="0" w:color="auto"/>
            </w:tcBorders>
            <w:vAlign w:val="bottom"/>
          </w:tcPr>
          <w:p w14:paraId="1F791516" w14:textId="77777777" w:rsidR="00B86283" w:rsidRPr="00F23DCE" w:rsidRDefault="00B86283" w:rsidP="005B5CA6">
            <w:pPr>
              <w:pStyle w:val="Normal-pool"/>
              <w:spacing w:before="40" w:after="40"/>
              <w:rPr>
                <w:i/>
                <w:iCs/>
                <w:sz w:val="18"/>
                <w:szCs w:val="18"/>
                <w:lang w:val="en-GB"/>
              </w:rPr>
            </w:pPr>
            <w:r w:rsidRPr="00F23DCE">
              <w:rPr>
                <w:i/>
                <w:iCs/>
                <w:sz w:val="18"/>
                <w:szCs w:val="18"/>
                <w:lang w:val="en-GB"/>
              </w:rPr>
              <w:t>Agenda item</w:t>
            </w:r>
          </w:p>
        </w:tc>
        <w:tc>
          <w:tcPr>
            <w:tcW w:w="4347" w:type="dxa"/>
            <w:tcBorders>
              <w:top w:val="single" w:sz="4" w:space="0" w:color="auto"/>
              <w:bottom w:val="single" w:sz="12" w:space="0" w:color="auto"/>
            </w:tcBorders>
            <w:vAlign w:val="bottom"/>
          </w:tcPr>
          <w:p w14:paraId="032ABF6B" w14:textId="77777777" w:rsidR="00B86283" w:rsidRPr="00F23DCE" w:rsidRDefault="00B86283" w:rsidP="005B5CA6">
            <w:pPr>
              <w:pStyle w:val="Normal-pool"/>
              <w:spacing w:before="40" w:after="40"/>
              <w:rPr>
                <w:i/>
                <w:iCs/>
                <w:sz w:val="18"/>
                <w:szCs w:val="18"/>
                <w:lang w:val="en-GB"/>
              </w:rPr>
            </w:pPr>
            <w:r w:rsidRPr="00F23DCE">
              <w:rPr>
                <w:i/>
                <w:iCs/>
                <w:sz w:val="18"/>
                <w:szCs w:val="18"/>
                <w:lang w:val="en-GB"/>
              </w:rPr>
              <w:t>Title</w:t>
            </w:r>
          </w:p>
        </w:tc>
      </w:tr>
      <w:tr w:rsidR="00B86283" w:rsidRPr="00F23DCE" w14:paraId="2EA590E5" w14:textId="77777777" w:rsidTr="00D52FD0">
        <w:trPr>
          <w:trHeight w:val="57"/>
          <w:jc w:val="right"/>
        </w:trPr>
        <w:tc>
          <w:tcPr>
            <w:tcW w:w="2700" w:type="dxa"/>
            <w:tcBorders>
              <w:top w:val="single" w:sz="12" w:space="0" w:color="auto"/>
            </w:tcBorders>
          </w:tcPr>
          <w:p w14:paraId="43E5F7F0"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w:t>
            </w:r>
          </w:p>
        </w:tc>
        <w:tc>
          <w:tcPr>
            <w:tcW w:w="1260" w:type="dxa"/>
            <w:tcBorders>
              <w:top w:val="single" w:sz="12" w:space="0" w:color="auto"/>
            </w:tcBorders>
          </w:tcPr>
          <w:p w14:paraId="686598B0" w14:textId="77777777" w:rsidR="00B86283" w:rsidRPr="00F23DCE" w:rsidRDefault="00B86283" w:rsidP="005B5CA6">
            <w:pPr>
              <w:pStyle w:val="Normal-pool"/>
              <w:spacing w:before="40" w:after="40"/>
              <w:rPr>
                <w:sz w:val="18"/>
                <w:szCs w:val="18"/>
                <w:lang w:val="en-GB"/>
              </w:rPr>
            </w:pPr>
            <w:r w:rsidRPr="00F23DCE">
              <w:rPr>
                <w:sz w:val="18"/>
                <w:szCs w:val="18"/>
                <w:lang w:val="en-GB"/>
              </w:rPr>
              <w:t>2 (a)</w:t>
            </w:r>
          </w:p>
        </w:tc>
        <w:tc>
          <w:tcPr>
            <w:tcW w:w="4347" w:type="dxa"/>
            <w:tcBorders>
              <w:top w:val="single" w:sz="12" w:space="0" w:color="auto"/>
            </w:tcBorders>
          </w:tcPr>
          <w:p w14:paraId="1C9F845C" w14:textId="77777777" w:rsidR="00B86283" w:rsidRPr="00F23DCE" w:rsidRDefault="00B86283" w:rsidP="005B5CA6">
            <w:pPr>
              <w:pStyle w:val="Normal-pool"/>
              <w:spacing w:before="40" w:after="40"/>
              <w:rPr>
                <w:sz w:val="18"/>
                <w:szCs w:val="18"/>
                <w:lang w:val="en-GB"/>
              </w:rPr>
            </w:pPr>
            <w:r w:rsidRPr="00F23DCE">
              <w:rPr>
                <w:sz w:val="18"/>
                <w:szCs w:val="18"/>
                <w:lang w:val="en-GB"/>
              </w:rPr>
              <w:t>Provisional agenda</w:t>
            </w:r>
          </w:p>
        </w:tc>
      </w:tr>
      <w:tr w:rsidR="00B86283" w:rsidRPr="00F23DCE" w14:paraId="73D93F08" w14:textId="77777777" w:rsidTr="00D52FD0">
        <w:trPr>
          <w:trHeight w:val="57"/>
          <w:jc w:val="right"/>
        </w:trPr>
        <w:tc>
          <w:tcPr>
            <w:tcW w:w="2700" w:type="dxa"/>
            <w:shd w:val="clear" w:color="auto" w:fill="auto"/>
          </w:tcPr>
          <w:p w14:paraId="20B46202" w14:textId="5944081D" w:rsidR="00B86283" w:rsidRPr="00F23DCE" w:rsidRDefault="00B86283" w:rsidP="005B5CA6">
            <w:pPr>
              <w:pStyle w:val="Normal-pool"/>
              <w:spacing w:before="40" w:after="40"/>
              <w:rPr>
                <w:sz w:val="18"/>
                <w:szCs w:val="18"/>
                <w:lang w:val="en-GB"/>
              </w:rPr>
            </w:pPr>
            <w:r w:rsidRPr="00F23DCE">
              <w:rPr>
                <w:sz w:val="18"/>
                <w:szCs w:val="18"/>
                <w:lang w:val="en-GB"/>
              </w:rPr>
              <w:t>UNEP/MC/COP.4/1/Add.1</w:t>
            </w:r>
            <w:r w:rsidR="00705423">
              <w:rPr>
                <w:sz w:val="18"/>
                <w:szCs w:val="18"/>
                <w:lang w:val="en-GB"/>
              </w:rPr>
              <w:t>/Rev.1</w:t>
            </w:r>
          </w:p>
        </w:tc>
        <w:tc>
          <w:tcPr>
            <w:tcW w:w="1260" w:type="dxa"/>
            <w:shd w:val="clear" w:color="auto" w:fill="auto"/>
          </w:tcPr>
          <w:p w14:paraId="43209EC6" w14:textId="7DAE70EA" w:rsidR="00B86283" w:rsidRPr="00F23DCE" w:rsidRDefault="00B86283" w:rsidP="005B5CA6">
            <w:pPr>
              <w:pStyle w:val="Normal-pool"/>
              <w:spacing w:before="40" w:after="40"/>
              <w:rPr>
                <w:sz w:val="18"/>
                <w:szCs w:val="18"/>
                <w:lang w:val="en-GB"/>
              </w:rPr>
            </w:pPr>
            <w:r w:rsidRPr="00F23DCE">
              <w:rPr>
                <w:sz w:val="18"/>
                <w:szCs w:val="18"/>
                <w:lang w:val="en-GB"/>
              </w:rPr>
              <w:t>2 (a)</w:t>
            </w:r>
          </w:p>
        </w:tc>
        <w:tc>
          <w:tcPr>
            <w:tcW w:w="4347" w:type="dxa"/>
            <w:shd w:val="clear" w:color="auto" w:fill="auto"/>
          </w:tcPr>
          <w:p w14:paraId="5577E6AC" w14:textId="77777777" w:rsidR="00B86283" w:rsidRPr="00F23DCE" w:rsidRDefault="00B86283" w:rsidP="005B5CA6">
            <w:pPr>
              <w:pStyle w:val="Normal-pool"/>
              <w:spacing w:before="40" w:after="40"/>
              <w:rPr>
                <w:sz w:val="18"/>
                <w:szCs w:val="18"/>
                <w:lang w:val="en-GB"/>
              </w:rPr>
            </w:pPr>
            <w:r w:rsidRPr="00F23DCE">
              <w:rPr>
                <w:sz w:val="18"/>
                <w:szCs w:val="18"/>
                <w:lang w:val="en-GB"/>
              </w:rPr>
              <w:t>Annotated provisional agenda</w:t>
            </w:r>
          </w:p>
        </w:tc>
      </w:tr>
      <w:tr w:rsidR="00B86283" w:rsidRPr="00F23DCE" w14:paraId="068B6A83" w14:textId="77777777" w:rsidTr="00D52FD0">
        <w:trPr>
          <w:trHeight w:val="57"/>
          <w:jc w:val="right"/>
        </w:trPr>
        <w:tc>
          <w:tcPr>
            <w:tcW w:w="2700" w:type="dxa"/>
            <w:shd w:val="clear" w:color="auto" w:fill="auto"/>
          </w:tcPr>
          <w:p w14:paraId="7053FAFB"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UNEP/MC/COP.4/1/Add.2</w:t>
            </w:r>
          </w:p>
        </w:tc>
        <w:tc>
          <w:tcPr>
            <w:tcW w:w="1260" w:type="dxa"/>
            <w:shd w:val="clear" w:color="auto" w:fill="auto"/>
          </w:tcPr>
          <w:p w14:paraId="60D070BC" w14:textId="77777777" w:rsidR="00B86283" w:rsidRPr="00F23DCE" w:rsidRDefault="00B86283" w:rsidP="005B5CA6">
            <w:pPr>
              <w:pStyle w:val="Normal-pool"/>
              <w:spacing w:before="40" w:after="40"/>
              <w:rPr>
                <w:sz w:val="18"/>
                <w:szCs w:val="18"/>
                <w:lang w:val="en-GB"/>
              </w:rPr>
            </w:pPr>
            <w:r w:rsidRPr="00F23DCE">
              <w:rPr>
                <w:sz w:val="18"/>
                <w:szCs w:val="18"/>
                <w:lang w:val="en-GB"/>
              </w:rPr>
              <w:t>2 (c)</w:t>
            </w:r>
          </w:p>
        </w:tc>
        <w:tc>
          <w:tcPr>
            <w:tcW w:w="4347" w:type="dxa"/>
            <w:shd w:val="clear" w:color="auto" w:fill="auto"/>
          </w:tcPr>
          <w:p w14:paraId="3781B862" w14:textId="77777777" w:rsidR="00B86283" w:rsidRPr="00F23DCE" w:rsidRDefault="00B86283" w:rsidP="005B5CA6">
            <w:pPr>
              <w:pStyle w:val="Normal-pool"/>
              <w:spacing w:before="40" w:after="40"/>
              <w:rPr>
                <w:sz w:val="18"/>
                <w:szCs w:val="18"/>
                <w:lang w:val="en-GB"/>
              </w:rPr>
            </w:pPr>
            <w:r w:rsidRPr="00F23DCE">
              <w:rPr>
                <w:sz w:val="18"/>
                <w:szCs w:val="18"/>
                <w:lang w:val="en-GB"/>
              </w:rPr>
              <w:t>Election of officers</w:t>
            </w:r>
          </w:p>
        </w:tc>
      </w:tr>
      <w:tr w:rsidR="00B86283" w:rsidRPr="00F23DCE" w14:paraId="2CF91E9A" w14:textId="77777777" w:rsidTr="00D52FD0">
        <w:trPr>
          <w:trHeight w:val="57"/>
          <w:jc w:val="right"/>
        </w:trPr>
        <w:tc>
          <w:tcPr>
            <w:tcW w:w="2700" w:type="dxa"/>
          </w:tcPr>
          <w:p w14:paraId="2D81CE13" w14:textId="616321FD" w:rsidR="00B86283" w:rsidRPr="00F23DCE" w:rsidRDefault="00B86283" w:rsidP="005B5CA6">
            <w:pPr>
              <w:pStyle w:val="Normal-pool"/>
              <w:spacing w:before="40" w:after="40"/>
              <w:rPr>
                <w:sz w:val="18"/>
                <w:szCs w:val="18"/>
                <w:lang w:val="en-GB"/>
              </w:rPr>
            </w:pPr>
            <w:r w:rsidRPr="00F23DCE">
              <w:rPr>
                <w:sz w:val="18"/>
                <w:szCs w:val="18"/>
                <w:lang w:val="en-GB"/>
              </w:rPr>
              <w:t>UNEP/MC/COP.4/2</w:t>
            </w:r>
            <w:r w:rsidR="00705423">
              <w:rPr>
                <w:sz w:val="18"/>
                <w:szCs w:val="18"/>
                <w:lang w:val="en-GB"/>
              </w:rPr>
              <w:t>/Rev.1</w:t>
            </w:r>
          </w:p>
        </w:tc>
        <w:tc>
          <w:tcPr>
            <w:tcW w:w="1260" w:type="dxa"/>
          </w:tcPr>
          <w:p w14:paraId="67CB885D" w14:textId="571EE6F6" w:rsidR="00B86283" w:rsidRPr="00F23DCE" w:rsidRDefault="00B86283" w:rsidP="005B5CA6">
            <w:pPr>
              <w:pStyle w:val="Normal-pool"/>
              <w:spacing w:before="40" w:after="40"/>
              <w:rPr>
                <w:sz w:val="18"/>
                <w:szCs w:val="18"/>
                <w:lang w:val="en-GB"/>
              </w:rPr>
            </w:pPr>
            <w:r w:rsidRPr="00F23DCE">
              <w:rPr>
                <w:sz w:val="18"/>
                <w:szCs w:val="18"/>
                <w:lang w:val="en-GB"/>
              </w:rPr>
              <w:t>2</w:t>
            </w:r>
            <w:r w:rsidR="00141022" w:rsidRPr="00F23DCE">
              <w:rPr>
                <w:sz w:val="18"/>
                <w:szCs w:val="18"/>
                <w:lang w:val="en-GB"/>
              </w:rPr>
              <w:t xml:space="preserve"> (a)</w:t>
            </w:r>
          </w:p>
        </w:tc>
        <w:tc>
          <w:tcPr>
            <w:tcW w:w="4347" w:type="dxa"/>
          </w:tcPr>
          <w:p w14:paraId="063B5359" w14:textId="77777777" w:rsidR="00B86283" w:rsidRPr="00F23DCE" w:rsidRDefault="00B86283" w:rsidP="005B5CA6">
            <w:pPr>
              <w:pStyle w:val="Normal-pool"/>
              <w:spacing w:before="40" w:after="40"/>
              <w:rPr>
                <w:sz w:val="18"/>
                <w:szCs w:val="18"/>
                <w:lang w:val="en-GB"/>
              </w:rPr>
            </w:pPr>
            <w:r w:rsidRPr="00F23DCE">
              <w:rPr>
                <w:sz w:val="18"/>
                <w:szCs w:val="18"/>
                <w:lang w:val="en-GB"/>
              </w:rPr>
              <w:t>Issues and information for the attention of the Conference of the Parties to the Minamata Convention at its fourth meeting</w:t>
            </w:r>
          </w:p>
        </w:tc>
      </w:tr>
      <w:tr w:rsidR="00B86283" w:rsidRPr="00F23DCE" w14:paraId="3921C1C5" w14:textId="77777777" w:rsidTr="00D52FD0">
        <w:trPr>
          <w:trHeight w:val="57"/>
          <w:jc w:val="right"/>
        </w:trPr>
        <w:tc>
          <w:tcPr>
            <w:tcW w:w="2700" w:type="dxa"/>
          </w:tcPr>
          <w:p w14:paraId="6C17C64B" w14:textId="77777777" w:rsidR="00B86283" w:rsidRPr="00F23DCE" w:rsidRDefault="00B86283" w:rsidP="005B5CA6">
            <w:pPr>
              <w:pStyle w:val="Normal-pool"/>
              <w:spacing w:before="40" w:after="40"/>
              <w:rPr>
                <w:sz w:val="18"/>
                <w:szCs w:val="18"/>
                <w:lang w:val="en-GB"/>
              </w:rPr>
            </w:pPr>
            <w:r w:rsidRPr="00F23DCE">
              <w:rPr>
                <w:sz w:val="18"/>
                <w:szCs w:val="18"/>
                <w:lang w:val="en-GB"/>
              </w:rPr>
              <w:t>UNEP/MC/COP.4/3</w:t>
            </w:r>
          </w:p>
        </w:tc>
        <w:tc>
          <w:tcPr>
            <w:tcW w:w="1260" w:type="dxa"/>
          </w:tcPr>
          <w:p w14:paraId="671F2EF8" w14:textId="77777777" w:rsidR="00B86283" w:rsidRPr="00F23DCE" w:rsidRDefault="00B86283" w:rsidP="005B5CA6">
            <w:pPr>
              <w:pStyle w:val="Normal-pool"/>
              <w:spacing w:before="40" w:after="40"/>
              <w:rPr>
                <w:sz w:val="18"/>
                <w:szCs w:val="18"/>
                <w:lang w:val="en-GB"/>
              </w:rPr>
            </w:pPr>
            <w:r w:rsidRPr="00F23DCE">
              <w:rPr>
                <w:sz w:val="18"/>
                <w:szCs w:val="18"/>
                <w:lang w:val="en-GB"/>
              </w:rPr>
              <w:t>3</w:t>
            </w:r>
          </w:p>
        </w:tc>
        <w:tc>
          <w:tcPr>
            <w:tcW w:w="4347" w:type="dxa"/>
          </w:tcPr>
          <w:p w14:paraId="3259C686" w14:textId="77777777" w:rsidR="00B86283" w:rsidRPr="00F23DCE" w:rsidRDefault="00B86283" w:rsidP="005B5CA6">
            <w:pPr>
              <w:pStyle w:val="Normal-pool"/>
              <w:spacing w:before="40" w:after="40"/>
              <w:rPr>
                <w:sz w:val="18"/>
                <w:szCs w:val="18"/>
                <w:lang w:val="en-GB"/>
              </w:rPr>
            </w:pPr>
            <w:r w:rsidRPr="00F23DCE">
              <w:rPr>
                <w:sz w:val="18"/>
                <w:szCs w:val="18"/>
                <w:lang w:val="en-GB"/>
              </w:rPr>
              <w:t>Rules of procedure for the Conference of the Parties to the Minamata Convention on Mercury: consideration of rule 45</w:t>
            </w:r>
          </w:p>
        </w:tc>
      </w:tr>
      <w:tr w:rsidR="00B86283" w:rsidRPr="00F23DCE" w14:paraId="7186838C" w14:textId="77777777" w:rsidTr="00D52FD0">
        <w:trPr>
          <w:trHeight w:val="57"/>
          <w:jc w:val="right"/>
        </w:trPr>
        <w:tc>
          <w:tcPr>
            <w:tcW w:w="2700" w:type="dxa"/>
          </w:tcPr>
          <w:p w14:paraId="5F137A28" w14:textId="77777777" w:rsidR="00B86283" w:rsidRPr="00F23DCE" w:rsidRDefault="00B86283" w:rsidP="005B5CA6">
            <w:pPr>
              <w:pStyle w:val="Normal-pool"/>
              <w:spacing w:before="40" w:after="40"/>
              <w:rPr>
                <w:sz w:val="18"/>
                <w:szCs w:val="18"/>
                <w:lang w:val="en-GB"/>
              </w:rPr>
            </w:pPr>
            <w:r w:rsidRPr="00F23DCE">
              <w:rPr>
                <w:sz w:val="18"/>
                <w:szCs w:val="18"/>
                <w:lang w:val="en-GB"/>
              </w:rPr>
              <w:t>UNEP/MC/COP.4/4</w:t>
            </w:r>
          </w:p>
        </w:tc>
        <w:tc>
          <w:tcPr>
            <w:tcW w:w="1260" w:type="dxa"/>
          </w:tcPr>
          <w:p w14:paraId="09423756" w14:textId="77777777" w:rsidR="00B86283" w:rsidRPr="00F23DCE" w:rsidRDefault="00B86283" w:rsidP="005B5CA6">
            <w:pPr>
              <w:pStyle w:val="Normal-pool"/>
              <w:spacing w:before="40" w:after="40"/>
              <w:rPr>
                <w:sz w:val="18"/>
                <w:szCs w:val="18"/>
                <w:lang w:val="en-GB"/>
              </w:rPr>
            </w:pPr>
            <w:r w:rsidRPr="00F23DCE">
              <w:rPr>
                <w:sz w:val="18"/>
                <w:szCs w:val="18"/>
                <w:lang w:val="en-GB"/>
              </w:rPr>
              <w:t>4 (a) (i)</w:t>
            </w:r>
          </w:p>
        </w:tc>
        <w:tc>
          <w:tcPr>
            <w:tcW w:w="4347" w:type="dxa"/>
          </w:tcPr>
          <w:p w14:paraId="4C5199CF" w14:textId="77777777" w:rsidR="00B86283" w:rsidRPr="00F23DCE" w:rsidRDefault="00B86283" w:rsidP="005B5CA6">
            <w:pPr>
              <w:pStyle w:val="Normal-pool"/>
              <w:spacing w:before="40" w:after="40"/>
              <w:rPr>
                <w:sz w:val="18"/>
                <w:szCs w:val="18"/>
                <w:lang w:val="en-GB"/>
              </w:rPr>
            </w:pPr>
            <w:r w:rsidRPr="00F23DCE">
              <w:rPr>
                <w:sz w:val="18"/>
                <w:szCs w:val="18"/>
                <w:lang w:val="en-GB"/>
              </w:rPr>
              <w:t>Review of annexes A and B</w:t>
            </w:r>
          </w:p>
        </w:tc>
      </w:tr>
      <w:tr w:rsidR="00B86283" w:rsidRPr="00F23DCE" w14:paraId="285DA023" w14:textId="77777777" w:rsidTr="00D52FD0">
        <w:trPr>
          <w:trHeight w:val="57"/>
          <w:jc w:val="right"/>
        </w:trPr>
        <w:tc>
          <w:tcPr>
            <w:tcW w:w="2700" w:type="dxa"/>
          </w:tcPr>
          <w:p w14:paraId="50717A89" w14:textId="77777777" w:rsidR="00B86283" w:rsidRPr="00F23DCE" w:rsidRDefault="00B86283" w:rsidP="005B5CA6">
            <w:pPr>
              <w:pStyle w:val="Normal-pool"/>
              <w:spacing w:before="40" w:after="40"/>
              <w:rPr>
                <w:sz w:val="18"/>
                <w:szCs w:val="18"/>
                <w:lang w:val="en-GB"/>
              </w:rPr>
            </w:pPr>
            <w:r w:rsidRPr="00F23DCE">
              <w:rPr>
                <w:sz w:val="18"/>
                <w:szCs w:val="18"/>
                <w:lang w:val="en-GB"/>
              </w:rPr>
              <w:t>UNEP/MC/COP.4/5</w:t>
            </w:r>
          </w:p>
        </w:tc>
        <w:tc>
          <w:tcPr>
            <w:tcW w:w="1260" w:type="dxa"/>
          </w:tcPr>
          <w:p w14:paraId="2C76AA2B" w14:textId="77777777" w:rsidR="00B86283" w:rsidRPr="00F23DCE" w:rsidRDefault="00B86283" w:rsidP="005B5CA6">
            <w:pPr>
              <w:pStyle w:val="Normal-pool"/>
              <w:spacing w:before="40" w:after="40"/>
              <w:rPr>
                <w:sz w:val="18"/>
                <w:szCs w:val="18"/>
                <w:highlight w:val="yellow"/>
                <w:lang w:val="en-GB"/>
              </w:rPr>
            </w:pPr>
            <w:r w:rsidRPr="00F23DCE">
              <w:rPr>
                <w:sz w:val="18"/>
                <w:szCs w:val="18"/>
                <w:lang w:val="en-GB"/>
              </w:rPr>
              <w:t>4 (a) (ii)</w:t>
            </w:r>
          </w:p>
        </w:tc>
        <w:tc>
          <w:tcPr>
            <w:tcW w:w="4347" w:type="dxa"/>
          </w:tcPr>
          <w:p w14:paraId="5F6B09A3" w14:textId="77777777" w:rsidR="00B86283" w:rsidRPr="00F23DCE" w:rsidRDefault="00B86283" w:rsidP="005B5CA6">
            <w:pPr>
              <w:pStyle w:val="Normal-pool"/>
              <w:spacing w:before="40" w:after="40"/>
              <w:rPr>
                <w:sz w:val="18"/>
                <w:szCs w:val="18"/>
                <w:lang w:val="en-GB"/>
              </w:rPr>
            </w:pPr>
            <w:r w:rsidRPr="00F23DCE">
              <w:rPr>
                <w:sz w:val="18"/>
                <w:szCs w:val="18"/>
                <w:lang w:val="en-GB"/>
              </w:rPr>
              <w:t>Information on dental amalgam</w:t>
            </w:r>
          </w:p>
        </w:tc>
      </w:tr>
      <w:tr w:rsidR="00B86283" w:rsidRPr="00F23DCE" w14:paraId="012EBF06" w14:textId="77777777" w:rsidTr="00D52FD0">
        <w:trPr>
          <w:trHeight w:val="430"/>
          <w:jc w:val="right"/>
        </w:trPr>
        <w:tc>
          <w:tcPr>
            <w:tcW w:w="2700" w:type="dxa"/>
          </w:tcPr>
          <w:p w14:paraId="2AD5241A" w14:textId="27031449" w:rsidR="00B86283" w:rsidRPr="00F23DCE" w:rsidRDefault="00B86283" w:rsidP="005B5CA6">
            <w:pPr>
              <w:pStyle w:val="Normal-pool"/>
              <w:spacing w:before="40" w:after="40"/>
              <w:rPr>
                <w:sz w:val="18"/>
                <w:szCs w:val="18"/>
                <w:lang w:val="en-GB"/>
              </w:rPr>
            </w:pPr>
            <w:r w:rsidRPr="00F23DCE">
              <w:rPr>
                <w:sz w:val="18"/>
                <w:szCs w:val="18"/>
                <w:lang w:val="en-GB"/>
              </w:rPr>
              <w:t>UNEP/MC/COP.4/6</w:t>
            </w:r>
          </w:p>
        </w:tc>
        <w:tc>
          <w:tcPr>
            <w:tcW w:w="1260" w:type="dxa"/>
          </w:tcPr>
          <w:p w14:paraId="4DD6B490" w14:textId="77777777" w:rsidR="00B86283" w:rsidRPr="00F23DCE" w:rsidRDefault="00B86283" w:rsidP="005B5CA6">
            <w:pPr>
              <w:pStyle w:val="Normal-pool"/>
              <w:spacing w:before="40" w:after="40"/>
              <w:rPr>
                <w:sz w:val="18"/>
                <w:szCs w:val="18"/>
                <w:lang w:val="en-GB"/>
              </w:rPr>
            </w:pPr>
            <w:r w:rsidRPr="00F23DCE">
              <w:rPr>
                <w:sz w:val="18"/>
                <w:szCs w:val="18"/>
                <w:lang w:val="en-GB"/>
              </w:rPr>
              <w:t>4 (b)</w:t>
            </w:r>
          </w:p>
        </w:tc>
        <w:tc>
          <w:tcPr>
            <w:tcW w:w="4347" w:type="dxa"/>
          </w:tcPr>
          <w:p w14:paraId="40D9DE37" w14:textId="77777777" w:rsidR="00B86283" w:rsidRPr="00F23DCE" w:rsidRDefault="00B86283" w:rsidP="005B5CA6">
            <w:pPr>
              <w:pStyle w:val="Normal-pool"/>
              <w:spacing w:before="40" w:after="40"/>
              <w:rPr>
                <w:sz w:val="18"/>
                <w:szCs w:val="18"/>
                <w:lang w:val="en-GB"/>
              </w:rPr>
            </w:pPr>
            <w:r w:rsidRPr="00F23DCE">
              <w:rPr>
                <w:rFonts w:eastAsiaTheme="minorEastAsia"/>
                <w:sz w:val="18"/>
                <w:szCs w:val="18"/>
                <w:lang w:val="en-GB"/>
              </w:rPr>
              <w:t>Article 7: Artisanal and small-scale gold mining: Update to the guidance document for the preparation of a national action plan to reduce and, where feasible, eliminate mercury use in artisanal and small-scale gold mining</w:t>
            </w:r>
          </w:p>
        </w:tc>
      </w:tr>
      <w:tr w:rsidR="00B86283" w:rsidRPr="00F23DCE" w14:paraId="24E7C701" w14:textId="77777777" w:rsidTr="00D52FD0">
        <w:trPr>
          <w:trHeight w:val="57"/>
          <w:jc w:val="right"/>
        </w:trPr>
        <w:tc>
          <w:tcPr>
            <w:tcW w:w="2700" w:type="dxa"/>
          </w:tcPr>
          <w:p w14:paraId="7962F0E3" w14:textId="77777777" w:rsidR="00B86283" w:rsidRPr="00F23DCE" w:rsidRDefault="00B86283" w:rsidP="005B5CA6">
            <w:pPr>
              <w:pStyle w:val="Normal-pool"/>
              <w:spacing w:before="40" w:after="40"/>
              <w:rPr>
                <w:sz w:val="18"/>
                <w:szCs w:val="18"/>
                <w:lang w:val="en-GB"/>
              </w:rPr>
            </w:pPr>
            <w:r w:rsidRPr="00F23DCE">
              <w:rPr>
                <w:sz w:val="18"/>
                <w:szCs w:val="18"/>
                <w:lang w:val="en-GB"/>
              </w:rPr>
              <w:t>UNEP/MC/COP.4/7</w:t>
            </w:r>
          </w:p>
        </w:tc>
        <w:tc>
          <w:tcPr>
            <w:tcW w:w="1260" w:type="dxa"/>
          </w:tcPr>
          <w:p w14:paraId="63C03F02" w14:textId="77777777" w:rsidR="00B86283" w:rsidRPr="00F23DCE" w:rsidRDefault="00B86283" w:rsidP="005B5CA6">
            <w:pPr>
              <w:pStyle w:val="Normal-pool"/>
              <w:spacing w:before="40" w:after="40"/>
              <w:rPr>
                <w:sz w:val="18"/>
                <w:szCs w:val="18"/>
                <w:lang w:val="en-GB"/>
              </w:rPr>
            </w:pPr>
            <w:r w:rsidRPr="00F23DCE">
              <w:rPr>
                <w:sz w:val="18"/>
                <w:szCs w:val="18"/>
                <w:lang w:val="en-GB"/>
              </w:rPr>
              <w:t>4 (c)</w:t>
            </w:r>
          </w:p>
        </w:tc>
        <w:tc>
          <w:tcPr>
            <w:tcW w:w="4347" w:type="dxa"/>
          </w:tcPr>
          <w:p w14:paraId="613E0F8F" w14:textId="282EBCCB" w:rsidR="00B86283" w:rsidRPr="00F23DCE" w:rsidRDefault="006B6CCC" w:rsidP="005B5CA6">
            <w:pPr>
              <w:pStyle w:val="Normal-pool"/>
              <w:spacing w:before="40" w:after="40"/>
              <w:rPr>
                <w:sz w:val="18"/>
                <w:szCs w:val="18"/>
                <w:lang w:val="en-GB"/>
              </w:rPr>
            </w:pPr>
            <w:r w:rsidRPr="00F23DCE">
              <w:rPr>
                <w:sz w:val="18"/>
                <w:szCs w:val="18"/>
                <w:lang w:val="en-GB"/>
              </w:rPr>
              <w:t>Report on</w:t>
            </w:r>
            <w:r w:rsidR="00B86283" w:rsidRPr="00F23DCE">
              <w:rPr>
                <w:sz w:val="18"/>
                <w:szCs w:val="18"/>
                <w:lang w:val="en-GB"/>
              </w:rPr>
              <w:t xml:space="preserve"> the intersessional work on mercury releases</w:t>
            </w:r>
          </w:p>
        </w:tc>
      </w:tr>
      <w:tr w:rsidR="00B86283" w:rsidRPr="00F23DCE" w14:paraId="645434C2" w14:textId="77777777" w:rsidTr="00D52FD0">
        <w:trPr>
          <w:trHeight w:val="57"/>
          <w:jc w:val="right"/>
        </w:trPr>
        <w:tc>
          <w:tcPr>
            <w:tcW w:w="2700" w:type="dxa"/>
          </w:tcPr>
          <w:p w14:paraId="6ACA33F9" w14:textId="3C2DFDF3" w:rsidR="00B86283" w:rsidRPr="00F23DCE" w:rsidRDefault="00B86283" w:rsidP="005B5CA6">
            <w:pPr>
              <w:pStyle w:val="Normal-pool"/>
              <w:spacing w:before="40" w:after="40"/>
              <w:rPr>
                <w:sz w:val="18"/>
                <w:szCs w:val="18"/>
                <w:lang w:val="en-GB"/>
              </w:rPr>
            </w:pPr>
            <w:r w:rsidRPr="00F23DCE">
              <w:rPr>
                <w:sz w:val="18"/>
                <w:szCs w:val="18"/>
                <w:lang w:val="en-GB"/>
              </w:rPr>
              <w:t>UNEP/MC/COP.4/8</w:t>
            </w:r>
          </w:p>
        </w:tc>
        <w:tc>
          <w:tcPr>
            <w:tcW w:w="1260" w:type="dxa"/>
          </w:tcPr>
          <w:p w14:paraId="6A38C3A7" w14:textId="77777777" w:rsidR="00B86283" w:rsidRPr="00F23DCE" w:rsidRDefault="00B86283" w:rsidP="005B5CA6">
            <w:pPr>
              <w:pStyle w:val="Normal-pool"/>
              <w:spacing w:before="40" w:after="40"/>
              <w:rPr>
                <w:sz w:val="18"/>
                <w:szCs w:val="18"/>
                <w:lang w:val="en-GB"/>
              </w:rPr>
            </w:pPr>
            <w:r w:rsidRPr="00F23DCE">
              <w:rPr>
                <w:sz w:val="18"/>
                <w:szCs w:val="18"/>
                <w:lang w:val="en-GB"/>
              </w:rPr>
              <w:t>4 (d)</w:t>
            </w:r>
          </w:p>
        </w:tc>
        <w:tc>
          <w:tcPr>
            <w:tcW w:w="4347" w:type="dxa"/>
          </w:tcPr>
          <w:p w14:paraId="1EB6C299" w14:textId="77777777" w:rsidR="00B86283" w:rsidRPr="00F23DCE" w:rsidRDefault="00B86283" w:rsidP="005B5CA6">
            <w:pPr>
              <w:pStyle w:val="Normal-pool"/>
              <w:spacing w:before="40" w:after="40"/>
              <w:rPr>
                <w:sz w:val="18"/>
                <w:szCs w:val="18"/>
                <w:lang w:val="en-GB"/>
              </w:rPr>
            </w:pPr>
            <w:r w:rsidRPr="00F23DCE">
              <w:rPr>
                <w:sz w:val="18"/>
                <w:szCs w:val="18"/>
                <w:lang w:val="en-GB"/>
              </w:rPr>
              <w:t>Report on the intersessional work on mercury waste</w:t>
            </w:r>
          </w:p>
        </w:tc>
      </w:tr>
      <w:tr w:rsidR="00B86283" w:rsidRPr="00F23DCE" w14:paraId="12C1FE96" w14:textId="77777777" w:rsidTr="00D52FD0">
        <w:trPr>
          <w:trHeight w:val="57"/>
          <w:jc w:val="right"/>
        </w:trPr>
        <w:tc>
          <w:tcPr>
            <w:tcW w:w="2700" w:type="dxa"/>
          </w:tcPr>
          <w:p w14:paraId="0D78D3C4" w14:textId="77777777" w:rsidR="00B86283" w:rsidRPr="00F23DCE" w:rsidRDefault="00B86283" w:rsidP="005B5CA6">
            <w:pPr>
              <w:pStyle w:val="Normal-pool"/>
              <w:spacing w:before="40" w:after="40"/>
              <w:rPr>
                <w:sz w:val="18"/>
                <w:szCs w:val="18"/>
                <w:lang w:val="en-GB"/>
              </w:rPr>
            </w:pPr>
            <w:r w:rsidRPr="00F23DCE">
              <w:rPr>
                <w:sz w:val="18"/>
                <w:szCs w:val="18"/>
                <w:lang w:val="en-GB"/>
              </w:rPr>
              <w:t>UNEP/MC/COP.4/9</w:t>
            </w:r>
          </w:p>
        </w:tc>
        <w:tc>
          <w:tcPr>
            <w:tcW w:w="1260" w:type="dxa"/>
          </w:tcPr>
          <w:p w14:paraId="6F60BF25" w14:textId="77777777" w:rsidR="00B86283" w:rsidRPr="00F23DCE" w:rsidRDefault="00B86283" w:rsidP="005B5CA6">
            <w:pPr>
              <w:pStyle w:val="Normal-pool"/>
              <w:spacing w:before="40" w:after="40"/>
              <w:rPr>
                <w:sz w:val="18"/>
                <w:szCs w:val="18"/>
                <w:lang w:val="en-GB"/>
              </w:rPr>
            </w:pPr>
            <w:r w:rsidRPr="00F23DCE">
              <w:rPr>
                <w:sz w:val="18"/>
                <w:szCs w:val="18"/>
                <w:lang w:val="en-GB"/>
              </w:rPr>
              <w:t>4 (e) (i)</w:t>
            </w:r>
          </w:p>
        </w:tc>
        <w:tc>
          <w:tcPr>
            <w:tcW w:w="4347" w:type="dxa"/>
          </w:tcPr>
          <w:p w14:paraId="6D91F071" w14:textId="77777777" w:rsidR="00B86283" w:rsidRPr="00F23DCE" w:rsidRDefault="00B86283" w:rsidP="005B5CA6">
            <w:pPr>
              <w:pStyle w:val="Normal-pool"/>
              <w:spacing w:before="40" w:after="40"/>
              <w:rPr>
                <w:sz w:val="18"/>
                <w:szCs w:val="18"/>
                <w:lang w:val="en-GB"/>
              </w:rPr>
            </w:pPr>
            <w:r w:rsidRPr="00F23DCE">
              <w:rPr>
                <w:sz w:val="18"/>
                <w:szCs w:val="18"/>
                <w:lang w:val="en-GB"/>
              </w:rPr>
              <w:t>Update on matters related to the Global Environment Facility</w:t>
            </w:r>
          </w:p>
        </w:tc>
      </w:tr>
      <w:tr w:rsidR="00B86283" w:rsidRPr="00F23DCE" w14:paraId="65607D15" w14:textId="77777777" w:rsidTr="00D52FD0">
        <w:trPr>
          <w:trHeight w:val="57"/>
          <w:jc w:val="right"/>
        </w:trPr>
        <w:tc>
          <w:tcPr>
            <w:tcW w:w="2700" w:type="dxa"/>
          </w:tcPr>
          <w:p w14:paraId="37508ABF" w14:textId="77777777" w:rsidR="00B86283" w:rsidRPr="00F23DCE" w:rsidRDefault="00B86283" w:rsidP="005B5CA6">
            <w:pPr>
              <w:pStyle w:val="Normal-pool"/>
              <w:spacing w:before="40" w:after="40"/>
              <w:rPr>
                <w:sz w:val="18"/>
                <w:szCs w:val="18"/>
                <w:lang w:val="en-GB"/>
              </w:rPr>
            </w:pPr>
            <w:r w:rsidRPr="00F23DCE">
              <w:rPr>
                <w:sz w:val="18"/>
                <w:szCs w:val="18"/>
                <w:lang w:val="en-GB"/>
              </w:rPr>
              <w:t>UNEP/MC/COP.4/9/Add.1</w:t>
            </w:r>
          </w:p>
        </w:tc>
        <w:tc>
          <w:tcPr>
            <w:tcW w:w="1260" w:type="dxa"/>
          </w:tcPr>
          <w:p w14:paraId="27E79B74" w14:textId="77777777" w:rsidR="00B86283" w:rsidRPr="00F23DCE" w:rsidRDefault="00B86283" w:rsidP="005B5CA6">
            <w:pPr>
              <w:pStyle w:val="Normal-pool"/>
              <w:spacing w:before="40" w:after="40"/>
              <w:rPr>
                <w:sz w:val="18"/>
                <w:szCs w:val="18"/>
                <w:lang w:val="en-GB"/>
              </w:rPr>
            </w:pPr>
            <w:r w:rsidRPr="00F23DCE">
              <w:rPr>
                <w:sz w:val="18"/>
                <w:szCs w:val="18"/>
                <w:lang w:val="en-GB"/>
              </w:rPr>
              <w:t>4 (e) (i)</w:t>
            </w:r>
          </w:p>
        </w:tc>
        <w:tc>
          <w:tcPr>
            <w:tcW w:w="4347" w:type="dxa"/>
          </w:tcPr>
          <w:p w14:paraId="7B43715A" w14:textId="77777777" w:rsidR="00B86283" w:rsidRPr="00F23DCE" w:rsidRDefault="00B86283" w:rsidP="005B5CA6">
            <w:pPr>
              <w:pStyle w:val="Normal-pool"/>
              <w:spacing w:before="40" w:after="40"/>
              <w:rPr>
                <w:sz w:val="18"/>
                <w:szCs w:val="18"/>
                <w:lang w:val="en-GB"/>
              </w:rPr>
            </w:pPr>
            <w:r w:rsidRPr="00F23DCE">
              <w:rPr>
                <w:sz w:val="18"/>
                <w:szCs w:val="18"/>
                <w:lang w:val="en-GB"/>
              </w:rPr>
              <w:t>Executive summary of the report of the Council of the Global Environment Facility to the Conference of the Parties to the Minamata Convention at its fourth meeting</w:t>
            </w:r>
          </w:p>
        </w:tc>
      </w:tr>
      <w:tr w:rsidR="00B86283" w:rsidRPr="00F23DCE" w14:paraId="0DF09174" w14:textId="77777777" w:rsidTr="00D52FD0">
        <w:trPr>
          <w:trHeight w:val="57"/>
          <w:jc w:val="right"/>
        </w:trPr>
        <w:tc>
          <w:tcPr>
            <w:tcW w:w="2700" w:type="dxa"/>
          </w:tcPr>
          <w:p w14:paraId="41AB8457"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UNEP/MC/COP.4/10</w:t>
            </w:r>
          </w:p>
        </w:tc>
        <w:tc>
          <w:tcPr>
            <w:tcW w:w="1260" w:type="dxa"/>
          </w:tcPr>
          <w:p w14:paraId="6C00E527" w14:textId="77777777" w:rsidR="00B86283" w:rsidRPr="00F23DCE" w:rsidRDefault="00B86283" w:rsidP="005B5CA6">
            <w:pPr>
              <w:pStyle w:val="Normal-pool"/>
              <w:spacing w:before="40" w:after="40"/>
              <w:rPr>
                <w:sz w:val="18"/>
                <w:szCs w:val="18"/>
                <w:lang w:val="en-GB"/>
              </w:rPr>
            </w:pPr>
            <w:r w:rsidRPr="00F23DCE">
              <w:rPr>
                <w:sz w:val="18"/>
                <w:szCs w:val="18"/>
                <w:lang w:val="en-GB"/>
              </w:rPr>
              <w:t>4 (e) (i)</w:t>
            </w:r>
          </w:p>
        </w:tc>
        <w:tc>
          <w:tcPr>
            <w:tcW w:w="4347" w:type="dxa"/>
          </w:tcPr>
          <w:p w14:paraId="79640A6B" w14:textId="77777777" w:rsidR="00B86283" w:rsidRPr="00F23DCE" w:rsidRDefault="00B86283" w:rsidP="005B5CA6">
            <w:pPr>
              <w:pStyle w:val="Normal-pool"/>
              <w:spacing w:before="40" w:after="40"/>
              <w:rPr>
                <w:sz w:val="18"/>
                <w:szCs w:val="18"/>
                <w:lang w:val="en-GB"/>
              </w:rPr>
            </w:pPr>
            <w:r w:rsidRPr="00F23DCE">
              <w:rPr>
                <w:sz w:val="18"/>
                <w:szCs w:val="18"/>
                <w:lang w:val="en-GB"/>
              </w:rPr>
              <w:t>The eighth replenishment of the Global Environment Facility trust fund</w:t>
            </w:r>
          </w:p>
        </w:tc>
      </w:tr>
      <w:tr w:rsidR="0043203C" w:rsidRPr="00F23DCE" w14:paraId="67F98B26" w14:textId="77777777" w:rsidTr="00D52FD0">
        <w:trPr>
          <w:trHeight w:val="57"/>
          <w:jc w:val="right"/>
        </w:trPr>
        <w:tc>
          <w:tcPr>
            <w:tcW w:w="2700" w:type="dxa"/>
          </w:tcPr>
          <w:p w14:paraId="0CF8BA40" w14:textId="6959D2C5" w:rsidR="0043203C" w:rsidRPr="00F23DCE" w:rsidRDefault="0043203C" w:rsidP="0043203C">
            <w:pPr>
              <w:pStyle w:val="Normal-pool"/>
              <w:spacing w:before="40" w:after="40"/>
              <w:rPr>
                <w:sz w:val="18"/>
                <w:szCs w:val="18"/>
                <w:lang w:val="en-GB"/>
              </w:rPr>
            </w:pPr>
            <w:r w:rsidRPr="00F23DCE">
              <w:rPr>
                <w:sz w:val="18"/>
                <w:szCs w:val="18"/>
                <w:lang w:val="en-GB"/>
              </w:rPr>
              <w:t>UNEP/MC/COP.4/10</w:t>
            </w:r>
            <w:r>
              <w:rPr>
                <w:sz w:val="18"/>
                <w:szCs w:val="18"/>
                <w:lang w:val="en-GB"/>
              </w:rPr>
              <w:t>/Add.1</w:t>
            </w:r>
          </w:p>
        </w:tc>
        <w:tc>
          <w:tcPr>
            <w:tcW w:w="1260" w:type="dxa"/>
          </w:tcPr>
          <w:p w14:paraId="3D0DE20C" w14:textId="2857967C" w:rsidR="0043203C" w:rsidRPr="00F23DCE" w:rsidRDefault="0043203C" w:rsidP="0043203C">
            <w:pPr>
              <w:pStyle w:val="Normal-pool"/>
              <w:spacing w:before="40" w:after="40"/>
              <w:rPr>
                <w:sz w:val="18"/>
                <w:szCs w:val="18"/>
                <w:lang w:val="en-GB"/>
              </w:rPr>
            </w:pPr>
            <w:r w:rsidRPr="00F23DCE">
              <w:rPr>
                <w:sz w:val="18"/>
                <w:szCs w:val="18"/>
                <w:lang w:val="en-GB"/>
              </w:rPr>
              <w:t>4 (e) (i)</w:t>
            </w:r>
          </w:p>
        </w:tc>
        <w:tc>
          <w:tcPr>
            <w:tcW w:w="4347" w:type="dxa"/>
          </w:tcPr>
          <w:p w14:paraId="58A5B40F" w14:textId="6628C977" w:rsidR="0043203C" w:rsidRPr="00F23DCE" w:rsidRDefault="00922EF2" w:rsidP="0043203C">
            <w:pPr>
              <w:pStyle w:val="Normal-pool"/>
              <w:spacing w:before="40" w:after="40"/>
              <w:rPr>
                <w:sz w:val="18"/>
                <w:szCs w:val="18"/>
                <w:lang w:val="en-GB"/>
              </w:rPr>
            </w:pPr>
            <w:r w:rsidRPr="00C84138">
              <w:rPr>
                <w:sz w:val="18"/>
                <w:szCs w:val="18"/>
                <w:lang w:val="en-GB"/>
              </w:rPr>
              <w:t>Update on </w:t>
            </w:r>
            <w:r w:rsidR="00C70996" w:rsidRPr="00C70996">
              <w:rPr>
                <w:sz w:val="18"/>
                <w:szCs w:val="18"/>
                <w:lang w:val="en-GB"/>
              </w:rPr>
              <w:t>the</w:t>
            </w:r>
            <w:r w:rsidRPr="00C84138">
              <w:rPr>
                <w:sz w:val="18"/>
                <w:szCs w:val="18"/>
                <w:lang w:val="en-GB"/>
              </w:rPr>
              <w:t xml:space="preserve"> eighth replenishment of the Global Environment Facility trust fund</w:t>
            </w:r>
          </w:p>
        </w:tc>
      </w:tr>
      <w:tr w:rsidR="00B86283" w:rsidRPr="00F23DCE" w14:paraId="32F13638" w14:textId="77777777" w:rsidTr="00D52FD0">
        <w:trPr>
          <w:trHeight w:val="57"/>
          <w:jc w:val="right"/>
        </w:trPr>
        <w:tc>
          <w:tcPr>
            <w:tcW w:w="2700" w:type="dxa"/>
          </w:tcPr>
          <w:p w14:paraId="6108B5E0"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UNEP/MC/COP.4/11</w:t>
            </w:r>
          </w:p>
        </w:tc>
        <w:tc>
          <w:tcPr>
            <w:tcW w:w="1260" w:type="dxa"/>
          </w:tcPr>
          <w:p w14:paraId="26364F0F" w14:textId="77777777" w:rsidR="00B86283" w:rsidRPr="00F23DCE" w:rsidRDefault="00B86283" w:rsidP="005B5CA6">
            <w:pPr>
              <w:pStyle w:val="Normal-pool"/>
              <w:spacing w:before="40" w:after="40"/>
              <w:rPr>
                <w:sz w:val="18"/>
                <w:szCs w:val="18"/>
                <w:lang w:val="en-GB"/>
              </w:rPr>
            </w:pPr>
            <w:r w:rsidRPr="00F23DCE">
              <w:rPr>
                <w:sz w:val="18"/>
                <w:szCs w:val="18"/>
                <w:lang w:val="en-GB"/>
              </w:rPr>
              <w:t>4 (e) (ii)</w:t>
            </w:r>
          </w:p>
        </w:tc>
        <w:tc>
          <w:tcPr>
            <w:tcW w:w="4347" w:type="dxa"/>
          </w:tcPr>
          <w:p w14:paraId="0C83AF85" w14:textId="77777777" w:rsidR="00B86283" w:rsidRPr="00F23DCE" w:rsidRDefault="00B86283" w:rsidP="005B5CA6">
            <w:pPr>
              <w:pStyle w:val="Normal-pool"/>
              <w:spacing w:before="40" w:after="40"/>
              <w:rPr>
                <w:sz w:val="18"/>
                <w:szCs w:val="18"/>
                <w:lang w:val="en-GB"/>
              </w:rPr>
            </w:pPr>
            <w:r w:rsidRPr="00F23DCE">
              <w:rPr>
                <w:sz w:val="18"/>
                <w:szCs w:val="18"/>
                <w:lang w:val="en-GB"/>
              </w:rPr>
              <w:t>Overall report on the Specific International Programme to Support Capacity-Building and Technical Assistance</w:t>
            </w:r>
          </w:p>
        </w:tc>
      </w:tr>
      <w:tr w:rsidR="00B86283" w:rsidRPr="00F23DCE" w14:paraId="484E1184" w14:textId="77777777" w:rsidTr="00D52FD0">
        <w:trPr>
          <w:trHeight w:val="57"/>
          <w:jc w:val="right"/>
        </w:trPr>
        <w:tc>
          <w:tcPr>
            <w:tcW w:w="2700" w:type="dxa"/>
          </w:tcPr>
          <w:p w14:paraId="6AB9BEF5"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UNEP/MC/COP.4/11/Add.1</w:t>
            </w:r>
          </w:p>
        </w:tc>
        <w:tc>
          <w:tcPr>
            <w:tcW w:w="1260" w:type="dxa"/>
          </w:tcPr>
          <w:p w14:paraId="72DFBB2E" w14:textId="77777777" w:rsidR="00B86283" w:rsidRPr="00F23DCE" w:rsidRDefault="00B86283" w:rsidP="005B5CA6">
            <w:pPr>
              <w:pStyle w:val="Normal-pool"/>
              <w:spacing w:before="40" w:after="40"/>
              <w:rPr>
                <w:sz w:val="18"/>
                <w:szCs w:val="18"/>
                <w:lang w:val="en-GB"/>
              </w:rPr>
            </w:pPr>
            <w:r w:rsidRPr="00F23DCE">
              <w:rPr>
                <w:sz w:val="18"/>
                <w:szCs w:val="18"/>
                <w:lang w:val="en-GB"/>
              </w:rPr>
              <w:t>4 (e) (ii)</w:t>
            </w:r>
          </w:p>
        </w:tc>
        <w:tc>
          <w:tcPr>
            <w:tcW w:w="4347" w:type="dxa"/>
          </w:tcPr>
          <w:p w14:paraId="0C1CCF6C" w14:textId="77777777" w:rsidR="00B86283" w:rsidRPr="00F23DCE" w:rsidRDefault="00B86283" w:rsidP="005B5CA6">
            <w:pPr>
              <w:pStyle w:val="Normal-pool"/>
              <w:spacing w:before="40" w:after="40"/>
              <w:rPr>
                <w:sz w:val="18"/>
                <w:szCs w:val="18"/>
                <w:lang w:val="en-GB"/>
              </w:rPr>
            </w:pPr>
            <w:r w:rsidRPr="00F23DCE">
              <w:rPr>
                <w:sz w:val="18"/>
                <w:szCs w:val="18"/>
                <w:lang w:val="en-GB"/>
              </w:rPr>
              <w:t>Governing Board of the Specific International Programme to Support Capacity-Building and Technical Assistance</w:t>
            </w:r>
          </w:p>
        </w:tc>
      </w:tr>
      <w:tr w:rsidR="00B86283" w:rsidRPr="00F23DCE" w14:paraId="4164057E" w14:textId="77777777" w:rsidTr="00D52FD0">
        <w:trPr>
          <w:trHeight w:val="57"/>
          <w:jc w:val="right"/>
        </w:trPr>
        <w:tc>
          <w:tcPr>
            <w:tcW w:w="2700" w:type="dxa"/>
          </w:tcPr>
          <w:p w14:paraId="7602C007"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UNEP/MC/COP.4/12</w:t>
            </w:r>
          </w:p>
        </w:tc>
        <w:tc>
          <w:tcPr>
            <w:tcW w:w="1260" w:type="dxa"/>
          </w:tcPr>
          <w:p w14:paraId="628DCCE5" w14:textId="77777777" w:rsidR="00B86283" w:rsidRPr="00F23DCE" w:rsidRDefault="00B86283" w:rsidP="005B5CA6">
            <w:pPr>
              <w:pStyle w:val="Normal-pool"/>
              <w:spacing w:before="40" w:after="40"/>
              <w:rPr>
                <w:sz w:val="18"/>
                <w:szCs w:val="18"/>
                <w:lang w:val="en-GB"/>
              </w:rPr>
            </w:pPr>
            <w:r w:rsidRPr="00F23DCE">
              <w:rPr>
                <w:sz w:val="18"/>
                <w:szCs w:val="18"/>
                <w:lang w:val="en-GB"/>
              </w:rPr>
              <w:t>4 (e) (iii)</w:t>
            </w:r>
          </w:p>
        </w:tc>
        <w:tc>
          <w:tcPr>
            <w:tcW w:w="4347" w:type="dxa"/>
          </w:tcPr>
          <w:p w14:paraId="74FA4CDF" w14:textId="77777777" w:rsidR="00B86283" w:rsidRPr="00F23DCE" w:rsidRDefault="00B86283" w:rsidP="005B5CA6">
            <w:pPr>
              <w:pStyle w:val="Normal-pool"/>
              <w:spacing w:before="40" w:after="40"/>
              <w:rPr>
                <w:sz w:val="18"/>
                <w:szCs w:val="18"/>
                <w:lang w:val="en-GB"/>
              </w:rPr>
            </w:pPr>
            <w:r w:rsidRPr="00F23DCE">
              <w:rPr>
                <w:sz w:val="18"/>
                <w:szCs w:val="18"/>
                <w:lang w:val="en-GB"/>
              </w:rPr>
              <w:t>Review of the financial mechanism</w:t>
            </w:r>
          </w:p>
        </w:tc>
      </w:tr>
      <w:tr w:rsidR="00B86283" w:rsidRPr="00F23DCE" w14:paraId="53D1FA1D" w14:textId="77777777" w:rsidTr="00D52FD0">
        <w:trPr>
          <w:trHeight w:val="57"/>
          <w:jc w:val="right"/>
        </w:trPr>
        <w:tc>
          <w:tcPr>
            <w:tcW w:w="2700" w:type="dxa"/>
          </w:tcPr>
          <w:p w14:paraId="35337DA1"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UNEP/MC/COP.4/13</w:t>
            </w:r>
          </w:p>
        </w:tc>
        <w:tc>
          <w:tcPr>
            <w:tcW w:w="1260" w:type="dxa"/>
          </w:tcPr>
          <w:p w14:paraId="13674E93" w14:textId="77777777" w:rsidR="00B86283" w:rsidRPr="00F23DCE" w:rsidRDefault="00B86283" w:rsidP="005B5CA6">
            <w:pPr>
              <w:pStyle w:val="Normal-pool"/>
              <w:spacing w:before="40" w:after="40"/>
              <w:rPr>
                <w:sz w:val="18"/>
                <w:szCs w:val="18"/>
                <w:lang w:val="en-GB"/>
              </w:rPr>
            </w:pPr>
            <w:r w:rsidRPr="00F23DCE">
              <w:rPr>
                <w:sz w:val="18"/>
                <w:szCs w:val="18"/>
                <w:lang w:val="en-GB"/>
              </w:rPr>
              <w:t>4 (e) (ii)</w:t>
            </w:r>
          </w:p>
        </w:tc>
        <w:tc>
          <w:tcPr>
            <w:tcW w:w="4347" w:type="dxa"/>
          </w:tcPr>
          <w:p w14:paraId="7D3E2302" w14:textId="323EB6B9" w:rsidR="00B86283" w:rsidRPr="00F23DCE" w:rsidRDefault="00E63E9A" w:rsidP="005B5CA6">
            <w:pPr>
              <w:pStyle w:val="Normal-pool"/>
              <w:spacing w:before="40" w:after="40"/>
              <w:rPr>
                <w:sz w:val="18"/>
                <w:szCs w:val="18"/>
                <w:lang w:val="en-GB"/>
              </w:rPr>
            </w:pPr>
            <w:r w:rsidRPr="00F23DCE">
              <w:rPr>
                <w:sz w:val="18"/>
                <w:szCs w:val="18"/>
                <w:lang w:val="en-GB"/>
              </w:rPr>
              <w:t>Executive Director’s report on s</w:t>
            </w:r>
            <w:r w:rsidR="00B86283" w:rsidRPr="00F23DCE">
              <w:rPr>
                <w:sz w:val="18"/>
                <w:szCs w:val="18"/>
                <w:lang w:val="en-GB"/>
              </w:rPr>
              <w:t>trengthening the Specific International Programme to Support Capacity-Building and Technical Assistance of the Minamata Convention on Mercury (article 13)</w:t>
            </w:r>
          </w:p>
        </w:tc>
      </w:tr>
      <w:tr w:rsidR="00B86283" w:rsidRPr="00F23DCE" w14:paraId="6ED010A9" w14:textId="77777777" w:rsidTr="00D52FD0">
        <w:trPr>
          <w:trHeight w:val="439"/>
          <w:jc w:val="right"/>
        </w:trPr>
        <w:tc>
          <w:tcPr>
            <w:tcW w:w="2700" w:type="dxa"/>
          </w:tcPr>
          <w:p w14:paraId="39750413"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UNEP/MC/COP.4/14</w:t>
            </w:r>
          </w:p>
        </w:tc>
        <w:tc>
          <w:tcPr>
            <w:tcW w:w="1260" w:type="dxa"/>
          </w:tcPr>
          <w:p w14:paraId="592A2910" w14:textId="77777777" w:rsidR="00B86283" w:rsidRPr="00F23DCE" w:rsidRDefault="00B86283" w:rsidP="005B5CA6">
            <w:pPr>
              <w:pStyle w:val="Normal-pool"/>
              <w:spacing w:before="40" w:after="40"/>
              <w:rPr>
                <w:sz w:val="18"/>
                <w:szCs w:val="18"/>
                <w:lang w:val="en-GB"/>
              </w:rPr>
            </w:pPr>
            <w:r w:rsidRPr="00F23DCE">
              <w:rPr>
                <w:sz w:val="18"/>
                <w:szCs w:val="18"/>
                <w:lang w:val="en-GB"/>
              </w:rPr>
              <w:t>4 (f)</w:t>
            </w:r>
          </w:p>
        </w:tc>
        <w:tc>
          <w:tcPr>
            <w:tcW w:w="4347" w:type="dxa"/>
          </w:tcPr>
          <w:p w14:paraId="417634B0" w14:textId="77777777" w:rsidR="00B86283" w:rsidRPr="00F23DCE" w:rsidRDefault="00B86283" w:rsidP="005B5CA6">
            <w:pPr>
              <w:pStyle w:val="Normal-pool"/>
              <w:spacing w:before="40" w:after="40"/>
              <w:rPr>
                <w:sz w:val="18"/>
                <w:szCs w:val="18"/>
                <w:lang w:val="en-GB"/>
              </w:rPr>
            </w:pPr>
            <w:r w:rsidRPr="00F23DCE">
              <w:rPr>
                <w:sz w:val="18"/>
                <w:szCs w:val="18"/>
                <w:lang w:val="en-GB"/>
              </w:rPr>
              <w:t>Capacity-building and technical assistance programme of the Minamata Convention on Mercury</w:t>
            </w:r>
          </w:p>
        </w:tc>
      </w:tr>
      <w:tr w:rsidR="00B86283" w:rsidRPr="00F23DCE" w14:paraId="7EEADF7A" w14:textId="77777777" w:rsidTr="00D52FD0">
        <w:trPr>
          <w:trHeight w:val="57"/>
          <w:jc w:val="right"/>
        </w:trPr>
        <w:tc>
          <w:tcPr>
            <w:tcW w:w="2700" w:type="dxa"/>
          </w:tcPr>
          <w:p w14:paraId="3F1C2399" w14:textId="6012C69B" w:rsidR="00B86283" w:rsidRPr="00F23DCE" w:rsidRDefault="00B86283" w:rsidP="005B5CA6">
            <w:pPr>
              <w:pStyle w:val="Normal-pool"/>
              <w:spacing w:before="40" w:after="40"/>
              <w:rPr>
                <w:sz w:val="18"/>
                <w:szCs w:val="18"/>
                <w:lang w:val="en-GB"/>
              </w:rPr>
            </w:pPr>
            <w:r w:rsidRPr="00F23DCE">
              <w:rPr>
                <w:sz w:val="18"/>
                <w:szCs w:val="18"/>
                <w:lang w:val="en-GB"/>
              </w:rPr>
              <w:t>UNEP/MC/COP.4/15</w:t>
            </w:r>
            <w:r w:rsidR="00705423">
              <w:rPr>
                <w:sz w:val="18"/>
                <w:szCs w:val="18"/>
                <w:lang w:val="en-GB"/>
              </w:rPr>
              <w:t>/Rev.1</w:t>
            </w:r>
          </w:p>
        </w:tc>
        <w:tc>
          <w:tcPr>
            <w:tcW w:w="1260" w:type="dxa"/>
          </w:tcPr>
          <w:p w14:paraId="358E7654" w14:textId="77777777" w:rsidR="00B86283" w:rsidRPr="00F23DCE" w:rsidRDefault="00B86283" w:rsidP="005B5CA6">
            <w:pPr>
              <w:pStyle w:val="Normal-pool"/>
              <w:spacing w:before="40" w:after="40"/>
              <w:rPr>
                <w:sz w:val="18"/>
                <w:szCs w:val="18"/>
                <w:lang w:val="en-GB"/>
              </w:rPr>
            </w:pPr>
            <w:r w:rsidRPr="00F23DCE">
              <w:rPr>
                <w:sz w:val="18"/>
                <w:szCs w:val="18"/>
                <w:lang w:val="en-GB"/>
              </w:rPr>
              <w:t>4 (g)</w:t>
            </w:r>
          </w:p>
        </w:tc>
        <w:tc>
          <w:tcPr>
            <w:tcW w:w="4347" w:type="dxa"/>
          </w:tcPr>
          <w:p w14:paraId="355E54E0" w14:textId="77777777" w:rsidR="00B86283" w:rsidRPr="00F23DCE" w:rsidRDefault="00B86283" w:rsidP="005B5CA6">
            <w:pPr>
              <w:pStyle w:val="Normal-pool"/>
              <w:spacing w:before="40" w:after="40"/>
              <w:rPr>
                <w:sz w:val="18"/>
                <w:szCs w:val="18"/>
                <w:lang w:val="en-GB"/>
              </w:rPr>
            </w:pPr>
            <w:r w:rsidRPr="00F23DCE">
              <w:rPr>
                <w:sz w:val="18"/>
                <w:szCs w:val="18"/>
                <w:lang w:val="en-GB"/>
              </w:rPr>
              <w:t>Report on the work of the Implementation and Compliance Committee of the Minamata Convention on Mercury</w:t>
            </w:r>
          </w:p>
        </w:tc>
      </w:tr>
      <w:tr w:rsidR="00B86283" w:rsidRPr="00F23DCE" w14:paraId="7ED0101C" w14:textId="77777777" w:rsidTr="00D52FD0">
        <w:trPr>
          <w:trHeight w:val="57"/>
          <w:jc w:val="right"/>
        </w:trPr>
        <w:tc>
          <w:tcPr>
            <w:tcW w:w="2700" w:type="dxa"/>
          </w:tcPr>
          <w:p w14:paraId="138C3DD0" w14:textId="4B742D6A" w:rsidR="00B86283" w:rsidRPr="00F23DCE" w:rsidRDefault="00B86283" w:rsidP="005B5CA6">
            <w:pPr>
              <w:pStyle w:val="Normal-pool"/>
              <w:spacing w:before="40" w:after="40"/>
              <w:rPr>
                <w:sz w:val="18"/>
                <w:szCs w:val="18"/>
                <w:lang w:val="en-GB"/>
              </w:rPr>
            </w:pPr>
            <w:r w:rsidRPr="00F23DCE">
              <w:rPr>
                <w:sz w:val="18"/>
                <w:szCs w:val="18"/>
                <w:lang w:val="en-GB"/>
              </w:rPr>
              <w:t>UNEP/MC/COP.4/16</w:t>
            </w:r>
          </w:p>
        </w:tc>
        <w:tc>
          <w:tcPr>
            <w:tcW w:w="1260" w:type="dxa"/>
          </w:tcPr>
          <w:p w14:paraId="062C1D06" w14:textId="77777777" w:rsidR="00B86283" w:rsidRPr="00F23DCE" w:rsidRDefault="00B86283" w:rsidP="005B5CA6">
            <w:pPr>
              <w:pStyle w:val="Normal-pool"/>
              <w:spacing w:before="40" w:after="40"/>
              <w:rPr>
                <w:sz w:val="18"/>
                <w:szCs w:val="18"/>
                <w:lang w:val="en-GB"/>
              </w:rPr>
            </w:pPr>
            <w:r w:rsidRPr="00F23DCE">
              <w:rPr>
                <w:sz w:val="18"/>
                <w:szCs w:val="18"/>
                <w:lang w:val="en-GB"/>
              </w:rPr>
              <w:t>4 (h)</w:t>
            </w:r>
          </w:p>
        </w:tc>
        <w:tc>
          <w:tcPr>
            <w:tcW w:w="4347" w:type="dxa"/>
          </w:tcPr>
          <w:p w14:paraId="65621517" w14:textId="77777777" w:rsidR="00B86283" w:rsidRPr="00F23DCE" w:rsidRDefault="00B86283" w:rsidP="005B5CA6">
            <w:pPr>
              <w:pStyle w:val="Normal-pool"/>
              <w:spacing w:before="40" w:after="40"/>
              <w:rPr>
                <w:sz w:val="18"/>
                <w:szCs w:val="18"/>
                <w:lang w:val="en-GB"/>
              </w:rPr>
            </w:pPr>
            <w:r w:rsidRPr="00F23DCE">
              <w:rPr>
                <w:sz w:val="18"/>
                <w:szCs w:val="18"/>
                <w:lang w:val="en-GB"/>
              </w:rPr>
              <w:t>National reporting</w:t>
            </w:r>
          </w:p>
        </w:tc>
      </w:tr>
      <w:tr w:rsidR="00B86283" w:rsidRPr="00F23DCE" w14:paraId="508C1C78" w14:textId="77777777" w:rsidTr="00D52FD0">
        <w:trPr>
          <w:trHeight w:val="57"/>
          <w:jc w:val="right"/>
        </w:trPr>
        <w:tc>
          <w:tcPr>
            <w:tcW w:w="2700" w:type="dxa"/>
          </w:tcPr>
          <w:p w14:paraId="0F06EC93"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UNEP/MC/COP.4/17</w:t>
            </w:r>
          </w:p>
        </w:tc>
        <w:tc>
          <w:tcPr>
            <w:tcW w:w="1260" w:type="dxa"/>
          </w:tcPr>
          <w:p w14:paraId="17AE742F" w14:textId="77777777" w:rsidR="00B86283" w:rsidRPr="00F23DCE" w:rsidRDefault="00B86283" w:rsidP="005B5CA6">
            <w:pPr>
              <w:pStyle w:val="Normal-pool"/>
              <w:spacing w:before="40" w:after="40"/>
              <w:rPr>
                <w:sz w:val="18"/>
                <w:szCs w:val="18"/>
                <w:lang w:val="en-GB"/>
              </w:rPr>
            </w:pPr>
            <w:r w:rsidRPr="00F23DCE">
              <w:rPr>
                <w:sz w:val="18"/>
                <w:szCs w:val="18"/>
                <w:lang w:val="en-GB"/>
              </w:rPr>
              <w:t>4 (h)</w:t>
            </w:r>
          </w:p>
        </w:tc>
        <w:tc>
          <w:tcPr>
            <w:tcW w:w="4347" w:type="dxa"/>
          </w:tcPr>
          <w:p w14:paraId="1AABEC12" w14:textId="08EB2304" w:rsidR="00B86283" w:rsidRPr="00F23DCE" w:rsidRDefault="00B86283" w:rsidP="005B5CA6">
            <w:pPr>
              <w:pStyle w:val="Normal-pool"/>
              <w:spacing w:before="40" w:after="40"/>
              <w:rPr>
                <w:sz w:val="18"/>
                <w:szCs w:val="18"/>
                <w:highlight w:val="yellow"/>
                <w:lang w:val="en-GB"/>
              </w:rPr>
            </w:pPr>
            <w:r w:rsidRPr="00F23DCE">
              <w:rPr>
                <w:sz w:val="18"/>
                <w:szCs w:val="18"/>
                <w:lang w:val="en-GB"/>
              </w:rPr>
              <w:t xml:space="preserve">Draft </w:t>
            </w:r>
            <w:r w:rsidR="00533D6A" w:rsidRPr="00F23DCE">
              <w:rPr>
                <w:sz w:val="18"/>
                <w:szCs w:val="18"/>
                <w:lang w:val="en-GB"/>
              </w:rPr>
              <w:t>g</w:t>
            </w:r>
            <w:r w:rsidRPr="00F23DCE">
              <w:rPr>
                <w:sz w:val="18"/>
                <w:szCs w:val="18"/>
                <w:lang w:val="en-GB"/>
              </w:rPr>
              <w:t xml:space="preserve">uidance </w:t>
            </w:r>
            <w:r w:rsidR="00533D6A" w:rsidRPr="00F23DCE">
              <w:rPr>
                <w:sz w:val="18"/>
                <w:szCs w:val="18"/>
                <w:lang w:val="en-GB"/>
              </w:rPr>
              <w:t>on completing the national reporting f</w:t>
            </w:r>
            <w:r w:rsidRPr="00F23DCE">
              <w:rPr>
                <w:sz w:val="18"/>
                <w:szCs w:val="18"/>
                <w:lang w:val="en-GB"/>
              </w:rPr>
              <w:t>ormat for the Minamata Convention on Mercury</w:t>
            </w:r>
          </w:p>
        </w:tc>
      </w:tr>
      <w:tr w:rsidR="00B86283" w:rsidRPr="00F23DCE" w14:paraId="7C6D6EA8" w14:textId="77777777" w:rsidTr="00D52FD0">
        <w:trPr>
          <w:trHeight w:val="223"/>
          <w:jc w:val="right"/>
        </w:trPr>
        <w:tc>
          <w:tcPr>
            <w:tcW w:w="2700" w:type="dxa"/>
          </w:tcPr>
          <w:p w14:paraId="2A2D0EB2"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UNEP/MC/COP.4/18</w:t>
            </w:r>
          </w:p>
        </w:tc>
        <w:tc>
          <w:tcPr>
            <w:tcW w:w="1260" w:type="dxa"/>
          </w:tcPr>
          <w:p w14:paraId="1D999A1C" w14:textId="77777777" w:rsidR="00B86283" w:rsidRPr="00F23DCE" w:rsidRDefault="00B86283" w:rsidP="005B5CA6">
            <w:pPr>
              <w:pStyle w:val="Normal-pool"/>
              <w:spacing w:before="40" w:after="40"/>
              <w:rPr>
                <w:sz w:val="18"/>
                <w:szCs w:val="18"/>
                <w:lang w:val="en-GB"/>
              </w:rPr>
            </w:pPr>
            <w:r w:rsidRPr="00F23DCE">
              <w:rPr>
                <w:sz w:val="18"/>
                <w:szCs w:val="18"/>
                <w:lang w:val="en-GB"/>
              </w:rPr>
              <w:t>4 (i)</w:t>
            </w:r>
          </w:p>
        </w:tc>
        <w:tc>
          <w:tcPr>
            <w:tcW w:w="4347" w:type="dxa"/>
          </w:tcPr>
          <w:p w14:paraId="28B9D6AD" w14:textId="77777777" w:rsidR="00B86283" w:rsidRPr="00F23DCE" w:rsidRDefault="00B86283" w:rsidP="005B5CA6">
            <w:pPr>
              <w:pStyle w:val="Normal-pool"/>
              <w:spacing w:before="40" w:after="40"/>
              <w:rPr>
                <w:sz w:val="18"/>
                <w:szCs w:val="18"/>
                <w:lang w:val="en-GB"/>
              </w:rPr>
            </w:pPr>
            <w:r w:rsidRPr="00F23DCE">
              <w:rPr>
                <w:sz w:val="18"/>
                <w:szCs w:val="18"/>
                <w:lang w:val="en-GB"/>
              </w:rPr>
              <w:t>Giving effect to article 22: effectiveness evaluation</w:t>
            </w:r>
          </w:p>
        </w:tc>
      </w:tr>
      <w:tr w:rsidR="00B86283" w:rsidRPr="00F23DCE" w14:paraId="17691BE7" w14:textId="77777777" w:rsidTr="00D52FD0">
        <w:trPr>
          <w:trHeight w:val="223"/>
          <w:jc w:val="right"/>
        </w:trPr>
        <w:tc>
          <w:tcPr>
            <w:tcW w:w="2700" w:type="dxa"/>
          </w:tcPr>
          <w:p w14:paraId="0D3B0BA2"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UNEP/MC/COP.4/18/Add.1</w:t>
            </w:r>
          </w:p>
        </w:tc>
        <w:tc>
          <w:tcPr>
            <w:tcW w:w="1260" w:type="dxa"/>
          </w:tcPr>
          <w:p w14:paraId="2D3A0F35" w14:textId="77777777" w:rsidR="00B86283" w:rsidRPr="00F23DCE" w:rsidRDefault="00B86283" w:rsidP="005B5CA6">
            <w:pPr>
              <w:pStyle w:val="Normal-pool"/>
              <w:spacing w:before="40" w:after="40"/>
              <w:rPr>
                <w:sz w:val="18"/>
                <w:szCs w:val="18"/>
                <w:lang w:val="en-GB"/>
              </w:rPr>
            </w:pPr>
            <w:r w:rsidRPr="00F23DCE">
              <w:rPr>
                <w:sz w:val="18"/>
                <w:szCs w:val="18"/>
                <w:lang w:val="en-GB"/>
              </w:rPr>
              <w:t>4 (i)</w:t>
            </w:r>
          </w:p>
        </w:tc>
        <w:tc>
          <w:tcPr>
            <w:tcW w:w="4347" w:type="dxa"/>
          </w:tcPr>
          <w:p w14:paraId="2766376D" w14:textId="77777777" w:rsidR="00B86283" w:rsidRPr="00F23DCE" w:rsidRDefault="00B86283" w:rsidP="005B5CA6">
            <w:pPr>
              <w:pStyle w:val="Normal-pool"/>
              <w:spacing w:before="40" w:after="40"/>
              <w:rPr>
                <w:sz w:val="18"/>
                <w:szCs w:val="18"/>
                <w:lang w:val="en-GB"/>
              </w:rPr>
            </w:pPr>
            <w:r w:rsidRPr="00F23DCE">
              <w:rPr>
                <w:sz w:val="18"/>
                <w:szCs w:val="18"/>
                <w:lang w:val="en-GB"/>
              </w:rPr>
              <w:t>Indicators</w:t>
            </w:r>
          </w:p>
        </w:tc>
      </w:tr>
      <w:tr w:rsidR="00B86283" w:rsidRPr="00F23DCE" w14:paraId="0D5FCE8E" w14:textId="77777777" w:rsidTr="00D52FD0">
        <w:trPr>
          <w:trHeight w:val="223"/>
          <w:jc w:val="right"/>
        </w:trPr>
        <w:tc>
          <w:tcPr>
            <w:tcW w:w="2700" w:type="dxa"/>
          </w:tcPr>
          <w:p w14:paraId="36603573" w14:textId="77777777" w:rsidR="00B86283" w:rsidRPr="00F23DCE" w:rsidRDefault="00B86283" w:rsidP="005B5CA6">
            <w:pPr>
              <w:pStyle w:val="Normal-pool"/>
              <w:spacing w:before="40" w:after="40"/>
              <w:rPr>
                <w:sz w:val="18"/>
                <w:szCs w:val="18"/>
                <w:lang w:val="en-GB"/>
              </w:rPr>
            </w:pPr>
            <w:r w:rsidRPr="00F23DCE">
              <w:rPr>
                <w:sz w:val="18"/>
                <w:szCs w:val="18"/>
                <w:lang w:val="en-GB"/>
              </w:rPr>
              <w:lastRenderedPageBreak/>
              <w:t>UNEP/MC/COP.4/18/Add.2</w:t>
            </w:r>
          </w:p>
        </w:tc>
        <w:tc>
          <w:tcPr>
            <w:tcW w:w="1260" w:type="dxa"/>
          </w:tcPr>
          <w:p w14:paraId="23EF5006" w14:textId="77777777" w:rsidR="00B86283" w:rsidRPr="00F23DCE" w:rsidRDefault="00B86283" w:rsidP="005B5CA6">
            <w:pPr>
              <w:pStyle w:val="Normal-pool"/>
              <w:spacing w:before="40" w:after="40"/>
              <w:rPr>
                <w:sz w:val="18"/>
                <w:szCs w:val="18"/>
                <w:lang w:val="en-GB"/>
              </w:rPr>
            </w:pPr>
            <w:r w:rsidRPr="00F23DCE">
              <w:rPr>
                <w:sz w:val="18"/>
                <w:szCs w:val="18"/>
                <w:lang w:val="en-GB"/>
              </w:rPr>
              <w:t>4 (i)</w:t>
            </w:r>
          </w:p>
        </w:tc>
        <w:tc>
          <w:tcPr>
            <w:tcW w:w="4347" w:type="dxa"/>
          </w:tcPr>
          <w:p w14:paraId="2EDDC874" w14:textId="20A57D69" w:rsidR="00B86283" w:rsidRPr="00F23DCE" w:rsidRDefault="00B86283" w:rsidP="005B5CA6">
            <w:pPr>
              <w:pStyle w:val="Normal-pool"/>
              <w:spacing w:before="40" w:after="40"/>
              <w:rPr>
                <w:sz w:val="18"/>
                <w:szCs w:val="18"/>
                <w:lang w:val="en-GB"/>
              </w:rPr>
            </w:pPr>
            <w:r w:rsidRPr="00F23DCE">
              <w:rPr>
                <w:sz w:val="18"/>
                <w:szCs w:val="18"/>
                <w:lang w:val="en-GB"/>
              </w:rPr>
              <w:t>Guidance on monitoring of mercury and mercury compounds to support the</w:t>
            </w:r>
            <w:r w:rsidR="00840FAB" w:rsidRPr="00F23DCE">
              <w:rPr>
                <w:sz w:val="18"/>
                <w:szCs w:val="18"/>
                <w:lang w:val="en-GB"/>
              </w:rPr>
              <w:t xml:space="preserve"> evaluation of the</w:t>
            </w:r>
            <w:r w:rsidRPr="00F23DCE">
              <w:rPr>
                <w:sz w:val="18"/>
                <w:szCs w:val="18"/>
                <w:lang w:val="en-GB"/>
              </w:rPr>
              <w:t xml:space="preserve"> effectiveness of </w:t>
            </w:r>
            <w:r w:rsidR="00533D6A" w:rsidRPr="00F23DCE">
              <w:rPr>
                <w:sz w:val="18"/>
                <w:szCs w:val="18"/>
                <w:lang w:val="en-GB"/>
              </w:rPr>
              <w:t>the Minamata Convention: executive s</w:t>
            </w:r>
            <w:r w:rsidRPr="00F23DCE">
              <w:rPr>
                <w:sz w:val="18"/>
                <w:szCs w:val="18"/>
                <w:lang w:val="en-GB"/>
              </w:rPr>
              <w:t>ummary</w:t>
            </w:r>
          </w:p>
        </w:tc>
      </w:tr>
      <w:tr w:rsidR="00283CCF" w:rsidRPr="00F23DCE" w14:paraId="4138B8D3" w14:textId="77777777" w:rsidTr="00D52FD0">
        <w:trPr>
          <w:trHeight w:val="57"/>
          <w:jc w:val="right"/>
        </w:trPr>
        <w:tc>
          <w:tcPr>
            <w:tcW w:w="2700" w:type="dxa"/>
          </w:tcPr>
          <w:p w14:paraId="6E19894D" w14:textId="3867F3B9" w:rsidR="00283CCF" w:rsidRPr="00F23DCE" w:rsidRDefault="00283CCF" w:rsidP="00283CCF">
            <w:pPr>
              <w:pStyle w:val="Normal-pool"/>
              <w:spacing w:before="40" w:after="40"/>
              <w:rPr>
                <w:sz w:val="18"/>
                <w:szCs w:val="18"/>
                <w:lang w:val="en-GB"/>
              </w:rPr>
            </w:pPr>
            <w:r w:rsidRPr="00F23DCE">
              <w:rPr>
                <w:sz w:val="18"/>
                <w:szCs w:val="18"/>
                <w:lang w:val="en-GB"/>
              </w:rPr>
              <w:t>UNEP/MC/COP.4/18</w:t>
            </w:r>
            <w:r>
              <w:rPr>
                <w:sz w:val="18"/>
                <w:szCs w:val="18"/>
                <w:lang w:val="en-GB"/>
              </w:rPr>
              <w:t>/Add.3</w:t>
            </w:r>
          </w:p>
        </w:tc>
        <w:tc>
          <w:tcPr>
            <w:tcW w:w="1260" w:type="dxa"/>
          </w:tcPr>
          <w:p w14:paraId="64B5492E" w14:textId="7EF01FBF" w:rsidR="00283CCF" w:rsidRPr="00F23DCE" w:rsidRDefault="00283CCF" w:rsidP="00283CCF">
            <w:pPr>
              <w:pStyle w:val="Normal-pool"/>
              <w:spacing w:before="40" w:after="40"/>
              <w:rPr>
                <w:sz w:val="18"/>
                <w:szCs w:val="18"/>
                <w:lang w:val="en-GB"/>
              </w:rPr>
            </w:pPr>
            <w:r w:rsidRPr="00F23DCE">
              <w:rPr>
                <w:sz w:val="18"/>
                <w:szCs w:val="18"/>
                <w:lang w:val="en-GB"/>
              </w:rPr>
              <w:t>4 (i)</w:t>
            </w:r>
          </w:p>
        </w:tc>
        <w:tc>
          <w:tcPr>
            <w:tcW w:w="4347" w:type="dxa"/>
          </w:tcPr>
          <w:p w14:paraId="19C54D71" w14:textId="05DC4F2C" w:rsidR="00283CCF" w:rsidRPr="00F23DCE" w:rsidRDefault="00BD7D5B" w:rsidP="00283CCF">
            <w:pPr>
              <w:pStyle w:val="Normal-pool"/>
              <w:spacing w:before="40" w:after="40"/>
              <w:rPr>
                <w:sz w:val="18"/>
                <w:szCs w:val="18"/>
                <w:lang w:val="en-GB"/>
              </w:rPr>
            </w:pPr>
            <w:r w:rsidRPr="00BD7D5B">
              <w:rPr>
                <w:sz w:val="18"/>
                <w:szCs w:val="18"/>
                <w:lang w:val="en-GB"/>
              </w:rPr>
              <w:t>Consultations on the framework for the evaluation of the effectiveness of the Convention</w:t>
            </w:r>
          </w:p>
        </w:tc>
      </w:tr>
      <w:tr w:rsidR="00B86283" w:rsidRPr="00F23DCE" w14:paraId="3D86D03C" w14:textId="77777777" w:rsidTr="00D52FD0">
        <w:trPr>
          <w:trHeight w:val="57"/>
          <w:jc w:val="right"/>
        </w:trPr>
        <w:tc>
          <w:tcPr>
            <w:tcW w:w="2700" w:type="dxa"/>
          </w:tcPr>
          <w:p w14:paraId="2F83CAD8" w14:textId="77777777" w:rsidR="00B86283" w:rsidRPr="00F23DCE" w:rsidRDefault="00B86283" w:rsidP="005B5CA6">
            <w:pPr>
              <w:pStyle w:val="Normal-pool"/>
              <w:spacing w:before="40" w:after="40"/>
              <w:rPr>
                <w:sz w:val="18"/>
                <w:szCs w:val="18"/>
                <w:lang w:val="en-GB"/>
              </w:rPr>
            </w:pPr>
            <w:r w:rsidRPr="00F23DCE">
              <w:rPr>
                <w:sz w:val="18"/>
                <w:szCs w:val="18"/>
                <w:lang w:val="en-GB"/>
              </w:rPr>
              <w:t>UNEP/MC/COP.4/19</w:t>
            </w:r>
          </w:p>
        </w:tc>
        <w:tc>
          <w:tcPr>
            <w:tcW w:w="1260" w:type="dxa"/>
          </w:tcPr>
          <w:p w14:paraId="6E098F37" w14:textId="77777777" w:rsidR="00B86283" w:rsidRPr="00F23DCE" w:rsidRDefault="00B86283" w:rsidP="005B5CA6">
            <w:pPr>
              <w:pStyle w:val="Normal-pool"/>
              <w:spacing w:before="40" w:after="40"/>
              <w:rPr>
                <w:sz w:val="18"/>
                <w:szCs w:val="18"/>
                <w:lang w:val="en-GB"/>
              </w:rPr>
            </w:pPr>
            <w:r w:rsidRPr="00F23DCE">
              <w:rPr>
                <w:sz w:val="18"/>
                <w:szCs w:val="18"/>
                <w:lang w:val="en-GB"/>
              </w:rPr>
              <w:t>6</w:t>
            </w:r>
          </w:p>
        </w:tc>
        <w:tc>
          <w:tcPr>
            <w:tcW w:w="4347" w:type="dxa"/>
          </w:tcPr>
          <w:p w14:paraId="7FC82D82" w14:textId="77777777" w:rsidR="00B86283" w:rsidRPr="00F23DCE" w:rsidRDefault="00B86283" w:rsidP="005B5CA6">
            <w:pPr>
              <w:pStyle w:val="Normal-pool"/>
              <w:spacing w:before="40" w:after="40"/>
              <w:rPr>
                <w:sz w:val="18"/>
                <w:szCs w:val="18"/>
                <w:lang w:val="en-GB"/>
              </w:rPr>
            </w:pPr>
            <w:r w:rsidRPr="00F23DCE">
              <w:rPr>
                <w:sz w:val="18"/>
                <w:szCs w:val="18"/>
                <w:lang w:val="en-GB"/>
              </w:rPr>
              <w:t>Progress in the implementation of the programme of work for the biennium 2020–2021</w:t>
            </w:r>
          </w:p>
        </w:tc>
      </w:tr>
      <w:tr w:rsidR="00B86283" w:rsidRPr="00F23DCE" w14:paraId="3FC2F1C8" w14:textId="77777777" w:rsidTr="00D52FD0">
        <w:trPr>
          <w:trHeight w:val="57"/>
          <w:jc w:val="right"/>
        </w:trPr>
        <w:tc>
          <w:tcPr>
            <w:tcW w:w="2700" w:type="dxa"/>
          </w:tcPr>
          <w:p w14:paraId="77EF58F2" w14:textId="77777777" w:rsidR="00B86283" w:rsidRPr="00F23DCE" w:rsidRDefault="00B86283" w:rsidP="005B5CA6">
            <w:pPr>
              <w:pStyle w:val="Normal-pool"/>
              <w:spacing w:before="40" w:after="40"/>
              <w:rPr>
                <w:sz w:val="18"/>
                <w:szCs w:val="18"/>
                <w:lang w:val="en-GB"/>
              </w:rPr>
            </w:pPr>
            <w:r w:rsidRPr="00F23DCE">
              <w:rPr>
                <w:sz w:val="18"/>
                <w:szCs w:val="18"/>
                <w:lang w:val="en-GB"/>
              </w:rPr>
              <w:t>UNEP/MC/COP.4/20</w:t>
            </w:r>
          </w:p>
        </w:tc>
        <w:tc>
          <w:tcPr>
            <w:tcW w:w="1260" w:type="dxa"/>
          </w:tcPr>
          <w:p w14:paraId="3434433C" w14:textId="77777777" w:rsidR="00B86283" w:rsidRPr="00F23DCE" w:rsidRDefault="00B86283" w:rsidP="005B5CA6">
            <w:pPr>
              <w:pStyle w:val="Normal-pool"/>
              <w:spacing w:before="40" w:after="40"/>
              <w:rPr>
                <w:sz w:val="18"/>
                <w:szCs w:val="18"/>
                <w:lang w:val="en-GB"/>
              </w:rPr>
            </w:pPr>
            <w:r w:rsidRPr="00F23DCE">
              <w:rPr>
                <w:sz w:val="18"/>
                <w:szCs w:val="18"/>
                <w:lang w:val="en-GB"/>
              </w:rPr>
              <w:t>4 (j)</w:t>
            </w:r>
          </w:p>
        </w:tc>
        <w:tc>
          <w:tcPr>
            <w:tcW w:w="4347" w:type="dxa"/>
          </w:tcPr>
          <w:p w14:paraId="5404306F" w14:textId="77777777" w:rsidR="00B86283" w:rsidRPr="00F23DCE" w:rsidRDefault="00B86283" w:rsidP="005B5CA6">
            <w:pPr>
              <w:pStyle w:val="Normal-pool"/>
              <w:spacing w:before="40" w:after="40"/>
              <w:rPr>
                <w:sz w:val="18"/>
                <w:szCs w:val="18"/>
                <w:lang w:val="en-GB"/>
              </w:rPr>
            </w:pPr>
            <w:r w:rsidRPr="00F23DCE">
              <w:rPr>
                <w:sz w:val="18"/>
                <w:szCs w:val="18"/>
                <w:lang w:val="en-GB"/>
              </w:rPr>
              <w:t>Report on the implementation of decision MC-3/11 on enhanced cooperation between the secretariat of the Minamata Convention and the secretariat of the Basel, Rotterdam and Stockholm conventions</w:t>
            </w:r>
          </w:p>
        </w:tc>
      </w:tr>
      <w:tr w:rsidR="00B86283" w:rsidRPr="00F23DCE" w14:paraId="16DB1BAA" w14:textId="77777777" w:rsidTr="00D52FD0">
        <w:trPr>
          <w:trHeight w:val="57"/>
          <w:jc w:val="right"/>
        </w:trPr>
        <w:tc>
          <w:tcPr>
            <w:tcW w:w="2700" w:type="dxa"/>
          </w:tcPr>
          <w:p w14:paraId="34C26F3B" w14:textId="77777777" w:rsidR="00B86283" w:rsidRPr="00F23DCE" w:rsidRDefault="00B86283" w:rsidP="005B5CA6">
            <w:pPr>
              <w:pStyle w:val="Normal-pool"/>
              <w:spacing w:before="40" w:after="40"/>
              <w:rPr>
                <w:sz w:val="18"/>
                <w:szCs w:val="18"/>
                <w:lang w:val="en-GB"/>
              </w:rPr>
            </w:pPr>
            <w:r w:rsidRPr="00F23DCE">
              <w:rPr>
                <w:sz w:val="18"/>
                <w:szCs w:val="18"/>
                <w:lang w:val="en-GB"/>
              </w:rPr>
              <w:t>UNEP/MC/COP.4/21</w:t>
            </w:r>
          </w:p>
        </w:tc>
        <w:tc>
          <w:tcPr>
            <w:tcW w:w="1260" w:type="dxa"/>
          </w:tcPr>
          <w:p w14:paraId="223201A7" w14:textId="77777777" w:rsidR="00B86283" w:rsidRPr="00F23DCE" w:rsidRDefault="00B86283" w:rsidP="005B5CA6">
            <w:pPr>
              <w:pStyle w:val="Normal-pool"/>
              <w:spacing w:before="40" w:after="40"/>
              <w:rPr>
                <w:sz w:val="18"/>
                <w:szCs w:val="18"/>
                <w:lang w:val="en-GB"/>
              </w:rPr>
            </w:pPr>
            <w:r w:rsidRPr="00F23DCE">
              <w:rPr>
                <w:sz w:val="18"/>
                <w:szCs w:val="18"/>
                <w:lang w:val="en-GB"/>
              </w:rPr>
              <w:t>4 (k)</w:t>
            </w:r>
          </w:p>
        </w:tc>
        <w:tc>
          <w:tcPr>
            <w:tcW w:w="4347" w:type="dxa"/>
          </w:tcPr>
          <w:p w14:paraId="737627A0" w14:textId="77777777" w:rsidR="00B86283" w:rsidRPr="00F23DCE" w:rsidRDefault="00B86283" w:rsidP="005B5CA6">
            <w:pPr>
              <w:pStyle w:val="Normal-pool"/>
              <w:spacing w:before="40" w:after="40"/>
              <w:rPr>
                <w:sz w:val="18"/>
                <w:szCs w:val="18"/>
                <w:lang w:val="en-GB"/>
              </w:rPr>
            </w:pPr>
            <w:r w:rsidRPr="00F23DCE">
              <w:rPr>
                <w:sz w:val="18"/>
                <w:szCs w:val="18"/>
                <w:lang w:val="en-GB"/>
              </w:rPr>
              <w:t>Financial rules for the Conference of the Parties to the Minamata Convention on Mercury, its subsidiary bodies and the secretariat of the Convention</w:t>
            </w:r>
          </w:p>
        </w:tc>
      </w:tr>
      <w:tr w:rsidR="00B86283" w:rsidRPr="00F23DCE" w14:paraId="59546DE5" w14:textId="77777777" w:rsidTr="00D52FD0">
        <w:trPr>
          <w:trHeight w:val="57"/>
          <w:jc w:val="right"/>
        </w:trPr>
        <w:tc>
          <w:tcPr>
            <w:tcW w:w="2700" w:type="dxa"/>
          </w:tcPr>
          <w:p w14:paraId="6EC10A05" w14:textId="77777777" w:rsidR="00B86283" w:rsidRPr="00F23DCE" w:rsidRDefault="00B86283" w:rsidP="005B5CA6">
            <w:pPr>
              <w:pStyle w:val="Normal-pool"/>
              <w:spacing w:before="40" w:after="40"/>
              <w:rPr>
                <w:sz w:val="18"/>
                <w:szCs w:val="18"/>
                <w:lang w:val="en-GB"/>
              </w:rPr>
            </w:pPr>
            <w:r w:rsidRPr="00F23DCE">
              <w:rPr>
                <w:sz w:val="18"/>
                <w:szCs w:val="18"/>
                <w:lang w:val="en-GB"/>
              </w:rPr>
              <w:t>UNEP/MC/COP.4/22</w:t>
            </w:r>
          </w:p>
        </w:tc>
        <w:tc>
          <w:tcPr>
            <w:tcW w:w="1260" w:type="dxa"/>
          </w:tcPr>
          <w:p w14:paraId="7EAA43AB" w14:textId="77777777" w:rsidR="00B86283" w:rsidRPr="00F23DCE" w:rsidRDefault="00B86283" w:rsidP="005B5CA6">
            <w:pPr>
              <w:pStyle w:val="Normal-pool"/>
              <w:spacing w:before="40" w:after="40"/>
              <w:rPr>
                <w:sz w:val="18"/>
                <w:szCs w:val="18"/>
                <w:lang w:val="en-GB"/>
              </w:rPr>
            </w:pPr>
            <w:r w:rsidRPr="00F23DCE">
              <w:rPr>
                <w:sz w:val="18"/>
                <w:szCs w:val="18"/>
                <w:lang w:val="en-GB"/>
              </w:rPr>
              <w:t>4 (l)</w:t>
            </w:r>
          </w:p>
        </w:tc>
        <w:tc>
          <w:tcPr>
            <w:tcW w:w="4347" w:type="dxa"/>
          </w:tcPr>
          <w:p w14:paraId="64F30003" w14:textId="77777777" w:rsidR="00B86283" w:rsidRPr="00F23DCE" w:rsidRDefault="00B86283" w:rsidP="005B5CA6">
            <w:pPr>
              <w:pStyle w:val="Normal-pool"/>
              <w:spacing w:before="40" w:after="40"/>
              <w:rPr>
                <w:sz w:val="18"/>
                <w:szCs w:val="18"/>
                <w:lang w:val="en-GB"/>
              </w:rPr>
            </w:pPr>
            <w:r w:rsidRPr="00F23DCE">
              <w:rPr>
                <w:sz w:val="18"/>
                <w:szCs w:val="18"/>
                <w:lang w:val="en-GB"/>
              </w:rPr>
              <w:t>Mainstreaming gender</w:t>
            </w:r>
          </w:p>
        </w:tc>
      </w:tr>
      <w:tr w:rsidR="00B86283" w:rsidRPr="00F23DCE" w14:paraId="424D095C" w14:textId="77777777" w:rsidTr="00D52FD0">
        <w:trPr>
          <w:trHeight w:val="57"/>
          <w:jc w:val="right"/>
        </w:trPr>
        <w:tc>
          <w:tcPr>
            <w:tcW w:w="2700" w:type="dxa"/>
          </w:tcPr>
          <w:p w14:paraId="1708DF3B" w14:textId="77777777" w:rsidR="00B86283" w:rsidRPr="00F23DCE" w:rsidRDefault="00B86283" w:rsidP="005B5CA6">
            <w:pPr>
              <w:pStyle w:val="Normal-pool"/>
              <w:spacing w:before="40" w:after="40"/>
              <w:rPr>
                <w:sz w:val="18"/>
                <w:szCs w:val="18"/>
                <w:lang w:val="en-GB"/>
              </w:rPr>
            </w:pPr>
            <w:r w:rsidRPr="00F23DCE">
              <w:rPr>
                <w:sz w:val="18"/>
                <w:szCs w:val="18"/>
                <w:lang w:val="en-GB"/>
              </w:rPr>
              <w:t>UNEP/MC/COP.4/23</w:t>
            </w:r>
          </w:p>
        </w:tc>
        <w:tc>
          <w:tcPr>
            <w:tcW w:w="1260" w:type="dxa"/>
          </w:tcPr>
          <w:p w14:paraId="4A68A9A2" w14:textId="77777777" w:rsidR="00B86283" w:rsidRPr="00F23DCE" w:rsidRDefault="00B86283" w:rsidP="005B5CA6">
            <w:pPr>
              <w:pStyle w:val="Normal-pool"/>
              <w:spacing w:before="40" w:after="40"/>
              <w:rPr>
                <w:sz w:val="18"/>
                <w:szCs w:val="18"/>
                <w:lang w:val="en-GB"/>
              </w:rPr>
            </w:pPr>
            <w:r w:rsidRPr="00F23DCE">
              <w:rPr>
                <w:sz w:val="18"/>
                <w:szCs w:val="18"/>
                <w:lang w:val="en-GB"/>
              </w:rPr>
              <w:t>5</w:t>
            </w:r>
          </w:p>
        </w:tc>
        <w:tc>
          <w:tcPr>
            <w:tcW w:w="4347" w:type="dxa"/>
          </w:tcPr>
          <w:p w14:paraId="2C408578" w14:textId="77777777" w:rsidR="00B86283" w:rsidRPr="00F23DCE" w:rsidRDefault="00B86283" w:rsidP="005B5CA6">
            <w:pPr>
              <w:pStyle w:val="Normal-pool"/>
              <w:spacing w:before="40" w:after="40"/>
              <w:rPr>
                <w:sz w:val="18"/>
                <w:szCs w:val="18"/>
                <w:lang w:val="en-GB"/>
              </w:rPr>
            </w:pPr>
            <w:r w:rsidRPr="00F23DCE">
              <w:rPr>
                <w:sz w:val="18"/>
                <w:szCs w:val="18"/>
                <w:lang w:val="en-GB"/>
              </w:rPr>
              <w:t>International cooperation and coordination</w:t>
            </w:r>
          </w:p>
        </w:tc>
      </w:tr>
      <w:tr w:rsidR="00B86283" w:rsidRPr="00F23DCE" w14:paraId="2D60ED26" w14:textId="77777777" w:rsidTr="00D52FD0">
        <w:trPr>
          <w:trHeight w:val="57"/>
          <w:jc w:val="right"/>
        </w:trPr>
        <w:tc>
          <w:tcPr>
            <w:tcW w:w="2700" w:type="dxa"/>
          </w:tcPr>
          <w:p w14:paraId="206CF42D" w14:textId="77777777" w:rsidR="00B86283" w:rsidRPr="00F23DCE" w:rsidRDefault="00B86283" w:rsidP="005B5CA6">
            <w:pPr>
              <w:pStyle w:val="Normal-pool"/>
              <w:spacing w:before="40" w:after="40"/>
              <w:rPr>
                <w:sz w:val="18"/>
                <w:szCs w:val="18"/>
                <w:lang w:val="en-GB"/>
              </w:rPr>
            </w:pPr>
            <w:r w:rsidRPr="00F23DCE">
              <w:rPr>
                <w:sz w:val="18"/>
                <w:szCs w:val="18"/>
                <w:lang w:val="en-GB"/>
              </w:rPr>
              <w:t>UNEP/MC/COP.4/24</w:t>
            </w:r>
          </w:p>
        </w:tc>
        <w:tc>
          <w:tcPr>
            <w:tcW w:w="1260" w:type="dxa"/>
          </w:tcPr>
          <w:p w14:paraId="0EE02F74" w14:textId="77777777" w:rsidR="00B86283" w:rsidRPr="00F23DCE" w:rsidRDefault="00B86283" w:rsidP="005B5CA6">
            <w:pPr>
              <w:pStyle w:val="Normal-pool"/>
              <w:spacing w:before="40" w:after="40"/>
              <w:rPr>
                <w:sz w:val="18"/>
                <w:szCs w:val="18"/>
                <w:lang w:val="en-GB"/>
              </w:rPr>
            </w:pPr>
            <w:r w:rsidRPr="00F23DCE">
              <w:rPr>
                <w:sz w:val="18"/>
                <w:szCs w:val="18"/>
                <w:lang w:val="en-GB"/>
              </w:rPr>
              <w:t>6</w:t>
            </w:r>
          </w:p>
        </w:tc>
        <w:tc>
          <w:tcPr>
            <w:tcW w:w="4347" w:type="dxa"/>
          </w:tcPr>
          <w:p w14:paraId="49892518" w14:textId="07C8D660" w:rsidR="00B86283" w:rsidRPr="00F23DCE" w:rsidRDefault="00B86283" w:rsidP="005B5CA6">
            <w:pPr>
              <w:pStyle w:val="Normal-pool"/>
              <w:spacing w:before="40" w:after="40"/>
              <w:rPr>
                <w:sz w:val="18"/>
                <w:szCs w:val="18"/>
                <w:lang w:val="en-GB"/>
              </w:rPr>
            </w:pPr>
            <w:r w:rsidRPr="00F23DCE">
              <w:rPr>
                <w:sz w:val="18"/>
                <w:szCs w:val="18"/>
                <w:lang w:val="en-GB"/>
              </w:rPr>
              <w:t>Programme of work and budget: proposed operational budgets for the two funding scenarios for the biennium 2022</w:t>
            </w:r>
            <w:r w:rsidR="00141022" w:rsidRPr="00F23DCE">
              <w:rPr>
                <w:sz w:val="18"/>
                <w:szCs w:val="18"/>
                <w:lang w:val="en-GB"/>
              </w:rPr>
              <w:t>–</w:t>
            </w:r>
            <w:r w:rsidRPr="00F23DCE">
              <w:rPr>
                <w:sz w:val="18"/>
                <w:szCs w:val="18"/>
                <w:lang w:val="en-GB"/>
              </w:rPr>
              <w:t>2023</w:t>
            </w:r>
          </w:p>
        </w:tc>
      </w:tr>
      <w:tr w:rsidR="009D32B6" w:rsidRPr="00F23DCE" w14:paraId="3A345443" w14:textId="77777777" w:rsidTr="00D52FD0">
        <w:trPr>
          <w:trHeight w:val="57"/>
          <w:jc w:val="right"/>
        </w:trPr>
        <w:tc>
          <w:tcPr>
            <w:tcW w:w="2700" w:type="dxa"/>
          </w:tcPr>
          <w:p w14:paraId="56E1FC2A" w14:textId="5C38C86C" w:rsidR="009D32B6" w:rsidRPr="00F23DCE" w:rsidRDefault="009D32B6" w:rsidP="005B5CA6">
            <w:pPr>
              <w:pStyle w:val="Normal-pool"/>
              <w:spacing w:before="40" w:after="40"/>
              <w:rPr>
                <w:sz w:val="18"/>
                <w:szCs w:val="18"/>
                <w:lang w:val="en-GB"/>
              </w:rPr>
            </w:pPr>
            <w:r w:rsidRPr="00F23DCE">
              <w:rPr>
                <w:sz w:val="18"/>
                <w:szCs w:val="18"/>
                <w:lang w:val="en-GB"/>
              </w:rPr>
              <w:t>UNEP/MC/COP.4/24</w:t>
            </w:r>
            <w:r>
              <w:rPr>
                <w:sz w:val="18"/>
                <w:szCs w:val="18"/>
                <w:lang w:val="en-GB"/>
              </w:rPr>
              <w:t>/C</w:t>
            </w:r>
            <w:r w:rsidR="009F6FF9">
              <w:rPr>
                <w:sz w:val="18"/>
                <w:szCs w:val="18"/>
                <w:lang w:val="en-GB"/>
              </w:rPr>
              <w:t>orr</w:t>
            </w:r>
            <w:r>
              <w:rPr>
                <w:sz w:val="18"/>
                <w:szCs w:val="18"/>
                <w:lang w:val="en-GB"/>
              </w:rPr>
              <w:t>.1</w:t>
            </w:r>
          </w:p>
        </w:tc>
        <w:tc>
          <w:tcPr>
            <w:tcW w:w="1260" w:type="dxa"/>
          </w:tcPr>
          <w:p w14:paraId="3693C315" w14:textId="182A32AD" w:rsidR="009D32B6" w:rsidRPr="00F23DCE" w:rsidRDefault="009D32B6" w:rsidP="005B5CA6">
            <w:pPr>
              <w:pStyle w:val="Normal-pool"/>
              <w:spacing w:before="40" w:after="40"/>
              <w:rPr>
                <w:sz w:val="18"/>
                <w:szCs w:val="18"/>
                <w:lang w:val="en-GB"/>
              </w:rPr>
            </w:pPr>
            <w:r>
              <w:rPr>
                <w:sz w:val="18"/>
                <w:szCs w:val="18"/>
                <w:lang w:val="en-GB"/>
              </w:rPr>
              <w:t>6</w:t>
            </w:r>
          </w:p>
        </w:tc>
        <w:tc>
          <w:tcPr>
            <w:tcW w:w="4347" w:type="dxa"/>
          </w:tcPr>
          <w:p w14:paraId="5DAFBEB7" w14:textId="2D35BBDD" w:rsidR="009D32B6" w:rsidRPr="00F23DCE" w:rsidRDefault="009F6FF9" w:rsidP="005B5CA6">
            <w:pPr>
              <w:pStyle w:val="Normal-pool"/>
              <w:spacing w:before="40" w:after="40"/>
              <w:rPr>
                <w:sz w:val="18"/>
                <w:szCs w:val="18"/>
                <w:lang w:val="en-GB"/>
              </w:rPr>
            </w:pPr>
            <w:r w:rsidRPr="00F23DCE">
              <w:rPr>
                <w:sz w:val="18"/>
                <w:szCs w:val="18"/>
                <w:lang w:val="en-GB"/>
              </w:rPr>
              <w:t>Programme of work and budget: proposed operational budgets for the two funding scenarios for the biennium 2022–2023</w:t>
            </w:r>
            <w:r w:rsidR="00A344DF">
              <w:rPr>
                <w:sz w:val="18"/>
                <w:szCs w:val="18"/>
                <w:lang w:val="en-GB"/>
              </w:rPr>
              <w:t xml:space="preserve"> (Corrigendum)</w:t>
            </w:r>
          </w:p>
        </w:tc>
      </w:tr>
      <w:tr w:rsidR="00451A8E" w:rsidRPr="00F23DCE" w14:paraId="6B5D03FB" w14:textId="77777777" w:rsidTr="00D52FD0">
        <w:trPr>
          <w:trHeight w:val="57"/>
          <w:jc w:val="right"/>
        </w:trPr>
        <w:tc>
          <w:tcPr>
            <w:tcW w:w="2700" w:type="dxa"/>
          </w:tcPr>
          <w:p w14:paraId="1EB2CECB" w14:textId="1C22439D" w:rsidR="00451A8E" w:rsidRPr="00F23DCE" w:rsidRDefault="00451A8E" w:rsidP="005B5CA6">
            <w:pPr>
              <w:pStyle w:val="Normal-pool"/>
              <w:spacing w:before="40" w:after="40"/>
              <w:rPr>
                <w:sz w:val="18"/>
                <w:szCs w:val="18"/>
                <w:lang w:val="en-GB"/>
              </w:rPr>
            </w:pPr>
            <w:r w:rsidRPr="00F23DCE">
              <w:rPr>
                <w:sz w:val="18"/>
                <w:szCs w:val="18"/>
                <w:lang w:val="en-GB"/>
              </w:rPr>
              <w:t>UNEP/MC/COP.4/24</w:t>
            </w:r>
            <w:r>
              <w:rPr>
                <w:sz w:val="18"/>
                <w:szCs w:val="18"/>
                <w:lang w:val="en-GB"/>
              </w:rPr>
              <w:t>/Add.1</w:t>
            </w:r>
          </w:p>
        </w:tc>
        <w:tc>
          <w:tcPr>
            <w:tcW w:w="1260" w:type="dxa"/>
          </w:tcPr>
          <w:p w14:paraId="4CB40DA6" w14:textId="605B6D2C" w:rsidR="00451A8E" w:rsidRDefault="00451A8E" w:rsidP="005B5CA6">
            <w:pPr>
              <w:pStyle w:val="Normal-pool"/>
              <w:spacing w:before="40" w:after="40"/>
              <w:rPr>
                <w:sz w:val="18"/>
                <w:szCs w:val="18"/>
                <w:lang w:val="en-GB"/>
              </w:rPr>
            </w:pPr>
            <w:r>
              <w:rPr>
                <w:sz w:val="18"/>
                <w:szCs w:val="18"/>
                <w:lang w:val="en-GB"/>
              </w:rPr>
              <w:t>6</w:t>
            </w:r>
          </w:p>
        </w:tc>
        <w:tc>
          <w:tcPr>
            <w:tcW w:w="4347" w:type="dxa"/>
          </w:tcPr>
          <w:p w14:paraId="327C7338" w14:textId="7ED46A97" w:rsidR="00451A8E" w:rsidRPr="00F23DCE" w:rsidRDefault="002E66AF" w:rsidP="005B5CA6">
            <w:pPr>
              <w:pStyle w:val="Normal-pool"/>
              <w:spacing w:before="40" w:after="40"/>
              <w:rPr>
                <w:sz w:val="18"/>
                <w:szCs w:val="18"/>
                <w:lang w:val="en-GB"/>
              </w:rPr>
            </w:pPr>
            <w:r>
              <w:rPr>
                <w:sz w:val="18"/>
                <w:szCs w:val="18"/>
                <w:lang w:val="en-GB"/>
              </w:rPr>
              <w:t>Programme of work and budget: proposed operational budget for 2023</w:t>
            </w:r>
          </w:p>
        </w:tc>
      </w:tr>
      <w:tr w:rsidR="00451A8E" w:rsidRPr="00F23DCE" w14:paraId="0302F626" w14:textId="77777777" w:rsidTr="00D52FD0">
        <w:trPr>
          <w:trHeight w:val="57"/>
          <w:jc w:val="right"/>
        </w:trPr>
        <w:tc>
          <w:tcPr>
            <w:tcW w:w="2700" w:type="dxa"/>
          </w:tcPr>
          <w:p w14:paraId="3CAAA280" w14:textId="5A6E9BCA" w:rsidR="00451A8E" w:rsidRPr="00F23DCE" w:rsidRDefault="00451A8E" w:rsidP="005B5CA6">
            <w:pPr>
              <w:pStyle w:val="Normal-pool"/>
              <w:spacing w:before="40" w:after="40"/>
              <w:rPr>
                <w:sz w:val="18"/>
                <w:szCs w:val="18"/>
                <w:lang w:val="en-GB"/>
              </w:rPr>
            </w:pPr>
            <w:r w:rsidRPr="00F23DCE">
              <w:rPr>
                <w:sz w:val="18"/>
                <w:szCs w:val="18"/>
                <w:lang w:val="en-GB"/>
              </w:rPr>
              <w:t>UNEP/MC/COP.4/24</w:t>
            </w:r>
            <w:r>
              <w:rPr>
                <w:sz w:val="18"/>
                <w:szCs w:val="18"/>
                <w:lang w:val="en-GB"/>
              </w:rPr>
              <w:t>/Add.2</w:t>
            </w:r>
          </w:p>
        </w:tc>
        <w:tc>
          <w:tcPr>
            <w:tcW w:w="1260" w:type="dxa"/>
          </w:tcPr>
          <w:p w14:paraId="7928D8D2" w14:textId="2E781431" w:rsidR="00451A8E" w:rsidRDefault="00451A8E" w:rsidP="005B5CA6">
            <w:pPr>
              <w:pStyle w:val="Normal-pool"/>
              <w:spacing w:before="40" w:after="40"/>
              <w:rPr>
                <w:sz w:val="18"/>
                <w:szCs w:val="18"/>
                <w:lang w:val="en-GB"/>
              </w:rPr>
            </w:pPr>
            <w:r>
              <w:rPr>
                <w:sz w:val="18"/>
                <w:szCs w:val="18"/>
                <w:lang w:val="en-GB"/>
              </w:rPr>
              <w:t>6</w:t>
            </w:r>
          </w:p>
        </w:tc>
        <w:tc>
          <w:tcPr>
            <w:tcW w:w="4347" w:type="dxa"/>
          </w:tcPr>
          <w:p w14:paraId="2F12E5B4" w14:textId="3A01EF2F" w:rsidR="00451A8E" w:rsidRPr="00F23DCE" w:rsidRDefault="00D97FDC" w:rsidP="005B5CA6">
            <w:pPr>
              <w:pStyle w:val="Normal-pool"/>
              <w:spacing w:before="40" w:after="40"/>
              <w:rPr>
                <w:sz w:val="18"/>
                <w:szCs w:val="18"/>
                <w:lang w:val="en-GB"/>
              </w:rPr>
            </w:pPr>
            <w:r>
              <w:rPr>
                <w:sz w:val="18"/>
                <w:szCs w:val="18"/>
                <w:lang w:val="en-GB"/>
              </w:rPr>
              <w:t>Programme of work and budget: indicative scale of assessments and contributions to the general trust fund for 2023</w:t>
            </w:r>
          </w:p>
        </w:tc>
      </w:tr>
      <w:tr w:rsidR="00B86283" w:rsidRPr="00F23DCE" w14:paraId="19CB2E8C" w14:textId="77777777" w:rsidTr="00D52FD0">
        <w:trPr>
          <w:trHeight w:val="57"/>
          <w:jc w:val="right"/>
        </w:trPr>
        <w:tc>
          <w:tcPr>
            <w:tcW w:w="2700" w:type="dxa"/>
          </w:tcPr>
          <w:p w14:paraId="7A76A610" w14:textId="77777777" w:rsidR="00B86283" w:rsidRPr="00F23DCE" w:rsidRDefault="00B86283" w:rsidP="005B5CA6">
            <w:pPr>
              <w:pStyle w:val="Normal-pool"/>
              <w:spacing w:before="40" w:after="40"/>
              <w:rPr>
                <w:sz w:val="18"/>
                <w:szCs w:val="18"/>
                <w:lang w:val="en-GB"/>
              </w:rPr>
            </w:pPr>
            <w:r w:rsidRPr="00F23DCE">
              <w:rPr>
                <w:sz w:val="18"/>
                <w:szCs w:val="18"/>
                <w:lang w:val="en-GB"/>
              </w:rPr>
              <w:t>UNEP/MC/COP.4/25</w:t>
            </w:r>
          </w:p>
        </w:tc>
        <w:tc>
          <w:tcPr>
            <w:tcW w:w="1260" w:type="dxa"/>
          </w:tcPr>
          <w:p w14:paraId="34CDBD28" w14:textId="77777777" w:rsidR="00B86283" w:rsidRPr="00F23DCE" w:rsidRDefault="00B86283" w:rsidP="005B5CA6">
            <w:pPr>
              <w:pStyle w:val="Normal-pool"/>
              <w:spacing w:before="40" w:after="40"/>
              <w:rPr>
                <w:sz w:val="18"/>
                <w:szCs w:val="18"/>
                <w:lang w:val="en-GB"/>
              </w:rPr>
            </w:pPr>
            <w:r w:rsidRPr="00F23DCE">
              <w:rPr>
                <w:sz w:val="18"/>
                <w:szCs w:val="18"/>
                <w:lang w:val="en-GB"/>
              </w:rPr>
              <w:t>7</w:t>
            </w:r>
          </w:p>
        </w:tc>
        <w:tc>
          <w:tcPr>
            <w:tcW w:w="4347" w:type="dxa"/>
          </w:tcPr>
          <w:p w14:paraId="53DE7F6C" w14:textId="77777777" w:rsidR="00B86283" w:rsidRPr="00F23DCE" w:rsidRDefault="00B86283" w:rsidP="005B5CA6">
            <w:pPr>
              <w:pStyle w:val="Normal-pool"/>
              <w:spacing w:before="40" w:after="40"/>
              <w:rPr>
                <w:sz w:val="18"/>
                <w:szCs w:val="18"/>
                <w:lang w:val="en-GB"/>
              </w:rPr>
            </w:pPr>
            <w:r w:rsidRPr="00F23DCE">
              <w:rPr>
                <w:sz w:val="18"/>
                <w:szCs w:val="18"/>
                <w:lang w:val="en-GB"/>
              </w:rPr>
              <w:t>Dates of the resumed fourth meeting of the Conference of the Parties to the Minamata Convention on Mercury</w:t>
            </w:r>
          </w:p>
        </w:tc>
      </w:tr>
      <w:tr w:rsidR="00B86283" w:rsidRPr="00F23DCE" w14:paraId="1C8AB264" w14:textId="77777777" w:rsidTr="00D52FD0">
        <w:trPr>
          <w:trHeight w:val="57"/>
          <w:jc w:val="right"/>
        </w:trPr>
        <w:tc>
          <w:tcPr>
            <w:tcW w:w="2700" w:type="dxa"/>
          </w:tcPr>
          <w:p w14:paraId="22C5824F" w14:textId="42FF290E" w:rsidR="00B86283" w:rsidRPr="00F23DCE" w:rsidRDefault="00B86283" w:rsidP="005B5CA6">
            <w:pPr>
              <w:pStyle w:val="Normal-pool"/>
              <w:spacing w:before="40" w:after="40"/>
              <w:rPr>
                <w:sz w:val="18"/>
                <w:szCs w:val="18"/>
                <w:lang w:val="en-GB"/>
              </w:rPr>
            </w:pPr>
            <w:r w:rsidRPr="00F23DCE">
              <w:rPr>
                <w:sz w:val="18"/>
                <w:szCs w:val="18"/>
                <w:lang w:val="en-GB"/>
              </w:rPr>
              <w:t>UNEP/MC/COP.4/26</w:t>
            </w:r>
          </w:p>
        </w:tc>
        <w:tc>
          <w:tcPr>
            <w:tcW w:w="1260" w:type="dxa"/>
          </w:tcPr>
          <w:p w14:paraId="0E24D530" w14:textId="77777777" w:rsidR="00B86283" w:rsidRPr="00F23DCE" w:rsidRDefault="00B86283" w:rsidP="005B5CA6">
            <w:pPr>
              <w:pStyle w:val="Normal-pool"/>
              <w:spacing w:before="40" w:after="40"/>
              <w:rPr>
                <w:sz w:val="18"/>
                <w:szCs w:val="18"/>
                <w:lang w:val="en-GB"/>
              </w:rPr>
            </w:pPr>
            <w:r w:rsidRPr="00F23DCE">
              <w:rPr>
                <w:sz w:val="18"/>
                <w:szCs w:val="18"/>
                <w:lang w:val="en-GB"/>
              </w:rPr>
              <w:t>4 (a) (iv)</w:t>
            </w:r>
          </w:p>
        </w:tc>
        <w:tc>
          <w:tcPr>
            <w:tcW w:w="4347" w:type="dxa"/>
          </w:tcPr>
          <w:p w14:paraId="361346AA" w14:textId="77777777" w:rsidR="00B86283" w:rsidRPr="00F23DCE" w:rsidRDefault="00B86283" w:rsidP="005B5CA6">
            <w:pPr>
              <w:pStyle w:val="Normal-pool"/>
              <w:spacing w:before="40" w:after="40"/>
              <w:rPr>
                <w:sz w:val="18"/>
                <w:szCs w:val="18"/>
                <w:lang w:val="en-GB"/>
              </w:rPr>
            </w:pPr>
            <w:r w:rsidRPr="00F23DCE">
              <w:rPr>
                <w:sz w:val="18"/>
                <w:szCs w:val="18"/>
                <w:lang w:val="en-GB"/>
              </w:rPr>
              <w:t>Proposals for amendments to annexes A and B to the Minamata Convention on Mercury</w:t>
            </w:r>
          </w:p>
        </w:tc>
      </w:tr>
      <w:tr w:rsidR="00B86283" w:rsidRPr="00F23DCE" w14:paraId="579623B3" w14:textId="77777777" w:rsidTr="00D52FD0">
        <w:trPr>
          <w:trHeight w:val="57"/>
          <w:jc w:val="right"/>
        </w:trPr>
        <w:tc>
          <w:tcPr>
            <w:tcW w:w="2700" w:type="dxa"/>
          </w:tcPr>
          <w:p w14:paraId="0FEA5683" w14:textId="77777777" w:rsidR="00B86283" w:rsidRPr="00F23DCE" w:rsidRDefault="00B86283" w:rsidP="005B5CA6">
            <w:pPr>
              <w:pStyle w:val="Normal-pool"/>
              <w:spacing w:before="40" w:after="40"/>
              <w:rPr>
                <w:sz w:val="18"/>
                <w:szCs w:val="18"/>
                <w:lang w:val="en-GB"/>
              </w:rPr>
            </w:pPr>
            <w:r w:rsidRPr="00F23DCE">
              <w:rPr>
                <w:sz w:val="18"/>
                <w:szCs w:val="18"/>
                <w:lang w:val="en-GB"/>
              </w:rPr>
              <w:t>UNEP/MC/COP.4/26/Add.1</w:t>
            </w:r>
          </w:p>
        </w:tc>
        <w:tc>
          <w:tcPr>
            <w:tcW w:w="1260" w:type="dxa"/>
          </w:tcPr>
          <w:p w14:paraId="2C058B33" w14:textId="77777777" w:rsidR="00B86283" w:rsidRPr="00F23DCE" w:rsidRDefault="00B86283" w:rsidP="005B5CA6">
            <w:pPr>
              <w:pStyle w:val="Normal-pool"/>
              <w:spacing w:before="40" w:after="40"/>
              <w:rPr>
                <w:sz w:val="18"/>
                <w:szCs w:val="18"/>
                <w:lang w:val="en-GB"/>
              </w:rPr>
            </w:pPr>
            <w:r w:rsidRPr="00F23DCE">
              <w:rPr>
                <w:sz w:val="18"/>
                <w:szCs w:val="18"/>
                <w:lang w:val="en-GB"/>
              </w:rPr>
              <w:t>4 (a) (iv)</w:t>
            </w:r>
          </w:p>
        </w:tc>
        <w:tc>
          <w:tcPr>
            <w:tcW w:w="4347" w:type="dxa"/>
          </w:tcPr>
          <w:p w14:paraId="6BB9F26D" w14:textId="77777777" w:rsidR="00B86283" w:rsidRPr="00F23DCE" w:rsidRDefault="00B86283" w:rsidP="005B5CA6">
            <w:pPr>
              <w:pStyle w:val="Normal-pool"/>
              <w:spacing w:before="40" w:after="40"/>
              <w:rPr>
                <w:sz w:val="18"/>
                <w:szCs w:val="18"/>
                <w:lang w:val="en-GB"/>
              </w:rPr>
            </w:pPr>
            <w:r w:rsidRPr="00F23DCE">
              <w:rPr>
                <w:sz w:val="18"/>
                <w:szCs w:val="18"/>
                <w:lang w:val="en-GB"/>
              </w:rPr>
              <w:t>Proposal by the European Union to amend part I of annex A, part II of annex A and part I of annex B to the Minamata Convention on Mercury</w:t>
            </w:r>
          </w:p>
        </w:tc>
      </w:tr>
      <w:tr w:rsidR="00B86283" w:rsidRPr="00F23DCE" w14:paraId="782E64AF" w14:textId="77777777" w:rsidTr="00D52FD0">
        <w:trPr>
          <w:trHeight w:val="57"/>
          <w:jc w:val="right"/>
        </w:trPr>
        <w:tc>
          <w:tcPr>
            <w:tcW w:w="2700" w:type="dxa"/>
          </w:tcPr>
          <w:p w14:paraId="35E47DA5" w14:textId="77777777" w:rsidR="00B86283" w:rsidRPr="00F23DCE" w:rsidRDefault="00B86283" w:rsidP="005B5CA6">
            <w:pPr>
              <w:pStyle w:val="Normal-pool"/>
              <w:spacing w:before="40" w:after="40"/>
              <w:rPr>
                <w:sz w:val="18"/>
                <w:szCs w:val="18"/>
                <w:lang w:val="en-GB"/>
              </w:rPr>
            </w:pPr>
            <w:r w:rsidRPr="00F23DCE">
              <w:rPr>
                <w:sz w:val="18"/>
                <w:szCs w:val="18"/>
                <w:lang w:val="en-GB"/>
              </w:rPr>
              <w:t>UNEP/MC/COP.4/26/Add.2</w:t>
            </w:r>
          </w:p>
        </w:tc>
        <w:tc>
          <w:tcPr>
            <w:tcW w:w="1260" w:type="dxa"/>
          </w:tcPr>
          <w:p w14:paraId="19B4E0D6" w14:textId="77777777" w:rsidR="00B86283" w:rsidRPr="00F23DCE" w:rsidRDefault="00B86283" w:rsidP="005B5CA6">
            <w:pPr>
              <w:pStyle w:val="Normal-pool"/>
              <w:spacing w:before="40" w:after="40"/>
              <w:rPr>
                <w:sz w:val="18"/>
                <w:szCs w:val="18"/>
                <w:lang w:val="en-GB"/>
              </w:rPr>
            </w:pPr>
            <w:r w:rsidRPr="00F23DCE">
              <w:rPr>
                <w:sz w:val="18"/>
                <w:szCs w:val="18"/>
                <w:lang w:val="en-GB"/>
              </w:rPr>
              <w:t>4 (a) (iv)</w:t>
            </w:r>
          </w:p>
        </w:tc>
        <w:tc>
          <w:tcPr>
            <w:tcW w:w="4347" w:type="dxa"/>
          </w:tcPr>
          <w:p w14:paraId="4B222691" w14:textId="3F097881" w:rsidR="00B86283" w:rsidRPr="00F23DCE" w:rsidRDefault="00B86283" w:rsidP="005B5CA6">
            <w:pPr>
              <w:pStyle w:val="Normal-pool"/>
              <w:spacing w:before="40" w:after="40"/>
              <w:rPr>
                <w:sz w:val="18"/>
                <w:szCs w:val="18"/>
                <w:lang w:val="en-GB"/>
              </w:rPr>
            </w:pPr>
            <w:r w:rsidRPr="00F23DCE">
              <w:rPr>
                <w:sz w:val="18"/>
                <w:szCs w:val="18"/>
                <w:lang w:val="en-GB"/>
              </w:rPr>
              <w:t>Proposal by the Africa regio</w:t>
            </w:r>
            <w:r w:rsidR="009509A7">
              <w:rPr>
                <w:sz w:val="18"/>
                <w:szCs w:val="18"/>
                <w:lang w:val="en-GB"/>
              </w:rPr>
              <w:t>n</w:t>
            </w:r>
            <w:r w:rsidRPr="00F23DCE">
              <w:rPr>
                <w:sz w:val="18"/>
                <w:szCs w:val="18"/>
                <w:lang w:val="en-GB"/>
              </w:rPr>
              <w:t xml:space="preserve"> to amend parts I and II of annex A to the Minamata Convention on Mercury</w:t>
            </w:r>
          </w:p>
        </w:tc>
      </w:tr>
      <w:tr w:rsidR="00B86283" w:rsidRPr="00F23DCE" w14:paraId="08D4A80F" w14:textId="77777777" w:rsidTr="00D52FD0">
        <w:trPr>
          <w:trHeight w:val="57"/>
          <w:jc w:val="right"/>
        </w:trPr>
        <w:tc>
          <w:tcPr>
            <w:tcW w:w="2700" w:type="dxa"/>
          </w:tcPr>
          <w:p w14:paraId="26D98FE0" w14:textId="77777777" w:rsidR="00B86283" w:rsidRPr="00F23DCE" w:rsidRDefault="00B86283" w:rsidP="005B5CA6">
            <w:pPr>
              <w:pStyle w:val="Normal-pool"/>
              <w:spacing w:before="40" w:after="40"/>
              <w:rPr>
                <w:sz w:val="18"/>
                <w:szCs w:val="18"/>
                <w:lang w:val="en-GB"/>
              </w:rPr>
            </w:pPr>
            <w:r w:rsidRPr="00F23DCE">
              <w:rPr>
                <w:sz w:val="18"/>
                <w:szCs w:val="18"/>
                <w:lang w:val="en-GB"/>
              </w:rPr>
              <w:t>UNEP/MC/COP.4/26/Add.3</w:t>
            </w:r>
          </w:p>
        </w:tc>
        <w:tc>
          <w:tcPr>
            <w:tcW w:w="1260" w:type="dxa"/>
          </w:tcPr>
          <w:p w14:paraId="0371596C" w14:textId="77777777" w:rsidR="00B86283" w:rsidRPr="00F23DCE" w:rsidRDefault="00B86283" w:rsidP="005B5CA6">
            <w:pPr>
              <w:pStyle w:val="Normal-pool"/>
              <w:spacing w:before="40" w:after="40"/>
              <w:rPr>
                <w:sz w:val="18"/>
                <w:szCs w:val="18"/>
                <w:lang w:val="en-GB"/>
              </w:rPr>
            </w:pPr>
            <w:r w:rsidRPr="00F23DCE">
              <w:rPr>
                <w:sz w:val="18"/>
                <w:szCs w:val="18"/>
                <w:lang w:val="en-GB"/>
              </w:rPr>
              <w:t>4 (a) (iv)</w:t>
            </w:r>
          </w:p>
        </w:tc>
        <w:tc>
          <w:tcPr>
            <w:tcW w:w="4347" w:type="dxa"/>
          </w:tcPr>
          <w:p w14:paraId="2E803DEE" w14:textId="77777777" w:rsidR="00B86283" w:rsidRPr="00F23DCE" w:rsidRDefault="00B86283" w:rsidP="005B5CA6">
            <w:pPr>
              <w:pStyle w:val="Normal-pool"/>
              <w:spacing w:before="40" w:after="40"/>
              <w:rPr>
                <w:sz w:val="18"/>
                <w:szCs w:val="18"/>
                <w:lang w:val="en-GB"/>
              </w:rPr>
            </w:pPr>
            <w:r w:rsidRPr="00F23DCE">
              <w:rPr>
                <w:sz w:val="18"/>
                <w:szCs w:val="18"/>
                <w:lang w:val="en-GB"/>
              </w:rPr>
              <w:t>Proposal by Canada and Switzerland to amend part I of annex A to the Minamata Convention on Mercury</w:t>
            </w:r>
          </w:p>
        </w:tc>
      </w:tr>
      <w:tr w:rsidR="00B86283" w:rsidRPr="00F23DCE" w14:paraId="1FD4E1E2" w14:textId="77777777" w:rsidTr="00C84138">
        <w:trPr>
          <w:trHeight w:val="57"/>
          <w:jc w:val="right"/>
        </w:trPr>
        <w:tc>
          <w:tcPr>
            <w:tcW w:w="2700" w:type="dxa"/>
          </w:tcPr>
          <w:p w14:paraId="613FFDB2" w14:textId="77777777" w:rsidR="00B86283" w:rsidRPr="00F23DCE" w:rsidRDefault="00B86283" w:rsidP="005B5CA6">
            <w:pPr>
              <w:pStyle w:val="Normal-pool"/>
              <w:spacing w:before="40" w:after="40"/>
              <w:rPr>
                <w:sz w:val="18"/>
                <w:szCs w:val="18"/>
                <w:lang w:val="en-GB"/>
              </w:rPr>
            </w:pPr>
            <w:r w:rsidRPr="00F23DCE">
              <w:rPr>
                <w:sz w:val="18"/>
                <w:szCs w:val="18"/>
                <w:lang w:val="en-GB"/>
              </w:rPr>
              <w:t>UNEP/MC/COP.4/27</w:t>
            </w:r>
          </w:p>
        </w:tc>
        <w:tc>
          <w:tcPr>
            <w:tcW w:w="1260" w:type="dxa"/>
          </w:tcPr>
          <w:p w14:paraId="6EF482FB" w14:textId="77777777" w:rsidR="00B86283" w:rsidRPr="00F23DCE" w:rsidRDefault="00B86283" w:rsidP="005B5CA6">
            <w:pPr>
              <w:pStyle w:val="Normal-pool"/>
              <w:spacing w:before="40" w:after="40"/>
              <w:rPr>
                <w:sz w:val="18"/>
                <w:szCs w:val="18"/>
                <w:lang w:val="en-GB"/>
              </w:rPr>
            </w:pPr>
            <w:r w:rsidRPr="00F23DCE">
              <w:rPr>
                <w:sz w:val="18"/>
                <w:szCs w:val="18"/>
                <w:lang w:val="en-GB"/>
              </w:rPr>
              <w:t>4 (a) (iii)</w:t>
            </w:r>
          </w:p>
        </w:tc>
        <w:tc>
          <w:tcPr>
            <w:tcW w:w="4347" w:type="dxa"/>
          </w:tcPr>
          <w:p w14:paraId="3551D7E9" w14:textId="77777777" w:rsidR="00B86283" w:rsidRPr="00F23DCE" w:rsidRDefault="00B86283" w:rsidP="005B5CA6">
            <w:pPr>
              <w:pStyle w:val="Normal-pool"/>
              <w:spacing w:before="40" w:after="40"/>
              <w:rPr>
                <w:sz w:val="18"/>
                <w:szCs w:val="18"/>
                <w:lang w:val="en-GB"/>
              </w:rPr>
            </w:pPr>
            <w:r w:rsidRPr="00F23DCE">
              <w:rPr>
                <w:sz w:val="18"/>
                <w:szCs w:val="18"/>
                <w:lang w:val="en-GB"/>
              </w:rPr>
              <w:t>Customs codes</w:t>
            </w:r>
          </w:p>
        </w:tc>
      </w:tr>
      <w:tr w:rsidR="005C3AD4" w:rsidRPr="00F23DCE" w14:paraId="5772376A" w14:textId="77777777" w:rsidTr="00D52FD0">
        <w:trPr>
          <w:trHeight w:val="57"/>
          <w:jc w:val="right"/>
        </w:trPr>
        <w:tc>
          <w:tcPr>
            <w:tcW w:w="2700" w:type="dxa"/>
            <w:tcBorders>
              <w:bottom w:val="single" w:sz="12" w:space="0" w:color="auto"/>
            </w:tcBorders>
          </w:tcPr>
          <w:p w14:paraId="1A4D5729" w14:textId="159793AB" w:rsidR="005C3AD4" w:rsidRPr="00F23DCE" w:rsidRDefault="005C3AD4" w:rsidP="00283CCF">
            <w:pPr>
              <w:pStyle w:val="Normal-pool"/>
              <w:spacing w:before="40" w:after="40"/>
              <w:rPr>
                <w:sz w:val="18"/>
                <w:szCs w:val="18"/>
                <w:lang w:val="en-GB"/>
              </w:rPr>
            </w:pPr>
            <w:r w:rsidRPr="00F23DCE">
              <w:rPr>
                <w:sz w:val="18"/>
                <w:szCs w:val="18"/>
                <w:lang w:val="en-GB"/>
              </w:rPr>
              <w:t>UNEP/MC/COP.4/</w:t>
            </w:r>
            <w:r>
              <w:rPr>
                <w:sz w:val="18"/>
                <w:szCs w:val="18"/>
                <w:lang w:val="en-GB"/>
              </w:rPr>
              <w:t>28</w:t>
            </w:r>
            <w:r w:rsidR="00377A5B">
              <w:rPr>
                <w:rStyle w:val="FootnoteReference"/>
                <w:lang w:val="en-GB"/>
              </w:rPr>
              <w:footnoteReference w:id="3"/>
            </w:r>
          </w:p>
        </w:tc>
        <w:tc>
          <w:tcPr>
            <w:tcW w:w="1260" w:type="dxa"/>
            <w:tcBorders>
              <w:bottom w:val="single" w:sz="12" w:space="0" w:color="auto"/>
            </w:tcBorders>
          </w:tcPr>
          <w:p w14:paraId="24158D73" w14:textId="77777777" w:rsidR="005C3AD4" w:rsidRPr="00F23DCE" w:rsidRDefault="005C3AD4" w:rsidP="00283CCF">
            <w:pPr>
              <w:pStyle w:val="Normal-pool"/>
              <w:spacing w:before="40" w:after="40"/>
              <w:rPr>
                <w:sz w:val="18"/>
                <w:szCs w:val="18"/>
                <w:lang w:val="en-GB"/>
              </w:rPr>
            </w:pPr>
          </w:p>
        </w:tc>
        <w:tc>
          <w:tcPr>
            <w:tcW w:w="4347" w:type="dxa"/>
            <w:tcBorders>
              <w:bottom w:val="single" w:sz="12" w:space="0" w:color="auto"/>
            </w:tcBorders>
          </w:tcPr>
          <w:p w14:paraId="69E0282D" w14:textId="0CC3130C" w:rsidR="005C3AD4" w:rsidRPr="00F23DCE" w:rsidRDefault="000464B6" w:rsidP="00283CCF">
            <w:pPr>
              <w:pStyle w:val="Normal-pool"/>
              <w:spacing w:before="40" w:after="40"/>
              <w:rPr>
                <w:sz w:val="18"/>
                <w:szCs w:val="18"/>
                <w:lang w:val="en-GB"/>
              </w:rPr>
            </w:pPr>
            <w:r w:rsidRPr="00A11271">
              <w:rPr>
                <w:sz w:val="18"/>
                <w:szCs w:val="18"/>
              </w:rPr>
              <w:t>Report of the Conference of the Parties to the Minamata Convention on Mercury on the work of its fourth meeting</w:t>
            </w:r>
          </w:p>
        </w:tc>
      </w:tr>
    </w:tbl>
    <w:p w14:paraId="42ECC028" w14:textId="77777777" w:rsidR="009A7CE1" w:rsidRDefault="00B86283" w:rsidP="00B86283">
      <w:pPr>
        <w:pStyle w:val="CH2"/>
        <w:rPr>
          <w:lang w:val="en-GB"/>
        </w:rPr>
      </w:pPr>
      <w:r w:rsidRPr="00F23DCE">
        <w:rPr>
          <w:lang w:val="en-GB"/>
        </w:rPr>
        <w:tab/>
      </w:r>
      <w:r w:rsidRPr="00F23DCE">
        <w:rPr>
          <w:lang w:val="en-GB"/>
        </w:rPr>
        <w:tab/>
      </w:r>
    </w:p>
    <w:p w14:paraId="5327A05D" w14:textId="77777777" w:rsidR="009A7CE1" w:rsidRDefault="009A7CE1">
      <w:pPr>
        <w:rPr>
          <w:b/>
          <w:sz w:val="24"/>
          <w:szCs w:val="24"/>
          <w:lang w:val="en-GB" w:eastAsia="en-US"/>
        </w:rPr>
      </w:pPr>
      <w:r>
        <w:rPr>
          <w:lang w:val="en-GB"/>
        </w:rPr>
        <w:br w:type="page"/>
      </w:r>
    </w:p>
    <w:p w14:paraId="44EA6595" w14:textId="59D58694" w:rsidR="00B86283" w:rsidRPr="00F23DCE" w:rsidRDefault="009A7CE1" w:rsidP="00B86283">
      <w:pPr>
        <w:pStyle w:val="CH2"/>
        <w:rPr>
          <w:lang w:val="en-GB"/>
        </w:rPr>
      </w:pPr>
      <w:r>
        <w:rPr>
          <w:lang w:val="en-GB"/>
        </w:rPr>
        <w:lastRenderedPageBreak/>
        <w:tab/>
      </w:r>
      <w:r>
        <w:rPr>
          <w:lang w:val="en-GB"/>
        </w:rPr>
        <w:tab/>
      </w:r>
      <w:r w:rsidR="00B86283" w:rsidRPr="00F23DCE">
        <w:rPr>
          <w:lang w:val="en-GB"/>
        </w:rPr>
        <w:t xml:space="preserve">Information documents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341"/>
        <w:gridCol w:w="4338"/>
      </w:tblGrid>
      <w:tr w:rsidR="00B86283" w:rsidRPr="00F23DCE" w14:paraId="189E47CF" w14:textId="77777777" w:rsidTr="000D72CF">
        <w:trPr>
          <w:trHeight w:val="336"/>
          <w:tblHeader/>
          <w:jc w:val="right"/>
        </w:trPr>
        <w:tc>
          <w:tcPr>
            <w:tcW w:w="2628" w:type="dxa"/>
            <w:tcBorders>
              <w:top w:val="single" w:sz="4" w:space="0" w:color="auto"/>
              <w:bottom w:val="single" w:sz="12" w:space="0" w:color="auto"/>
            </w:tcBorders>
            <w:vAlign w:val="bottom"/>
          </w:tcPr>
          <w:p w14:paraId="6F47CDBB" w14:textId="77777777" w:rsidR="00B86283" w:rsidRPr="00F23DCE" w:rsidRDefault="00B86283" w:rsidP="005B5CA6">
            <w:pPr>
              <w:pStyle w:val="Normal-pool"/>
              <w:spacing w:before="40" w:after="40"/>
              <w:rPr>
                <w:i/>
                <w:iCs/>
                <w:sz w:val="18"/>
                <w:szCs w:val="18"/>
                <w:lang w:val="en-GB"/>
              </w:rPr>
            </w:pPr>
            <w:r w:rsidRPr="00F23DCE">
              <w:rPr>
                <w:i/>
                <w:iCs/>
                <w:sz w:val="18"/>
                <w:szCs w:val="18"/>
                <w:lang w:val="en-GB"/>
              </w:rPr>
              <w:t>Symbol</w:t>
            </w:r>
          </w:p>
        </w:tc>
        <w:tc>
          <w:tcPr>
            <w:tcW w:w="1341" w:type="dxa"/>
            <w:tcBorders>
              <w:top w:val="single" w:sz="4" w:space="0" w:color="auto"/>
              <w:bottom w:val="single" w:sz="12" w:space="0" w:color="auto"/>
            </w:tcBorders>
            <w:vAlign w:val="bottom"/>
          </w:tcPr>
          <w:p w14:paraId="30AC7F83" w14:textId="77777777" w:rsidR="00B86283" w:rsidRPr="00F23DCE" w:rsidRDefault="00B86283" w:rsidP="005B5CA6">
            <w:pPr>
              <w:pStyle w:val="Normal-pool"/>
              <w:spacing w:before="40" w:after="40"/>
              <w:rPr>
                <w:i/>
                <w:iCs/>
                <w:sz w:val="18"/>
                <w:szCs w:val="18"/>
                <w:lang w:val="en-GB"/>
              </w:rPr>
            </w:pPr>
            <w:r w:rsidRPr="00F23DCE">
              <w:rPr>
                <w:i/>
                <w:iCs/>
                <w:sz w:val="18"/>
                <w:szCs w:val="18"/>
                <w:lang w:val="en-GB"/>
              </w:rPr>
              <w:t>Agenda item</w:t>
            </w:r>
          </w:p>
        </w:tc>
        <w:tc>
          <w:tcPr>
            <w:tcW w:w="4338" w:type="dxa"/>
            <w:tcBorders>
              <w:top w:val="single" w:sz="4" w:space="0" w:color="auto"/>
              <w:bottom w:val="single" w:sz="12" w:space="0" w:color="auto"/>
            </w:tcBorders>
            <w:vAlign w:val="bottom"/>
          </w:tcPr>
          <w:p w14:paraId="64A492BD" w14:textId="77777777" w:rsidR="00B86283" w:rsidRPr="00F23DCE" w:rsidRDefault="00B86283" w:rsidP="005B5CA6">
            <w:pPr>
              <w:pStyle w:val="Normal-pool"/>
              <w:spacing w:before="40" w:after="40"/>
              <w:rPr>
                <w:i/>
                <w:iCs/>
                <w:sz w:val="18"/>
                <w:szCs w:val="18"/>
                <w:lang w:val="en-GB"/>
              </w:rPr>
            </w:pPr>
            <w:r w:rsidRPr="00F23DCE">
              <w:rPr>
                <w:i/>
                <w:iCs/>
                <w:sz w:val="18"/>
                <w:szCs w:val="18"/>
                <w:lang w:val="en-GB"/>
              </w:rPr>
              <w:t>Title</w:t>
            </w:r>
          </w:p>
        </w:tc>
      </w:tr>
      <w:tr w:rsidR="00B86283" w:rsidRPr="00F23DCE" w14:paraId="6C8EA36F" w14:textId="77777777" w:rsidTr="000D72CF">
        <w:trPr>
          <w:trHeight w:val="57"/>
          <w:jc w:val="right"/>
        </w:trPr>
        <w:tc>
          <w:tcPr>
            <w:tcW w:w="2628" w:type="dxa"/>
            <w:tcBorders>
              <w:top w:val="single" w:sz="12" w:space="0" w:color="auto"/>
            </w:tcBorders>
          </w:tcPr>
          <w:p w14:paraId="0B35A04D" w14:textId="1BCB6752" w:rsidR="00B86283" w:rsidRPr="00F23DCE" w:rsidRDefault="00B86283" w:rsidP="005B5CA6">
            <w:pPr>
              <w:pStyle w:val="Normal-pool"/>
              <w:spacing w:before="40" w:after="40"/>
              <w:rPr>
                <w:sz w:val="18"/>
                <w:szCs w:val="18"/>
                <w:lang w:val="en-GB"/>
              </w:rPr>
            </w:pPr>
            <w:r w:rsidRPr="00F23DCE">
              <w:rPr>
                <w:sz w:val="18"/>
                <w:szCs w:val="18"/>
                <w:lang w:val="en-GB"/>
              </w:rPr>
              <w:t>UNEP/MC/COP.4/INF/1</w:t>
            </w:r>
            <w:r w:rsidR="00705423">
              <w:rPr>
                <w:sz w:val="18"/>
                <w:szCs w:val="18"/>
                <w:lang w:val="en-GB"/>
              </w:rPr>
              <w:t>/Rev.1</w:t>
            </w:r>
          </w:p>
        </w:tc>
        <w:tc>
          <w:tcPr>
            <w:tcW w:w="1341" w:type="dxa"/>
            <w:tcBorders>
              <w:top w:val="single" w:sz="12" w:space="0" w:color="auto"/>
            </w:tcBorders>
          </w:tcPr>
          <w:p w14:paraId="2353641E" w14:textId="77777777" w:rsidR="00B86283" w:rsidRPr="00F23DCE" w:rsidRDefault="00B86283" w:rsidP="005B5CA6">
            <w:pPr>
              <w:pStyle w:val="Normal-pool"/>
              <w:spacing w:before="40" w:after="40"/>
              <w:rPr>
                <w:sz w:val="18"/>
                <w:szCs w:val="18"/>
                <w:lang w:val="en-GB"/>
              </w:rPr>
            </w:pPr>
            <w:r w:rsidRPr="00F23DCE">
              <w:rPr>
                <w:sz w:val="18"/>
                <w:szCs w:val="18"/>
                <w:lang w:val="en-GB"/>
              </w:rPr>
              <w:t>2</w:t>
            </w:r>
          </w:p>
        </w:tc>
        <w:tc>
          <w:tcPr>
            <w:tcW w:w="4338" w:type="dxa"/>
            <w:tcBorders>
              <w:top w:val="single" w:sz="12" w:space="0" w:color="auto"/>
            </w:tcBorders>
          </w:tcPr>
          <w:p w14:paraId="5134AAF0" w14:textId="77777777" w:rsidR="00B86283" w:rsidRPr="00F23DCE" w:rsidRDefault="00B86283" w:rsidP="005B5CA6">
            <w:pPr>
              <w:pStyle w:val="Normal-pool"/>
              <w:spacing w:before="40" w:after="40"/>
              <w:rPr>
                <w:sz w:val="18"/>
                <w:szCs w:val="18"/>
                <w:lang w:val="en-GB"/>
              </w:rPr>
            </w:pPr>
            <w:r w:rsidRPr="00F23DCE">
              <w:rPr>
                <w:sz w:val="18"/>
                <w:szCs w:val="18"/>
                <w:lang w:val="en-GB"/>
              </w:rPr>
              <w:t>List of documents for the fourth meeting of the Conference of the Parties to the Minamata Convention on Mercury</w:t>
            </w:r>
            <w:r w:rsidRPr="00F23DCE" w:rsidDel="00ED7766">
              <w:rPr>
                <w:sz w:val="18"/>
                <w:szCs w:val="18"/>
                <w:lang w:val="en-GB"/>
              </w:rPr>
              <w:t xml:space="preserve"> </w:t>
            </w:r>
          </w:p>
        </w:tc>
      </w:tr>
      <w:tr w:rsidR="00B86283" w:rsidRPr="00F23DCE" w14:paraId="4420D01D" w14:textId="77777777" w:rsidTr="000D72CF">
        <w:trPr>
          <w:trHeight w:val="57"/>
          <w:jc w:val="right"/>
        </w:trPr>
        <w:tc>
          <w:tcPr>
            <w:tcW w:w="2628" w:type="dxa"/>
          </w:tcPr>
          <w:p w14:paraId="3720C8E5" w14:textId="31F86383" w:rsidR="00B86283" w:rsidRPr="00F23DCE" w:rsidRDefault="00B86283" w:rsidP="005B5CA6">
            <w:pPr>
              <w:pStyle w:val="Normal-pool"/>
              <w:spacing w:before="40" w:after="40"/>
              <w:rPr>
                <w:sz w:val="18"/>
                <w:szCs w:val="18"/>
                <w:lang w:val="en-GB"/>
              </w:rPr>
            </w:pPr>
            <w:r w:rsidRPr="00F23DCE">
              <w:rPr>
                <w:sz w:val="18"/>
                <w:szCs w:val="18"/>
                <w:lang w:val="en-GB"/>
              </w:rPr>
              <w:t>UNEP/MC/COP.4/INF/2</w:t>
            </w:r>
            <w:r w:rsidR="00705423">
              <w:rPr>
                <w:sz w:val="18"/>
                <w:szCs w:val="18"/>
                <w:lang w:val="en-GB"/>
              </w:rPr>
              <w:t>/Rev.1</w:t>
            </w:r>
          </w:p>
        </w:tc>
        <w:tc>
          <w:tcPr>
            <w:tcW w:w="1341" w:type="dxa"/>
          </w:tcPr>
          <w:p w14:paraId="7FC7BE7F" w14:textId="317BC547" w:rsidR="00B86283" w:rsidRPr="00F23DCE" w:rsidRDefault="00B86283" w:rsidP="005B5CA6">
            <w:pPr>
              <w:pStyle w:val="Normal-pool"/>
              <w:spacing w:before="40" w:after="40"/>
              <w:rPr>
                <w:sz w:val="18"/>
                <w:szCs w:val="18"/>
                <w:lang w:val="en-GB"/>
              </w:rPr>
            </w:pPr>
            <w:r w:rsidRPr="00F23DCE">
              <w:rPr>
                <w:sz w:val="18"/>
                <w:szCs w:val="18"/>
                <w:lang w:val="en-GB"/>
              </w:rPr>
              <w:t>4</w:t>
            </w:r>
            <w:r w:rsidR="006A0898" w:rsidRPr="00F23DCE">
              <w:rPr>
                <w:sz w:val="18"/>
                <w:szCs w:val="18"/>
                <w:lang w:val="en-GB"/>
              </w:rPr>
              <w:t xml:space="preserve"> (h)</w:t>
            </w:r>
          </w:p>
        </w:tc>
        <w:tc>
          <w:tcPr>
            <w:tcW w:w="4338" w:type="dxa"/>
          </w:tcPr>
          <w:p w14:paraId="2CE40F04" w14:textId="3ED4E150" w:rsidR="00B86283" w:rsidRPr="00F23DCE" w:rsidRDefault="00B86283" w:rsidP="005B5CA6">
            <w:pPr>
              <w:pStyle w:val="Normal-pool"/>
              <w:spacing w:before="40" w:after="40"/>
              <w:rPr>
                <w:sz w:val="18"/>
                <w:szCs w:val="18"/>
                <w:lang w:val="en-GB"/>
              </w:rPr>
            </w:pPr>
            <w:r w:rsidRPr="00F23DCE">
              <w:rPr>
                <w:sz w:val="18"/>
                <w:szCs w:val="18"/>
                <w:lang w:val="en-GB"/>
              </w:rPr>
              <w:t xml:space="preserve">Information provided by the </w:t>
            </w:r>
            <w:r w:rsidR="00A160DA" w:rsidRPr="00F23DCE">
              <w:rPr>
                <w:sz w:val="18"/>
                <w:szCs w:val="18"/>
                <w:lang w:val="en-GB"/>
              </w:rPr>
              <w:t>p</w:t>
            </w:r>
            <w:r w:rsidRPr="00F23DCE">
              <w:rPr>
                <w:sz w:val="18"/>
                <w:szCs w:val="18"/>
                <w:lang w:val="en-GB"/>
              </w:rPr>
              <w:t xml:space="preserve">arties </w:t>
            </w:r>
            <w:r w:rsidR="006A0898" w:rsidRPr="00F23DCE">
              <w:rPr>
                <w:sz w:val="18"/>
                <w:szCs w:val="18"/>
                <w:lang w:val="en-GB"/>
              </w:rPr>
              <w:t>to</w:t>
            </w:r>
            <w:r w:rsidRPr="00F23DCE">
              <w:rPr>
                <w:sz w:val="18"/>
                <w:szCs w:val="18"/>
                <w:lang w:val="en-GB"/>
              </w:rPr>
              <w:t xml:space="preserve"> the Minamata Convention on Mercury</w:t>
            </w:r>
          </w:p>
        </w:tc>
      </w:tr>
      <w:tr w:rsidR="00B86283" w:rsidRPr="00F23DCE" w14:paraId="48BF79B5" w14:textId="77777777" w:rsidTr="00B86283">
        <w:trPr>
          <w:trHeight w:val="57"/>
          <w:jc w:val="right"/>
        </w:trPr>
        <w:tc>
          <w:tcPr>
            <w:tcW w:w="2628" w:type="dxa"/>
          </w:tcPr>
          <w:p w14:paraId="39DCC333"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UNEP/MC/COP.4/INF/3</w:t>
            </w:r>
          </w:p>
        </w:tc>
        <w:tc>
          <w:tcPr>
            <w:tcW w:w="1341" w:type="dxa"/>
          </w:tcPr>
          <w:p w14:paraId="65394D1F" w14:textId="77777777" w:rsidR="00B86283" w:rsidRPr="00F23DCE" w:rsidRDefault="00B86283" w:rsidP="005B5CA6">
            <w:pPr>
              <w:pStyle w:val="Normal-pool"/>
              <w:spacing w:before="40" w:after="40"/>
              <w:rPr>
                <w:sz w:val="18"/>
                <w:szCs w:val="18"/>
                <w:lang w:val="en-GB"/>
              </w:rPr>
            </w:pPr>
            <w:r w:rsidRPr="00F23DCE">
              <w:rPr>
                <w:sz w:val="18"/>
                <w:szCs w:val="18"/>
                <w:lang w:val="en-GB"/>
              </w:rPr>
              <w:t>4 (a) (i)</w:t>
            </w:r>
          </w:p>
        </w:tc>
        <w:tc>
          <w:tcPr>
            <w:tcW w:w="4338" w:type="dxa"/>
          </w:tcPr>
          <w:p w14:paraId="6250970B" w14:textId="30776D04" w:rsidR="00B86283" w:rsidRPr="00F23DCE" w:rsidRDefault="00B86283" w:rsidP="005B5CA6">
            <w:pPr>
              <w:pStyle w:val="Normal-pool"/>
              <w:spacing w:before="40" w:after="40"/>
              <w:rPr>
                <w:sz w:val="18"/>
                <w:szCs w:val="18"/>
                <w:lang w:val="en-GB"/>
              </w:rPr>
            </w:pPr>
            <w:r w:rsidRPr="00F23DCE">
              <w:rPr>
                <w:sz w:val="18"/>
                <w:szCs w:val="18"/>
                <w:lang w:val="en-GB"/>
              </w:rPr>
              <w:t>Re</w:t>
            </w:r>
            <w:r w:rsidR="00EA699F" w:rsidRPr="00F23DCE">
              <w:rPr>
                <w:sz w:val="18"/>
                <w:szCs w:val="18"/>
                <w:lang w:val="en-GB"/>
              </w:rPr>
              <w:t xml:space="preserve">view of </w:t>
            </w:r>
            <w:r w:rsidR="00296D9C" w:rsidRPr="00F23DCE">
              <w:rPr>
                <w:sz w:val="18"/>
                <w:szCs w:val="18"/>
                <w:lang w:val="en-GB"/>
              </w:rPr>
              <w:t xml:space="preserve">annexes </w:t>
            </w:r>
            <w:r w:rsidR="00EA699F" w:rsidRPr="00F23DCE">
              <w:rPr>
                <w:sz w:val="18"/>
                <w:szCs w:val="18"/>
                <w:lang w:val="en-GB"/>
              </w:rPr>
              <w:t>A and B</w:t>
            </w:r>
            <w:r w:rsidR="006A0898" w:rsidRPr="00F23DCE">
              <w:rPr>
                <w:sz w:val="18"/>
                <w:szCs w:val="18"/>
                <w:lang w:val="en-GB"/>
              </w:rPr>
              <w:t>;</w:t>
            </w:r>
            <w:r w:rsidR="00EA699F" w:rsidRPr="00F23DCE">
              <w:rPr>
                <w:sz w:val="18"/>
                <w:szCs w:val="18"/>
                <w:lang w:val="en-GB"/>
              </w:rPr>
              <w:t xml:space="preserve"> organiz</w:t>
            </w:r>
            <w:r w:rsidRPr="00F23DCE">
              <w:rPr>
                <w:sz w:val="18"/>
                <w:szCs w:val="18"/>
                <w:lang w:val="en-GB"/>
              </w:rPr>
              <w:t xml:space="preserve">ed and enhanced compilation of information submitted </w:t>
            </w:r>
            <w:r w:rsidR="002A645C" w:rsidRPr="00F23DCE">
              <w:rPr>
                <w:sz w:val="18"/>
                <w:szCs w:val="18"/>
                <w:lang w:val="en-GB"/>
              </w:rPr>
              <w:t>by p</w:t>
            </w:r>
            <w:r w:rsidRPr="00F23DCE">
              <w:rPr>
                <w:sz w:val="18"/>
                <w:szCs w:val="18"/>
                <w:lang w:val="en-GB"/>
              </w:rPr>
              <w:t>arties and stakeholders</w:t>
            </w:r>
          </w:p>
        </w:tc>
      </w:tr>
      <w:tr w:rsidR="00B86283" w:rsidRPr="00F23DCE" w14:paraId="02B70D4F" w14:textId="77777777" w:rsidTr="000D72CF">
        <w:trPr>
          <w:trHeight w:val="57"/>
          <w:jc w:val="right"/>
        </w:trPr>
        <w:tc>
          <w:tcPr>
            <w:tcW w:w="2628" w:type="dxa"/>
            <w:shd w:val="clear" w:color="auto" w:fill="auto"/>
          </w:tcPr>
          <w:p w14:paraId="74ACE021"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UNEP/MC/COP.4/INF/4</w:t>
            </w:r>
          </w:p>
        </w:tc>
        <w:tc>
          <w:tcPr>
            <w:tcW w:w="1341" w:type="dxa"/>
            <w:shd w:val="clear" w:color="auto" w:fill="auto"/>
          </w:tcPr>
          <w:p w14:paraId="271F47DA" w14:textId="77777777" w:rsidR="00B86283" w:rsidRPr="00F23DCE" w:rsidRDefault="00B86283" w:rsidP="005B5CA6">
            <w:pPr>
              <w:pStyle w:val="Normal-pool"/>
              <w:spacing w:before="40" w:after="40"/>
              <w:rPr>
                <w:sz w:val="18"/>
                <w:szCs w:val="18"/>
                <w:lang w:val="en-GB"/>
              </w:rPr>
            </w:pPr>
            <w:r w:rsidRPr="00F23DCE">
              <w:rPr>
                <w:sz w:val="18"/>
                <w:szCs w:val="18"/>
                <w:lang w:val="en-GB"/>
              </w:rPr>
              <w:t>4 (a) (ii)</w:t>
            </w:r>
          </w:p>
        </w:tc>
        <w:tc>
          <w:tcPr>
            <w:tcW w:w="4338" w:type="dxa"/>
            <w:shd w:val="clear" w:color="auto" w:fill="auto"/>
          </w:tcPr>
          <w:p w14:paraId="76144564" w14:textId="77777777" w:rsidR="00B86283" w:rsidRPr="00F23DCE" w:rsidRDefault="00B86283" w:rsidP="005B5CA6">
            <w:pPr>
              <w:pStyle w:val="Normal-pool"/>
              <w:spacing w:before="40" w:after="40"/>
              <w:rPr>
                <w:sz w:val="18"/>
                <w:szCs w:val="18"/>
                <w:lang w:val="en-GB"/>
              </w:rPr>
            </w:pPr>
            <w:r w:rsidRPr="00F23DCE">
              <w:rPr>
                <w:sz w:val="18"/>
                <w:szCs w:val="18"/>
                <w:lang w:val="en-GB"/>
              </w:rPr>
              <w:t>Information on the implementation of any additional measures taken by parties and on non-mercury alternatives to dental amalgam</w:t>
            </w:r>
          </w:p>
        </w:tc>
      </w:tr>
      <w:tr w:rsidR="00B86283" w:rsidRPr="00F23DCE" w14:paraId="22C804EC" w14:textId="77777777" w:rsidTr="000D72CF">
        <w:trPr>
          <w:trHeight w:val="57"/>
          <w:jc w:val="right"/>
        </w:trPr>
        <w:tc>
          <w:tcPr>
            <w:tcW w:w="2628" w:type="dxa"/>
          </w:tcPr>
          <w:p w14:paraId="43864C77"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UNEP/MC/COP.4/INF/5</w:t>
            </w:r>
          </w:p>
        </w:tc>
        <w:tc>
          <w:tcPr>
            <w:tcW w:w="1341" w:type="dxa"/>
          </w:tcPr>
          <w:p w14:paraId="123056FD" w14:textId="77777777" w:rsidR="00B86283" w:rsidRPr="00F23DCE" w:rsidRDefault="00B86283" w:rsidP="005B5CA6">
            <w:pPr>
              <w:pStyle w:val="Normal-pool"/>
              <w:spacing w:before="40" w:after="40"/>
              <w:rPr>
                <w:sz w:val="18"/>
                <w:szCs w:val="18"/>
                <w:lang w:val="en-GB"/>
              </w:rPr>
            </w:pPr>
            <w:r w:rsidRPr="00F23DCE">
              <w:rPr>
                <w:sz w:val="18"/>
                <w:szCs w:val="18"/>
                <w:lang w:val="en-GB"/>
              </w:rPr>
              <w:t>4 (a) (iii)</w:t>
            </w:r>
          </w:p>
        </w:tc>
        <w:tc>
          <w:tcPr>
            <w:tcW w:w="4338" w:type="dxa"/>
          </w:tcPr>
          <w:p w14:paraId="6385E5A6" w14:textId="77777777" w:rsidR="00B86283" w:rsidRPr="00F23DCE" w:rsidRDefault="00B86283" w:rsidP="005B5CA6">
            <w:pPr>
              <w:pStyle w:val="Normal-pool"/>
              <w:spacing w:before="40" w:after="40"/>
              <w:rPr>
                <w:sz w:val="18"/>
                <w:szCs w:val="18"/>
                <w:lang w:val="en-GB"/>
              </w:rPr>
            </w:pPr>
            <w:r w:rsidRPr="00F23DCE">
              <w:rPr>
                <w:sz w:val="18"/>
                <w:szCs w:val="18"/>
                <w:lang w:val="en-GB"/>
              </w:rPr>
              <w:t>Customs codes</w:t>
            </w:r>
          </w:p>
        </w:tc>
      </w:tr>
      <w:tr w:rsidR="00B86283" w:rsidRPr="00F23DCE" w14:paraId="4C6B71B6" w14:textId="77777777" w:rsidTr="000D72CF">
        <w:trPr>
          <w:trHeight w:val="57"/>
          <w:jc w:val="right"/>
        </w:trPr>
        <w:tc>
          <w:tcPr>
            <w:tcW w:w="2628" w:type="dxa"/>
          </w:tcPr>
          <w:p w14:paraId="6E718F9F"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UNEP/MC/COP.4/INF/6</w:t>
            </w:r>
          </w:p>
        </w:tc>
        <w:tc>
          <w:tcPr>
            <w:tcW w:w="1341" w:type="dxa"/>
          </w:tcPr>
          <w:p w14:paraId="159FC851" w14:textId="77777777" w:rsidR="00B86283" w:rsidRPr="00F23DCE" w:rsidRDefault="00B86283" w:rsidP="005B5CA6">
            <w:pPr>
              <w:pStyle w:val="Normal-pool"/>
              <w:spacing w:before="40" w:after="40"/>
              <w:rPr>
                <w:sz w:val="18"/>
                <w:szCs w:val="18"/>
                <w:lang w:val="en-GB"/>
              </w:rPr>
            </w:pPr>
            <w:r w:rsidRPr="00F23DCE">
              <w:rPr>
                <w:sz w:val="18"/>
                <w:szCs w:val="18"/>
                <w:lang w:val="en-GB"/>
              </w:rPr>
              <w:t>4 (b)</w:t>
            </w:r>
          </w:p>
        </w:tc>
        <w:tc>
          <w:tcPr>
            <w:tcW w:w="4338" w:type="dxa"/>
          </w:tcPr>
          <w:p w14:paraId="2DD48127" w14:textId="77777777" w:rsidR="00B86283" w:rsidRPr="00F23DCE" w:rsidRDefault="00B86283" w:rsidP="005B5CA6">
            <w:pPr>
              <w:pStyle w:val="Normal-pool"/>
              <w:spacing w:before="40" w:after="40"/>
              <w:rPr>
                <w:sz w:val="18"/>
                <w:szCs w:val="18"/>
                <w:lang w:val="en-GB"/>
              </w:rPr>
            </w:pPr>
            <w:r w:rsidRPr="00F23DCE">
              <w:rPr>
                <w:sz w:val="18"/>
                <w:szCs w:val="18"/>
                <w:lang w:val="en-GB"/>
              </w:rPr>
              <w:t>Guidance document on the management of artisanal and small-scale gold mining tailings</w:t>
            </w:r>
          </w:p>
        </w:tc>
      </w:tr>
      <w:tr w:rsidR="00B86283" w:rsidRPr="00F23DCE" w14:paraId="3C44EC0E" w14:textId="77777777" w:rsidTr="000D72CF">
        <w:trPr>
          <w:trHeight w:val="57"/>
          <w:jc w:val="right"/>
        </w:trPr>
        <w:tc>
          <w:tcPr>
            <w:tcW w:w="2628" w:type="dxa"/>
          </w:tcPr>
          <w:p w14:paraId="50F623F7"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UNEP/MC/COP.4/INF/7</w:t>
            </w:r>
          </w:p>
        </w:tc>
        <w:tc>
          <w:tcPr>
            <w:tcW w:w="1341" w:type="dxa"/>
          </w:tcPr>
          <w:p w14:paraId="0DCE9433" w14:textId="77777777" w:rsidR="00B86283" w:rsidRPr="00F23DCE" w:rsidRDefault="00B86283" w:rsidP="005B5CA6">
            <w:pPr>
              <w:pStyle w:val="Normal-pool"/>
              <w:spacing w:before="40" w:after="40"/>
              <w:rPr>
                <w:sz w:val="18"/>
                <w:szCs w:val="18"/>
                <w:lang w:val="en-GB"/>
              </w:rPr>
            </w:pPr>
            <w:r w:rsidRPr="00F23DCE">
              <w:rPr>
                <w:sz w:val="18"/>
                <w:szCs w:val="18"/>
                <w:lang w:val="en-GB"/>
              </w:rPr>
              <w:t>4 (e) (i)</w:t>
            </w:r>
          </w:p>
        </w:tc>
        <w:tc>
          <w:tcPr>
            <w:tcW w:w="4338" w:type="dxa"/>
          </w:tcPr>
          <w:p w14:paraId="4918175B" w14:textId="03A93E8F" w:rsidR="00B86283" w:rsidRPr="00F23DCE" w:rsidRDefault="00B86283" w:rsidP="005B5CA6">
            <w:pPr>
              <w:pStyle w:val="Normal-pool"/>
              <w:spacing w:before="40" w:after="40"/>
              <w:rPr>
                <w:sz w:val="18"/>
                <w:szCs w:val="18"/>
                <w:lang w:val="en-GB"/>
              </w:rPr>
            </w:pPr>
            <w:r w:rsidRPr="00F23DCE">
              <w:rPr>
                <w:sz w:val="18"/>
                <w:szCs w:val="18"/>
                <w:lang w:val="en-GB"/>
              </w:rPr>
              <w:t xml:space="preserve">Report of the </w:t>
            </w:r>
            <w:r w:rsidR="006A0898" w:rsidRPr="00F23DCE">
              <w:rPr>
                <w:sz w:val="18"/>
                <w:szCs w:val="18"/>
                <w:lang w:val="en-GB"/>
              </w:rPr>
              <w:t xml:space="preserve">Council of the </w:t>
            </w:r>
            <w:r w:rsidRPr="00F23DCE">
              <w:rPr>
                <w:sz w:val="18"/>
                <w:szCs w:val="18"/>
                <w:lang w:val="en-GB"/>
              </w:rPr>
              <w:t>Global Environment Facility to</w:t>
            </w:r>
            <w:r w:rsidR="006A0898" w:rsidRPr="00F23DCE">
              <w:rPr>
                <w:sz w:val="18"/>
                <w:szCs w:val="18"/>
                <w:lang w:val="en-GB"/>
              </w:rPr>
              <w:t xml:space="preserve"> the Conference of</w:t>
            </w:r>
            <w:r w:rsidRPr="00F23DCE">
              <w:rPr>
                <w:sz w:val="18"/>
                <w:szCs w:val="18"/>
                <w:lang w:val="en-GB"/>
              </w:rPr>
              <w:t xml:space="preserve"> the Parties to the Minamata Convention on Mercury</w:t>
            </w:r>
            <w:r w:rsidR="006A0898" w:rsidRPr="00F23DCE">
              <w:rPr>
                <w:sz w:val="18"/>
                <w:szCs w:val="18"/>
                <w:lang w:val="en-GB"/>
              </w:rPr>
              <w:t xml:space="preserve"> at its fourth meeting</w:t>
            </w:r>
          </w:p>
        </w:tc>
      </w:tr>
      <w:tr w:rsidR="00B86283" w:rsidRPr="00F23DCE" w14:paraId="7E2869CD" w14:textId="77777777" w:rsidTr="000D72CF">
        <w:trPr>
          <w:trHeight w:val="57"/>
          <w:jc w:val="right"/>
        </w:trPr>
        <w:tc>
          <w:tcPr>
            <w:tcW w:w="2628" w:type="dxa"/>
            <w:shd w:val="clear" w:color="auto" w:fill="auto"/>
          </w:tcPr>
          <w:p w14:paraId="3B20A170"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UNEP/MC/COP.4/INF/8</w:t>
            </w:r>
          </w:p>
        </w:tc>
        <w:tc>
          <w:tcPr>
            <w:tcW w:w="1341" w:type="dxa"/>
            <w:shd w:val="clear" w:color="auto" w:fill="auto"/>
          </w:tcPr>
          <w:p w14:paraId="6DDE230C" w14:textId="77777777" w:rsidR="00B86283" w:rsidRPr="00F23DCE" w:rsidRDefault="00B86283" w:rsidP="005B5CA6">
            <w:pPr>
              <w:pStyle w:val="Normal-pool"/>
              <w:spacing w:before="40" w:after="40"/>
              <w:rPr>
                <w:sz w:val="18"/>
                <w:szCs w:val="18"/>
                <w:lang w:val="en-GB"/>
              </w:rPr>
            </w:pPr>
            <w:r w:rsidRPr="00F23DCE">
              <w:rPr>
                <w:sz w:val="18"/>
                <w:szCs w:val="18"/>
                <w:lang w:val="en-GB"/>
              </w:rPr>
              <w:t>4 (e) (i)</w:t>
            </w:r>
          </w:p>
        </w:tc>
        <w:tc>
          <w:tcPr>
            <w:tcW w:w="4338" w:type="dxa"/>
            <w:shd w:val="clear" w:color="auto" w:fill="auto"/>
          </w:tcPr>
          <w:p w14:paraId="7DF369A2" w14:textId="03B8834A" w:rsidR="00B86283" w:rsidRPr="00F23DCE" w:rsidRDefault="006A0898" w:rsidP="005B5CA6">
            <w:pPr>
              <w:pStyle w:val="Normal-pool"/>
              <w:spacing w:before="40" w:after="40"/>
              <w:rPr>
                <w:sz w:val="18"/>
                <w:szCs w:val="18"/>
                <w:lang w:val="en-GB"/>
              </w:rPr>
            </w:pPr>
            <w:r w:rsidRPr="00F23DCE">
              <w:rPr>
                <w:sz w:val="18"/>
                <w:szCs w:val="18"/>
                <w:lang w:val="en-GB"/>
              </w:rPr>
              <w:t>E</w:t>
            </w:r>
            <w:r w:rsidR="00221116" w:rsidRPr="00F23DCE">
              <w:rPr>
                <w:sz w:val="18"/>
                <w:szCs w:val="18"/>
                <w:lang w:val="en-GB"/>
              </w:rPr>
              <w:t xml:space="preserve">ighth replenishment of the Global Environment Facility trust fund: </w:t>
            </w:r>
            <w:r w:rsidRPr="00F23DCE">
              <w:rPr>
                <w:sz w:val="18"/>
                <w:szCs w:val="18"/>
                <w:lang w:val="en-GB"/>
              </w:rPr>
              <w:t>d</w:t>
            </w:r>
            <w:r w:rsidR="00221116" w:rsidRPr="00F23DCE">
              <w:rPr>
                <w:sz w:val="18"/>
                <w:szCs w:val="18"/>
                <w:lang w:val="en-GB"/>
              </w:rPr>
              <w:t xml:space="preserve">raft </w:t>
            </w:r>
            <w:r w:rsidRPr="00F23DCE">
              <w:rPr>
                <w:sz w:val="18"/>
                <w:szCs w:val="18"/>
                <w:lang w:val="en-GB"/>
              </w:rPr>
              <w:t>p</w:t>
            </w:r>
            <w:r w:rsidR="00221116" w:rsidRPr="00F23DCE">
              <w:rPr>
                <w:sz w:val="18"/>
                <w:szCs w:val="18"/>
                <w:lang w:val="en-GB"/>
              </w:rPr>
              <w:t xml:space="preserve">rogramming </w:t>
            </w:r>
            <w:r w:rsidRPr="00F23DCE">
              <w:rPr>
                <w:sz w:val="18"/>
                <w:szCs w:val="18"/>
                <w:lang w:val="en-GB"/>
              </w:rPr>
              <w:t>d</w:t>
            </w:r>
            <w:r w:rsidR="00221116" w:rsidRPr="00F23DCE">
              <w:rPr>
                <w:sz w:val="18"/>
                <w:szCs w:val="18"/>
                <w:lang w:val="en-GB"/>
              </w:rPr>
              <w:t xml:space="preserve">irections and </w:t>
            </w:r>
            <w:r w:rsidRPr="00F23DCE">
              <w:rPr>
                <w:sz w:val="18"/>
                <w:szCs w:val="18"/>
                <w:lang w:val="en-GB"/>
              </w:rPr>
              <w:t>s</w:t>
            </w:r>
            <w:r w:rsidR="00221116" w:rsidRPr="00F23DCE">
              <w:rPr>
                <w:sz w:val="18"/>
                <w:szCs w:val="18"/>
                <w:lang w:val="en-GB"/>
              </w:rPr>
              <w:t xml:space="preserve">trategic </w:t>
            </w:r>
            <w:r w:rsidRPr="00F23DCE">
              <w:rPr>
                <w:sz w:val="18"/>
                <w:szCs w:val="18"/>
                <w:lang w:val="en-GB"/>
              </w:rPr>
              <w:t>p</w:t>
            </w:r>
            <w:r w:rsidR="00221116" w:rsidRPr="00F23DCE">
              <w:rPr>
                <w:sz w:val="18"/>
                <w:szCs w:val="18"/>
                <w:lang w:val="en-GB"/>
              </w:rPr>
              <w:t>ositioning</w:t>
            </w:r>
            <w:r w:rsidRPr="00F23DCE">
              <w:rPr>
                <w:sz w:val="18"/>
                <w:szCs w:val="18"/>
                <w:lang w:val="en-GB"/>
              </w:rPr>
              <w:t xml:space="preserve"> framework</w:t>
            </w:r>
          </w:p>
        </w:tc>
      </w:tr>
      <w:tr w:rsidR="00B86283" w:rsidRPr="00F23DCE" w14:paraId="664A8505" w14:textId="77777777" w:rsidTr="000D72CF">
        <w:trPr>
          <w:trHeight w:val="57"/>
          <w:jc w:val="right"/>
        </w:trPr>
        <w:tc>
          <w:tcPr>
            <w:tcW w:w="2628" w:type="dxa"/>
          </w:tcPr>
          <w:p w14:paraId="6F6FEAB6"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UNEP/MC/COP.4/INF/9</w:t>
            </w:r>
          </w:p>
        </w:tc>
        <w:tc>
          <w:tcPr>
            <w:tcW w:w="1341" w:type="dxa"/>
          </w:tcPr>
          <w:p w14:paraId="338C3118" w14:textId="77777777" w:rsidR="00B86283" w:rsidRPr="00F23DCE" w:rsidRDefault="00B86283" w:rsidP="005B5CA6">
            <w:pPr>
              <w:pStyle w:val="Normal-pool"/>
              <w:spacing w:before="40" w:after="40"/>
              <w:rPr>
                <w:sz w:val="18"/>
                <w:szCs w:val="18"/>
                <w:lang w:val="en-GB"/>
              </w:rPr>
            </w:pPr>
            <w:r w:rsidRPr="00F23DCE">
              <w:rPr>
                <w:sz w:val="18"/>
                <w:szCs w:val="18"/>
                <w:lang w:val="en-GB"/>
              </w:rPr>
              <w:t>4 (e) (ii)</w:t>
            </w:r>
          </w:p>
        </w:tc>
        <w:tc>
          <w:tcPr>
            <w:tcW w:w="4338" w:type="dxa"/>
          </w:tcPr>
          <w:p w14:paraId="24442BA1" w14:textId="3D873862" w:rsidR="00B86283" w:rsidRPr="00F23DCE" w:rsidRDefault="00B86283" w:rsidP="005B5CA6">
            <w:pPr>
              <w:pStyle w:val="Normal-pool"/>
              <w:spacing w:before="40" w:after="40"/>
              <w:rPr>
                <w:sz w:val="18"/>
                <w:szCs w:val="18"/>
                <w:lang w:val="en-GB"/>
              </w:rPr>
            </w:pPr>
            <w:r w:rsidRPr="00F23DCE">
              <w:rPr>
                <w:sz w:val="18"/>
                <w:szCs w:val="18"/>
                <w:lang w:val="en-GB"/>
              </w:rPr>
              <w:t xml:space="preserve">Application </w:t>
            </w:r>
            <w:r w:rsidR="002A645C" w:rsidRPr="00F23DCE">
              <w:rPr>
                <w:sz w:val="18"/>
                <w:szCs w:val="18"/>
                <w:lang w:val="en-GB"/>
              </w:rPr>
              <w:t>g</w:t>
            </w:r>
            <w:r w:rsidRPr="00F23DCE">
              <w:rPr>
                <w:sz w:val="18"/>
                <w:szCs w:val="18"/>
                <w:lang w:val="en-GB"/>
              </w:rPr>
              <w:t xml:space="preserve">uidelines </w:t>
            </w:r>
            <w:r w:rsidR="002A645C" w:rsidRPr="00F23DCE">
              <w:rPr>
                <w:sz w:val="18"/>
                <w:szCs w:val="18"/>
                <w:lang w:val="en-GB"/>
              </w:rPr>
              <w:t xml:space="preserve">for </w:t>
            </w:r>
            <w:r w:rsidRPr="00F23DCE">
              <w:rPr>
                <w:sz w:val="18"/>
                <w:szCs w:val="18"/>
                <w:lang w:val="en-GB"/>
              </w:rPr>
              <w:t xml:space="preserve">the </w:t>
            </w:r>
            <w:r w:rsidR="002A645C" w:rsidRPr="00F23DCE">
              <w:rPr>
                <w:sz w:val="18"/>
                <w:szCs w:val="18"/>
                <w:lang w:val="en-GB"/>
              </w:rPr>
              <w:t>t</w:t>
            </w:r>
            <w:r w:rsidRPr="00F23DCE">
              <w:rPr>
                <w:sz w:val="18"/>
                <w:szCs w:val="18"/>
                <w:lang w:val="en-GB"/>
              </w:rPr>
              <w:t xml:space="preserve">hird </w:t>
            </w:r>
            <w:r w:rsidR="002A645C" w:rsidRPr="00F23DCE">
              <w:rPr>
                <w:sz w:val="18"/>
                <w:szCs w:val="18"/>
                <w:lang w:val="en-GB"/>
              </w:rPr>
              <w:t>r</w:t>
            </w:r>
            <w:r w:rsidRPr="00F23DCE">
              <w:rPr>
                <w:sz w:val="18"/>
                <w:szCs w:val="18"/>
                <w:lang w:val="en-GB"/>
              </w:rPr>
              <w:t xml:space="preserve">ound of </w:t>
            </w:r>
            <w:r w:rsidR="002A645C" w:rsidRPr="00F23DCE">
              <w:rPr>
                <w:sz w:val="18"/>
                <w:szCs w:val="18"/>
                <w:lang w:val="en-GB"/>
              </w:rPr>
              <w:t xml:space="preserve">applications to </w:t>
            </w:r>
            <w:r w:rsidRPr="00F23DCE">
              <w:rPr>
                <w:sz w:val="18"/>
                <w:szCs w:val="18"/>
                <w:lang w:val="en-GB"/>
              </w:rPr>
              <w:t>the Specific International Programme to Support Capacity-Building and Technical Assistance</w:t>
            </w:r>
          </w:p>
        </w:tc>
      </w:tr>
      <w:tr w:rsidR="00B86283" w:rsidRPr="00F23DCE" w14:paraId="57284B47" w14:textId="77777777" w:rsidTr="000D72CF">
        <w:trPr>
          <w:trHeight w:val="57"/>
          <w:jc w:val="right"/>
        </w:trPr>
        <w:tc>
          <w:tcPr>
            <w:tcW w:w="2628" w:type="dxa"/>
          </w:tcPr>
          <w:p w14:paraId="53DE003C"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UNEP/MC/COP.4/INF/10</w:t>
            </w:r>
          </w:p>
        </w:tc>
        <w:tc>
          <w:tcPr>
            <w:tcW w:w="1341" w:type="dxa"/>
          </w:tcPr>
          <w:p w14:paraId="06BBDB76" w14:textId="77777777" w:rsidR="00B86283" w:rsidRPr="00F23DCE" w:rsidRDefault="00B86283" w:rsidP="005B5CA6">
            <w:pPr>
              <w:pStyle w:val="Normal-pool"/>
              <w:spacing w:before="40" w:after="40"/>
              <w:rPr>
                <w:sz w:val="18"/>
                <w:szCs w:val="18"/>
                <w:lang w:val="en-GB"/>
              </w:rPr>
            </w:pPr>
            <w:r w:rsidRPr="00F23DCE">
              <w:rPr>
                <w:sz w:val="18"/>
                <w:szCs w:val="18"/>
                <w:lang w:val="en-GB"/>
              </w:rPr>
              <w:t>4 (e)</w:t>
            </w:r>
          </w:p>
        </w:tc>
        <w:tc>
          <w:tcPr>
            <w:tcW w:w="4338" w:type="dxa"/>
          </w:tcPr>
          <w:p w14:paraId="6FDEF34A" w14:textId="77777777" w:rsidR="00B86283" w:rsidRPr="00F23DCE" w:rsidRDefault="00B86283" w:rsidP="005B5CA6">
            <w:pPr>
              <w:pStyle w:val="Normal-pool"/>
              <w:spacing w:before="40" w:after="40"/>
              <w:rPr>
                <w:sz w:val="18"/>
                <w:szCs w:val="18"/>
                <w:lang w:val="en-GB"/>
              </w:rPr>
            </w:pPr>
            <w:r w:rsidRPr="00F23DCE">
              <w:rPr>
                <w:sz w:val="18"/>
                <w:szCs w:val="18"/>
                <w:lang w:val="en-GB"/>
              </w:rPr>
              <w:t>Activities of the Special Programme to support institutional strengthening at the national level for implementation of the Basel, Rotterdam and Stockholm conventions, the Minamata Convention and the Strategic Approach to International Chemicals Management</w:t>
            </w:r>
          </w:p>
        </w:tc>
      </w:tr>
      <w:tr w:rsidR="00B86283" w:rsidRPr="00F23DCE" w14:paraId="6430CF0A" w14:textId="77777777" w:rsidTr="000D72CF">
        <w:trPr>
          <w:trHeight w:val="57"/>
          <w:jc w:val="right"/>
        </w:trPr>
        <w:tc>
          <w:tcPr>
            <w:tcW w:w="2628" w:type="dxa"/>
          </w:tcPr>
          <w:p w14:paraId="3FDCC420"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UNEP/MC/COP.4/INF/11</w:t>
            </w:r>
          </w:p>
        </w:tc>
        <w:tc>
          <w:tcPr>
            <w:tcW w:w="1341" w:type="dxa"/>
          </w:tcPr>
          <w:p w14:paraId="135CD798" w14:textId="77777777" w:rsidR="00B86283" w:rsidRPr="00F23DCE" w:rsidRDefault="00B86283" w:rsidP="005B5CA6">
            <w:pPr>
              <w:pStyle w:val="Normal-pool"/>
              <w:spacing w:before="40" w:after="40"/>
              <w:rPr>
                <w:sz w:val="18"/>
                <w:szCs w:val="18"/>
                <w:lang w:val="en-GB"/>
              </w:rPr>
            </w:pPr>
            <w:r w:rsidRPr="00F23DCE">
              <w:rPr>
                <w:sz w:val="18"/>
                <w:szCs w:val="18"/>
                <w:lang w:val="en-GB"/>
              </w:rPr>
              <w:t>4 (i)</w:t>
            </w:r>
          </w:p>
        </w:tc>
        <w:tc>
          <w:tcPr>
            <w:tcW w:w="4338" w:type="dxa"/>
          </w:tcPr>
          <w:p w14:paraId="6BC79F22" w14:textId="77777777" w:rsidR="00B86283" w:rsidRPr="00F23DCE" w:rsidRDefault="00B86283" w:rsidP="005B5CA6">
            <w:pPr>
              <w:pStyle w:val="Normal-pool"/>
              <w:spacing w:before="40" w:after="40"/>
              <w:rPr>
                <w:sz w:val="18"/>
                <w:szCs w:val="18"/>
                <w:lang w:val="en-GB"/>
              </w:rPr>
            </w:pPr>
            <w:r w:rsidRPr="00F23DCE">
              <w:rPr>
                <w:sz w:val="18"/>
                <w:szCs w:val="18"/>
                <w:lang w:val="en-GB"/>
              </w:rPr>
              <w:t>Compilation of views on the proposed indicators for evaluating the effectiveness of the Minamata Convention on Mercury</w:t>
            </w:r>
          </w:p>
        </w:tc>
      </w:tr>
      <w:tr w:rsidR="00B86283" w:rsidRPr="00F23DCE" w14:paraId="4A613101" w14:textId="77777777" w:rsidTr="000D72CF">
        <w:trPr>
          <w:trHeight w:val="57"/>
          <w:jc w:val="right"/>
        </w:trPr>
        <w:tc>
          <w:tcPr>
            <w:tcW w:w="2628" w:type="dxa"/>
          </w:tcPr>
          <w:p w14:paraId="3F839DDB"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UNEP/MC/COP.4/INF/12</w:t>
            </w:r>
          </w:p>
        </w:tc>
        <w:tc>
          <w:tcPr>
            <w:tcW w:w="1341" w:type="dxa"/>
          </w:tcPr>
          <w:p w14:paraId="374BB1A0" w14:textId="77777777" w:rsidR="00B86283" w:rsidRPr="00F23DCE" w:rsidRDefault="00B86283" w:rsidP="005B5CA6">
            <w:pPr>
              <w:pStyle w:val="Normal-pool"/>
              <w:spacing w:before="40" w:after="40"/>
              <w:rPr>
                <w:sz w:val="18"/>
                <w:szCs w:val="18"/>
                <w:lang w:val="en-GB"/>
              </w:rPr>
            </w:pPr>
            <w:r w:rsidRPr="00F23DCE">
              <w:rPr>
                <w:sz w:val="18"/>
                <w:szCs w:val="18"/>
                <w:lang w:val="en-GB"/>
              </w:rPr>
              <w:t>4 (i)</w:t>
            </w:r>
          </w:p>
        </w:tc>
        <w:tc>
          <w:tcPr>
            <w:tcW w:w="4338" w:type="dxa"/>
          </w:tcPr>
          <w:p w14:paraId="6DEA2382" w14:textId="1992935D" w:rsidR="00B86283" w:rsidRPr="00F23DCE" w:rsidRDefault="00B86283" w:rsidP="005B5CA6">
            <w:pPr>
              <w:pStyle w:val="Normal-pool"/>
              <w:spacing w:before="40" w:after="40"/>
              <w:rPr>
                <w:sz w:val="18"/>
                <w:szCs w:val="18"/>
                <w:lang w:val="en-GB"/>
              </w:rPr>
            </w:pPr>
            <w:r w:rsidRPr="00F23DCE">
              <w:rPr>
                <w:sz w:val="18"/>
                <w:szCs w:val="18"/>
                <w:lang w:val="en-GB"/>
              </w:rPr>
              <w:t xml:space="preserve">Guidance on </w:t>
            </w:r>
            <w:r w:rsidR="00D371AC" w:rsidRPr="00F23DCE">
              <w:rPr>
                <w:sz w:val="18"/>
                <w:szCs w:val="18"/>
                <w:lang w:val="en-GB"/>
              </w:rPr>
              <w:t>m</w:t>
            </w:r>
            <w:r w:rsidRPr="00F23DCE">
              <w:rPr>
                <w:sz w:val="18"/>
                <w:szCs w:val="18"/>
                <w:lang w:val="en-GB"/>
              </w:rPr>
              <w:t xml:space="preserve">onitoring </w:t>
            </w:r>
            <w:r w:rsidR="00D371AC" w:rsidRPr="00F23DCE">
              <w:rPr>
                <w:sz w:val="18"/>
                <w:szCs w:val="18"/>
                <w:lang w:val="en-GB"/>
              </w:rPr>
              <w:t>m</w:t>
            </w:r>
            <w:r w:rsidRPr="00F23DCE">
              <w:rPr>
                <w:sz w:val="18"/>
                <w:szCs w:val="18"/>
                <w:lang w:val="en-GB"/>
              </w:rPr>
              <w:t xml:space="preserve">ercury and </w:t>
            </w:r>
            <w:r w:rsidR="00D371AC" w:rsidRPr="00F23DCE">
              <w:rPr>
                <w:sz w:val="18"/>
                <w:szCs w:val="18"/>
                <w:lang w:val="en-GB"/>
              </w:rPr>
              <w:t>m</w:t>
            </w:r>
            <w:r w:rsidRPr="00F23DCE">
              <w:rPr>
                <w:sz w:val="18"/>
                <w:szCs w:val="18"/>
                <w:lang w:val="en-GB"/>
              </w:rPr>
              <w:t xml:space="preserve">ercury </w:t>
            </w:r>
            <w:r w:rsidR="00D371AC" w:rsidRPr="00F23DCE">
              <w:rPr>
                <w:sz w:val="18"/>
                <w:szCs w:val="18"/>
                <w:lang w:val="en-GB"/>
              </w:rPr>
              <w:t>c</w:t>
            </w:r>
            <w:r w:rsidRPr="00F23DCE">
              <w:rPr>
                <w:sz w:val="18"/>
                <w:szCs w:val="18"/>
                <w:lang w:val="en-GB"/>
              </w:rPr>
              <w:t>ompounds to support the effectiveness evaluation of the Minamata Convention</w:t>
            </w:r>
          </w:p>
        </w:tc>
      </w:tr>
      <w:tr w:rsidR="00B86283" w:rsidRPr="00F23DCE" w14:paraId="4BC8C07E" w14:textId="77777777" w:rsidTr="000D72CF">
        <w:trPr>
          <w:trHeight w:val="57"/>
          <w:jc w:val="right"/>
        </w:trPr>
        <w:tc>
          <w:tcPr>
            <w:tcW w:w="2628" w:type="dxa"/>
          </w:tcPr>
          <w:p w14:paraId="0DA1DA18"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UNEP/MC/COP.4/INF/13</w:t>
            </w:r>
          </w:p>
        </w:tc>
        <w:tc>
          <w:tcPr>
            <w:tcW w:w="1341" w:type="dxa"/>
          </w:tcPr>
          <w:p w14:paraId="15387F52" w14:textId="77777777" w:rsidR="00B86283" w:rsidRPr="00F23DCE" w:rsidRDefault="00B86283" w:rsidP="005B5CA6">
            <w:pPr>
              <w:pStyle w:val="Normal-pool"/>
              <w:spacing w:before="40" w:after="40"/>
              <w:rPr>
                <w:sz w:val="18"/>
                <w:szCs w:val="18"/>
                <w:lang w:val="en-GB"/>
              </w:rPr>
            </w:pPr>
            <w:r w:rsidRPr="00F23DCE">
              <w:rPr>
                <w:sz w:val="18"/>
                <w:szCs w:val="18"/>
                <w:lang w:val="en-GB"/>
              </w:rPr>
              <w:t>5</w:t>
            </w:r>
          </w:p>
        </w:tc>
        <w:tc>
          <w:tcPr>
            <w:tcW w:w="4338" w:type="dxa"/>
          </w:tcPr>
          <w:p w14:paraId="337933E6" w14:textId="28ED06F7" w:rsidR="00B86283" w:rsidRPr="00F23DCE" w:rsidRDefault="00B86283" w:rsidP="005B5CA6">
            <w:pPr>
              <w:pStyle w:val="Normal-pool"/>
              <w:spacing w:before="40" w:after="40"/>
              <w:rPr>
                <w:sz w:val="18"/>
                <w:szCs w:val="18"/>
                <w:lang w:val="en-GB"/>
              </w:rPr>
            </w:pPr>
            <w:r w:rsidRPr="00F23DCE">
              <w:rPr>
                <w:sz w:val="18"/>
                <w:szCs w:val="18"/>
                <w:lang w:val="en-GB"/>
              </w:rPr>
              <w:t xml:space="preserve">Joint </w:t>
            </w:r>
            <w:r w:rsidR="00D371AC" w:rsidRPr="00F23DCE">
              <w:rPr>
                <w:sz w:val="18"/>
                <w:szCs w:val="18"/>
                <w:lang w:val="en-GB"/>
              </w:rPr>
              <w:t xml:space="preserve">study by the </w:t>
            </w:r>
            <w:r w:rsidRPr="00F23DCE">
              <w:rPr>
                <w:sz w:val="18"/>
                <w:szCs w:val="18"/>
                <w:lang w:val="en-GB"/>
              </w:rPr>
              <w:t>secretariat</w:t>
            </w:r>
            <w:r w:rsidR="00D371AC" w:rsidRPr="00F23DCE">
              <w:rPr>
                <w:sz w:val="18"/>
                <w:szCs w:val="18"/>
                <w:lang w:val="en-GB"/>
              </w:rPr>
              <w:t xml:space="preserve">s of the Minamata Convention on Mercury and of the </w:t>
            </w:r>
            <w:r w:rsidRPr="00F23DCE">
              <w:rPr>
                <w:sz w:val="18"/>
                <w:szCs w:val="18"/>
                <w:lang w:val="en-GB"/>
              </w:rPr>
              <w:t>B</w:t>
            </w:r>
            <w:r w:rsidR="00D371AC" w:rsidRPr="00F23DCE">
              <w:rPr>
                <w:sz w:val="18"/>
                <w:szCs w:val="18"/>
                <w:lang w:val="en-GB"/>
              </w:rPr>
              <w:t xml:space="preserve">asel, </w:t>
            </w:r>
            <w:r w:rsidRPr="00F23DCE">
              <w:rPr>
                <w:sz w:val="18"/>
                <w:szCs w:val="18"/>
                <w:lang w:val="en-GB"/>
              </w:rPr>
              <w:t>R</w:t>
            </w:r>
            <w:r w:rsidR="00D371AC" w:rsidRPr="00F23DCE">
              <w:rPr>
                <w:sz w:val="18"/>
                <w:szCs w:val="18"/>
                <w:lang w:val="en-GB"/>
              </w:rPr>
              <w:t xml:space="preserve">otterdam and </w:t>
            </w:r>
            <w:r w:rsidRPr="00F23DCE">
              <w:rPr>
                <w:sz w:val="18"/>
                <w:szCs w:val="18"/>
                <w:lang w:val="en-GB"/>
              </w:rPr>
              <w:t>S</w:t>
            </w:r>
            <w:r w:rsidR="00D371AC" w:rsidRPr="00F23DCE">
              <w:rPr>
                <w:sz w:val="18"/>
                <w:szCs w:val="18"/>
                <w:lang w:val="en-GB"/>
              </w:rPr>
              <w:t>tockholm</w:t>
            </w:r>
            <w:r w:rsidRPr="00F23DCE">
              <w:rPr>
                <w:sz w:val="18"/>
                <w:szCs w:val="18"/>
                <w:lang w:val="en-GB"/>
              </w:rPr>
              <w:t xml:space="preserve"> conventions entitled “Interlinkages between the chemicals and waste multilateral environmental agreements and biodiversity”</w:t>
            </w:r>
          </w:p>
        </w:tc>
      </w:tr>
      <w:tr w:rsidR="00B86283" w:rsidRPr="00F23DCE" w14:paraId="4316FD30" w14:textId="77777777" w:rsidTr="000D72CF">
        <w:trPr>
          <w:trHeight w:val="57"/>
          <w:jc w:val="right"/>
        </w:trPr>
        <w:tc>
          <w:tcPr>
            <w:tcW w:w="2628" w:type="dxa"/>
          </w:tcPr>
          <w:p w14:paraId="6F8D759E"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UNEP/MC/COP.4/INF/14</w:t>
            </w:r>
          </w:p>
        </w:tc>
        <w:tc>
          <w:tcPr>
            <w:tcW w:w="1341" w:type="dxa"/>
          </w:tcPr>
          <w:p w14:paraId="20E6120E" w14:textId="77777777" w:rsidR="00B86283" w:rsidRPr="00F23DCE" w:rsidRDefault="00B86283" w:rsidP="005B5CA6">
            <w:pPr>
              <w:pStyle w:val="Normal-pool"/>
              <w:spacing w:before="40" w:after="40"/>
              <w:rPr>
                <w:sz w:val="18"/>
                <w:szCs w:val="18"/>
                <w:lang w:val="en-GB"/>
              </w:rPr>
            </w:pPr>
            <w:r w:rsidRPr="00F23DCE">
              <w:rPr>
                <w:sz w:val="18"/>
                <w:szCs w:val="18"/>
                <w:lang w:val="en-GB"/>
              </w:rPr>
              <w:t>5</w:t>
            </w:r>
          </w:p>
        </w:tc>
        <w:tc>
          <w:tcPr>
            <w:tcW w:w="4338" w:type="dxa"/>
          </w:tcPr>
          <w:p w14:paraId="354F6D0B" w14:textId="727B5D64" w:rsidR="00B86283" w:rsidRPr="00F23DCE" w:rsidRDefault="00B86283" w:rsidP="005B5CA6">
            <w:pPr>
              <w:pStyle w:val="Normal-pool"/>
              <w:spacing w:before="40" w:after="40"/>
              <w:rPr>
                <w:sz w:val="18"/>
                <w:szCs w:val="18"/>
                <w:lang w:val="en-GB"/>
              </w:rPr>
            </w:pPr>
            <w:r w:rsidRPr="00F23DCE">
              <w:rPr>
                <w:sz w:val="18"/>
                <w:szCs w:val="18"/>
                <w:lang w:val="en-GB"/>
              </w:rPr>
              <w:t xml:space="preserve">Joint </w:t>
            </w:r>
            <w:r w:rsidR="00D371AC" w:rsidRPr="00F23DCE">
              <w:rPr>
                <w:sz w:val="18"/>
                <w:szCs w:val="18"/>
                <w:lang w:val="en-GB"/>
              </w:rPr>
              <w:t xml:space="preserve">study by the secretariats of the </w:t>
            </w:r>
            <w:r w:rsidRPr="00F23DCE">
              <w:rPr>
                <w:sz w:val="18"/>
                <w:szCs w:val="18"/>
                <w:lang w:val="en-GB"/>
              </w:rPr>
              <w:t xml:space="preserve">Minamata </w:t>
            </w:r>
            <w:r w:rsidR="00D371AC" w:rsidRPr="00F23DCE">
              <w:rPr>
                <w:sz w:val="18"/>
                <w:szCs w:val="18"/>
                <w:lang w:val="en-GB"/>
              </w:rPr>
              <w:t>Convention on Mercury and of the</w:t>
            </w:r>
            <w:r w:rsidRPr="00F23DCE">
              <w:rPr>
                <w:sz w:val="18"/>
                <w:szCs w:val="18"/>
                <w:lang w:val="en-GB"/>
              </w:rPr>
              <w:t xml:space="preserve"> B</w:t>
            </w:r>
            <w:r w:rsidR="00D371AC" w:rsidRPr="00F23DCE">
              <w:rPr>
                <w:sz w:val="18"/>
                <w:szCs w:val="18"/>
                <w:lang w:val="en-GB"/>
              </w:rPr>
              <w:t xml:space="preserve">asel, </w:t>
            </w:r>
            <w:r w:rsidRPr="00F23DCE">
              <w:rPr>
                <w:sz w:val="18"/>
                <w:szCs w:val="18"/>
                <w:lang w:val="en-GB"/>
              </w:rPr>
              <w:t>R</w:t>
            </w:r>
            <w:r w:rsidR="00D371AC" w:rsidRPr="00F23DCE">
              <w:rPr>
                <w:sz w:val="18"/>
                <w:szCs w:val="18"/>
                <w:lang w:val="en-GB"/>
              </w:rPr>
              <w:t xml:space="preserve">otterdam and </w:t>
            </w:r>
            <w:r w:rsidRPr="00F23DCE">
              <w:rPr>
                <w:sz w:val="18"/>
                <w:szCs w:val="18"/>
                <w:lang w:val="en-GB"/>
              </w:rPr>
              <w:t>S</w:t>
            </w:r>
            <w:r w:rsidR="00D371AC" w:rsidRPr="00F23DCE">
              <w:rPr>
                <w:sz w:val="18"/>
                <w:szCs w:val="18"/>
                <w:lang w:val="en-GB"/>
              </w:rPr>
              <w:t>tockholm</w:t>
            </w:r>
            <w:r w:rsidRPr="00F23DCE">
              <w:rPr>
                <w:sz w:val="18"/>
                <w:szCs w:val="18"/>
                <w:lang w:val="en-GB"/>
              </w:rPr>
              <w:t xml:space="preserve"> conventions entitled “Chemicals, wastes and climate change interlinkages and potential for coordinated action”</w:t>
            </w:r>
          </w:p>
        </w:tc>
      </w:tr>
      <w:tr w:rsidR="00B86283" w:rsidRPr="00F23DCE" w14:paraId="39174040" w14:textId="77777777" w:rsidTr="000D72CF">
        <w:trPr>
          <w:trHeight w:val="57"/>
          <w:jc w:val="right"/>
        </w:trPr>
        <w:tc>
          <w:tcPr>
            <w:tcW w:w="2628" w:type="dxa"/>
          </w:tcPr>
          <w:p w14:paraId="63FBEB22"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UNEP/MC/COP.4/INF/15</w:t>
            </w:r>
          </w:p>
        </w:tc>
        <w:tc>
          <w:tcPr>
            <w:tcW w:w="1341" w:type="dxa"/>
          </w:tcPr>
          <w:p w14:paraId="5278693E" w14:textId="77777777" w:rsidR="00B86283" w:rsidRPr="00F23DCE" w:rsidRDefault="00B86283" w:rsidP="005B5CA6">
            <w:pPr>
              <w:pStyle w:val="Normal-pool"/>
              <w:spacing w:before="40" w:after="40"/>
              <w:rPr>
                <w:sz w:val="18"/>
                <w:szCs w:val="18"/>
                <w:lang w:val="en-GB"/>
              </w:rPr>
            </w:pPr>
            <w:r w:rsidRPr="00F23DCE">
              <w:rPr>
                <w:sz w:val="18"/>
                <w:szCs w:val="18"/>
                <w:lang w:val="en-GB"/>
              </w:rPr>
              <w:t>5</w:t>
            </w:r>
          </w:p>
        </w:tc>
        <w:tc>
          <w:tcPr>
            <w:tcW w:w="4338" w:type="dxa"/>
          </w:tcPr>
          <w:p w14:paraId="706A4CF5" w14:textId="77777777" w:rsidR="00B86283" w:rsidRPr="00F23DCE" w:rsidRDefault="00B86283" w:rsidP="005B5CA6">
            <w:pPr>
              <w:pStyle w:val="Normal-pool"/>
              <w:spacing w:before="40" w:after="40"/>
              <w:rPr>
                <w:sz w:val="18"/>
                <w:szCs w:val="18"/>
                <w:lang w:val="en-GB"/>
              </w:rPr>
            </w:pPr>
            <w:r w:rsidRPr="00F23DCE">
              <w:rPr>
                <w:sz w:val="18"/>
                <w:szCs w:val="18"/>
                <w:lang w:val="en-GB"/>
              </w:rPr>
              <w:t>Report of the Executive Director of the United Nations Environment Programme to the Conference of the Parties to the Minamata Convention on Mercury at its fourth meeting</w:t>
            </w:r>
          </w:p>
        </w:tc>
      </w:tr>
      <w:tr w:rsidR="00B86283" w:rsidRPr="00F23DCE" w14:paraId="119D5805" w14:textId="77777777" w:rsidTr="000D72CF">
        <w:trPr>
          <w:trHeight w:val="57"/>
          <w:jc w:val="right"/>
        </w:trPr>
        <w:tc>
          <w:tcPr>
            <w:tcW w:w="2628" w:type="dxa"/>
          </w:tcPr>
          <w:p w14:paraId="4C08AACB"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UNEP/MC/COP.4/INF/16</w:t>
            </w:r>
          </w:p>
        </w:tc>
        <w:tc>
          <w:tcPr>
            <w:tcW w:w="1341" w:type="dxa"/>
          </w:tcPr>
          <w:p w14:paraId="038D1BE5" w14:textId="77777777" w:rsidR="00B86283" w:rsidRPr="00F23DCE" w:rsidRDefault="00B86283" w:rsidP="005B5CA6">
            <w:pPr>
              <w:pStyle w:val="Normal-pool"/>
              <w:spacing w:before="40" w:after="40"/>
              <w:rPr>
                <w:sz w:val="18"/>
                <w:szCs w:val="18"/>
                <w:lang w:val="en-GB"/>
              </w:rPr>
            </w:pPr>
            <w:r w:rsidRPr="00F23DCE">
              <w:rPr>
                <w:sz w:val="18"/>
                <w:szCs w:val="18"/>
                <w:lang w:val="en-GB"/>
              </w:rPr>
              <w:t>5</w:t>
            </w:r>
          </w:p>
        </w:tc>
        <w:tc>
          <w:tcPr>
            <w:tcW w:w="4338" w:type="dxa"/>
          </w:tcPr>
          <w:p w14:paraId="5773D41E" w14:textId="77777777" w:rsidR="00B86283" w:rsidRPr="00F23DCE" w:rsidRDefault="00B86283" w:rsidP="005B5CA6">
            <w:pPr>
              <w:pStyle w:val="Normal-pool"/>
              <w:spacing w:before="40" w:after="40"/>
              <w:rPr>
                <w:sz w:val="18"/>
                <w:szCs w:val="18"/>
                <w:lang w:val="en-GB"/>
              </w:rPr>
            </w:pPr>
            <w:r w:rsidRPr="00F23DCE">
              <w:rPr>
                <w:sz w:val="18"/>
                <w:szCs w:val="18"/>
                <w:lang w:val="en-GB"/>
              </w:rPr>
              <w:t>Report on activities undertaken within the Global Mercury Partnership of the United Nations Environment Programme</w:t>
            </w:r>
          </w:p>
        </w:tc>
      </w:tr>
      <w:tr w:rsidR="00B86283" w:rsidRPr="00F23DCE" w14:paraId="5EA80FC0" w14:textId="77777777" w:rsidTr="000D72CF">
        <w:trPr>
          <w:trHeight w:val="57"/>
          <w:jc w:val="right"/>
        </w:trPr>
        <w:tc>
          <w:tcPr>
            <w:tcW w:w="2628" w:type="dxa"/>
            <w:shd w:val="clear" w:color="auto" w:fill="auto"/>
          </w:tcPr>
          <w:p w14:paraId="5C46787A"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UNEP/MC/COP.4/INF/17</w:t>
            </w:r>
          </w:p>
        </w:tc>
        <w:tc>
          <w:tcPr>
            <w:tcW w:w="1341" w:type="dxa"/>
            <w:shd w:val="clear" w:color="auto" w:fill="auto"/>
          </w:tcPr>
          <w:p w14:paraId="1688D729" w14:textId="77777777" w:rsidR="00B86283" w:rsidRPr="00F23DCE" w:rsidRDefault="00B86283" w:rsidP="005B5CA6">
            <w:pPr>
              <w:pStyle w:val="Normal-pool"/>
              <w:spacing w:before="40" w:after="40"/>
              <w:rPr>
                <w:sz w:val="18"/>
                <w:szCs w:val="18"/>
                <w:lang w:val="en-GB"/>
              </w:rPr>
            </w:pPr>
            <w:r w:rsidRPr="00F23DCE">
              <w:rPr>
                <w:sz w:val="18"/>
                <w:szCs w:val="18"/>
                <w:lang w:val="en-GB"/>
              </w:rPr>
              <w:t>5</w:t>
            </w:r>
          </w:p>
        </w:tc>
        <w:tc>
          <w:tcPr>
            <w:tcW w:w="4338" w:type="dxa"/>
            <w:shd w:val="clear" w:color="auto" w:fill="auto"/>
          </w:tcPr>
          <w:p w14:paraId="1AB2F685" w14:textId="77777777" w:rsidR="00B86283" w:rsidRPr="00F23DCE" w:rsidRDefault="00B86283" w:rsidP="005B5CA6">
            <w:pPr>
              <w:pStyle w:val="Normal-pool"/>
              <w:spacing w:before="40" w:after="40"/>
              <w:rPr>
                <w:sz w:val="18"/>
                <w:szCs w:val="18"/>
                <w:lang w:val="en-GB"/>
              </w:rPr>
            </w:pPr>
            <w:r w:rsidRPr="00F23DCE">
              <w:rPr>
                <w:sz w:val="18"/>
                <w:szCs w:val="18"/>
                <w:lang w:val="en-GB"/>
              </w:rPr>
              <w:t>Joint report on cooperation and coordination between the secretariats of the Minamata Convention on Mercury and of the Basel, Rotterdam and Stockholm conventions</w:t>
            </w:r>
          </w:p>
        </w:tc>
      </w:tr>
      <w:tr w:rsidR="00B86283" w:rsidRPr="00F23DCE" w14:paraId="6A1FC1C3" w14:textId="77777777" w:rsidTr="000D72CF">
        <w:trPr>
          <w:trHeight w:val="57"/>
          <w:jc w:val="right"/>
        </w:trPr>
        <w:tc>
          <w:tcPr>
            <w:tcW w:w="2628" w:type="dxa"/>
            <w:shd w:val="clear" w:color="auto" w:fill="auto"/>
          </w:tcPr>
          <w:p w14:paraId="707124DE"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UNEP/MC/COP.4/INF/18</w:t>
            </w:r>
          </w:p>
        </w:tc>
        <w:tc>
          <w:tcPr>
            <w:tcW w:w="1341" w:type="dxa"/>
            <w:shd w:val="clear" w:color="auto" w:fill="auto"/>
          </w:tcPr>
          <w:p w14:paraId="3FA05CF9" w14:textId="77777777" w:rsidR="00B86283" w:rsidRPr="00F23DCE" w:rsidRDefault="00B86283" w:rsidP="005B5CA6">
            <w:pPr>
              <w:pStyle w:val="Normal-pool"/>
              <w:spacing w:before="40" w:after="40"/>
              <w:rPr>
                <w:sz w:val="18"/>
                <w:szCs w:val="18"/>
                <w:lang w:val="en-GB"/>
              </w:rPr>
            </w:pPr>
            <w:r w:rsidRPr="00F23DCE">
              <w:rPr>
                <w:sz w:val="18"/>
                <w:szCs w:val="18"/>
                <w:lang w:val="en-GB"/>
              </w:rPr>
              <w:t>5</w:t>
            </w:r>
          </w:p>
        </w:tc>
        <w:tc>
          <w:tcPr>
            <w:tcW w:w="4338" w:type="dxa"/>
            <w:shd w:val="clear" w:color="auto" w:fill="auto"/>
          </w:tcPr>
          <w:p w14:paraId="061B8DE8" w14:textId="77777777" w:rsidR="00B86283" w:rsidRPr="00F23DCE" w:rsidRDefault="00B86283" w:rsidP="005B5CA6">
            <w:pPr>
              <w:pStyle w:val="Normal-pool"/>
              <w:spacing w:before="40" w:after="40"/>
              <w:rPr>
                <w:sz w:val="18"/>
                <w:szCs w:val="18"/>
                <w:lang w:val="en-GB"/>
              </w:rPr>
            </w:pPr>
            <w:bookmarkStart w:id="0" w:name="_Hlk80244129"/>
            <w:r w:rsidRPr="00F23DCE">
              <w:rPr>
                <w:sz w:val="18"/>
                <w:szCs w:val="18"/>
                <w:lang w:val="en-GB"/>
              </w:rPr>
              <w:t>Report on cooperative activities with the World Health Organization and the International Labour Organization</w:t>
            </w:r>
            <w:bookmarkEnd w:id="0"/>
          </w:p>
        </w:tc>
      </w:tr>
      <w:tr w:rsidR="00B86283" w:rsidRPr="00F23DCE" w14:paraId="0E30A3D9" w14:textId="77777777" w:rsidTr="000D72CF">
        <w:trPr>
          <w:trHeight w:val="57"/>
          <w:jc w:val="right"/>
        </w:trPr>
        <w:tc>
          <w:tcPr>
            <w:tcW w:w="2628" w:type="dxa"/>
            <w:shd w:val="clear" w:color="auto" w:fill="auto"/>
          </w:tcPr>
          <w:p w14:paraId="5F5956CA"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UNEP/MC/COP.4/INF/19</w:t>
            </w:r>
          </w:p>
        </w:tc>
        <w:tc>
          <w:tcPr>
            <w:tcW w:w="1341" w:type="dxa"/>
            <w:shd w:val="clear" w:color="auto" w:fill="auto"/>
          </w:tcPr>
          <w:p w14:paraId="01637461" w14:textId="77777777" w:rsidR="00B86283" w:rsidRPr="00F23DCE" w:rsidRDefault="00B86283" w:rsidP="005B5CA6">
            <w:pPr>
              <w:pStyle w:val="Normal-pool"/>
              <w:spacing w:before="40" w:after="40"/>
              <w:rPr>
                <w:sz w:val="18"/>
                <w:szCs w:val="18"/>
                <w:lang w:val="en-GB"/>
              </w:rPr>
            </w:pPr>
            <w:r w:rsidRPr="00F23DCE">
              <w:rPr>
                <w:sz w:val="18"/>
                <w:szCs w:val="18"/>
                <w:lang w:val="en-GB"/>
              </w:rPr>
              <w:t>5</w:t>
            </w:r>
          </w:p>
        </w:tc>
        <w:tc>
          <w:tcPr>
            <w:tcW w:w="4338" w:type="dxa"/>
            <w:shd w:val="clear" w:color="auto" w:fill="auto"/>
          </w:tcPr>
          <w:p w14:paraId="5F745D6A" w14:textId="77777777" w:rsidR="00B86283" w:rsidRPr="00F23DCE" w:rsidRDefault="00B86283" w:rsidP="005B5CA6">
            <w:pPr>
              <w:pStyle w:val="Normal-pool"/>
              <w:spacing w:before="40" w:after="40"/>
              <w:rPr>
                <w:sz w:val="18"/>
                <w:szCs w:val="18"/>
                <w:lang w:val="en-GB"/>
              </w:rPr>
            </w:pPr>
            <w:r w:rsidRPr="00F23DCE">
              <w:rPr>
                <w:sz w:val="18"/>
                <w:szCs w:val="18"/>
                <w:lang w:val="en-GB"/>
              </w:rPr>
              <w:t>Report on the activities on mercury of relevant international bodies</w:t>
            </w:r>
          </w:p>
        </w:tc>
      </w:tr>
      <w:tr w:rsidR="00B86283" w:rsidRPr="00F23DCE" w14:paraId="6D8D316E" w14:textId="77777777" w:rsidTr="000D72CF">
        <w:trPr>
          <w:trHeight w:val="57"/>
          <w:jc w:val="right"/>
        </w:trPr>
        <w:tc>
          <w:tcPr>
            <w:tcW w:w="2628" w:type="dxa"/>
          </w:tcPr>
          <w:p w14:paraId="7B0A6FD4" w14:textId="77777777" w:rsidR="00B86283" w:rsidRPr="00F23DCE" w:rsidRDefault="00B86283" w:rsidP="005B5CA6">
            <w:pPr>
              <w:pStyle w:val="Normal-pool"/>
              <w:spacing w:before="40" w:after="40"/>
              <w:rPr>
                <w:sz w:val="18"/>
                <w:szCs w:val="18"/>
                <w:lang w:val="en-GB"/>
              </w:rPr>
            </w:pPr>
            <w:r w:rsidRPr="00F23DCE">
              <w:rPr>
                <w:sz w:val="18"/>
                <w:szCs w:val="18"/>
                <w:lang w:val="en-GB"/>
              </w:rPr>
              <w:lastRenderedPageBreak/>
              <w:t>UNEP/MC/COP.4/INF/20</w:t>
            </w:r>
          </w:p>
        </w:tc>
        <w:tc>
          <w:tcPr>
            <w:tcW w:w="1341" w:type="dxa"/>
          </w:tcPr>
          <w:p w14:paraId="5A711A77" w14:textId="77777777" w:rsidR="00B86283" w:rsidRPr="00F23DCE" w:rsidRDefault="00B86283" w:rsidP="005B5CA6">
            <w:pPr>
              <w:pStyle w:val="Normal-pool"/>
              <w:spacing w:before="40" w:after="40"/>
              <w:rPr>
                <w:sz w:val="18"/>
                <w:szCs w:val="18"/>
                <w:lang w:val="en-GB"/>
              </w:rPr>
            </w:pPr>
            <w:r w:rsidRPr="00F23DCE">
              <w:rPr>
                <w:sz w:val="18"/>
                <w:szCs w:val="18"/>
                <w:lang w:val="en-GB"/>
              </w:rPr>
              <w:t>5</w:t>
            </w:r>
          </w:p>
        </w:tc>
        <w:tc>
          <w:tcPr>
            <w:tcW w:w="4338" w:type="dxa"/>
          </w:tcPr>
          <w:p w14:paraId="40112A36" w14:textId="7C3C10C5" w:rsidR="00B86283" w:rsidRPr="00F23DCE" w:rsidRDefault="00B86283" w:rsidP="005B5CA6">
            <w:pPr>
              <w:pStyle w:val="Normal-pool"/>
              <w:spacing w:before="40" w:after="40"/>
              <w:rPr>
                <w:sz w:val="18"/>
                <w:szCs w:val="18"/>
                <w:lang w:val="en-GB"/>
              </w:rPr>
            </w:pPr>
            <w:r w:rsidRPr="00F23DCE">
              <w:rPr>
                <w:sz w:val="18"/>
                <w:szCs w:val="18"/>
                <w:lang w:val="en-GB"/>
              </w:rPr>
              <w:t xml:space="preserve">Update on </w:t>
            </w:r>
            <w:r w:rsidR="00D371AC" w:rsidRPr="00F23DCE">
              <w:rPr>
                <w:sz w:val="18"/>
                <w:szCs w:val="18"/>
                <w:lang w:val="en-GB"/>
              </w:rPr>
              <w:t xml:space="preserve">the </w:t>
            </w:r>
            <w:r w:rsidRPr="00F23DCE">
              <w:rPr>
                <w:sz w:val="18"/>
                <w:szCs w:val="18"/>
                <w:lang w:val="en-GB"/>
              </w:rPr>
              <w:t>S</w:t>
            </w:r>
            <w:r w:rsidR="00D371AC" w:rsidRPr="00F23DCE">
              <w:rPr>
                <w:sz w:val="18"/>
                <w:szCs w:val="18"/>
                <w:lang w:val="en-GB"/>
              </w:rPr>
              <w:t xml:space="preserve">trategic </w:t>
            </w:r>
            <w:r w:rsidRPr="00F23DCE">
              <w:rPr>
                <w:sz w:val="18"/>
                <w:szCs w:val="18"/>
                <w:lang w:val="en-GB"/>
              </w:rPr>
              <w:t>A</w:t>
            </w:r>
            <w:r w:rsidR="00D371AC" w:rsidRPr="00F23DCE">
              <w:rPr>
                <w:sz w:val="18"/>
                <w:szCs w:val="18"/>
                <w:lang w:val="en-GB"/>
              </w:rPr>
              <w:t xml:space="preserve">pproach to </w:t>
            </w:r>
            <w:r w:rsidRPr="00F23DCE">
              <w:rPr>
                <w:sz w:val="18"/>
                <w:szCs w:val="18"/>
                <w:lang w:val="en-GB"/>
              </w:rPr>
              <w:t>I</w:t>
            </w:r>
            <w:r w:rsidR="00D371AC" w:rsidRPr="00F23DCE">
              <w:rPr>
                <w:sz w:val="18"/>
                <w:szCs w:val="18"/>
                <w:lang w:val="en-GB"/>
              </w:rPr>
              <w:t xml:space="preserve">nternational </w:t>
            </w:r>
            <w:r w:rsidRPr="00F23DCE">
              <w:rPr>
                <w:sz w:val="18"/>
                <w:szCs w:val="18"/>
                <w:lang w:val="en-GB"/>
              </w:rPr>
              <w:t>C</w:t>
            </w:r>
            <w:r w:rsidR="00D371AC" w:rsidRPr="00F23DCE">
              <w:rPr>
                <w:sz w:val="18"/>
                <w:szCs w:val="18"/>
                <w:lang w:val="en-GB"/>
              </w:rPr>
              <w:t xml:space="preserve">hemicals </w:t>
            </w:r>
            <w:r w:rsidRPr="00F23DCE">
              <w:rPr>
                <w:sz w:val="18"/>
                <w:szCs w:val="18"/>
                <w:lang w:val="en-GB"/>
              </w:rPr>
              <w:t>M</w:t>
            </w:r>
            <w:r w:rsidR="00D371AC" w:rsidRPr="00F23DCE">
              <w:rPr>
                <w:sz w:val="18"/>
                <w:szCs w:val="18"/>
                <w:lang w:val="en-GB"/>
              </w:rPr>
              <w:t>anagement</w:t>
            </w:r>
            <w:r w:rsidRPr="00F23DCE">
              <w:rPr>
                <w:sz w:val="18"/>
                <w:szCs w:val="18"/>
                <w:lang w:val="en-GB"/>
              </w:rPr>
              <w:t xml:space="preserve"> and the intersessional process considering the Strategic Approach and the sound management of chemicals and waste beyond 2020</w:t>
            </w:r>
          </w:p>
        </w:tc>
      </w:tr>
      <w:tr w:rsidR="00B86283" w:rsidRPr="00F23DCE" w14:paraId="3CBF1725" w14:textId="77777777" w:rsidTr="000D72CF">
        <w:trPr>
          <w:trHeight w:val="57"/>
          <w:jc w:val="right"/>
        </w:trPr>
        <w:tc>
          <w:tcPr>
            <w:tcW w:w="2628" w:type="dxa"/>
          </w:tcPr>
          <w:p w14:paraId="5CAE44AB"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UNEP/MC/COP.4/INF/21</w:t>
            </w:r>
          </w:p>
        </w:tc>
        <w:tc>
          <w:tcPr>
            <w:tcW w:w="1341" w:type="dxa"/>
          </w:tcPr>
          <w:p w14:paraId="248D29C4" w14:textId="77777777" w:rsidR="00B86283" w:rsidRPr="00F23DCE" w:rsidRDefault="00B86283" w:rsidP="005B5CA6">
            <w:pPr>
              <w:pStyle w:val="Normal-pool"/>
              <w:spacing w:before="40" w:after="40"/>
              <w:rPr>
                <w:sz w:val="18"/>
                <w:szCs w:val="18"/>
                <w:lang w:val="en-GB"/>
              </w:rPr>
            </w:pPr>
            <w:r w:rsidRPr="00F23DCE">
              <w:rPr>
                <w:sz w:val="18"/>
                <w:szCs w:val="18"/>
                <w:lang w:val="en-GB"/>
              </w:rPr>
              <w:t>6</w:t>
            </w:r>
          </w:p>
        </w:tc>
        <w:tc>
          <w:tcPr>
            <w:tcW w:w="4338" w:type="dxa"/>
          </w:tcPr>
          <w:p w14:paraId="56880F48" w14:textId="77777777" w:rsidR="00B86283" w:rsidRPr="00F23DCE" w:rsidRDefault="00B86283" w:rsidP="005B5CA6">
            <w:pPr>
              <w:pStyle w:val="Normal-pool"/>
              <w:spacing w:before="40" w:after="40"/>
              <w:rPr>
                <w:sz w:val="18"/>
                <w:szCs w:val="18"/>
                <w:lang w:val="en-GB"/>
              </w:rPr>
            </w:pPr>
            <w:r w:rsidRPr="00F23DCE">
              <w:rPr>
                <w:sz w:val="18"/>
                <w:szCs w:val="18"/>
                <w:lang w:val="en-GB"/>
              </w:rPr>
              <w:t>Information on financial matters</w:t>
            </w:r>
          </w:p>
        </w:tc>
      </w:tr>
      <w:tr w:rsidR="00B86283" w:rsidRPr="00F23DCE" w14:paraId="6F385C9E" w14:textId="77777777" w:rsidTr="000D72CF">
        <w:trPr>
          <w:trHeight w:val="57"/>
          <w:jc w:val="right"/>
        </w:trPr>
        <w:tc>
          <w:tcPr>
            <w:tcW w:w="2628" w:type="dxa"/>
          </w:tcPr>
          <w:p w14:paraId="09E7C60E"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UNEP/MC/COP.4/INF/22</w:t>
            </w:r>
          </w:p>
        </w:tc>
        <w:tc>
          <w:tcPr>
            <w:tcW w:w="1341" w:type="dxa"/>
          </w:tcPr>
          <w:p w14:paraId="1BA5B1DF" w14:textId="77777777" w:rsidR="00B86283" w:rsidRPr="00F23DCE" w:rsidRDefault="00B86283" w:rsidP="005B5CA6">
            <w:pPr>
              <w:pStyle w:val="Normal-pool"/>
              <w:spacing w:before="40" w:after="40"/>
              <w:rPr>
                <w:sz w:val="18"/>
                <w:szCs w:val="18"/>
                <w:lang w:val="en-GB"/>
              </w:rPr>
            </w:pPr>
            <w:r w:rsidRPr="00F23DCE">
              <w:rPr>
                <w:sz w:val="18"/>
                <w:szCs w:val="18"/>
                <w:lang w:val="en-GB"/>
              </w:rPr>
              <w:t>6</w:t>
            </w:r>
          </w:p>
        </w:tc>
        <w:tc>
          <w:tcPr>
            <w:tcW w:w="4338" w:type="dxa"/>
          </w:tcPr>
          <w:p w14:paraId="3EA586FD" w14:textId="2F25FCEA" w:rsidR="00B86283" w:rsidRPr="00F23DCE" w:rsidRDefault="00B86283" w:rsidP="005B5CA6">
            <w:pPr>
              <w:pStyle w:val="Normal-pool"/>
              <w:spacing w:before="40" w:after="40"/>
              <w:rPr>
                <w:sz w:val="18"/>
                <w:szCs w:val="18"/>
                <w:lang w:val="en-GB"/>
              </w:rPr>
            </w:pPr>
            <w:r w:rsidRPr="00F23DCE">
              <w:rPr>
                <w:sz w:val="18"/>
                <w:szCs w:val="18"/>
                <w:lang w:val="en-GB"/>
              </w:rPr>
              <w:t xml:space="preserve">Programme of work and budget for the biennium </w:t>
            </w:r>
            <w:r w:rsidR="00100E06" w:rsidRPr="00F23DCE">
              <w:rPr>
                <w:sz w:val="18"/>
                <w:szCs w:val="18"/>
                <w:lang w:val="en-GB"/>
              </w:rPr>
              <w:br/>
            </w:r>
            <w:r w:rsidRPr="00F23DCE">
              <w:rPr>
                <w:sz w:val="18"/>
                <w:szCs w:val="18"/>
                <w:lang w:val="en-GB"/>
              </w:rPr>
              <w:t>2022</w:t>
            </w:r>
            <w:r w:rsidR="00141022" w:rsidRPr="00F23DCE">
              <w:rPr>
                <w:sz w:val="18"/>
                <w:szCs w:val="18"/>
                <w:lang w:val="en-GB"/>
              </w:rPr>
              <w:t>–</w:t>
            </w:r>
            <w:r w:rsidRPr="00F23DCE">
              <w:rPr>
                <w:sz w:val="18"/>
                <w:szCs w:val="18"/>
                <w:lang w:val="en-GB"/>
              </w:rPr>
              <w:t>2023: budget activity fact sheets</w:t>
            </w:r>
          </w:p>
        </w:tc>
      </w:tr>
      <w:tr w:rsidR="00B86283" w:rsidRPr="00F23DCE" w14:paraId="6E002E8A" w14:textId="77777777" w:rsidTr="000D72CF">
        <w:trPr>
          <w:trHeight w:val="57"/>
          <w:jc w:val="right"/>
        </w:trPr>
        <w:tc>
          <w:tcPr>
            <w:tcW w:w="2628" w:type="dxa"/>
            <w:shd w:val="clear" w:color="auto" w:fill="auto"/>
          </w:tcPr>
          <w:p w14:paraId="604608E4"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UNEP/MC/COP.4/INF/23</w:t>
            </w:r>
          </w:p>
        </w:tc>
        <w:tc>
          <w:tcPr>
            <w:tcW w:w="1341" w:type="dxa"/>
            <w:shd w:val="clear" w:color="auto" w:fill="auto"/>
          </w:tcPr>
          <w:p w14:paraId="79CFF774" w14:textId="77777777" w:rsidR="00B86283" w:rsidRPr="00F23DCE" w:rsidRDefault="00B86283" w:rsidP="005B5CA6">
            <w:pPr>
              <w:pStyle w:val="Normal-pool"/>
              <w:spacing w:before="40" w:after="40"/>
              <w:rPr>
                <w:sz w:val="18"/>
                <w:szCs w:val="18"/>
                <w:lang w:val="en-GB"/>
              </w:rPr>
            </w:pPr>
            <w:r w:rsidRPr="00F23DCE">
              <w:rPr>
                <w:sz w:val="18"/>
                <w:szCs w:val="18"/>
                <w:lang w:val="en-GB"/>
              </w:rPr>
              <w:t>4 (f)</w:t>
            </w:r>
          </w:p>
        </w:tc>
        <w:tc>
          <w:tcPr>
            <w:tcW w:w="4338" w:type="dxa"/>
            <w:shd w:val="clear" w:color="auto" w:fill="auto"/>
          </w:tcPr>
          <w:p w14:paraId="3A551B2C" w14:textId="75B73E76" w:rsidR="00B86283" w:rsidRPr="00F23DCE" w:rsidRDefault="00B86283" w:rsidP="005B5CA6">
            <w:pPr>
              <w:pStyle w:val="Normal-pool"/>
              <w:spacing w:before="40" w:after="40"/>
              <w:rPr>
                <w:sz w:val="18"/>
                <w:szCs w:val="18"/>
                <w:lang w:val="en-GB"/>
              </w:rPr>
            </w:pPr>
            <w:r w:rsidRPr="00F23DCE">
              <w:rPr>
                <w:sz w:val="18"/>
                <w:szCs w:val="18"/>
                <w:lang w:val="en-GB"/>
              </w:rPr>
              <w:t>Compilation of submission</w:t>
            </w:r>
            <w:r w:rsidR="003227CD" w:rsidRPr="00F23DCE">
              <w:rPr>
                <w:sz w:val="18"/>
                <w:szCs w:val="18"/>
                <w:lang w:val="en-GB"/>
              </w:rPr>
              <w:t>s</w:t>
            </w:r>
            <w:r w:rsidRPr="00F23DCE">
              <w:rPr>
                <w:sz w:val="18"/>
                <w:szCs w:val="18"/>
                <w:lang w:val="en-GB"/>
              </w:rPr>
              <w:t xml:space="preserve"> on </w:t>
            </w:r>
            <w:r w:rsidR="003227CD" w:rsidRPr="00F23DCE">
              <w:rPr>
                <w:sz w:val="18"/>
                <w:szCs w:val="18"/>
                <w:lang w:val="en-GB"/>
              </w:rPr>
              <w:t>c</w:t>
            </w:r>
            <w:r w:rsidRPr="00F23DCE">
              <w:rPr>
                <w:sz w:val="18"/>
                <w:szCs w:val="18"/>
                <w:lang w:val="en-GB"/>
              </w:rPr>
              <w:t>apacity-building, technical assistance, and technology transfer</w:t>
            </w:r>
          </w:p>
        </w:tc>
      </w:tr>
      <w:tr w:rsidR="00B86283" w:rsidRPr="00F23DCE" w14:paraId="5FBDADB4" w14:textId="77777777" w:rsidTr="00B86283">
        <w:trPr>
          <w:trHeight w:val="57"/>
          <w:jc w:val="right"/>
        </w:trPr>
        <w:tc>
          <w:tcPr>
            <w:tcW w:w="2628" w:type="dxa"/>
            <w:shd w:val="clear" w:color="auto" w:fill="auto"/>
          </w:tcPr>
          <w:p w14:paraId="18064FE2"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UNEP/MC/COP.4/INF/24</w:t>
            </w:r>
          </w:p>
        </w:tc>
        <w:tc>
          <w:tcPr>
            <w:tcW w:w="1341" w:type="dxa"/>
            <w:shd w:val="clear" w:color="auto" w:fill="auto"/>
          </w:tcPr>
          <w:p w14:paraId="45334C5F" w14:textId="0BCA8E9D" w:rsidR="00B86283" w:rsidRPr="00F23DCE" w:rsidRDefault="00C4255A" w:rsidP="005B5CA6">
            <w:pPr>
              <w:pStyle w:val="Normal-pool"/>
              <w:spacing w:before="40" w:after="40"/>
              <w:rPr>
                <w:sz w:val="18"/>
                <w:szCs w:val="18"/>
                <w:lang w:val="en-GB"/>
              </w:rPr>
            </w:pPr>
            <w:r w:rsidRPr="00F23DCE">
              <w:rPr>
                <w:sz w:val="18"/>
                <w:szCs w:val="18"/>
                <w:lang w:val="en-GB"/>
              </w:rPr>
              <w:t>4 (d)</w:t>
            </w:r>
          </w:p>
        </w:tc>
        <w:tc>
          <w:tcPr>
            <w:tcW w:w="4338" w:type="dxa"/>
            <w:shd w:val="clear" w:color="auto" w:fill="auto"/>
          </w:tcPr>
          <w:p w14:paraId="5C05A5FC" w14:textId="11E41FB8" w:rsidR="00B86283" w:rsidRPr="00F23DCE" w:rsidRDefault="00362921" w:rsidP="005B5CA6">
            <w:pPr>
              <w:pStyle w:val="Normal-pool"/>
              <w:spacing w:before="40" w:after="40"/>
              <w:rPr>
                <w:sz w:val="18"/>
                <w:szCs w:val="18"/>
                <w:lang w:val="en-GB"/>
              </w:rPr>
            </w:pPr>
            <w:r w:rsidRPr="00F23DCE">
              <w:rPr>
                <w:sz w:val="18"/>
                <w:szCs w:val="18"/>
                <w:lang w:val="en-GB"/>
              </w:rPr>
              <w:t>T</w:t>
            </w:r>
            <w:r w:rsidR="00B86283" w:rsidRPr="00F23DCE">
              <w:rPr>
                <w:sz w:val="18"/>
                <w:szCs w:val="18"/>
                <w:lang w:val="en-GB"/>
              </w:rPr>
              <w:t>echnical guidelines on the environmentally sound management of wastes consisting of, containing or contaminated with mercury or mercury compounds</w:t>
            </w:r>
          </w:p>
        </w:tc>
      </w:tr>
      <w:tr w:rsidR="00B86283" w:rsidRPr="00F23DCE" w14:paraId="26DF0AC4" w14:textId="77777777" w:rsidTr="000D72CF">
        <w:trPr>
          <w:trHeight w:val="57"/>
          <w:jc w:val="right"/>
        </w:trPr>
        <w:tc>
          <w:tcPr>
            <w:tcW w:w="2628" w:type="dxa"/>
            <w:shd w:val="clear" w:color="auto" w:fill="auto"/>
          </w:tcPr>
          <w:p w14:paraId="0ABDC795"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UNEP/MC/COP.4/INF/25</w:t>
            </w:r>
          </w:p>
        </w:tc>
        <w:tc>
          <w:tcPr>
            <w:tcW w:w="1341" w:type="dxa"/>
            <w:shd w:val="clear" w:color="auto" w:fill="auto"/>
          </w:tcPr>
          <w:p w14:paraId="2D9E55E7" w14:textId="77A1A125" w:rsidR="00B86283" w:rsidRPr="00F23DCE" w:rsidRDefault="00B86283" w:rsidP="005B5CA6">
            <w:pPr>
              <w:pStyle w:val="Normal-pool"/>
              <w:spacing w:before="40" w:after="40"/>
              <w:rPr>
                <w:sz w:val="18"/>
                <w:szCs w:val="18"/>
                <w:lang w:val="en-GB"/>
              </w:rPr>
            </w:pPr>
            <w:r w:rsidRPr="00F23DCE">
              <w:rPr>
                <w:sz w:val="18"/>
                <w:szCs w:val="18"/>
                <w:lang w:val="en-GB"/>
              </w:rPr>
              <w:t>4 (</w:t>
            </w:r>
            <w:r w:rsidR="00C4255A" w:rsidRPr="00F23DCE">
              <w:rPr>
                <w:sz w:val="18"/>
                <w:szCs w:val="18"/>
                <w:lang w:val="en-GB"/>
              </w:rPr>
              <w:t>i</w:t>
            </w:r>
            <w:r w:rsidRPr="00F23DCE">
              <w:rPr>
                <w:sz w:val="18"/>
                <w:szCs w:val="18"/>
                <w:lang w:val="en-GB"/>
              </w:rPr>
              <w:t>)</w:t>
            </w:r>
          </w:p>
        </w:tc>
        <w:tc>
          <w:tcPr>
            <w:tcW w:w="4338" w:type="dxa"/>
            <w:shd w:val="clear" w:color="auto" w:fill="auto"/>
          </w:tcPr>
          <w:p w14:paraId="2E52504B" w14:textId="6DA2D6A2" w:rsidR="00B86283" w:rsidRPr="00F23DCE" w:rsidRDefault="00B86283" w:rsidP="005B5CA6">
            <w:pPr>
              <w:pStyle w:val="Normal-pool"/>
              <w:spacing w:before="40" w:after="40"/>
              <w:rPr>
                <w:sz w:val="18"/>
                <w:szCs w:val="18"/>
                <w:lang w:val="en-GB"/>
              </w:rPr>
            </w:pPr>
            <w:r w:rsidRPr="00F23DCE">
              <w:rPr>
                <w:sz w:val="18"/>
                <w:szCs w:val="18"/>
                <w:lang w:val="en-GB"/>
              </w:rPr>
              <w:t xml:space="preserve">Supplementary </w:t>
            </w:r>
            <w:r w:rsidR="000550A1">
              <w:rPr>
                <w:sz w:val="18"/>
                <w:szCs w:val="18"/>
                <w:lang w:val="en-GB"/>
              </w:rPr>
              <w:t>material</w:t>
            </w:r>
            <w:r w:rsidR="00593093">
              <w:rPr>
                <w:sz w:val="18"/>
                <w:szCs w:val="18"/>
                <w:lang w:val="en-GB"/>
              </w:rPr>
              <w:t xml:space="preserve"> to the</w:t>
            </w:r>
            <w:r w:rsidRPr="00F23DCE">
              <w:rPr>
                <w:sz w:val="18"/>
                <w:szCs w:val="18"/>
                <w:lang w:val="en-GB"/>
              </w:rPr>
              <w:t xml:space="preserve"> </w:t>
            </w:r>
            <w:r w:rsidR="00866DDF" w:rsidRPr="00F23DCE">
              <w:rPr>
                <w:sz w:val="18"/>
                <w:szCs w:val="18"/>
                <w:lang w:val="en-GB"/>
              </w:rPr>
              <w:t>g</w:t>
            </w:r>
            <w:r w:rsidRPr="00F23DCE">
              <w:rPr>
                <w:sz w:val="18"/>
                <w:szCs w:val="18"/>
                <w:lang w:val="en-GB"/>
              </w:rPr>
              <w:t xml:space="preserve">uidance on monitoring of mercury and mercury compounds to support </w:t>
            </w:r>
            <w:r w:rsidR="00450407">
              <w:rPr>
                <w:sz w:val="18"/>
                <w:szCs w:val="18"/>
                <w:lang w:val="en-GB"/>
              </w:rPr>
              <w:t xml:space="preserve">the </w:t>
            </w:r>
            <w:r w:rsidR="00FA03FF">
              <w:rPr>
                <w:sz w:val="18"/>
                <w:szCs w:val="18"/>
                <w:lang w:val="en-GB"/>
              </w:rPr>
              <w:t>evaluation of</w:t>
            </w:r>
            <w:r w:rsidR="00EE1F86">
              <w:rPr>
                <w:sz w:val="18"/>
                <w:szCs w:val="18"/>
                <w:lang w:val="en-GB"/>
              </w:rPr>
              <w:t xml:space="preserve"> </w:t>
            </w:r>
            <w:r w:rsidRPr="00F23DCE">
              <w:rPr>
                <w:sz w:val="18"/>
                <w:szCs w:val="18"/>
                <w:lang w:val="en-GB"/>
              </w:rPr>
              <w:t>the effectiveness of the Minamata Convention</w:t>
            </w:r>
          </w:p>
        </w:tc>
      </w:tr>
      <w:tr w:rsidR="00B86283" w:rsidRPr="00F23DCE" w14:paraId="597F102D" w14:textId="77777777" w:rsidTr="000D72CF">
        <w:trPr>
          <w:trHeight w:val="57"/>
          <w:jc w:val="right"/>
        </w:trPr>
        <w:tc>
          <w:tcPr>
            <w:tcW w:w="2628" w:type="dxa"/>
            <w:shd w:val="clear" w:color="auto" w:fill="auto"/>
          </w:tcPr>
          <w:p w14:paraId="55ACB98C" w14:textId="77777777" w:rsidR="00B86283" w:rsidRPr="00F23DCE" w:rsidRDefault="00B86283" w:rsidP="005B5CA6">
            <w:pPr>
              <w:pStyle w:val="Normal-pool"/>
              <w:spacing w:before="40" w:after="40"/>
              <w:rPr>
                <w:sz w:val="18"/>
                <w:szCs w:val="18"/>
                <w:highlight w:val="yellow"/>
                <w:lang w:val="en-GB"/>
              </w:rPr>
            </w:pPr>
            <w:r w:rsidRPr="00F23DCE">
              <w:rPr>
                <w:sz w:val="18"/>
                <w:szCs w:val="18"/>
                <w:lang w:val="en-GB"/>
              </w:rPr>
              <w:t>UNEP/MC/COP.4/INF/26</w:t>
            </w:r>
          </w:p>
        </w:tc>
        <w:tc>
          <w:tcPr>
            <w:tcW w:w="1341" w:type="dxa"/>
            <w:shd w:val="clear" w:color="auto" w:fill="auto"/>
          </w:tcPr>
          <w:p w14:paraId="5E57207A" w14:textId="77777777" w:rsidR="00B86283" w:rsidRPr="00F23DCE" w:rsidRDefault="00B86283" w:rsidP="005B5CA6">
            <w:pPr>
              <w:pStyle w:val="Normal-pool"/>
              <w:spacing w:before="40" w:after="40"/>
              <w:rPr>
                <w:sz w:val="18"/>
                <w:szCs w:val="18"/>
                <w:lang w:val="en-GB"/>
              </w:rPr>
            </w:pPr>
            <w:r w:rsidRPr="00F23DCE">
              <w:rPr>
                <w:sz w:val="18"/>
                <w:szCs w:val="18"/>
                <w:lang w:val="en-GB"/>
              </w:rPr>
              <w:t>4 (a) (ii)</w:t>
            </w:r>
          </w:p>
        </w:tc>
        <w:tc>
          <w:tcPr>
            <w:tcW w:w="4338" w:type="dxa"/>
            <w:shd w:val="clear" w:color="auto" w:fill="auto"/>
          </w:tcPr>
          <w:p w14:paraId="4F85C262" w14:textId="77777777" w:rsidR="00B86283" w:rsidRPr="00F23DCE" w:rsidRDefault="00B86283" w:rsidP="005B5CA6">
            <w:pPr>
              <w:pStyle w:val="Normal-pool"/>
              <w:spacing w:before="40" w:after="40"/>
              <w:rPr>
                <w:sz w:val="18"/>
                <w:szCs w:val="18"/>
                <w:highlight w:val="yellow"/>
                <w:lang w:val="en-GB"/>
              </w:rPr>
            </w:pPr>
            <w:r w:rsidRPr="00F23DCE">
              <w:rPr>
                <w:sz w:val="18"/>
                <w:szCs w:val="18"/>
                <w:lang w:val="en-GB"/>
              </w:rPr>
              <w:t>Dental amalgam: information from the World Health Organization</w:t>
            </w:r>
          </w:p>
        </w:tc>
      </w:tr>
      <w:tr w:rsidR="00B86283" w:rsidRPr="00F23DCE" w14:paraId="70DA798D" w14:textId="77777777" w:rsidTr="00D52FD0">
        <w:trPr>
          <w:trHeight w:val="57"/>
          <w:jc w:val="right"/>
        </w:trPr>
        <w:tc>
          <w:tcPr>
            <w:tcW w:w="2628" w:type="dxa"/>
            <w:shd w:val="clear" w:color="auto" w:fill="auto"/>
          </w:tcPr>
          <w:p w14:paraId="7A9C81BC"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UNEP/MC/COP.4/INF/27</w:t>
            </w:r>
          </w:p>
        </w:tc>
        <w:tc>
          <w:tcPr>
            <w:tcW w:w="1341" w:type="dxa"/>
            <w:shd w:val="clear" w:color="auto" w:fill="auto"/>
          </w:tcPr>
          <w:p w14:paraId="6129FF02" w14:textId="77777777" w:rsidR="00B86283" w:rsidRPr="00F23DCE" w:rsidRDefault="00B86283" w:rsidP="005B5CA6">
            <w:pPr>
              <w:pStyle w:val="Normal-pool"/>
              <w:spacing w:before="40" w:after="40"/>
              <w:rPr>
                <w:sz w:val="18"/>
                <w:szCs w:val="18"/>
                <w:lang w:val="en-GB"/>
              </w:rPr>
            </w:pPr>
            <w:r w:rsidRPr="00F23DCE">
              <w:rPr>
                <w:sz w:val="18"/>
                <w:szCs w:val="18"/>
                <w:lang w:val="en-GB"/>
              </w:rPr>
              <w:t>4 (d)</w:t>
            </w:r>
          </w:p>
        </w:tc>
        <w:tc>
          <w:tcPr>
            <w:tcW w:w="4338" w:type="dxa"/>
            <w:shd w:val="clear" w:color="auto" w:fill="auto"/>
          </w:tcPr>
          <w:p w14:paraId="2328D75B" w14:textId="77777777" w:rsidR="00B86283" w:rsidRPr="00F23DCE" w:rsidRDefault="00B86283" w:rsidP="005B5CA6">
            <w:pPr>
              <w:pStyle w:val="Normal-pool"/>
              <w:spacing w:before="40" w:after="40"/>
              <w:rPr>
                <w:sz w:val="18"/>
                <w:szCs w:val="18"/>
                <w:lang w:val="en-GB"/>
              </w:rPr>
            </w:pPr>
            <w:r w:rsidRPr="00F23DCE">
              <w:rPr>
                <w:sz w:val="18"/>
                <w:szCs w:val="18"/>
                <w:lang w:val="en-GB"/>
              </w:rPr>
              <w:t>Report on intersessional work on mercury waste: additional technical information</w:t>
            </w:r>
          </w:p>
        </w:tc>
      </w:tr>
      <w:tr w:rsidR="00B86283" w:rsidRPr="00F23DCE" w14:paraId="27798CEC" w14:textId="77777777" w:rsidTr="00D52FD0">
        <w:trPr>
          <w:trHeight w:val="57"/>
          <w:jc w:val="right"/>
        </w:trPr>
        <w:tc>
          <w:tcPr>
            <w:tcW w:w="2628" w:type="dxa"/>
            <w:tcBorders>
              <w:bottom w:val="single" w:sz="12" w:space="0" w:color="auto"/>
            </w:tcBorders>
            <w:shd w:val="clear" w:color="auto" w:fill="auto"/>
          </w:tcPr>
          <w:p w14:paraId="0875F89B" w14:textId="77777777" w:rsidR="00B86283" w:rsidRPr="00F23DCE" w:rsidRDefault="00B86283" w:rsidP="005B5CA6">
            <w:pPr>
              <w:pStyle w:val="Normal-pool"/>
              <w:spacing w:before="40" w:after="40"/>
              <w:rPr>
                <w:sz w:val="18"/>
                <w:szCs w:val="18"/>
                <w:lang w:val="en-GB"/>
              </w:rPr>
            </w:pPr>
            <w:r w:rsidRPr="00F23DCE">
              <w:rPr>
                <w:sz w:val="18"/>
                <w:szCs w:val="18"/>
                <w:lang w:val="en-GB"/>
              </w:rPr>
              <w:t>UNEP/MC/COP.4/INF/28</w:t>
            </w:r>
          </w:p>
        </w:tc>
        <w:tc>
          <w:tcPr>
            <w:tcW w:w="1341" w:type="dxa"/>
            <w:tcBorders>
              <w:bottom w:val="single" w:sz="12" w:space="0" w:color="auto"/>
            </w:tcBorders>
            <w:shd w:val="clear" w:color="auto" w:fill="auto"/>
          </w:tcPr>
          <w:p w14:paraId="30CF18D1" w14:textId="77777777" w:rsidR="00B86283" w:rsidRPr="00F23DCE" w:rsidRDefault="00B86283" w:rsidP="005B5CA6">
            <w:pPr>
              <w:pStyle w:val="Normal-pool"/>
              <w:spacing w:before="40" w:after="40"/>
              <w:rPr>
                <w:sz w:val="18"/>
                <w:szCs w:val="18"/>
                <w:lang w:val="en-GB"/>
              </w:rPr>
            </w:pPr>
            <w:r w:rsidRPr="00F23DCE">
              <w:rPr>
                <w:sz w:val="18"/>
                <w:szCs w:val="18"/>
                <w:lang w:val="en-GB"/>
              </w:rPr>
              <w:t>2</w:t>
            </w:r>
          </w:p>
        </w:tc>
        <w:tc>
          <w:tcPr>
            <w:tcW w:w="4338" w:type="dxa"/>
            <w:tcBorders>
              <w:bottom w:val="single" w:sz="12" w:space="0" w:color="auto"/>
            </w:tcBorders>
            <w:shd w:val="clear" w:color="auto" w:fill="auto"/>
          </w:tcPr>
          <w:p w14:paraId="13F7E0D8" w14:textId="0FB0717E" w:rsidR="00B86283" w:rsidRPr="00F23DCE" w:rsidRDefault="00B86283" w:rsidP="005B5CA6">
            <w:pPr>
              <w:pStyle w:val="Normal-pool"/>
              <w:spacing w:before="40" w:after="40"/>
              <w:rPr>
                <w:sz w:val="18"/>
                <w:szCs w:val="18"/>
                <w:lang w:val="en-GB"/>
              </w:rPr>
            </w:pPr>
            <w:r w:rsidRPr="00F23DCE">
              <w:rPr>
                <w:sz w:val="18"/>
                <w:szCs w:val="18"/>
                <w:lang w:val="en-GB"/>
              </w:rPr>
              <w:t xml:space="preserve">Admission of </w:t>
            </w:r>
            <w:r w:rsidR="00866DDF" w:rsidRPr="00F23DCE">
              <w:rPr>
                <w:sz w:val="18"/>
                <w:szCs w:val="18"/>
                <w:lang w:val="en-GB"/>
              </w:rPr>
              <w:t>o</w:t>
            </w:r>
            <w:r w:rsidRPr="00F23DCE">
              <w:rPr>
                <w:sz w:val="18"/>
                <w:szCs w:val="18"/>
                <w:lang w:val="en-GB"/>
              </w:rPr>
              <w:t>bservers</w:t>
            </w:r>
          </w:p>
        </w:tc>
      </w:tr>
    </w:tbl>
    <w:p w14:paraId="33CCA9FB" w14:textId="64220611" w:rsidR="00796B51" w:rsidRPr="00F23DCE" w:rsidRDefault="00796B51" w:rsidP="00D52FD0">
      <w:pPr>
        <w:pStyle w:val="Normal-pool"/>
        <w:rPr>
          <w:sz w:val="2"/>
          <w:szCs w:val="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D52FD0" w:rsidRPr="00F23DCE" w14:paraId="1AAB8F1A" w14:textId="77777777" w:rsidTr="00D52FD0">
        <w:tc>
          <w:tcPr>
            <w:tcW w:w="1897" w:type="dxa"/>
          </w:tcPr>
          <w:p w14:paraId="7192ED0F" w14:textId="77777777" w:rsidR="00D52FD0" w:rsidRPr="00F23DCE" w:rsidRDefault="00D52FD0" w:rsidP="00D52FD0">
            <w:pPr>
              <w:pStyle w:val="Normal-pool"/>
              <w:spacing w:before="520"/>
              <w:rPr>
                <w:lang w:val="en-GB"/>
              </w:rPr>
            </w:pPr>
          </w:p>
        </w:tc>
        <w:tc>
          <w:tcPr>
            <w:tcW w:w="1897" w:type="dxa"/>
          </w:tcPr>
          <w:p w14:paraId="2C9D5D86" w14:textId="77777777" w:rsidR="00D52FD0" w:rsidRPr="00F23DCE" w:rsidRDefault="00D52FD0" w:rsidP="00D52FD0">
            <w:pPr>
              <w:pStyle w:val="Normal-pool"/>
              <w:spacing w:before="520"/>
              <w:rPr>
                <w:lang w:val="en-GB"/>
              </w:rPr>
            </w:pPr>
          </w:p>
        </w:tc>
        <w:tc>
          <w:tcPr>
            <w:tcW w:w="1897" w:type="dxa"/>
            <w:tcBorders>
              <w:bottom w:val="single" w:sz="4" w:space="0" w:color="auto"/>
            </w:tcBorders>
          </w:tcPr>
          <w:p w14:paraId="2C19A7EF" w14:textId="77777777" w:rsidR="00D52FD0" w:rsidRPr="00F23DCE" w:rsidRDefault="00D52FD0" w:rsidP="00D52FD0">
            <w:pPr>
              <w:pStyle w:val="Normal-pool"/>
              <w:spacing w:before="520"/>
              <w:rPr>
                <w:lang w:val="en-GB"/>
              </w:rPr>
            </w:pPr>
          </w:p>
        </w:tc>
        <w:tc>
          <w:tcPr>
            <w:tcW w:w="1897" w:type="dxa"/>
          </w:tcPr>
          <w:p w14:paraId="6F4C55E3" w14:textId="77777777" w:rsidR="00D52FD0" w:rsidRPr="00F23DCE" w:rsidRDefault="00D52FD0" w:rsidP="00D52FD0">
            <w:pPr>
              <w:pStyle w:val="Normal-pool"/>
              <w:spacing w:before="520"/>
              <w:rPr>
                <w:lang w:val="en-GB"/>
              </w:rPr>
            </w:pPr>
          </w:p>
        </w:tc>
        <w:tc>
          <w:tcPr>
            <w:tcW w:w="1898" w:type="dxa"/>
          </w:tcPr>
          <w:p w14:paraId="5E87CC0A" w14:textId="77777777" w:rsidR="00D52FD0" w:rsidRPr="00F23DCE" w:rsidRDefault="00D52FD0" w:rsidP="00D52FD0">
            <w:pPr>
              <w:pStyle w:val="Normal-pool"/>
              <w:spacing w:before="520"/>
              <w:rPr>
                <w:lang w:val="en-GB"/>
              </w:rPr>
            </w:pPr>
          </w:p>
        </w:tc>
      </w:tr>
    </w:tbl>
    <w:p w14:paraId="084FB908" w14:textId="77777777" w:rsidR="00D52FD0" w:rsidRPr="00F23DCE" w:rsidRDefault="00D52FD0" w:rsidP="00D52FD0">
      <w:pPr>
        <w:pStyle w:val="Normal-pool"/>
        <w:rPr>
          <w:lang w:val="en-GB"/>
        </w:rPr>
      </w:pPr>
    </w:p>
    <w:sectPr w:rsidR="00D52FD0" w:rsidRPr="00F23DCE" w:rsidSect="00796B51">
      <w:footnotePr>
        <w:numRestart w:val="eachSect"/>
      </w:footnotePr>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4882" w14:textId="77777777" w:rsidR="00B02574" w:rsidRDefault="00B02574">
      <w:r>
        <w:separator/>
      </w:r>
    </w:p>
  </w:endnote>
  <w:endnote w:type="continuationSeparator" w:id="0">
    <w:p w14:paraId="59A54866" w14:textId="77777777" w:rsidR="00B02574" w:rsidRDefault="00B02574">
      <w:r>
        <w:continuationSeparator/>
      </w:r>
    </w:p>
  </w:endnote>
  <w:endnote w:type="continuationNotice" w:id="1">
    <w:p w14:paraId="43F94981" w14:textId="77777777" w:rsidR="00B02574" w:rsidRDefault="00B02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D3DD" w14:textId="23093753" w:rsidR="00123699" w:rsidRPr="00796B51" w:rsidRDefault="00123699" w:rsidP="00796B51">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B600D5">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F039" w14:textId="0AF8EE01" w:rsidR="00123699" w:rsidRPr="0015442E" w:rsidRDefault="00123699" w:rsidP="00796B51">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B600D5">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6FB3" w14:textId="2C228079" w:rsidR="0015442E" w:rsidRDefault="00BB4679" w:rsidP="0015442E">
    <w:pPr>
      <w:pStyle w:val="Normal-pool"/>
    </w:pPr>
    <w:r>
      <w:t>K2200385</w:t>
    </w:r>
    <w:r>
      <w:tab/>
    </w:r>
    <w:r w:rsidR="00C84138">
      <w:t>03</w:t>
    </w:r>
    <w:r w:rsidR="00BC4A40">
      <w:t>0</w:t>
    </w:r>
    <w:r w:rsidR="00C84138">
      <w:t>2</w:t>
    </w:r>
    <w:r w:rsidR="00BC4A40">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58D1" w14:textId="77777777" w:rsidR="00B02574" w:rsidRPr="00302C25" w:rsidRDefault="00B02574" w:rsidP="00302C25">
      <w:pPr>
        <w:pStyle w:val="Normal-pool"/>
        <w:tabs>
          <w:tab w:val="clear" w:pos="1247"/>
          <w:tab w:val="clear" w:pos="1814"/>
          <w:tab w:val="clear" w:pos="2381"/>
          <w:tab w:val="clear" w:pos="2948"/>
          <w:tab w:val="clear" w:pos="3515"/>
          <w:tab w:val="clear" w:pos="4082"/>
          <w:tab w:val="left" w:pos="624"/>
        </w:tabs>
        <w:spacing w:before="60"/>
        <w:ind w:left="624"/>
        <w:rPr>
          <w:sz w:val="18"/>
          <w:szCs w:val="18"/>
        </w:rPr>
      </w:pPr>
      <w:r w:rsidRPr="00302C25">
        <w:rPr>
          <w:sz w:val="18"/>
          <w:szCs w:val="18"/>
        </w:rPr>
        <w:separator/>
      </w:r>
    </w:p>
  </w:footnote>
  <w:footnote w:type="continuationSeparator" w:id="0">
    <w:p w14:paraId="5E102B20" w14:textId="77777777" w:rsidR="00B02574" w:rsidRDefault="00B02574">
      <w:r>
        <w:continuationSeparator/>
      </w:r>
    </w:p>
  </w:footnote>
  <w:footnote w:type="continuationNotice" w:id="1">
    <w:p w14:paraId="71089D49" w14:textId="77777777" w:rsidR="00B02574" w:rsidRDefault="00B02574"/>
  </w:footnote>
  <w:footnote w:id="2">
    <w:p w14:paraId="74B10594" w14:textId="4B20517B" w:rsidR="00BB4679" w:rsidRPr="007F3A22" w:rsidRDefault="00BB4679" w:rsidP="007F3A22">
      <w:pPr>
        <w:pStyle w:val="FootnoteText"/>
        <w:tabs>
          <w:tab w:val="clear" w:pos="1247"/>
          <w:tab w:val="clear" w:pos="1814"/>
          <w:tab w:val="clear" w:pos="2381"/>
          <w:tab w:val="clear" w:pos="2948"/>
          <w:tab w:val="clear" w:pos="3515"/>
          <w:tab w:val="clear" w:pos="4082"/>
          <w:tab w:val="left" w:pos="624"/>
        </w:tabs>
        <w:rPr>
          <w:szCs w:val="18"/>
          <w:lang w:val="en-GB"/>
        </w:rPr>
      </w:pPr>
      <w:r w:rsidRPr="007F3A22">
        <w:rPr>
          <w:rStyle w:val="FootnoteReference"/>
          <w:sz w:val="18"/>
          <w:vertAlign w:val="baseline"/>
        </w:rPr>
        <w:footnoteRef/>
      </w:r>
      <w:r w:rsidRPr="007F3A22">
        <w:rPr>
          <w:szCs w:val="18"/>
          <w:lang w:val="en-GB"/>
        </w:rPr>
        <w:t xml:space="preserve"> UNEP/MC/COP.4/1.</w:t>
      </w:r>
    </w:p>
  </w:footnote>
  <w:footnote w:id="3">
    <w:p w14:paraId="2D158857" w14:textId="44E3F9B5" w:rsidR="00377A5B" w:rsidRPr="007F3A22" w:rsidRDefault="00377A5B" w:rsidP="007F3A22">
      <w:pPr>
        <w:pStyle w:val="FootnoteText"/>
        <w:tabs>
          <w:tab w:val="clear" w:pos="1247"/>
          <w:tab w:val="clear" w:pos="1814"/>
          <w:tab w:val="clear" w:pos="2381"/>
          <w:tab w:val="clear" w:pos="2948"/>
          <w:tab w:val="clear" w:pos="3515"/>
          <w:tab w:val="clear" w:pos="4082"/>
          <w:tab w:val="left" w:pos="624"/>
        </w:tabs>
        <w:rPr>
          <w:szCs w:val="18"/>
          <w:lang w:val="en-GB"/>
        </w:rPr>
      </w:pPr>
      <w:r w:rsidRPr="007F3A22">
        <w:rPr>
          <w:rStyle w:val="FootnoteReference"/>
          <w:sz w:val="18"/>
        </w:rPr>
        <w:footnoteRef/>
      </w:r>
      <w:r w:rsidRPr="007F3A22">
        <w:rPr>
          <w:szCs w:val="18"/>
          <w:lang w:val="en-GB"/>
        </w:rPr>
        <w:t xml:space="preserve"> </w:t>
      </w:r>
      <w:r w:rsidR="00FE78F1" w:rsidRPr="007F3A22">
        <w:rPr>
          <w:szCs w:val="18"/>
          <w:lang w:val="en-GB"/>
        </w:rPr>
        <w:t>UNEP/MC/COP.4/28 contains the proceedings of the first segment</w:t>
      </w:r>
      <w:r w:rsidR="008B162C" w:rsidRPr="007F3A22">
        <w:rPr>
          <w:szCs w:val="18"/>
          <w:lang w:val="en-GB"/>
        </w:rPr>
        <w:t>, held</w:t>
      </w:r>
      <w:r w:rsidR="00FE78F1" w:rsidRPr="007F3A22">
        <w:rPr>
          <w:szCs w:val="18"/>
          <w:lang w:val="en-GB"/>
        </w:rPr>
        <w:t xml:space="preserve"> online from 1 to 5 November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78E0" w14:textId="0A53656B" w:rsidR="00123699" w:rsidRPr="00F96910" w:rsidRDefault="00B86283" w:rsidP="00796B51">
    <w:pPr>
      <w:pStyle w:val="Header-pool"/>
    </w:pPr>
    <w:r w:rsidRPr="0049194C">
      <w:rPr>
        <w:bCs/>
        <w:szCs w:val="18"/>
      </w:rPr>
      <w:t>UNEP/</w:t>
    </w:r>
    <w:r w:rsidRPr="0049194C">
      <w:rPr>
        <w:szCs w:val="18"/>
      </w:rPr>
      <w:t>MC/COP.</w:t>
    </w:r>
    <w:r>
      <w:rPr>
        <w:szCs w:val="18"/>
      </w:rPr>
      <w:t>4</w:t>
    </w:r>
    <w:r w:rsidRPr="0049194C">
      <w:rPr>
        <w:szCs w:val="18"/>
      </w:rPr>
      <w:t>/INF/1</w:t>
    </w:r>
    <w:r w:rsidR="00705423">
      <w:rPr>
        <w:szCs w:val="18"/>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F0BD" w14:textId="3C666E79" w:rsidR="00123699" w:rsidRPr="00392F9C" w:rsidRDefault="00B86283" w:rsidP="00796B51">
    <w:pPr>
      <w:pStyle w:val="Header-pool"/>
      <w:jc w:val="right"/>
      <w:rPr>
        <w:szCs w:val="18"/>
      </w:rPr>
    </w:pPr>
    <w:r w:rsidRPr="0049194C">
      <w:rPr>
        <w:bCs/>
        <w:szCs w:val="18"/>
      </w:rPr>
      <w:t>UNEP/</w:t>
    </w:r>
    <w:r w:rsidRPr="0049194C">
      <w:rPr>
        <w:szCs w:val="18"/>
      </w:rPr>
      <w:t>MC/COP.</w:t>
    </w:r>
    <w:r>
      <w:rPr>
        <w:szCs w:val="18"/>
      </w:rPr>
      <w:t>4</w:t>
    </w:r>
    <w:r w:rsidRPr="0049194C">
      <w:rPr>
        <w:szCs w:val="18"/>
      </w:rPr>
      <w:t>/INF/1</w:t>
    </w:r>
    <w:r w:rsidR="00705423">
      <w:rPr>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3236" w14:textId="42852E70"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 w15:restartNumberingAfterBreak="0">
    <w:nsid w:val="52A66A9D"/>
    <w:multiLevelType w:val="multilevel"/>
    <w:tmpl w:val="C0FC335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num w:numId="1">
    <w:abstractNumId w:val="4"/>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
    <w:abstractNumId w:val="1"/>
  </w:num>
  <w:num w:numId="3">
    <w:abstractNumId w:val="2"/>
  </w:num>
  <w:num w:numId="4">
    <w:abstractNumId w:val="4"/>
  </w:num>
  <w:num w:numId="5">
    <w:abstractNumId w:val="3"/>
  </w:num>
  <w:num w:numId="6">
    <w:abstractNumId w:val="0"/>
  </w:num>
  <w:num w:numId="7">
    <w:abstractNumId w:val="4"/>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0" w:nlCheck="1" w:checkStyle="0"/>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fr-CA"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4097"/>
  </w:hdrShapeDefaults>
  <w:footnotePr>
    <w:numFmt w:val="chicago"/>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83"/>
    <w:rsid w:val="000149E6"/>
    <w:rsid w:val="00021A0E"/>
    <w:rsid w:val="000247B0"/>
    <w:rsid w:val="00026997"/>
    <w:rsid w:val="00033E0B"/>
    <w:rsid w:val="0003580E"/>
    <w:rsid w:val="00035EDE"/>
    <w:rsid w:val="0003670F"/>
    <w:rsid w:val="00041E38"/>
    <w:rsid w:val="00044340"/>
    <w:rsid w:val="000464B6"/>
    <w:rsid w:val="00046757"/>
    <w:rsid w:val="000509B4"/>
    <w:rsid w:val="000550A1"/>
    <w:rsid w:val="0006035B"/>
    <w:rsid w:val="00071886"/>
    <w:rsid w:val="000742BC"/>
    <w:rsid w:val="000749CE"/>
    <w:rsid w:val="00082033"/>
    <w:rsid w:val="00082A0C"/>
    <w:rsid w:val="00083504"/>
    <w:rsid w:val="000941E5"/>
    <w:rsid w:val="0009640C"/>
    <w:rsid w:val="000A717D"/>
    <w:rsid w:val="000B22A2"/>
    <w:rsid w:val="000C0F46"/>
    <w:rsid w:val="000C2A52"/>
    <w:rsid w:val="000D0733"/>
    <w:rsid w:val="000D33C0"/>
    <w:rsid w:val="000D6941"/>
    <w:rsid w:val="000D72CF"/>
    <w:rsid w:val="00100E06"/>
    <w:rsid w:val="001202E3"/>
    <w:rsid w:val="0012036F"/>
    <w:rsid w:val="00123699"/>
    <w:rsid w:val="0012644F"/>
    <w:rsid w:val="0013059D"/>
    <w:rsid w:val="00141022"/>
    <w:rsid w:val="00141A55"/>
    <w:rsid w:val="001446A3"/>
    <w:rsid w:val="00145960"/>
    <w:rsid w:val="0015442E"/>
    <w:rsid w:val="00155395"/>
    <w:rsid w:val="00160D74"/>
    <w:rsid w:val="001678F0"/>
    <w:rsid w:val="00167D02"/>
    <w:rsid w:val="00172652"/>
    <w:rsid w:val="00181EC8"/>
    <w:rsid w:val="00184349"/>
    <w:rsid w:val="00193DC9"/>
    <w:rsid w:val="00195E9F"/>
    <w:rsid w:val="00195F33"/>
    <w:rsid w:val="001B12D8"/>
    <w:rsid w:val="001B1617"/>
    <w:rsid w:val="001B37EC"/>
    <w:rsid w:val="001B504B"/>
    <w:rsid w:val="001B7D42"/>
    <w:rsid w:val="001D3874"/>
    <w:rsid w:val="001D7E75"/>
    <w:rsid w:val="001E0CE9"/>
    <w:rsid w:val="001E56D2"/>
    <w:rsid w:val="001E7D56"/>
    <w:rsid w:val="001F75DE"/>
    <w:rsid w:val="00200D58"/>
    <w:rsid w:val="002013BE"/>
    <w:rsid w:val="00202F7D"/>
    <w:rsid w:val="002063A4"/>
    <w:rsid w:val="0021145B"/>
    <w:rsid w:val="00221116"/>
    <w:rsid w:val="00234B59"/>
    <w:rsid w:val="00241C03"/>
    <w:rsid w:val="00243D36"/>
    <w:rsid w:val="00247707"/>
    <w:rsid w:val="00250B6D"/>
    <w:rsid w:val="00257655"/>
    <w:rsid w:val="0026018E"/>
    <w:rsid w:val="00260799"/>
    <w:rsid w:val="00262BB0"/>
    <w:rsid w:val="00266BD2"/>
    <w:rsid w:val="00275DA1"/>
    <w:rsid w:val="002768BA"/>
    <w:rsid w:val="00283CCF"/>
    <w:rsid w:val="00286740"/>
    <w:rsid w:val="00292089"/>
    <w:rsid w:val="002929D8"/>
    <w:rsid w:val="00296D9C"/>
    <w:rsid w:val="002A237D"/>
    <w:rsid w:val="002A4C53"/>
    <w:rsid w:val="002A645C"/>
    <w:rsid w:val="002A787B"/>
    <w:rsid w:val="002B0672"/>
    <w:rsid w:val="002B247F"/>
    <w:rsid w:val="002C145D"/>
    <w:rsid w:val="002C2C3E"/>
    <w:rsid w:val="002C533E"/>
    <w:rsid w:val="002D027F"/>
    <w:rsid w:val="002D7A85"/>
    <w:rsid w:val="002D7B60"/>
    <w:rsid w:val="002E66AF"/>
    <w:rsid w:val="002F4761"/>
    <w:rsid w:val="002F5C79"/>
    <w:rsid w:val="003019E2"/>
    <w:rsid w:val="00302C25"/>
    <w:rsid w:val="0031413F"/>
    <w:rsid w:val="003148BB"/>
    <w:rsid w:val="00317976"/>
    <w:rsid w:val="003227CD"/>
    <w:rsid w:val="00324B1A"/>
    <w:rsid w:val="003449CF"/>
    <w:rsid w:val="00355EA9"/>
    <w:rsid w:val="003578DE"/>
    <w:rsid w:val="00362047"/>
    <w:rsid w:val="00362921"/>
    <w:rsid w:val="0036669D"/>
    <w:rsid w:val="00370E51"/>
    <w:rsid w:val="00372781"/>
    <w:rsid w:val="00377A5B"/>
    <w:rsid w:val="00386AB0"/>
    <w:rsid w:val="0039169B"/>
    <w:rsid w:val="00392F9C"/>
    <w:rsid w:val="00396257"/>
    <w:rsid w:val="003963DF"/>
    <w:rsid w:val="00397EB8"/>
    <w:rsid w:val="003A1C5B"/>
    <w:rsid w:val="003A4FD0"/>
    <w:rsid w:val="003A69D1"/>
    <w:rsid w:val="003A7705"/>
    <w:rsid w:val="003A77F1"/>
    <w:rsid w:val="003A787A"/>
    <w:rsid w:val="003B1545"/>
    <w:rsid w:val="003B5FFF"/>
    <w:rsid w:val="003C409D"/>
    <w:rsid w:val="003C5BA6"/>
    <w:rsid w:val="003D104A"/>
    <w:rsid w:val="003E6F41"/>
    <w:rsid w:val="003E7DE3"/>
    <w:rsid w:val="003F06BB"/>
    <w:rsid w:val="003F0E85"/>
    <w:rsid w:val="003F0F5C"/>
    <w:rsid w:val="00410C55"/>
    <w:rsid w:val="00416854"/>
    <w:rsid w:val="00417725"/>
    <w:rsid w:val="0043203C"/>
    <w:rsid w:val="00437F26"/>
    <w:rsid w:val="00444097"/>
    <w:rsid w:val="00445487"/>
    <w:rsid w:val="00447BBB"/>
    <w:rsid w:val="00450407"/>
    <w:rsid w:val="00451A8E"/>
    <w:rsid w:val="00454769"/>
    <w:rsid w:val="00461739"/>
    <w:rsid w:val="00466991"/>
    <w:rsid w:val="0047064C"/>
    <w:rsid w:val="00471499"/>
    <w:rsid w:val="00473C16"/>
    <w:rsid w:val="004A42E1"/>
    <w:rsid w:val="004B162C"/>
    <w:rsid w:val="004B614E"/>
    <w:rsid w:val="004C3DBE"/>
    <w:rsid w:val="004C5C96"/>
    <w:rsid w:val="004D06A4"/>
    <w:rsid w:val="004D56E6"/>
    <w:rsid w:val="004E06B2"/>
    <w:rsid w:val="004E2CFA"/>
    <w:rsid w:val="004E44CF"/>
    <w:rsid w:val="004F1A81"/>
    <w:rsid w:val="004F2937"/>
    <w:rsid w:val="0050052E"/>
    <w:rsid w:val="005218D9"/>
    <w:rsid w:val="005257E5"/>
    <w:rsid w:val="00533D6A"/>
    <w:rsid w:val="00536186"/>
    <w:rsid w:val="005369CB"/>
    <w:rsid w:val="00541AAE"/>
    <w:rsid w:val="00544CBB"/>
    <w:rsid w:val="00551104"/>
    <w:rsid w:val="00561676"/>
    <w:rsid w:val="00566B59"/>
    <w:rsid w:val="00572DFD"/>
    <w:rsid w:val="0057315F"/>
    <w:rsid w:val="00576104"/>
    <w:rsid w:val="00593093"/>
    <w:rsid w:val="005B3EFF"/>
    <w:rsid w:val="005B42A6"/>
    <w:rsid w:val="005B5CA6"/>
    <w:rsid w:val="005C3287"/>
    <w:rsid w:val="005C38AA"/>
    <w:rsid w:val="005C3AD4"/>
    <w:rsid w:val="005C529A"/>
    <w:rsid w:val="005C67C8"/>
    <w:rsid w:val="005C7E4B"/>
    <w:rsid w:val="005D0249"/>
    <w:rsid w:val="005D1DA1"/>
    <w:rsid w:val="005D6E8C"/>
    <w:rsid w:val="005F100C"/>
    <w:rsid w:val="005F3333"/>
    <w:rsid w:val="005F68DA"/>
    <w:rsid w:val="005F6B6A"/>
    <w:rsid w:val="0060232D"/>
    <w:rsid w:val="0060773B"/>
    <w:rsid w:val="00611336"/>
    <w:rsid w:val="006157B5"/>
    <w:rsid w:val="00615D4E"/>
    <w:rsid w:val="00620672"/>
    <w:rsid w:val="0062265B"/>
    <w:rsid w:val="00622D02"/>
    <w:rsid w:val="00626FC6"/>
    <w:rsid w:val="006303B4"/>
    <w:rsid w:val="00633D3D"/>
    <w:rsid w:val="00641703"/>
    <w:rsid w:val="006431A6"/>
    <w:rsid w:val="006459F6"/>
    <w:rsid w:val="006501AD"/>
    <w:rsid w:val="00651BFA"/>
    <w:rsid w:val="006520E8"/>
    <w:rsid w:val="00654475"/>
    <w:rsid w:val="00665A4B"/>
    <w:rsid w:val="006717E6"/>
    <w:rsid w:val="00673665"/>
    <w:rsid w:val="00676DFD"/>
    <w:rsid w:val="00680611"/>
    <w:rsid w:val="00682EB3"/>
    <w:rsid w:val="00692E1C"/>
    <w:rsid w:val="00692E2A"/>
    <w:rsid w:val="006A0898"/>
    <w:rsid w:val="006A2B12"/>
    <w:rsid w:val="006A76F2"/>
    <w:rsid w:val="006B2C01"/>
    <w:rsid w:val="006B4B41"/>
    <w:rsid w:val="006B4B51"/>
    <w:rsid w:val="006B6CCC"/>
    <w:rsid w:val="006C4F0C"/>
    <w:rsid w:val="006D4F04"/>
    <w:rsid w:val="006D7EFB"/>
    <w:rsid w:val="006E6672"/>
    <w:rsid w:val="006E6722"/>
    <w:rsid w:val="006F5276"/>
    <w:rsid w:val="007027B9"/>
    <w:rsid w:val="00705423"/>
    <w:rsid w:val="00705436"/>
    <w:rsid w:val="00715E88"/>
    <w:rsid w:val="007204F0"/>
    <w:rsid w:val="0072353B"/>
    <w:rsid w:val="007262D0"/>
    <w:rsid w:val="007270BA"/>
    <w:rsid w:val="00733140"/>
    <w:rsid w:val="00734CAA"/>
    <w:rsid w:val="00741B20"/>
    <w:rsid w:val="00751150"/>
    <w:rsid w:val="0075533C"/>
    <w:rsid w:val="00757581"/>
    <w:rsid w:val="007611A0"/>
    <w:rsid w:val="0076147A"/>
    <w:rsid w:val="00762098"/>
    <w:rsid w:val="007828A5"/>
    <w:rsid w:val="007841F5"/>
    <w:rsid w:val="00791CF1"/>
    <w:rsid w:val="00795AF9"/>
    <w:rsid w:val="00796B51"/>
    <w:rsid w:val="00796D3F"/>
    <w:rsid w:val="007A1683"/>
    <w:rsid w:val="007A3B4C"/>
    <w:rsid w:val="007A5C12"/>
    <w:rsid w:val="007A7CB0"/>
    <w:rsid w:val="007B0A2F"/>
    <w:rsid w:val="007B24F8"/>
    <w:rsid w:val="007B68A3"/>
    <w:rsid w:val="007C2541"/>
    <w:rsid w:val="007C521D"/>
    <w:rsid w:val="007D15BC"/>
    <w:rsid w:val="007D66A8"/>
    <w:rsid w:val="007E003F"/>
    <w:rsid w:val="007F3A22"/>
    <w:rsid w:val="008054CB"/>
    <w:rsid w:val="008164F2"/>
    <w:rsid w:val="008201A2"/>
    <w:rsid w:val="00821395"/>
    <w:rsid w:val="00824FC7"/>
    <w:rsid w:val="00830E26"/>
    <w:rsid w:val="00840FAB"/>
    <w:rsid w:val="00843576"/>
    <w:rsid w:val="00843B64"/>
    <w:rsid w:val="00845A39"/>
    <w:rsid w:val="00847778"/>
    <w:rsid w:val="008478FC"/>
    <w:rsid w:val="00857ED2"/>
    <w:rsid w:val="00866DDF"/>
    <w:rsid w:val="00867B3C"/>
    <w:rsid w:val="00867BFF"/>
    <w:rsid w:val="00873240"/>
    <w:rsid w:val="0088480A"/>
    <w:rsid w:val="0088757A"/>
    <w:rsid w:val="008957DD"/>
    <w:rsid w:val="00897D98"/>
    <w:rsid w:val="008A23A9"/>
    <w:rsid w:val="008A3441"/>
    <w:rsid w:val="008A6DF2"/>
    <w:rsid w:val="008A7807"/>
    <w:rsid w:val="008B162C"/>
    <w:rsid w:val="008B276D"/>
    <w:rsid w:val="008B3873"/>
    <w:rsid w:val="008B4CC9"/>
    <w:rsid w:val="008D6B63"/>
    <w:rsid w:val="008D7C99"/>
    <w:rsid w:val="008E0FCB"/>
    <w:rsid w:val="008F0108"/>
    <w:rsid w:val="008F201B"/>
    <w:rsid w:val="008F5D00"/>
    <w:rsid w:val="00901DCD"/>
    <w:rsid w:val="0092178C"/>
    <w:rsid w:val="00922EF2"/>
    <w:rsid w:val="00930B88"/>
    <w:rsid w:val="00930E68"/>
    <w:rsid w:val="0094095A"/>
    <w:rsid w:val="00940DCC"/>
    <w:rsid w:val="0094179A"/>
    <w:rsid w:val="0094459E"/>
    <w:rsid w:val="00944DBC"/>
    <w:rsid w:val="009473C6"/>
    <w:rsid w:val="00950977"/>
    <w:rsid w:val="009509A7"/>
    <w:rsid w:val="00951A7B"/>
    <w:rsid w:val="009564A6"/>
    <w:rsid w:val="00962471"/>
    <w:rsid w:val="00963591"/>
    <w:rsid w:val="00967621"/>
    <w:rsid w:val="00967E6A"/>
    <w:rsid w:val="009818F9"/>
    <w:rsid w:val="00984069"/>
    <w:rsid w:val="009915BD"/>
    <w:rsid w:val="00992DE3"/>
    <w:rsid w:val="00997294"/>
    <w:rsid w:val="00997858"/>
    <w:rsid w:val="00997F1A"/>
    <w:rsid w:val="009A7CE1"/>
    <w:rsid w:val="009B4A0F"/>
    <w:rsid w:val="009C11D2"/>
    <w:rsid w:val="009C6C70"/>
    <w:rsid w:val="009D0B63"/>
    <w:rsid w:val="009D32B6"/>
    <w:rsid w:val="009D7B82"/>
    <w:rsid w:val="009E24BE"/>
    <w:rsid w:val="009E2F3F"/>
    <w:rsid w:val="009E307E"/>
    <w:rsid w:val="009F069B"/>
    <w:rsid w:val="009F6FF9"/>
    <w:rsid w:val="00A001C6"/>
    <w:rsid w:val="00A07870"/>
    <w:rsid w:val="00A07F19"/>
    <w:rsid w:val="00A11271"/>
    <w:rsid w:val="00A11B9F"/>
    <w:rsid w:val="00A1348D"/>
    <w:rsid w:val="00A142E9"/>
    <w:rsid w:val="00A160DA"/>
    <w:rsid w:val="00A16E70"/>
    <w:rsid w:val="00A232EE"/>
    <w:rsid w:val="00A32F74"/>
    <w:rsid w:val="00A344DF"/>
    <w:rsid w:val="00A3546E"/>
    <w:rsid w:val="00A35EA7"/>
    <w:rsid w:val="00A4175F"/>
    <w:rsid w:val="00A44411"/>
    <w:rsid w:val="00A469FA"/>
    <w:rsid w:val="00A55B01"/>
    <w:rsid w:val="00A56B5B"/>
    <w:rsid w:val="00A603FF"/>
    <w:rsid w:val="00A657DD"/>
    <w:rsid w:val="00A65BEC"/>
    <w:rsid w:val="00A666A6"/>
    <w:rsid w:val="00A675FD"/>
    <w:rsid w:val="00A706CF"/>
    <w:rsid w:val="00A71EFB"/>
    <w:rsid w:val="00A72437"/>
    <w:rsid w:val="00A73A25"/>
    <w:rsid w:val="00A80611"/>
    <w:rsid w:val="00A84B9E"/>
    <w:rsid w:val="00AB5340"/>
    <w:rsid w:val="00AC0A89"/>
    <w:rsid w:val="00AC155E"/>
    <w:rsid w:val="00AC5CBF"/>
    <w:rsid w:val="00AC7C96"/>
    <w:rsid w:val="00AE237D"/>
    <w:rsid w:val="00AE502A"/>
    <w:rsid w:val="00AF3C0C"/>
    <w:rsid w:val="00AF7C07"/>
    <w:rsid w:val="00B02574"/>
    <w:rsid w:val="00B11663"/>
    <w:rsid w:val="00B12B35"/>
    <w:rsid w:val="00B157EA"/>
    <w:rsid w:val="00B22C93"/>
    <w:rsid w:val="00B24037"/>
    <w:rsid w:val="00B27589"/>
    <w:rsid w:val="00B405B7"/>
    <w:rsid w:val="00B40CD8"/>
    <w:rsid w:val="00B4162D"/>
    <w:rsid w:val="00B52222"/>
    <w:rsid w:val="00B52657"/>
    <w:rsid w:val="00B5428A"/>
    <w:rsid w:val="00B54847"/>
    <w:rsid w:val="00B54FE7"/>
    <w:rsid w:val="00B600D5"/>
    <w:rsid w:val="00B66901"/>
    <w:rsid w:val="00B71E6D"/>
    <w:rsid w:val="00B72070"/>
    <w:rsid w:val="00B737E9"/>
    <w:rsid w:val="00B755D9"/>
    <w:rsid w:val="00B779E1"/>
    <w:rsid w:val="00B8253A"/>
    <w:rsid w:val="00B849E3"/>
    <w:rsid w:val="00B86283"/>
    <w:rsid w:val="00B91EE1"/>
    <w:rsid w:val="00B925AB"/>
    <w:rsid w:val="00B93958"/>
    <w:rsid w:val="00BA0090"/>
    <w:rsid w:val="00BA1A67"/>
    <w:rsid w:val="00BA6C8F"/>
    <w:rsid w:val="00BA7128"/>
    <w:rsid w:val="00BB4679"/>
    <w:rsid w:val="00BC4A40"/>
    <w:rsid w:val="00BD7D5B"/>
    <w:rsid w:val="00BE5B5F"/>
    <w:rsid w:val="00BF17E5"/>
    <w:rsid w:val="00BF4150"/>
    <w:rsid w:val="00C059F0"/>
    <w:rsid w:val="00C07A0D"/>
    <w:rsid w:val="00C170F4"/>
    <w:rsid w:val="00C228DB"/>
    <w:rsid w:val="00C26F55"/>
    <w:rsid w:val="00C30C63"/>
    <w:rsid w:val="00C36B8B"/>
    <w:rsid w:val="00C415C1"/>
    <w:rsid w:val="00C4255A"/>
    <w:rsid w:val="00C47DBF"/>
    <w:rsid w:val="00C52AC2"/>
    <w:rsid w:val="00C552FF"/>
    <w:rsid w:val="00C558DA"/>
    <w:rsid w:val="00C55AF3"/>
    <w:rsid w:val="00C630D8"/>
    <w:rsid w:val="00C70996"/>
    <w:rsid w:val="00C7779C"/>
    <w:rsid w:val="00C82761"/>
    <w:rsid w:val="00C84138"/>
    <w:rsid w:val="00C84759"/>
    <w:rsid w:val="00C86D73"/>
    <w:rsid w:val="00C91407"/>
    <w:rsid w:val="00CA2E70"/>
    <w:rsid w:val="00CA6C7F"/>
    <w:rsid w:val="00CB07BA"/>
    <w:rsid w:val="00CB713E"/>
    <w:rsid w:val="00CC10A6"/>
    <w:rsid w:val="00CC308E"/>
    <w:rsid w:val="00CC7F63"/>
    <w:rsid w:val="00CD5EB8"/>
    <w:rsid w:val="00CD7044"/>
    <w:rsid w:val="00CE08B9"/>
    <w:rsid w:val="00CE3103"/>
    <w:rsid w:val="00CE524C"/>
    <w:rsid w:val="00CF141F"/>
    <w:rsid w:val="00CF4777"/>
    <w:rsid w:val="00D067BB"/>
    <w:rsid w:val="00D07EDB"/>
    <w:rsid w:val="00D12A5A"/>
    <w:rsid w:val="00D1352A"/>
    <w:rsid w:val="00D13873"/>
    <w:rsid w:val="00D169AF"/>
    <w:rsid w:val="00D25249"/>
    <w:rsid w:val="00D25ED8"/>
    <w:rsid w:val="00D33365"/>
    <w:rsid w:val="00D34DE9"/>
    <w:rsid w:val="00D35F94"/>
    <w:rsid w:val="00D371AC"/>
    <w:rsid w:val="00D44172"/>
    <w:rsid w:val="00D52FD0"/>
    <w:rsid w:val="00D61FBB"/>
    <w:rsid w:val="00D63705"/>
    <w:rsid w:val="00D63B8C"/>
    <w:rsid w:val="00D63D88"/>
    <w:rsid w:val="00D65163"/>
    <w:rsid w:val="00D6672A"/>
    <w:rsid w:val="00D739CC"/>
    <w:rsid w:val="00D76E06"/>
    <w:rsid w:val="00D8093D"/>
    <w:rsid w:val="00D8108C"/>
    <w:rsid w:val="00D842AE"/>
    <w:rsid w:val="00D85103"/>
    <w:rsid w:val="00D9211C"/>
    <w:rsid w:val="00D92DE0"/>
    <w:rsid w:val="00D92FEF"/>
    <w:rsid w:val="00D933EC"/>
    <w:rsid w:val="00D93A0F"/>
    <w:rsid w:val="00D97FDC"/>
    <w:rsid w:val="00DA1BCA"/>
    <w:rsid w:val="00DA606E"/>
    <w:rsid w:val="00DC46FF"/>
    <w:rsid w:val="00DC5254"/>
    <w:rsid w:val="00DD1A4F"/>
    <w:rsid w:val="00DD3107"/>
    <w:rsid w:val="00DD7C2C"/>
    <w:rsid w:val="00DF70BF"/>
    <w:rsid w:val="00E03DD2"/>
    <w:rsid w:val="00E04FF0"/>
    <w:rsid w:val="00E06797"/>
    <w:rsid w:val="00E072CC"/>
    <w:rsid w:val="00E1265B"/>
    <w:rsid w:val="00E13B48"/>
    <w:rsid w:val="00E1404F"/>
    <w:rsid w:val="00E21C83"/>
    <w:rsid w:val="00E24063"/>
    <w:rsid w:val="00E24ADA"/>
    <w:rsid w:val="00E26551"/>
    <w:rsid w:val="00E276A4"/>
    <w:rsid w:val="00E32F59"/>
    <w:rsid w:val="00E3329D"/>
    <w:rsid w:val="00E44400"/>
    <w:rsid w:val="00E46D9A"/>
    <w:rsid w:val="00E5123A"/>
    <w:rsid w:val="00E565FF"/>
    <w:rsid w:val="00E63E9A"/>
    <w:rsid w:val="00E65388"/>
    <w:rsid w:val="00E726A7"/>
    <w:rsid w:val="00E75B6F"/>
    <w:rsid w:val="00E838F9"/>
    <w:rsid w:val="00E84A2E"/>
    <w:rsid w:val="00E85B7D"/>
    <w:rsid w:val="00E85C3C"/>
    <w:rsid w:val="00E9121B"/>
    <w:rsid w:val="00E91D53"/>
    <w:rsid w:val="00E942CC"/>
    <w:rsid w:val="00E96DA8"/>
    <w:rsid w:val="00EA0AE2"/>
    <w:rsid w:val="00EA2CF9"/>
    <w:rsid w:val="00EA39E5"/>
    <w:rsid w:val="00EA699F"/>
    <w:rsid w:val="00EB3A61"/>
    <w:rsid w:val="00EC5A46"/>
    <w:rsid w:val="00EC63E2"/>
    <w:rsid w:val="00EC7DCF"/>
    <w:rsid w:val="00EE0374"/>
    <w:rsid w:val="00EE1F86"/>
    <w:rsid w:val="00EF22B3"/>
    <w:rsid w:val="00F03B69"/>
    <w:rsid w:val="00F05C85"/>
    <w:rsid w:val="00F07A50"/>
    <w:rsid w:val="00F113DA"/>
    <w:rsid w:val="00F116A8"/>
    <w:rsid w:val="00F11AC1"/>
    <w:rsid w:val="00F15E6D"/>
    <w:rsid w:val="00F23DCE"/>
    <w:rsid w:val="00F309A3"/>
    <w:rsid w:val="00F34719"/>
    <w:rsid w:val="00F37DC8"/>
    <w:rsid w:val="00F439B3"/>
    <w:rsid w:val="00F530E7"/>
    <w:rsid w:val="00F650C3"/>
    <w:rsid w:val="00F65194"/>
    <w:rsid w:val="00F65D85"/>
    <w:rsid w:val="00F7542C"/>
    <w:rsid w:val="00F8091E"/>
    <w:rsid w:val="00F839A2"/>
    <w:rsid w:val="00F8615C"/>
    <w:rsid w:val="00F873F8"/>
    <w:rsid w:val="00F92E48"/>
    <w:rsid w:val="00F96910"/>
    <w:rsid w:val="00F969E5"/>
    <w:rsid w:val="00FA03FF"/>
    <w:rsid w:val="00FA6BB0"/>
    <w:rsid w:val="00FA7033"/>
    <w:rsid w:val="00FB1CDE"/>
    <w:rsid w:val="00FB2A94"/>
    <w:rsid w:val="00FB49C6"/>
    <w:rsid w:val="00FB7604"/>
    <w:rsid w:val="00FB7DD2"/>
    <w:rsid w:val="00FD365E"/>
    <w:rsid w:val="00FD5860"/>
    <w:rsid w:val="00FE0FF3"/>
    <w:rsid w:val="00FE352D"/>
    <w:rsid w:val="00FE40EB"/>
    <w:rsid w:val="00FE4D02"/>
    <w:rsid w:val="00FE78F1"/>
    <w:rsid w:val="00FE7D62"/>
    <w:rsid w:val="00FF0E04"/>
    <w:rsid w:val="00FF3819"/>
    <w:rsid w:val="00FF5C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26C8E5"/>
  <w15:chartTrackingRefBased/>
  <w15:docId w15:val="{4A5B7A07-1CE9-4861-8802-D3D9FB62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val="en-US"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link w:val="Heading3Cha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semiHidden/>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262BB0"/>
    <w:pPr>
      <w:tabs>
        <w:tab w:val="clear" w:pos="4082"/>
      </w:tabs>
      <w:spacing w:before="120" w:after="120"/>
      <w:ind w:right="4536"/>
    </w:pPr>
  </w:style>
  <w:style w:type="paragraph" w:customStyle="1" w:styleId="BBTitle">
    <w:name w:val="BB_Title"/>
    <w:basedOn w:val="Normal-pool"/>
    <w:link w:val="BBTitleChar"/>
    <w:qFormat/>
    <w:rsid w:val="0015442E"/>
    <w:pPr>
      <w:keepNext/>
      <w:keepLines/>
      <w:suppressAutoHyphens/>
      <w:spacing w:before="320" w:after="240"/>
      <w:ind w:left="1247" w:right="567"/>
    </w:pPr>
    <w:rPr>
      <w:b/>
      <w:sz w:val="28"/>
      <w:szCs w:val="28"/>
    </w:rPr>
  </w:style>
  <w:style w:type="paragraph" w:styleId="Footer">
    <w:name w:val="footer"/>
    <w:basedOn w:val="Normal"/>
    <w:semiHidden/>
    <w:rsid w:val="0015442E"/>
    <w:pPr>
      <w:tabs>
        <w:tab w:val="center" w:pos="4320"/>
        <w:tab w:val="right" w:pos="8640"/>
      </w:tabs>
      <w:spacing w:before="60" w:after="120"/>
    </w:pPr>
    <w:rPr>
      <w:sz w:val="18"/>
    </w:rPr>
  </w:style>
  <w:style w:type="paragraph" w:styleId="Header">
    <w:name w:val="header"/>
    <w:basedOn w:val="Normal"/>
    <w:link w:val="HeaderChar"/>
    <w:semiHidden/>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semiHidden/>
    <w:rsid w:val="0015442E"/>
    <w:pPr>
      <w:numPr>
        <w:numId w:val="4"/>
      </w:numPr>
    </w:pPr>
  </w:style>
  <w:style w:type="paragraph" w:customStyle="1" w:styleId="NormalNonumber">
    <w:name w:val="Normal_No_number"/>
    <w:qFormat/>
    <w:rsid w:val="00E838F9"/>
    <w:pPr>
      <w:tabs>
        <w:tab w:val="left" w:pos="624"/>
      </w:tabs>
      <w:spacing w:after="120"/>
      <w:ind w:left="1247"/>
    </w:pPr>
    <w:rPr>
      <w:rFonts w:eastAsia="SimSun"/>
      <w:lang w:val="en-US" w:eastAsia="en-US"/>
    </w:rPr>
  </w:style>
  <w:style w:type="paragraph" w:customStyle="1" w:styleId="Normalnumber">
    <w:name w:val="Normal_number"/>
    <w:basedOn w:val="Normalpool"/>
    <w:rsid w:val="0015442E"/>
    <w:pPr>
      <w:numPr>
        <w:numId w:val="9"/>
      </w:num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link w:val="ZZAnxheaderChar"/>
    <w:rsid w:val="0015442E"/>
    <w:rPr>
      <w:b/>
      <w:bCs/>
      <w:sz w:val="28"/>
      <w:szCs w:val="22"/>
    </w:rPr>
  </w:style>
  <w:style w:type="paragraph" w:customStyle="1" w:styleId="ZZAnxtitle">
    <w:name w:val="ZZ_Anx_title"/>
    <w:basedOn w:val="Normal-pool"/>
    <w:link w:val="ZZAnxtitleChar"/>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rsid w:val="003E6F41"/>
    <w:rPr>
      <w:sz w:val="24"/>
      <w:szCs w:val="24"/>
      <w:lang w:val="en-GB" w:eastAsia="en-GB"/>
    </w:rPr>
  </w:style>
  <w:style w:type="character" w:customStyle="1" w:styleId="CommentTextChar">
    <w:name w:val="Comment Text Char"/>
    <w:basedOn w:val="DefaultParagraphFont"/>
    <w:link w:val="CommentText"/>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link w:val="FootnoteText"/>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uiPriority w:val="59"/>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96B51"/>
    <w:rPr>
      <w:rFonts w:eastAsia="SimSun"/>
      <w:b/>
      <w:lang w:val="en-US" w:eastAsia="zh-CN"/>
    </w:rPr>
  </w:style>
  <w:style w:type="character" w:customStyle="1" w:styleId="Normal-poolChar">
    <w:name w:val="Normal-pool Char"/>
    <w:link w:val="Normal-pool"/>
    <w:rsid w:val="00B86283"/>
    <w:rPr>
      <w:rFonts w:eastAsia="SimSun"/>
      <w:lang w:val="en-US" w:eastAsia="en-US"/>
    </w:rPr>
  </w:style>
  <w:style w:type="character" w:customStyle="1" w:styleId="BBTitleChar">
    <w:name w:val="BB_Title Char"/>
    <w:link w:val="BBTitle"/>
    <w:rsid w:val="00B86283"/>
    <w:rPr>
      <w:rFonts w:eastAsia="SimSun"/>
      <w:b/>
      <w:sz w:val="28"/>
      <w:szCs w:val="28"/>
      <w:lang w:val="en-US" w:eastAsia="en-US"/>
    </w:rPr>
  </w:style>
  <w:style w:type="character" w:customStyle="1" w:styleId="CH2Char">
    <w:name w:val="CH2 Char"/>
    <w:link w:val="CH2"/>
    <w:rsid w:val="00B86283"/>
    <w:rPr>
      <w:rFonts w:eastAsia="SimSun"/>
      <w:b/>
      <w:sz w:val="24"/>
      <w:szCs w:val="24"/>
      <w:lang w:val="en-US" w:eastAsia="en-US"/>
    </w:rPr>
  </w:style>
  <w:style w:type="character" w:customStyle="1" w:styleId="ZZAnxtitleChar">
    <w:name w:val="ZZ_Anx_title Char"/>
    <w:link w:val="ZZAnxtitle"/>
    <w:rsid w:val="00B86283"/>
    <w:rPr>
      <w:rFonts w:eastAsia="SimSun"/>
      <w:b/>
      <w:bCs/>
      <w:sz w:val="28"/>
      <w:szCs w:val="26"/>
      <w:lang w:val="en-US" w:eastAsia="en-US"/>
    </w:rPr>
  </w:style>
  <w:style w:type="character" w:customStyle="1" w:styleId="ZZAnxheaderChar">
    <w:name w:val="ZZ_Anx_header Char"/>
    <w:link w:val="ZZAnxheader"/>
    <w:rsid w:val="00B86283"/>
    <w:rPr>
      <w:rFonts w:eastAsia="SimSun"/>
      <w:b/>
      <w:bCs/>
      <w:sz w:val="28"/>
      <w:szCs w:val="22"/>
      <w:lang w:val="en-US" w:eastAsia="en-US"/>
    </w:rPr>
  </w:style>
  <w:style w:type="paragraph" w:styleId="Revision">
    <w:name w:val="Revision"/>
    <w:hidden/>
    <w:uiPriority w:val="99"/>
    <w:semiHidden/>
    <w:rsid w:val="00997F1A"/>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uj\Downloads\UNEP-MC-COP_EN%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12" ma:contentTypeDescription="Create a new document." ma:contentTypeScope="" ma:versionID="af15abcd28502138ec9db060e2e0082a">
  <xsd:schema xmlns:xsd="http://www.w3.org/2001/XMLSchema" xmlns:xs="http://www.w3.org/2001/XMLSchema" xmlns:p="http://schemas.microsoft.com/office/2006/metadata/properties" xmlns:ns2="44b29a07-ae0c-4297-aad9-2f7ae2e24b8e" xmlns:ns3="a591afa8-fd54-42f1-9ea9-749d51e1c00b" targetNamespace="http://schemas.microsoft.com/office/2006/metadata/properties" ma:root="true" ma:fieldsID="2820a95b044474b4e901ae50fb64eb05" ns2:_="" ns3:_="">
    <xsd:import namespace="44b29a07-ae0c-4297-aad9-2f7ae2e24b8e"/>
    <xsd:import namespace="a591afa8-fd54-42f1-9ea9-749d51e1c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A6214AC8-6B1C-4EF2-8645-A05943366AA8}">
  <ds:schemaRefs>
    <ds:schemaRef ds:uri="http://schemas.openxmlformats.org/officeDocument/2006/bibliography"/>
  </ds:schemaRefs>
</ds:datastoreItem>
</file>

<file path=customXml/itemProps4.xml><?xml version="1.0" encoding="utf-8"?>
<ds:datastoreItem xmlns:ds="http://schemas.openxmlformats.org/officeDocument/2006/customXml" ds:itemID="{02FA9871-88C1-409B-AC9A-75C99EF1B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UNEP-MC-COP_EN (19).dotm</Template>
  <TotalTime>6</TotalTime>
  <Pages>5</Pages>
  <Words>1376</Words>
  <Characters>8530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My Linh Doan</cp:lastModifiedBy>
  <cp:revision>10</cp:revision>
  <cp:lastPrinted>2021-09-20T21:08:00Z</cp:lastPrinted>
  <dcterms:created xsi:type="dcterms:W3CDTF">2022-02-03T05:37:00Z</dcterms:created>
  <dcterms:modified xsi:type="dcterms:W3CDTF">2022-02-07T08:46:00Z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0x010100A8527E0A0837F64083645E115EB57567</vt:lpwstr>
  </property>
</Properties>
</file>